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333-293093</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SUNPOWER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22,381,878 Shares of Common Stock</w:t>
      </w:r>
    </w:p>
    <w:p>
      <w:pPr>
        <w:spacing w:after="0" w:line="229"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relates to the registration of the resale or other disposition of up to 22,381,878 shares of our common stock by YA II PN, LTD (“</w:t>
      </w:r>
      <w:r>
        <w:rPr>
          <w:rFonts w:ascii="Times New Roman" w:cs="Times New Roman" w:eastAsia="Times New Roman" w:hAnsi="Times New Roman"/>
          <w:sz w:val="18"/>
          <w:szCs w:val="18"/>
          <w:b w:val="1"/>
          <w:bCs w:val="1"/>
          <w:color w:val="auto"/>
        </w:rPr>
        <w:t>Yorkville</w:t>
      </w:r>
      <w:r>
        <w:rPr>
          <w:rFonts w:ascii="Times New Roman" w:cs="Times New Roman" w:eastAsia="Times New Roman" w:hAnsi="Times New Roman"/>
          <w:sz w:val="18"/>
          <w:szCs w:val="18"/>
          <w:color w:val="auto"/>
        </w:rPr>
        <w:t>”). Yorkville is also referred to in this prospectus as the Selling Securityholder. The shares of our common stock to which this prospectus relates have been or may be issued by us to Yorkville pursuant to a standby equity purchase agreement, dated as of January 27, 2026, by and between us and Yorkville (the “</w:t>
      </w:r>
      <w:r>
        <w:rPr>
          <w:rFonts w:ascii="Times New Roman" w:cs="Times New Roman" w:eastAsia="Times New Roman" w:hAnsi="Times New Roman"/>
          <w:sz w:val="18"/>
          <w:szCs w:val="18"/>
          <w:b w:val="1"/>
          <w:bCs w:val="1"/>
          <w:color w:val="auto"/>
        </w:rPr>
        <w:t>SEPA</w:t>
      </w:r>
      <w:r>
        <w:rPr>
          <w:rFonts w:ascii="Times New Roman" w:cs="Times New Roman" w:eastAsia="Times New Roman" w:hAnsi="Times New Roman"/>
          <w:sz w:val="18"/>
          <w:szCs w:val="18"/>
          <w:color w:val="auto"/>
        </w:rPr>
        <w:t>”). Such shares of common stock include (i) up to 22,206,878 shares of common stock that may be issued to Yorkville pursuant to a convertible promissory note issued by us to Yorkville pursuant to the SEPA (the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and (ii) 175,000 shares of common stock we issued to Yorkville as consideration for its commitment to purchase shares of our common stock pursuant to the SEPA (the “</w:t>
      </w:r>
      <w:r>
        <w:rPr>
          <w:rFonts w:ascii="Times New Roman" w:cs="Times New Roman" w:eastAsia="Times New Roman" w:hAnsi="Times New Roman"/>
          <w:sz w:val="18"/>
          <w:szCs w:val="18"/>
          <w:b w:val="1"/>
          <w:bCs w:val="1"/>
          <w:color w:val="auto"/>
        </w:rPr>
        <w:t>Commitment Shares</w:t>
      </w:r>
      <w:r>
        <w:rPr>
          <w:rFonts w:ascii="Times New Roman" w:cs="Times New Roman" w:eastAsia="Times New Roman" w:hAnsi="Times New Roman"/>
          <w:sz w:val="18"/>
          <w:szCs w:val="18"/>
          <w:color w:val="auto"/>
        </w:rPr>
        <w:t>” and, collectively with the Conversion Shares, the “</w:t>
      </w:r>
      <w:r>
        <w:rPr>
          <w:rFonts w:ascii="Times New Roman" w:cs="Times New Roman" w:eastAsia="Times New Roman" w:hAnsi="Times New Roman"/>
          <w:sz w:val="18"/>
          <w:szCs w:val="18"/>
          <w:b w:val="1"/>
          <w:bCs w:val="1"/>
          <w:color w:val="auto"/>
        </w:rPr>
        <w:t>Offered Securities</w:t>
      </w:r>
      <w:r>
        <w:rPr>
          <w:rFonts w:ascii="Times New Roman" w:cs="Times New Roman" w:eastAsia="Times New Roman" w:hAnsi="Times New Roman"/>
          <w:sz w:val="18"/>
          <w:szCs w:val="18"/>
          <w:color w:val="auto"/>
        </w:rPr>
        <w:t>”).</w:t>
      </w:r>
    </w:p>
    <w:p>
      <w:pPr>
        <w:spacing w:after="0" w:line="189"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not selling any securities under this prospectus and will not receive any of the proceeds from the sale of our common stock by the Selling Securityholder. Prior to the date of this prospectus, we received (i) proceeds of $1,710,000 in connection with our sale and issuance to Yorkville on January 27, 2026 of a convertible promissory note in the aggregate principal amount of $1,900,000 as a pre-paid advance under the SEPA and (ii) proceeds of $9,000,000 from the issuance and sale by us to Yorkville of the YA Debenture; and we may receive proceeds from sales of common stock that we may elect to make to Yorkville pursuant to the SEPA, if any, from time to time after the date of this prospectus. The net proceeds from sales, if any, under the SEPA, will depend on the frequency and prices at which we sell shares of common stock to Yorkville after the date of this prospectus. See “PROSPECTUS SUMMARY - The Standby Equity Purchase Agreement” on page 4 of this prospectus for a description of the SEPA and “SELLING SECURITYHOLDER” on page 99 of this prospectus for additional information regarding the Selling Securityholder.</w:t>
      </w:r>
    </w:p>
    <w:p>
      <w:pPr>
        <w:spacing w:after="0" w:line="192"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Selling Securityholder may sell or otherwise dispose of the common stock described in this prospectus in a number of different ways and at varying prices. Yorkville is an “underwriter” within the meaning of Section 2(a)(11)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only with respect to advances under the SEPA (“</w:t>
      </w:r>
      <w:r>
        <w:rPr>
          <w:rFonts w:ascii="Times New Roman" w:cs="Times New Roman" w:eastAsia="Times New Roman" w:hAnsi="Times New Roman"/>
          <w:sz w:val="18"/>
          <w:szCs w:val="18"/>
          <w:b w:val="1"/>
          <w:bCs w:val="1"/>
          <w:color w:val="auto"/>
        </w:rPr>
        <w:t>Advances</w:t>
      </w:r>
      <w:r>
        <w:rPr>
          <w:rFonts w:ascii="Times New Roman" w:cs="Times New Roman" w:eastAsia="Times New Roman" w:hAnsi="Times New Roman"/>
          <w:sz w:val="18"/>
          <w:szCs w:val="18"/>
          <w:color w:val="auto"/>
        </w:rPr>
        <w:t>”) and any profits on the sales of shares of our common stock by Yorkville acquired under the SEPA and any discounts, commissions, or concessions received by Yorkville are deemed to be underwriting discounts and commissions under the Securities Act. If any underwriters, dealers, or agents are involved in the sale of any of the securities, their names and any applicable purchase price, fee, commission, or discount arrangement between or among them will be set forth, or will be calculable from the information set forth, in any applicable prospectus supplement. Yorkville is not an “underwriter” within the meaning of Section 2(a)(11) of the Securities Act with respect to the shares of our common stock issuable upon conversion by Yorkville of the convertible promissory notes issued to Yorkville pursuant to the SEPA. We will pay the expenses incurred in registering under the Securities Act the offer and sale of the shares of the common stock to which this prospectus relates by the Selling Securityholder, including our legal and accounting fees. See “Plan of Distribution” on page 114 of this prospectus for more information. No securities may be sold without delivery of this prospectus and any applicable prospectus supplement describing the method and terms of the offering of such securities. You should carefully read this prospectus and any applicable prospectus supplement before you invest in our securities.</w:t>
      </w:r>
    </w:p>
    <w:p>
      <w:pPr>
        <w:spacing w:after="0" w:line="186" w:lineRule="exact"/>
        <w:rPr>
          <w:sz w:val="24"/>
          <w:szCs w:val="24"/>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We engaged Northland Capital Markets (“</w:t>
      </w:r>
      <w:r>
        <w:rPr>
          <w:rFonts w:ascii="Times New Roman" w:cs="Times New Roman" w:eastAsia="Times New Roman" w:hAnsi="Times New Roman"/>
          <w:sz w:val="18"/>
          <w:szCs w:val="18"/>
          <w:b w:val="1"/>
          <w:bCs w:val="1"/>
          <w:color w:val="auto"/>
        </w:rPr>
        <w:t>Northland</w:t>
      </w:r>
      <w:r>
        <w:rPr>
          <w:rFonts w:ascii="Times New Roman" w:cs="Times New Roman" w:eastAsia="Times New Roman" w:hAnsi="Times New Roman"/>
          <w:sz w:val="18"/>
          <w:szCs w:val="18"/>
          <w:color w:val="auto"/>
        </w:rPr>
        <w:t>”) as our placement agent in connection with the SEPA. We have agreed to pay Northland a cash fee of 5.0% based upon the aggregate gross proceeds received from the sales of convertible promissory notes and common stock that we elect to make to Yorkville pursuant to the SEPA. See “Plan of Distribution” on page 114 of this prospectus for additional information regarding this arrangement.</w:t>
      </w:r>
    </w:p>
    <w:p>
      <w:pPr>
        <w:spacing w:after="0" w:line="171"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Shares of our common stock are listed on the Nasdaq Global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symbol “SPWR”. On May 29, 2026, the closing price of our common stock was $1.03.</w:t>
      </w:r>
    </w:p>
    <w:p>
      <w:pPr>
        <w:spacing w:after="0" w:line="155" w:lineRule="exact"/>
        <w:rPr>
          <w:sz w:val="24"/>
          <w:szCs w:val="24"/>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under U.S. federal securities laws and, as such, have elected to comply with reduced public company reporting requirements. This prospectus complies with the requirements that apply to an issuer that is an emerging growth company.</w:t>
      </w:r>
    </w:p>
    <w:p>
      <w:pPr>
        <w:spacing w:after="0" w:line="155" w:lineRule="exact"/>
        <w:rPr>
          <w:sz w:val="24"/>
          <w:szCs w:val="24"/>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in the section titled “Risk Factors” beginning on page 11 of this prospectus, and under similar headings in any amendments or supplements to this prospectus.</w:t>
      </w:r>
    </w:p>
    <w:p>
      <w:pPr>
        <w:spacing w:after="0" w:line="155"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dated June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is part of Post-Effective Amendment No. 1 to the registration statement on Form S-1 (File No. 333-293093) that we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using the “shelf” registration process and updates the disclosure contained in the Registration Statement following the filing of the Company’s Annual Report on Form 10-K for the year ended December 28, 2025, filed with the SEC on April 14, 2026 and the Company’s Quarterly Report on Form 10-Q for the thirteen week period ended March 29, 2026, filed with the SEC on May 19, 2026. Under this shelf registration process, the Selling Securityholder may, from time to time, sell the securities offered by it described in this prospectus. We will not receive any proceeds from the sale by such Selling Securityholder of the securities offered by it described in this prospectus.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Neither we nor the Selling Securityholder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 take responsibility for, and can provide no assurance as to the reliability of, any other information that others may give you. Neither we nor the Selling Securityholder will make an offer to sell these securities in any jurisdiction where the offer or sale is not permitted.</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titled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w:t>
      </w:r>
      <w:r>
        <w:rPr>
          <w:rFonts w:ascii="Times New Roman" w:cs="Times New Roman" w:eastAsia="Times New Roman" w:hAnsi="Times New Roman"/>
          <w:sz w:val="18"/>
          <w:szCs w:val="18"/>
          <w:color w:val="auto"/>
        </w:rPr>
        <w:t>before deciding to invest in any of the securities being offered. The information contained in this prospectus and any supplement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is accurate only as of the respective dates thereof, regardless of the time of delivery of this prospectus or of any sale of our securities. Our business, financial condition, results of operations and prospects may have changed since those dates.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17, 2023, FACT filed an application for deregistration with the Cayman Islands Registrar of Companies, together with the necessary accompanying documents, and filed a certificate of incorporation and a certificate of corporate domestication with the Secretary of State of the State of Delaware, under which FACT was domesticated and continues as a Delaware corporation, changing its name to “Complete Solaria, Inc.”</w:t>
      </w:r>
    </w:p>
    <w:p>
      <w:pPr>
        <w:spacing w:after="0" w:line="17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Legacy Complete Solaria, Inc. (f/k/a Complete Solar Holding Corporation), a Delaware corporation (“</w:t>
      </w:r>
      <w:r>
        <w:rPr>
          <w:rFonts w:ascii="Times New Roman" w:cs="Times New Roman" w:eastAsia="Times New Roman" w:hAnsi="Times New Roman"/>
          <w:sz w:val="18"/>
          <w:szCs w:val="18"/>
          <w:b w:val="1"/>
          <w:bCs w:val="1"/>
          <w:color w:val="auto"/>
        </w:rPr>
        <w:t>Legacy Complete Solaria</w:t>
      </w:r>
      <w:r>
        <w:rPr>
          <w:rFonts w:ascii="Times New Roman" w:cs="Times New Roman" w:eastAsia="Times New Roman" w:hAnsi="Times New Roman"/>
          <w:sz w:val="18"/>
          <w:szCs w:val="18"/>
          <w:color w:val="auto"/>
        </w:rPr>
        <w:t>”), FACT, Jupiter Merger Sub I Corp., a Delaware corporation and wholly-owned subsidiary of FACT (“</w:t>
      </w:r>
      <w:r>
        <w:rPr>
          <w:rFonts w:ascii="Times New Roman" w:cs="Times New Roman" w:eastAsia="Times New Roman" w:hAnsi="Times New Roman"/>
          <w:sz w:val="18"/>
          <w:szCs w:val="18"/>
          <w:b w:val="1"/>
          <w:bCs w:val="1"/>
          <w:color w:val="auto"/>
        </w:rPr>
        <w:t>First Merger Sub</w:t>
      </w:r>
      <w:r>
        <w:rPr>
          <w:rFonts w:ascii="Times New Roman" w:cs="Times New Roman" w:eastAsia="Times New Roman" w:hAnsi="Times New Roman"/>
          <w:sz w:val="18"/>
          <w:szCs w:val="18"/>
          <w:color w:val="auto"/>
        </w:rPr>
        <w:t>”), Jupiter Merger Sub II LLC, a Delaware limited liability company and a wholly-owned subsidiary of FACT (“</w:t>
      </w:r>
      <w:r>
        <w:rPr>
          <w:rFonts w:ascii="Times New Roman" w:cs="Times New Roman" w:eastAsia="Times New Roman" w:hAnsi="Times New Roman"/>
          <w:sz w:val="18"/>
          <w:szCs w:val="18"/>
          <w:b w:val="1"/>
          <w:bCs w:val="1"/>
          <w:color w:val="auto"/>
        </w:rPr>
        <w:t>Second Merger Sub</w:t>
      </w:r>
      <w:r>
        <w:rPr>
          <w:rFonts w:ascii="Times New Roman" w:cs="Times New Roman" w:eastAsia="Times New Roman" w:hAnsi="Times New Roman"/>
          <w:sz w:val="18"/>
          <w:szCs w:val="18"/>
          <w:color w:val="auto"/>
        </w:rPr>
        <w:t>”) and The Solaria Corporation, a Delaware corporation and a wholly-owned indirect subsidiary of Legacy Complete Solaria (“</w:t>
      </w:r>
      <w:r>
        <w:rPr>
          <w:rFonts w:ascii="Times New Roman" w:cs="Times New Roman" w:eastAsia="Times New Roman" w:hAnsi="Times New Roman"/>
          <w:sz w:val="18"/>
          <w:szCs w:val="18"/>
          <w:b w:val="1"/>
          <w:bCs w:val="1"/>
          <w:color w:val="auto"/>
        </w:rPr>
        <w:t>Solaria</w:t>
      </w:r>
      <w:r>
        <w:rPr>
          <w:rFonts w:ascii="Times New Roman" w:cs="Times New Roman" w:eastAsia="Times New Roman" w:hAnsi="Times New Roman"/>
          <w:sz w:val="18"/>
          <w:szCs w:val="18"/>
          <w:color w:val="auto"/>
        </w:rPr>
        <w:t>”), entered into that certain Amended and Restated Business Combination Agreement, dated as of May 26, 2023 (as may be further amended, supplemented or otherwise modified from time to time,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Pursuant to the terms and subject to the conditions of the Business Combination, on July 18, 2023, (i) First Merger Sub merged with and into Legacy Complete Solaria with Legacy Complete Solaria surviving as a wholly-owned subsidiary of FACT (the “</w:t>
      </w:r>
      <w:r>
        <w:rPr>
          <w:rFonts w:ascii="Times New Roman" w:cs="Times New Roman" w:eastAsia="Times New Roman" w:hAnsi="Times New Roman"/>
          <w:sz w:val="18"/>
          <w:szCs w:val="18"/>
          <w:b w:val="1"/>
          <w:bCs w:val="1"/>
          <w:color w:val="auto"/>
        </w:rPr>
        <w:t>First Merger</w:t>
      </w:r>
      <w:r>
        <w:rPr>
          <w:rFonts w:ascii="Times New Roman" w:cs="Times New Roman" w:eastAsia="Times New Roman" w:hAnsi="Times New Roman"/>
          <w:sz w:val="18"/>
          <w:szCs w:val="18"/>
          <w:color w:val="auto"/>
        </w:rPr>
        <w:t>”), (ii) immediately thereafter and as part of the same overall transaction, Legacy Complete Solaria merged with and into Second Merger Sub, with Second Merger Sub surviving as a wholly-owned subsidiary of FACT (the “</w:t>
      </w:r>
      <w:r>
        <w:rPr>
          <w:rFonts w:ascii="Times New Roman" w:cs="Times New Roman" w:eastAsia="Times New Roman" w:hAnsi="Times New Roman"/>
          <w:sz w:val="18"/>
          <w:szCs w:val="18"/>
          <w:b w:val="1"/>
          <w:bCs w:val="1"/>
          <w:color w:val="auto"/>
        </w:rPr>
        <w:t>Second Merger</w:t>
      </w:r>
      <w:r>
        <w:rPr>
          <w:rFonts w:ascii="Times New Roman" w:cs="Times New Roman" w:eastAsia="Times New Roman" w:hAnsi="Times New Roman"/>
          <w:sz w:val="18"/>
          <w:szCs w:val="18"/>
          <w:color w:val="auto"/>
        </w:rPr>
        <w:t>”), and FACT changed its name to “Complete Solaria, Inc.” and Second Merger Sub changed its name to “CS, LLC” and (iii) immediately after the consummation of the Second Merger and as part of the same overall transaction, Solaria merged with and into a newly-formed Delaware limited liability company and wholly-owned subsidiary of FACT and changed its name to “SolarCA LLC” (“</w:t>
      </w:r>
      <w:r>
        <w:rPr>
          <w:rFonts w:ascii="Times New Roman" w:cs="Times New Roman" w:eastAsia="Times New Roman" w:hAnsi="Times New Roman"/>
          <w:sz w:val="18"/>
          <w:szCs w:val="18"/>
          <w:b w:val="1"/>
          <w:bCs w:val="1"/>
          <w:color w:val="auto"/>
        </w:rPr>
        <w:t>Third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w:t>
      </w:r>
      <w:r>
        <w:rPr>
          <w:rFonts w:ascii="Times New Roman" w:cs="Times New Roman" w:eastAsia="Times New Roman" w:hAnsi="Times New Roman"/>
          <w:sz w:val="18"/>
          <w:szCs w:val="18"/>
          <w:color w:val="auto"/>
        </w:rPr>
        <w:t>”), with Third Merger Sub surviving as a wholly-owned subsidiary of FACT (together with the First Merger and the Second Merger, the “Mergers”).</w:t>
      </w:r>
    </w:p>
    <w:p>
      <w:pPr>
        <w:spacing w:after="0" w:line="1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October 16, 2025, the Company filed with the Secretary of State of Delaware a Certificate of Amendment to its Certificate of Incorporation to change its corporate name from “Complete Solaria, Inc.” to “SunPower Inc.”, effective as of 4:30 PM Eastern Time on October 17, 2025.</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“SunPower,” “we,” “us,” “our,” the “Company” and similar terms refer to SunPower Inc. (f/k/a “Complete Solaria, Inc.” and, previously, “Freedom Acquisition I Corp.”) and its consolidated subsidiaries. References to “FACT” refer to the predecessor company prior to the consummation of the Business Combination.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prospectus contains forward-looking statements within the meaning of Section 27A of the Securities Act of 1933, as amended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and Section 21E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The statements contained in this prospectus that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purely historical are forward-looking statements. Our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include, without limitation, statements about:</w:t>
      </w:r>
    </w:p>
    <w:p>
      <w:pPr>
        <w:spacing w:after="0" w:line="189"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the sufficiency of our cash, and sources and uses of cash, including cash required to service our current and future borrowings;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and future growth, including in connection with the integration of our acquisitions, and our ability to raise capital and refinance our existing debt;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plans relating to cost control efforts (including headcount management and potential reductions) and expectations with respect to when we achieve breakeven operating income;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and indirect exposure to companies in the solar and renewable energy industries that are facing financial difficulties and potential bankruptcies;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 following the closing of business combinations including, without limitation, our recent acquisitions of the SunPower Businesses, Sunder Energy LLC (“Sunder”), Ambia Energy LLC (“Ambia”) and Cobalt Power Systems, Inc. (“Cobalt”);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supply chains and distribution channels, tariffs and trade barriers, export regulations, bank failures, geopolitical conflicts and other macroeconomic conditions on our business and operations, results of operations and financial position;</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our acquisitions, including our ability to integrate acquired businesses, to fund and meet the liquidity needs of the acquired businesses, to retain key employees of the acquired businesses, to take advantage of growth opportunities and to realize the expected benefits of such acquisitions;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changes to and developments relating to the regulations and policies applicable to our business, customers and the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of rebates, tax credits and other incentives;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impacting the demand for solar solutions from residential customers and small and medium-sized businesses, including changes resulting from the current political climate and also changes in the price of electricity from other sources, including traditional utilities;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the volatility of interest rates;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 following our recent acquisitions, including financial projections and business metrics, and our ability to manage our costs;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strategy, future operations, financial position, estimated revenues and losses, projected costs, prospects and plans;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expectations of new and current customers, and our ability to achieve market acceptance for our products and services, especially in light of the intense competition faced in our industry;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forecasts with respect to market opportunity and market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products and services to meet customers’ compliance and regulatory needs;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management;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our brand and reputation, and our ability to maintain our relationships with key suppliers, installers and build partners;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industry;</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and financial conditions, inflationary pressures and the resulting impact on demand, and our ability to plan for and respond to the impact of those changes;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and not infringe on the rights of others;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expansion plans and opportunities.</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described in the section titled “Risk Factors” and elsewhere in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required by law. We discuss in greater detail many of these risks under the section titled “Risk Factors” contained in the applicable prospectus supplement, in any free writing prospectuses we may authorize for use in connection with a specific offering, and in our most recent Annual Report on Form 10-K and in our most recent Quarterly Report on Form 10-Q.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You should read this prospectus, any applicable prospectus supplement, together with the documents we have filed with the SEC and any free writing prospectus that we may authorize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19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8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453"/>
        </w:trPr>
        <w:tc>
          <w:tcPr>
            <w:tcW w:w="5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500" w:type="dxa"/>
            <w:vAlign w:val="bottom"/>
            <w:tcBorders>
              <w:bottom w:val="single" w:sz="8" w:color="CCEEFF"/>
            </w:tcBorders>
          </w:tcPr>
          <w:p>
            <w:pPr>
              <w:spacing w:after="0"/>
              <w:rPr>
                <w:sz w:val="24"/>
                <w:szCs w:val="24"/>
                <w:color w:val="auto"/>
              </w:rPr>
            </w:pPr>
          </w:p>
        </w:tc>
        <w:tc>
          <w:tcPr>
            <w:tcW w:w="388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1540" w:type="dxa"/>
            <w:vAlign w:val="bottom"/>
            <w:tcBorders>
              <w:bottom w:val="single" w:sz="8" w:color="0000EE"/>
            </w:tcBorders>
            <w:gridSpan w:val="8"/>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Prospectus Summary</w:t>
            </w:r>
          </w:p>
        </w:tc>
        <w:tc>
          <w:tcPr>
            <w:tcW w:w="8800" w:type="dxa"/>
            <w:vAlign w:val="bottom"/>
            <w:tcBorders>
              <w:bottom w:val="single" w:sz="8" w:color="CCEEFF"/>
            </w:tcBorders>
            <w:gridSpan w:val="1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1</w:t>
            </w:r>
          </w:p>
        </w:tc>
      </w:tr>
      <w:tr>
        <w:trPr>
          <w:trHeight w:val="176"/>
        </w:trPr>
        <w:tc>
          <w:tcPr>
            <w:tcW w:w="103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and Industry Data</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176"/>
        </w:trPr>
        <w:tc>
          <w:tcPr>
            <w:tcW w:w="186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8480" w:type="dxa"/>
            <w:vAlign w:val="bottom"/>
            <w:tcBorders>
              <w:top w:val="single" w:sz="8" w:color="CCEEFF"/>
            </w:tcBorders>
            <w:gridSpan w:val="9"/>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32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Determination of Offering Price</w:t>
            </w:r>
          </w:p>
        </w:tc>
        <w:tc>
          <w:tcPr>
            <w:tcW w:w="8020" w:type="dxa"/>
            <w:vAlign w:val="bottom"/>
            <w:tcBorders>
              <w:bottom w:val="single" w:sz="8" w:color="CCEEFF"/>
            </w:tcBorders>
            <w:gridSpan w:val="7"/>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175"/>
        </w:trPr>
        <w:tc>
          <w:tcPr>
            <w:tcW w:w="103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Market Information for Securities and Dividend Policy</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176"/>
        </w:trPr>
        <w:tc>
          <w:tcPr>
            <w:tcW w:w="646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388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103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71</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3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77</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91</w:t>
            </w:r>
          </w:p>
        </w:tc>
      </w:tr>
      <w:tr>
        <w:trPr>
          <w:trHeight w:val="175"/>
        </w:trPr>
        <w:tc>
          <w:tcPr>
            <w:tcW w:w="384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Principal Stockholders</w:t>
            </w:r>
          </w:p>
        </w:tc>
        <w:tc>
          <w:tcPr>
            <w:tcW w:w="6500" w:type="dxa"/>
            <w:vAlign w:val="bottom"/>
            <w:tcBorders>
              <w:top w:val="single" w:sz="8" w:color="CCEEFF"/>
            </w:tcBorders>
            <w:gridSpan w:val="3"/>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96</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103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Selling Securityholder</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99</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3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101</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Material U.S. Federal Income Tax Consequences</w:t>
            </w:r>
          </w:p>
        </w:tc>
        <w:tc>
          <w:tcPr>
            <w:tcW w:w="6800" w:type="dxa"/>
            <w:vAlign w:val="bottom"/>
            <w:tcBorders>
              <w:bottom w:val="single" w:sz="8" w:color="CCEEFF"/>
            </w:tcBorders>
            <w:gridSpan w:val="4"/>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109</w:t>
            </w:r>
          </w:p>
        </w:tc>
      </w:tr>
      <w:tr>
        <w:trPr>
          <w:trHeight w:val="175"/>
        </w:trPr>
        <w:tc>
          <w:tcPr>
            <w:tcW w:w="103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114</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Legal Matters</w:t>
            </w:r>
          </w:p>
        </w:tc>
        <w:tc>
          <w:tcPr>
            <w:tcW w:w="9320" w:type="dxa"/>
            <w:vAlign w:val="bottom"/>
            <w:tcBorders>
              <w:bottom w:val="single" w:sz="8" w:color="CCEEFF"/>
            </w:tcBorders>
            <w:gridSpan w:val="16"/>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116</w:t>
            </w:r>
          </w:p>
        </w:tc>
      </w:tr>
      <w:tr>
        <w:trPr>
          <w:trHeight w:val="176"/>
        </w:trPr>
        <w:tc>
          <w:tcPr>
            <w:tcW w:w="103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116</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7460" w:type="dxa"/>
            <w:vAlign w:val="bottom"/>
            <w:tcBorders>
              <w:bottom w:val="single" w:sz="8" w:color="CCEEFF"/>
            </w:tcBorders>
            <w:gridSpan w:val="6"/>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116</w:t>
            </w:r>
          </w:p>
        </w:tc>
      </w:tr>
      <w:tr>
        <w:trPr>
          <w:trHeight w:val="176"/>
        </w:trPr>
        <w:tc>
          <w:tcPr>
            <w:tcW w:w="103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any supplement to this prospectus or in any free writing prospectus, filed with the Securities and Exchange Commission. Neither we nor the Selling Securityholder have authorized anyone to provide you with additional information or information different from that contained in this prospectus filed with the Securities and Exchange Commission. We take no responsibility for, and can provide no assurance as to the reliability of, any other information that others may give you. The Selling Securityholder is offering to sell, and seeking offers to buy, our securities only in jurisdictions where offers and sales are permitted. The information contained in this prospectus is accurate only as of the date of this prospectus, regardless of the time of delivery of this prospectus or any sale of our securities. Our business, financial condition, results of operations and prospects may have changed since that date.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investors outside of the United States: Neither we nor the Selling Securityholder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the United States.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ind w:left="4400"/>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SunPower.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means the transactions contemplated by the Business Combination Agreement.</w:t>
      </w:r>
    </w:p>
    <w:p>
      <w:pPr>
        <w:spacing w:after="0" w:line="225"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means the amended and restated business combination agreement, dated as of May 26, 2023, by and among FACT, First Merger Sub, Second Merger Sub, Legacy Complete Solaria and Solaria.</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means the date of the Closing.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Complete Solar</w:t>
      </w:r>
      <w:r>
        <w:rPr>
          <w:rFonts w:ascii="Times New Roman" w:cs="Times New Roman" w:eastAsia="Times New Roman" w:hAnsi="Times New Roman"/>
          <w:sz w:val="18"/>
          <w:szCs w:val="18"/>
          <w:color w:val="auto"/>
        </w:rPr>
        <w:t>” means Complete Solar Holding Corporation, a Delaware corporation, prior to the consummation of the Required Transaction.</w:t>
      </w:r>
    </w:p>
    <w:p>
      <w:pPr>
        <w:spacing w:after="0" w:line="225"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SunPower</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SunPower Inc. (f/k/a Complete Solaria, Inc. and, previously, Freedom Acquisition I Corp.), a Delaware corporation and its subsidiaries.</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means the Delaware General Corporation Law,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Domestication</w:t>
      </w:r>
      <w:r>
        <w:rPr>
          <w:rFonts w:ascii="Times New Roman" w:cs="Times New Roman" w:eastAsia="Times New Roman" w:hAnsi="Times New Roman"/>
          <w:sz w:val="18"/>
          <w:szCs w:val="18"/>
          <w:color w:val="auto"/>
        </w:rPr>
        <w:t>” means the domestication of FACT as a corporation incorporated in the State of Delaware.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 means the 2023 Employee Stock Purchase Plan of SunPower Inc.</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FACT</w:t>
      </w:r>
      <w:r>
        <w:rPr>
          <w:rFonts w:ascii="Times New Roman" w:cs="Times New Roman" w:eastAsia="Times New Roman" w:hAnsi="Times New Roman"/>
          <w:sz w:val="18"/>
          <w:szCs w:val="18"/>
          <w:color w:val="auto"/>
        </w:rPr>
        <w:t>” means Freedom Acquisition I Corp., a Cayman Islands exempted company, prior to the consummation of the Domestication.</w:t>
      </w:r>
    </w:p>
    <w:p>
      <w:pPr>
        <w:spacing w:after="0" w:line="225"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FACT Class A Ordinary Shares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means the 34,500,000 Class A ordinary shares, par value $0.0001 per share, of FACT prior to the consummation of the Domestication.</w:t>
      </w:r>
    </w:p>
    <w:p>
      <w:pPr>
        <w:spacing w:after="0" w:line="155"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 Warrants</w:t>
      </w:r>
      <w:r>
        <w:rPr>
          <w:rFonts w:ascii="Times New Roman" w:cs="Times New Roman" w:eastAsia="Times New Roman" w:hAnsi="Times New Roman"/>
          <w:sz w:val="18"/>
          <w:szCs w:val="18"/>
          <w:color w:val="auto"/>
        </w:rPr>
        <w:t>” means the 6,266,667 warrants held by the Sponsor that were issued in a private placement at the time of FACT’s IPO, each of which is exercisable for one Class A Ordinary Share at an exercise price of $11.50 per share.</w:t>
      </w:r>
    </w:p>
    <w:p>
      <w:pPr>
        <w:spacing w:after="0" w:line="155"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FACT Public Warrants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means the 8,625,000 warrants to acquire FACT Class A Ordinary Shares, issued as part of the public units issued by FACT, at an initial exercise price of $11.50 per share.</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U.S. generally accepted accounting principles.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means FACT’s initial public offering of its units, ordinary shares and warrants pursuant to its registration statement on Form S-1 declared effective by the SEC on February 25, 2021 (SEC File No. 333-252940).</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Warrants</w:t>
      </w:r>
      <w:r>
        <w:rPr>
          <w:rFonts w:ascii="Times New Roman" w:cs="Times New Roman" w:eastAsia="Times New Roman" w:hAnsi="Times New Roman"/>
          <w:sz w:val="18"/>
          <w:szCs w:val="18"/>
          <w:color w:val="auto"/>
        </w:rPr>
        <w:t>” means warrants issued to certain equityholders of Legacy Complete Solaria received as consideration in connection with the exchange of their capital stock held in Legacy Complete Solaria.</w:t>
      </w:r>
    </w:p>
    <w:p>
      <w:pPr>
        <w:spacing w:after="0" w:line="15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Legacy Complete Solaria</w:t>
      </w:r>
      <w:r>
        <w:rPr>
          <w:rFonts w:ascii="Times New Roman" w:cs="Times New Roman" w:eastAsia="Times New Roman" w:hAnsi="Times New Roman"/>
          <w:sz w:val="18"/>
          <w:szCs w:val="18"/>
          <w:color w:val="auto"/>
        </w:rPr>
        <w:t>” means, prior to the Business Combination, Complete Solaria, Inc. (f/k/a Complete Solar Holding Corporation), a Delaware corporation which, pursuant to the Business Combination, became a direct, wholly owned subsidiary of SunPower Inc. (f/k/a Complete Solaria, Inc.) and was renamed CS, LLC.</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Market.</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Transaction</w:t>
      </w:r>
      <w:r>
        <w:rPr>
          <w:rFonts w:ascii="Times New Roman" w:cs="Times New Roman" w:eastAsia="Times New Roman" w:hAnsi="Times New Roman"/>
          <w:sz w:val="18"/>
          <w:szCs w:val="18"/>
          <w:color w:val="auto"/>
        </w:rPr>
        <w:t>” means the transactions contemplated by that certain merger agreement by and among the Company, Complete Solaria Midco, LLC, a Delaware limited liability company and a wholly-owned subsidiary of Solaria, Complete Solaria Merger Sub, Inc., a Delaware corporation and a wholly-owned subsidiary of Complete Solaria Midco, LLC, Solaria, and Fortis Advisors LLC, a Delaware limited liability company, solely in its capacity as the representative of Solaria’s stockholders, including the merger of Solaria with and into a wholly-owned subsidiary of Legacy Complete Solaria, which were consummated on November 4, 2022.</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Solaria</w:t>
      </w:r>
      <w:r>
        <w:rPr>
          <w:rFonts w:ascii="Times New Roman" w:cs="Times New Roman" w:eastAsia="Times New Roman" w:hAnsi="Times New Roman"/>
          <w:sz w:val="18"/>
          <w:szCs w:val="18"/>
          <w:color w:val="auto"/>
        </w:rPr>
        <w:t>” means The Solaria Corporation, a Delaware corporation and a wholly-owned subsidiary of SunPower.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means Freedom Acquisition I LLC, a Cayman Islands limited liability company.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Continental Stock Transfer &amp; Trust Company.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means, collectively, the Private Warrants, the Public Warrants and the Working Capital Warrants.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Working Capital Warrants</w:t>
      </w:r>
      <w:r>
        <w:rPr>
          <w:rFonts w:ascii="Times New Roman" w:cs="Times New Roman" w:eastAsia="Times New Roman" w:hAnsi="Times New Roman"/>
          <w:sz w:val="18"/>
          <w:szCs w:val="18"/>
          <w:color w:val="auto"/>
        </w:rPr>
        <w:t>” means warrants issued to certain equityholders of Legacy Complete Solaria.</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9590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7875" cy="7959090"/>
                    </a:xfrm>
                    <a:prstGeom prst="rect">
                      <a:avLst/>
                    </a:prstGeom>
                    <a:noFill/>
                  </pic:spPr>
                </pic:pic>
              </a:graphicData>
            </a:graphic>
          </wp:anchor>
        </w:drawing>
        <w:t>PROSPECTUS SUMMARY</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and does not contain all of the information that you should consider in making your investment decision. Before investing in our securities, you should carefully read this entire prospectus, including our financial statements and related notes appearing at the end of this prospectus and the information set forth in the sections titled “Risk Factors” and “Management’s Discussion and Analysis of Financial Condition and Results of Operations.” Unless the context otherwise requires, we use the terms “SunPower,” “company,” “we,” “us” and “our” in this prospectus to refer to SunPower Inc. and our wholly owned subsidiaries.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mission is to deliver energy-efficient solutions to homeowners and small to medium-sized businesses that allow them to lower their energy bills while reducing their carbon footprint. SunPower Inc. or SunPower, has created a unique, end-to-end offering that delivers a best-in-class customer experience with a robust technology platform, financing solutions, and high-performance solar equipment.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SunPower Inc. (the “Company”) is the rebranded name of Complete Solaria, Inc. The rebranding was effective April 22, 2025 and became legally effective on October 17, 2025. We are headquartered in Orem, Utah.</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Complete Solaria, Inc. (“Complete Solaria”) was formed in November 2022 through the merger of Complete Solar Holding Corporation, a Delaware corporation (“Complete Solar”), and The Solaria Corporation, a Delaware corporation (such entity, “Solaria,” and such transaction, the “Business Combination”). Complete Solaria created a technology platform to offer clean energy products to homeowners by enabling a national network of sales partners and build partners. Our sales partners generate solar installation contracts with homeowners on our behalf. To facilitate this process, we provide the software tools, sales support and brand identity to our sales partners, making them competitive with national providers. We fulfill our customer contracts by engaging with local construction specialists and using our in-house installation experts. We manage the customer experience and complete all pre-construction activities prior to delivering build-ready projects including hardware, engineering plans, and building permits to our builder partners and in-house teams.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October 2023, we sold the solar panel assets of The Solaria Corporation, including intellectual property and customer contracts to Maxeon Solar Technologies, Ltd. (“Maxeon”) pursuant to the terms of an asset purchase agreement (the “Disposal Agreement”). Under the terms of the Disposal Agreement, Maxeon agreed to acquire certain assets and employees of Complete Solaria for an aggregate purchase price of approximately $11.0 million consisting of 1,100,000 shares of Maxeon ordinary shares.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expect to continue making acquisitions and entering into strategic partnerships as part of our long-term business strategy. For example, on September 24, 2025, we completed the purchase of all the membership interests of Sunder Energy, LLC (“Sunder”). Sunder provides a third-party solar energy sales force to initiate and execute contracts with customers throughout the United States. Sunder’s sales force works with solar installation companies in which Sunder acts as the agent for each transaction entered. Sunder earns revenue based on residential solar installation contracts for residential homeowners that are sold to installation companies in accordance with its contracts with those installation companies. Upon entering into a sales contract, the requisite performance obligation of Sunder is to assist the installation companies in the progress of the installation and obtain permission to operate. On November 21, 2025, we completed the purchase of all the membership interest of Ambia Energy, LLC (“Ambia”). Ambia is a residential solar energy system installer which operates in various markets throughout the United States. Ambia generates revenue from selling and installing solar energy systems or orchestrating the sale of a solar energy system which will be installed by a third party. On January 30, 2026, we completed the purchase of all of the equity interests of Cobalt Power Systems, Inc. (“Cobalt”). Cobalt is an installer of residential and commercial solar energy systems in the San Francisco Bay area. Cobalt generates revenue from the design and installation of solar power systems.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5, 2024, we entered into an Asset Purchase Agreement (the “APA”) among us and SunPower Corporation and its direct and indirect subsidiaries (collectively, the “SunPower Debtors”) providing for the sale and purchase of certain assets relating to the Blue Raven Solar business, New Homes Business and Non-Installing Dealer network previously operated by the SunPower Debtors (the “Acquired SunPower Assets”). The APA was entered into in connection with a voluntary petition filed by SunPower under Chapter 11 of the United States Code, 11 U.S.C.§§ 101-1532. The sale was approved on September 23, 2024, by the United States Bankruptcy Court for the District of Delaware. We completed the acquisition of the Acquired SunPower Assets effective September 30, 2024. The assets and businesses acquired by us under the APA are referred to as the “SunPower Businesses.” As part of the acquisition the Company acquired Albatross, an order-to-management proprietary software to manage our orders, fulfillment and customer service all in one central location.</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acquisitions of Sunder, Ambia, Cobalt and SunPower Businesses are collectively referred to herein as “Acquisitions”.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2"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7246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6724650"/>
                    </a:xfrm>
                    <a:prstGeom prst="rect">
                      <a:avLst/>
                    </a:prstGeom>
                    <a:noFill/>
                  </pic:spPr>
                </pic:pic>
              </a:graphicData>
            </a:graphic>
          </wp:anchor>
        </w:drawing>
        <w:t>Revenue Model</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offer solar system sales and installation to residential homeowners and the new home builders’ communities. The Acquisitions will allow us to accelerate our revenue growth and expand our footprint to deliver solar system sales into regions where we might have not previously done business.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sell solar systems to homeowners, home builders and small to medium-sized commercial customers through third-party sales partners. As a result of our acquisition of Sunder, we operate a solar energy sales force to initiate and execute contracts with customers throughout the United States. We manage every aspect of project management for those contracts before ultimately contracting with builder partners or using in-house installation experts to complete the construction and installation of the solar systems. This residential solar platform provides homeowners with simple pricing for solar energy that provides significant savings compared to traditional utility energy. Homeowners can choose from a wide array of system features and financing options that best meet their needs. By delivering the best-matched products and a best-in-class customer experience, we establish valuable customer relationships that can extend beyond the initial solar energy system purchase and provide us with opportunities to offer additional products and services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Innovation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Since inception, we have continued to invest in a platform of services and tools to enable large-scale operations for sales and builder partners. The platform incorporates processes and software solutions that simplify and streamline design, proposals, and project management throughout the lifecycle of a residential solar project. The platform empowers new market entrants and smaller industry participants with its plug-and-play capabilities. The ecosystem we have built provides broad reach, and we believe it positions us for sustained and rapid growth through a capital-efficient business model. The network of our partners continues to expand today.</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use salesforce.com to manage and fulfill orders which replaced our use of Albatross, the rights to which we acquired in connection with our acquisition of the SunPower Businesses. Albatross is a sales order platform which will be sunset later in 2026. Our acquisition of Sunder included Merdeka, a software platform which gives access from bookings to energization. We currently have this platform on view only and believe it has future potential as a differentiating option compared to our competition.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Differentiation and Operating Results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Delivering a differentiated customer experience is core to our strategy. It emphasizes a customized solution, including a design specific to each customer’s home and pricing configurations that typically drive both customer savings and value. Developing a trusted brand and providing a customized solar service offering resonates with customers accustomed to a traditional residential power market that is often overpriced and lacking in customer choice.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overall mission is to deliver energy-efficient solutions to homeowners, home builders and small to medium-sized businesses that allow them to lower their energy bills while reducing their carbon footprint. We want to pass our operational costs savings back to our customers by keeping costs low in an environment where labor costs are rising and interest rates remain uncertain. These operational costs savings are attributed to the workforce that was acquired as part of the SunPower Acquisition. We expanded our operations center that supports operations, order process, customer care and support, credit and collections, procurement, vendor management and accounting related functions, and have rationalized our headcount.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were originally known as Freedom Acquisition I Corp (“FACT”). We are engaged in solar system sales and associated commerce. On July 18, 2023, Complete Solaria, FACT, and certain other entities consummated the transactions contemplated under that certain amended and restated Business Combination Agreement, dated as of May 26, 2023, following the approval at the special meeting of the stockholders of FACT held July 11, 2023. In connection with the closing of the Business Combination, we changed our name from Freedom Acquisition I Corp. to Complete Solaria, Inc.</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2" w:right="459" w:bottom="1440" w:gutter="0" w:footer="0" w:header="0"/>
        </w:sectPr>
      </w:pPr>
    </w:p>
    <w:bookmarkStart w:id="9" w:name="page10"/>
    <w:bookmarkEnd w:id="9"/>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4503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6450330"/>
                    </a:xfrm>
                    <a:prstGeom prst="rect">
                      <a:avLst/>
                    </a:prstGeom>
                    <a:noFill/>
                  </pic:spPr>
                </pic:pic>
              </a:graphicData>
            </a:graphic>
          </wp:anchor>
        </w:drawing>
        <w:t>Our principal executive offices are located at 1403 N. Research Way, Orem UT 84097, and our telephone number is (877) 299-4943. Our corporate website address is https://us.sunpower.com/. Information contained on or accessible through our website is not a part of this prospectus, and the inclusion of our website address in this prospectus is an inactive textual reference only.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“SunPower” and our other registered and common law trade names, trademarks and service marks are property of SunPower Inc. This prospectus contains additional trade names, trademarks and service marks of others, which are the property of their respective owners. Solely for convenience, trademarks and trade names referred to in this prospectus may appear without the ® or ™ symbols.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10.0% Notes Offering and Related Transactions</w:t>
      </w:r>
    </w:p>
    <w:p>
      <w:pPr>
        <w:spacing w:after="0" w:line="22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April 23, 2026, we closed our private offering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of $41,000,000 aggregate principal amount of our 10.0% Notes (as defined below), consisting of: (i) the sale and issuance of $24,000,000 aggregate principal amount of 10.0% Notes to qualified institutional buyers; (ii) the sale and issuance of $1,000,000 principal amount of 10.0% Notes to an institutional accredited investor; (iii) the issuance of $6,000,000 principal amount of 10.0% Notes to entities affiliated with Thurman John “T.J.” Rodgers, the Company’s Chief Executive Officer and Chairman, in consideration for $6,000,000 previously funded to the Company pursuant to simple agreements for future equity; and (iv) the issuance of $10,000,000 aggregate principal amount of 10.0% Notes in connection with the exchange of the promissory note originally issued by the Company to Chicken Parm Pizza LLC (“</w:t>
      </w:r>
      <w:r>
        <w:rPr>
          <w:rFonts w:ascii="Times New Roman" w:cs="Times New Roman" w:eastAsia="Times New Roman" w:hAnsi="Times New Roman"/>
          <w:sz w:val="18"/>
          <w:szCs w:val="18"/>
          <w:b w:val="1"/>
          <w:bCs w:val="1"/>
          <w:color w:val="auto"/>
        </w:rPr>
        <w:t>CPP</w:t>
      </w:r>
      <w:r>
        <w:rPr>
          <w:rFonts w:ascii="Times New Roman" w:cs="Times New Roman" w:eastAsia="Times New Roman" w:hAnsi="Times New Roman"/>
          <w:sz w:val="18"/>
          <w:szCs w:val="18"/>
          <w:color w:val="auto"/>
        </w:rPr>
        <w:t>”) on September 24, 2025 in connection with the Company’s acquisition of Sunder Energy (the “</w:t>
      </w:r>
      <w:r>
        <w:rPr>
          <w:rFonts w:ascii="Times New Roman" w:cs="Times New Roman" w:eastAsia="Times New Roman" w:hAnsi="Times New Roman"/>
          <w:sz w:val="18"/>
          <w:szCs w:val="18"/>
          <w:b w:val="1"/>
          <w:bCs w:val="1"/>
          <w:color w:val="auto"/>
        </w:rPr>
        <w:t>Seller Note</w:t>
      </w:r>
      <w:r>
        <w:rPr>
          <w:rFonts w:ascii="Times New Roman" w:cs="Times New Roman" w:eastAsia="Times New Roman" w:hAnsi="Times New Roman"/>
          <w:sz w:val="18"/>
          <w:szCs w:val="18"/>
          <w:color w:val="auto"/>
        </w:rPr>
        <w:t>”). On May 20, 2026, the Company issued and sold a further $5,000,000 aggregate principal amount of 10.0% Notes in a private offering to an additional purchaser.</w:t>
      </w:r>
    </w:p>
    <w:p>
      <w:pPr>
        <w:spacing w:after="0" w:line="18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On April 21, 2026, in connection with the Offering, the Company and Yorkville entered into a letter agreement (the “</w:t>
      </w:r>
      <w:r>
        <w:rPr>
          <w:rFonts w:ascii="Times New Roman" w:cs="Times New Roman" w:eastAsia="Times New Roman" w:hAnsi="Times New Roman"/>
          <w:sz w:val="18"/>
          <w:szCs w:val="18"/>
          <w:b w:val="1"/>
          <w:bCs w:val="1"/>
          <w:color w:val="auto"/>
        </w:rPr>
        <w:t>YA Letter</w:t>
      </w:r>
      <w:r>
        <w:rPr>
          <w:rFonts w:ascii="Times New Roman" w:cs="Times New Roman" w:eastAsia="Times New Roman" w:hAnsi="Times New Roman"/>
          <w:sz w:val="18"/>
          <w:szCs w:val="18"/>
          <w:color w:val="auto"/>
        </w:rPr>
        <w:t>”). Pursuant to the YA Letter, the Company agreed to voluntary prepay $5,000,000 of the outstanding principal amount of YA Debenture (as defined below), resulting in a revised outstanding principal balance under the YA Debenture of $5,000,000. The Company further agreed to repay the remaining principal balance and accrued interest under the YA Debenture in four equal monthly installments of $1,287,000, with the first payment due on May 5, 2026. Pursuant to the YA Letter, Yorkville further consented to the issuance of the Notes and the grant of the liens pursuant to the Security Agreement (as defined below).</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closing of the Offering, on April 23, 2026, the Company executed and delivered the Indenture relating to the Notes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among the Company, the guarantor named therein, and U.S. Bank Trust Company, National Association, as trustee (in such capacity,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and as collateral agent (in such capacity, the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Additionally, on April 23, 2026, the Company and the Collateral Agent entered into the Pledge and Security Agreement (the “</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Pursuant to the Security Agreement, the 10.0% Notes are secured by a first-priority security interest in substantially all of the assets of the Company and any Guarantor, subject to certain exceptions and permitted liens. Pursuant to the Security Agreement, on April 23, 2026, the Company and the Collateral Agent entered into a separate Patent Security Agreement (the “</w:t>
      </w:r>
      <w:r>
        <w:rPr>
          <w:rFonts w:ascii="Times New Roman" w:cs="Times New Roman" w:eastAsia="Times New Roman" w:hAnsi="Times New Roman"/>
          <w:sz w:val="18"/>
          <w:szCs w:val="18"/>
          <w:b w:val="1"/>
          <w:bCs w:val="1"/>
          <w:color w:val="auto"/>
        </w:rPr>
        <w:t>Patent Security Agreement</w:t>
      </w:r>
      <w:r>
        <w:rPr>
          <w:rFonts w:ascii="Times New Roman" w:cs="Times New Roman" w:eastAsia="Times New Roman" w:hAnsi="Times New Roman"/>
          <w:sz w:val="18"/>
          <w:szCs w:val="18"/>
          <w:color w:val="auto"/>
        </w:rPr>
        <w:t>”) and Trademark Security Agreement (the “</w:t>
      </w:r>
      <w:r>
        <w:rPr>
          <w:rFonts w:ascii="Times New Roman" w:cs="Times New Roman" w:eastAsia="Times New Roman" w:hAnsi="Times New Roman"/>
          <w:sz w:val="18"/>
          <w:szCs w:val="18"/>
          <w:b w:val="1"/>
          <w:bCs w:val="1"/>
          <w:color w:val="auto"/>
        </w:rPr>
        <w:t>Trademark Security Agreement</w:t>
      </w:r>
      <w:r>
        <w:rPr>
          <w:rFonts w:ascii="Times New Roman" w:cs="Times New Roman" w:eastAsia="Times New Roman" w:hAnsi="Times New Roman"/>
          <w:sz w:val="18"/>
          <w:szCs w:val="18"/>
          <w:color w:val="auto"/>
        </w:rPr>
        <w:t>”) in connection with the grant of the first-priority security interest under the Security Agreement.</w:t>
      </w:r>
    </w:p>
    <w:p>
      <w:pPr>
        <w:spacing w:after="0" w:line="18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Pursuant to the Note Purchase Agreement entered into between the Company and CPP on April 21, 2026 (the “</w:t>
      </w:r>
      <w:r>
        <w:rPr>
          <w:rFonts w:ascii="Times New Roman" w:cs="Times New Roman" w:eastAsia="Times New Roman" w:hAnsi="Times New Roman"/>
          <w:sz w:val="18"/>
          <w:szCs w:val="18"/>
          <w:b w:val="1"/>
          <w:bCs w:val="1"/>
          <w:color w:val="auto"/>
        </w:rPr>
        <w:t>CPP Note Purchase Agreement</w:t>
      </w:r>
      <w:r>
        <w:rPr>
          <w:rFonts w:ascii="Times New Roman" w:cs="Times New Roman" w:eastAsia="Times New Roman" w:hAnsi="Times New Roman"/>
          <w:sz w:val="18"/>
          <w:szCs w:val="18"/>
          <w:color w:val="auto"/>
        </w:rPr>
        <w:t>”), in connection with the closing of the Offering, on April 23, 2026: (i) the Company paid $4,000,000 in cash to CPP and (ii) entered into an amended and restated Seller Note with CPP (the “</w:t>
      </w:r>
      <w:r>
        <w:rPr>
          <w:rFonts w:ascii="Times New Roman" w:cs="Times New Roman" w:eastAsia="Times New Roman" w:hAnsi="Times New Roman"/>
          <w:sz w:val="18"/>
          <w:szCs w:val="18"/>
          <w:b w:val="1"/>
          <w:bCs w:val="1"/>
          <w:color w:val="auto"/>
        </w:rPr>
        <w:t>A&amp;R Seller Note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 on April 23, 2026, the Company and certain holders of the Company’s 7.0% Notes (as defined below) closed the transactions under the exchange agreements executed on April 21, 2026 (the “</w:t>
      </w:r>
      <w:r>
        <w:rPr>
          <w:rFonts w:ascii="Times New Roman" w:cs="Times New Roman" w:eastAsia="Times New Roman" w:hAnsi="Times New Roman"/>
          <w:sz w:val="18"/>
          <w:szCs w:val="18"/>
          <w:b w:val="1"/>
          <w:bCs w:val="1"/>
          <w:color w:val="auto"/>
        </w:rPr>
        <w:t>Exchange Agreements</w:t>
      </w:r>
      <w:r>
        <w:rPr>
          <w:rFonts w:ascii="Times New Roman" w:cs="Times New Roman" w:eastAsia="Times New Roman" w:hAnsi="Times New Roman"/>
          <w:sz w:val="18"/>
          <w:szCs w:val="18"/>
          <w:color w:val="auto"/>
        </w:rPr>
        <w:t>”). In connection with the closings under the Exchange Agreements, the Company repurchased $21,250,000 aggregate principal amount of outstanding 7.0% Notes in exchange for (i) the issuance of an aggregate of 18,805,310 shares of Common Stock and (ii) the payment of approximately $456,438 of accrued interest payable under the exchanged 7.0% Notes.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6" w:right="459" w:bottom="1440" w:gutter="0" w:footer="0" w:header="0"/>
        </w:sectPr>
      </w:pPr>
    </w:p>
    <w:bookmarkStart w:id="10" w:name="page11"/>
    <w:bookmarkEnd w:id="10"/>
    <w:p>
      <w:pPr>
        <w:ind w:left="32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410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7410450"/>
                    </a:xfrm>
                    <a:prstGeom prst="rect">
                      <a:avLst/>
                    </a:prstGeom>
                    <a:noFill/>
                  </pic:spPr>
                </pic:pic>
              </a:graphicData>
            </a:graphic>
          </wp:anchor>
        </w:drawing>
        <w:t>Cost Control Measures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12, 2026, the Company announced that it has taken the following steps in connection with its efforts to reduce its operating expenses: the Company implemented a reduction in force relating to 115 employees; the Company implemented an across-the-board, four-day workweek until September 2026, the Company reduced its inside sales group from 90 to 15 people, and the Company reduced finance function costs. The Company estimates that the charges related to the reduction in force will approximate $0.3 million, consisting principally of compensation related costs.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Wendell Laidley Resignation</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May 7, 2026, Wendell Laidley resigned from his position as Chief Financial Officer of the Company.</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Appointment of Bernard Gutmann as Director</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May 8, 2026, the Board of Directors of the Company appointed Bernard Gutmann to serve as a director of the Company and as a member of the Audit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 and Emerging Growth Company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 “smaller reporting company” as defined in Item 10(f)(1) of Regulation S-K. Smaller reporting companies may take advantage of certain reduced disclosure obligations, including, among other things, providing only two years of audited financial statements and reduced disclosure obligations regarding executive compensation. We will remain a smaller reporting company until the last day of any fiscal year for so long as either (1) the market value of our shares of common stock held by non-affiliates does not equal or exceed $250.0 million as of the prior June 30th, or (2) our annual revenues did not equal or exceed $100.0 million during such completed fiscal year and the market value of our shares of common stock held by non-affiliates did not equal or exceed $700.0 million as of the prior June 30th. To the extent we take advantage of any reduced disclosure obligations, it may make the comparison of our financial statements with other public companies difficult or impossible.</w:t>
      </w:r>
    </w:p>
    <w:p>
      <w:pPr>
        <w:spacing w:after="0" w:line="18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As an emerging growth company, we are exempt from certain requirements related to executive compensation, including the requirements to hold a nonbinding advisory vote on executive compensation and to provide information relating to the ratio of total compensation of our President and Chief Executive Officer to the median of the annual total compensation of all of our employees, each as required by the Investor Protection and Securities Reform Act of 2010, which is part of the Dodd-Frank Act.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to opt out of such extended transition period.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following the fifth anniversary of the closing of FACT’s initial public offering, (b) in which we have total annual gross revenue of at least $1.235 billion or (c) in which we are deemed to be a large accelerated filer, which means the market value of our common equity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are to its meaning under the Securities Act, as modified by the JOBS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Standby Equity Purchase Agreement and the YA Debenture</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On January 27, 2026 (the “</w:t>
      </w:r>
      <w:r>
        <w:rPr>
          <w:rFonts w:ascii="Times New Roman" w:cs="Times New Roman" w:eastAsia="Times New Roman" w:hAnsi="Times New Roman"/>
          <w:sz w:val="18"/>
          <w:szCs w:val="18"/>
          <w:b w:val="1"/>
          <w:bCs w:val="1"/>
          <w:color w:val="auto"/>
        </w:rPr>
        <w:t>SEPA Effective Date</w:t>
      </w:r>
      <w:r>
        <w:rPr>
          <w:rFonts w:ascii="Times New Roman" w:cs="Times New Roman" w:eastAsia="Times New Roman" w:hAnsi="Times New Roman"/>
          <w:sz w:val="18"/>
          <w:szCs w:val="18"/>
          <w:color w:val="auto"/>
        </w:rPr>
        <w:t>”), we entered into a Standby Equity Purchase Agreement (the “</w:t>
      </w:r>
      <w:r>
        <w:rPr>
          <w:rFonts w:ascii="Times New Roman" w:cs="Times New Roman" w:eastAsia="Times New Roman" w:hAnsi="Times New Roman"/>
          <w:sz w:val="18"/>
          <w:szCs w:val="18"/>
          <w:b w:val="1"/>
          <w:bCs w:val="1"/>
          <w:color w:val="auto"/>
        </w:rPr>
        <w:t>SEPA</w:t>
      </w:r>
      <w:r>
        <w:rPr>
          <w:rFonts w:ascii="Times New Roman" w:cs="Times New Roman" w:eastAsia="Times New Roman" w:hAnsi="Times New Roman"/>
          <w:sz w:val="18"/>
          <w:szCs w:val="18"/>
          <w:color w:val="auto"/>
        </w:rPr>
        <w:t>”) with YA II PN, LTD., a Cayman Islands exempt limited company (“</w:t>
      </w:r>
      <w:r>
        <w:rPr>
          <w:rFonts w:ascii="Times New Roman" w:cs="Times New Roman" w:eastAsia="Times New Roman" w:hAnsi="Times New Roman"/>
          <w:sz w:val="18"/>
          <w:szCs w:val="18"/>
          <w:b w:val="1"/>
          <w:bCs w:val="1"/>
          <w:color w:val="auto"/>
        </w:rPr>
        <w:t>Yorkville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Pursuant to the SEPA, we issued to Yorkville a convertible promissory note in the principal amount of $1.9 million (the “</w:t>
      </w:r>
      <w:r>
        <w:rPr>
          <w:rFonts w:ascii="Times New Roman" w:cs="Times New Roman" w:eastAsia="Times New Roman" w:hAnsi="Times New Roman"/>
          <w:sz w:val="18"/>
          <w:szCs w:val="18"/>
          <w:b w:val="1"/>
          <w:bCs w:val="1"/>
          <w:color w:val="auto"/>
        </w:rPr>
        <w:t>Promissory Note</w:t>
      </w:r>
      <w:r>
        <w:rPr>
          <w:rFonts w:ascii="Times New Roman" w:cs="Times New Roman" w:eastAsia="Times New Roman" w:hAnsi="Times New Roman"/>
          <w:sz w:val="18"/>
          <w:szCs w:val="18"/>
          <w:color w:val="auto"/>
        </w:rPr>
        <w:t>”) as a pre-paid advance (the “</w:t>
      </w:r>
      <w:r>
        <w:rPr>
          <w:rFonts w:ascii="Times New Roman" w:cs="Times New Roman" w:eastAsia="Times New Roman" w:hAnsi="Times New Roman"/>
          <w:sz w:val="18"/>
          <w:szCs w:val="18"/>
          <w:b w:val="1"/>
          <w:bCs w:val="1"/>
          <w:color w:val="auto"/>
        </w:rPr>
        <w:t>Pre-Paid Advance</w:t>
      </w:r>
      <w:r>
        <w:rPr>
          <w:rFonts w:ascii="Times New Roman" w:cs="Times New Roman" w:eastAsia="Times New Roman" w:hAnsi="Times New Roman"/>
          <w:sz w:val="18"/>
          <w:szCs w:val="18"/>
          <w:color w:val="auto"/>
        </w:rPr>
        <w:t>”) under the SEPA.</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4" w:right="459" w:bottom="1440" w:gutter="0" w:footer="0" w:header="0"/>
        </w:sectPr>
      </w:pPr>
    </w:p>
    <w:bookmarkStart w:id="11" w:name="page12"/>
    <w:bookmarkEnd w:id="11"/>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8618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7875" cy="6861810"/>
                    </a:xfrm>
                    <a:prstGeom prst="rect">
                      <a:avLst/>
                    </a:prstGeom>
                    <a:noFill/>
                  </pic:spPr>
                </pic:pic>
              </a:graphicData>
            </a:graphic>
          </wp:anchor>
        </w:drawing>
        <w:t>Additionally, pursuant to the SEPA, and upon the satisfaction of the conditions to Yorkville’s purchase obligation set forth therein, including the registration of shares of common stock issuable pursuant to the SEPA for resale, we will have the right, from time to time, until January 27, 2029, to require Yorkville to purchase up to an additional $25.0 million of shares of common stock (the “</w:t>
      </w:r>
      <w:r>
        <w:rPr>
          <w:rFonts w:ascii="Times New Roman" w:cs="Times New Roman" w:eastAsia="Times New Roman" w:hAnsi="Times New Roman"/>
          <w:sz w:val="18"/>
          <w:szCs w:val="18"/>
          <w:b w:val="1"/>
          <w:bCs w:val="1"/>
          <w:color w:val="auto"/>
        </w:rPr>
        <w:t>Commitment Amount</w:t>
      </w:r>
      <w:r>
        <w:rPr>
          <w:rFonts w:ascii="Times New Roman" w:cs="Times New Roman" w:eastAsia="Times New Roman" w:hAnsi="Times New Roman"/>
          <w:sz w:val="18"/>
          <w:szCs w:val="18"/>
          <w:color w:val="auto"/>
        </w:rPr>
        <w:t>”), subject to certain limitations and conditions set forth in the SEPA, by delivering written notice to Yorkville (an “</w:t>
      </w:r>
      <w:r>
        <w:rPr>
          <w:rFonts w:ascii="Times New Roman" w:cs="Times New Roman" w:eastAsia="Times New Roman" w:hAnsi="Times New Roman"/>
          <w:sz w:val="18"/>
          <w:szCs w:val="18"/>
          <w:b w:val="1"/>
          <w:bCs w:val="1"/>
          <w:color w:val="auto"/>
        </w:rPr>
        <w:t>Advance Notice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there is no balance outstanding under the Promissory Note, we may, in our sole discretion, select the amount of the Advance that we desire to issue and sell to Yorkville in each Advance Notice, subject to a maximum limit equal to 100% of the average of the daily volume traded of our common stock on the Nasdaq for the five consecutive trading days immediately preceding the delivery of an Advance Notice (the “</w:t>
      </w:r>
      <w:r>
        <w:rPr>
          <w:rFonts w:ascii="Times New Roman" w:cs="Times New Roman" w:eastAsia="Times New Roman" w:hAnsi="Times New Roman"/>
          <w:sz w:val="18"/>
          <w:szCs w:val="18"/>
          <w:b w:val="1"/>
          <w:bCs w:val="1"/>
          <w:color w:val="auto"/>
        </w:rPr>
        <w:t>Maximum Advance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If there is a balance outstanding under the Promissory Note, we may only submit an Advance Notice (i) if an Amortization Event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in the Promissory Note) has occurred and our obligation to make prepayments under the Promissory Note has not ceased, and (ii) the aggregate purchase price owed to us from such Advances (the “</w:t>
      </w:r>
      <w:r>
        <w:rPr>
          <w:rFonts w:ascii="Times New Roman" w:cs="Times New Roman" w:eastAsia="Times New Roman" w:hAnsi="Times New Roman"/>
          <w:sz w:val="18"/>
          <w:szCs w:val="18"/>
          <w:b w:val="1"/>
          <w:bCs w:val="1"/>
          <w:color w:val="auto"/>
        </w:rPr>
        <w:t>Advance Proceeds</w:t>
      </w:r>
      <w:r>
        <w:rPr>
          <w:rFonts w:ascii="Times New Roman" w:cs="Times New Roman" w:eastAsia="Times New Roman" w:hAnsi="Times New Roman"/>
          <w:sz w:val="18"/>
          <w:szCs w:val="18"/>
          <w:color w:val="auto"/>
        </w:rPr>
        <w:t>”) will be paid by Yorkville by offsetting the amount of the Advance Proceeds against an equal amount outstanding under the Promissory Note. Pursuant to an Advance Notice, the shares will be issued and sold to Yorkville at a per share price equal to, at our election as specified in the relevant Advance Notice: (i) 96% of the Market Price for any period beginning at such time on such date that the Company receives confirmation of receipt of such Advance Notice by Yorkville and ending on 4:00 p.m. Eastern Time on the date of the applicable Advance Notice, or (ii) 97% of the Market Price for the three consecutive trading days commencing on the day such Advance Notice is deemed delivered pursuant to the terms of the SEPA.</w:t>
      </w:r>
    </w:p>
    <w:p>
      <w:pPr>
        <w:spacing w:after="0" w:line="18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We paid Yorkville a structuring and due diligence fee of $50,000 and issued to Yorkville 175,000 shares of common stock (the “</w:t>
      </w:r>
      <w:r>
        <w:rPr>
          <w:rFonts w:ascii="Times New Roman" w:cs="Times New Roman" w:eastAsia="Times New Roman" w:hAnsi="Times New Roman"/>
          <w:sz w:val="18"/>
          <w:szCs w:val="18"/>
          <w:b w:val="1"/>
          <w:bCs w:val="1"/>
          <w:color w:val="auto"/>
        </w:rPr>
        <w:t>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as a commitment fee. We have separately registered the Commitment Shares for resale or other disposition pursuant to the Prior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w:t>
      </w:r>
    </w:p>
    <w:p>
      <w:pPr>
        <w:spacing w:after="0" w:line="17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On March 6, 2026, we entered into a separate purchase agreement with Yorkville (the “</w:t>
      </w:r>
      <w:r>
        <w:rPr>
          <w:rFonts w:ascii="Times New Roman" w:cs="Times New Roman" w:eastAsia="Times New Roman" w:hAnsi="Times New Roman"/>
          <w:sz w:val="18"/>
          <w:szCs w:val="18"/>
          <w:b w:val="1"/>
          <w:bCs w:val="1"/>
          <w:color w:val="auto"/>
        </w:rPr>
        <w:t>YA Debenture Purchase Agreement</w:t>
      </w:r>
      <w:r>
        <w:rPr>
          <w:rFonts w:ascii="Times New Roman" w:cs="Times New Roman" w:eastAsia="Times New Roman" w:hAnsi="Times New Roman"/>
          <w:sz w:val="18"/>
          <w:szCs w:val="18"/>
          <w:color w:val="auto"/>
        </w:rPr>
        <w:t>”) pursuant to which Yorkville purchased, and we issued, a convertible debenture in the principal amount of $10.0 million (the “</w:t>
      </w:r>
      <w:r>
        <w:rPr>
          <w:rFonts w:ascii="Times New Roman" w:cs="Times New Roman" w:eastAsia="Times New Roman" w:hAnsi="Times New Roman"/>
          <w:sz w:val="18"/>
          <w:szCs w:val="18"/>
          <w:b w:val="1"/>
          <w:bCs w:val="1"/>
          <w:color w:val="auto"/>
        </w:rPr>
        <w:t>YA Debenture</w:t>
      </w:r>
      <w:r>
        <w:rPr>
          <w:rFonts w:ascii="Times New Roman" w:cs="Times New Roman" w:eastAsia="Times New Roman" w:hAnsi="Times New Roman"/>
          <w:sz w:val="18"/>
          <w:szCs w:val="18"/>
          <w:color w:val="auto"/>
        </w:rPr>
        <w:t>”). At the closing under the YA Debenture Purchase Agreement, we issued the YA Debenture to Yorkville in the original principal amount of $10.0 million for a purchase price of $9.0 million, less certain fees payable under the YA Debenture Purchase Agreement. The YA Debenture accrues interest on the outstanding principal balance at an annual rate equal to 0%, which will increase to an annual rate of 18% upon the occurrence of an event of default under the YA Debenture for so long as such event remains uncured. The YA Debenture will mature on March 6, 2027, which may be extended at the option of Yorkville.</w:t>
      </w:r>
    </w:p>
    <w:p>
      <w:pPr>
        <w:spacing w:after="0" w:line="18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April 21, 2026, in connection with the Company’s offering of its 10.0% Notes, we entered into a letter agreement with Yorkville (the “</w:t>
      </w:r>
      <w:r>
        <w:rPr>
          <w:rFonts w:ascii="Times New Roman" w:cs="Times New Roman" w:eastAsia="Times New Roman" w:hAnsi="Times New Roman"/>
          <w:sz w:val="18"/>
          <w:szCs w:val="18"/>
          <w:b w:val="1"/>
          <w:bCs w:val="1"/>
          <w:color w:val="auto"/>
        </w:rPr>
        <w:t>YA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Letter</w:t>
      </w:r>
      <w:r>
        <w:rPr>
          <w:rFonts w:ascii="Times New Roman" w:cs="Times New Roman" w:eastAsia="Times New Roman" w:hAnsi="Times New Roman"/>
          <w:sz w:val="18"/>
          <w:szCs w:val="18"/>
          <w:color w:val="auto"/>
        </w:rPr>
        <w:t>”). Pursuant to the YA Letter, we agreed to voluntary prepay $5.0 million of the outstanding principal amount of the YA Debenture, resulting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revised outstanding principal balance under the YA Debenture of $5.0 million. We further agreed to repay the remaining principal balance and accrued interest under the YA Debenture in four equal monthly installments of $1.287 million, with the first payment due on May 5, 2026. As a result, on each of June 5, 2026, July 5, 2026 and August 5, 2026 (each an “</w:t>
      </w:r>
      <w:r>
        <w:rPr>
          <w:rFonts w:ascii="Times New Roman" w:cs="Times New Roman" w:eastAsia="Times New Roman" w:hAnsi="Times New Roman"/>
          <w:sz w:val="18"/>
          <w:szCs w:val="18"/>
          <w:b w:val="1"/>
          <w:bCs w:val="1"/>
          <w:color w:val="auto"/>
        </w:rPr>
        <w:t>Installment Date</w:t>
      </w:r>
      <w:r>
        <w:rPr>
          <w:rFonts w:ascii="Times New Roman" w:cs="Times New Roman" w:eastAsia="Times New Roman" w:hAnsi="Times New Roman"/>
          <w:sz w:val="18"/>
          <w:szCs w:val="18"/>
          <w:color w:val="auto"/>
        </w:rPr>
        <w:t>”), the Company is required to pay an installment amount under the YA Debenture equal to (i) $1.25 million, plus (ii) a $37,500 payment premium (collectively, the “</w:t>
      </w:r>
      <w:r>
        <w:rPr>
          <w:rFonts w:ascii="Times New Roman" w:cs="Times New Roman" w:eastAsia="Times New Roman" w:hAnsi="Times New Roman"/>
          <w:sz w:val="18"/>
          <w:szCs w:val="18"/>
          <w:b w:val="1"/>
          <w:bCs w:val="1"/>
          <w:color w:val="auto"/>
        </w:rPr>
        <w:t>Installment Amount</w:t>
      </w:r>
      <w:r>
        <w:rPr>
          <w:rFonts w:ascii="Times New Roman" w:cs="Times New Roman" w:eastAsia="Times New Roman" w:hAnsi="Times New Roman"/>
          <w:sz w:val="18"/>
          <w:szCs w:val="18"/>
          <w:color w:val="auto"/>
        </w:rPr>
        <w:t>”). We may repay each applicable Installment Amount, at our option, (a) in cash on or before the applicable Installment Date or (b) by submitting an advance notice under the SEPA, or a combination of a payment in cash and delivery of such advance notice. At any time after the effective date, Yorkville may convert any portion of the outstanding balance under the YA Debenture into shares of our common stock at an adjusted fixed price of $1.64 per share (the “</w:t>
      </w:r>
      <w:r>
        <w:rPr>
          <w:rFonts w:ascii="Times New Roman" w:cs="Times New Roman" w:eastAsia="Times New Roman" w:hAnsi="Times New Roman"/>
          <w:sz w:val="18"/>
          <w:szCs w:val="18"/>
          <w:b w:val="1"/>
          <w:bCs w:val="1"/>
          <w:color w:val="auto"/>
        </w:rPr>
        <w:t>Fixed Price</w:t>
      </w:r>
      <w:r>
        <w:rPr>
          <w:rFonts w:ascii="Times New Roman" w:cs="Times New Roman" w:eastAsia="Times New Roman" w:hAnsi="Times New Roman"/>
          <w:sz w:val="18"/>
          <w:szCs w:val="18"/>
          <w:color w:val="auto"/>
        </w:rPr>
        <w:t>”). Additionally, at any time on or after any Installment Date, Yorkville may convert any portion of any due and unpaid Installment Amount outstanding under the YA Debenture into shares of our common stock at a price equal to 95% of the volume weighted average price of our common stock during the five trading days prior to the conversion date (but the conversion price will not be lower than the “Floor Price” then in effect).</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at our option, shall have the right to redeem early all or a portion of the amounts outstanding under the YA Debenture upon written notice to Yorkville (an “</w:t>
      </w: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provided, that we may only deliver a notice of Optional Redemption if the VWAP of our common stock at the time the notice is delivered is less than the Fixed Price. In connection with an Optional Redemption, the redemption price payable by us will be equal to (i) the outstanding principal amount of the YA Debenture being redeemed, plus (ii) a payment premium equal to 3% of the principal amount being repaid, and plus (iii) accrued and unpaid interest under the YA Debenture; however, the prepayment premium shall not apply to any Optional Redemption of the YA Debenture if the redemption price is paid on or before April 30, 2026.</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6" w:right="459" w:bottom="1440" w:gutter="0" w:footer="0" w:header="0"/>
        </w:sectPr>
      </w:pPr>
    </w:p>
    <w:bookmarkStart w:id="12" w:name="page13"/>
    <w:bookmarkEnd w:id="12"/>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684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7875" cy="7684770"/>
                    </a:xfrm>
                    <a:prstGeom prst="rect">
                      <a:avLst/>
                    </a:prstGeom>
                    <a:noFill/>
                  </pic:spPr>
                </pic:pic>
              </a:graphicData>
            </a:graphic>
          </wp:anchor>
        </w:drawing>
        <w:t>Under the applicable rules of The Nasdaq Stock Market LLC (the “</w:t>
      </w:r>
      <w:r>
        <w:rPr>
          <w:rFonts w:ascii="Times New Roman" w:cs="Times New Roman" w:eastAsia="Times New Roman" w:hAnsi="Times New Roman"/>
          <w:sz w:val="18"/>
          <w:szCs w:val="18"/>
          <w:b w:val="1"/>
          <w:bCs w:val="1"/>
          <w:color w:val="auto"/>
        </w:rPr>
        <w:t>Nasdaq Rules</w:t>
      </w:r>
      <w:r>
        <w:rPr>
          <w:rFonts w:ascii="Times New Roman" w:cs="Times New Roman" w:eastAsia="Times New Roman" w:hAnsi="Times New Roman"/>
          <w:sz w:val="18"/>
          <w:szCs w:val="18"/>
          <w:color w:val="auto"/>
        </w:rPr>
        <w:t>”), and pursuant to the SEPA and the YA Debenture Purchase Agreement, in no event may we issue or sell to Yorkville shares of our common stock in excess of 22,381,878 shares (the “</w:t>
      </w:r>
      <w:r>
        <w:rPr>
          <w:rFonts w:ascii="Times New Roman" w:cs="Times New Roman" w:eastAsia="Times New Roman" w:hAnsi="Times New Roman"/>
          <w:sz w:val="18"/>
          <w:szCs w:val="18"/>
          <w:b w:val="1"/>
          <w:bCs w:val="1"/>
          <w:color w:val="auto"/>
        </w:rPr>
        <w:t>Exchange Cap</w:t>
      </w:r>
      <w:r>
        <w:rPr>
          <w:rFonts w:ascii="Times New Roman" w:cs="Times New Roman" w:eastAsia="Times New Roman" w:hAnsi="Times New Roman"/>
          <w:sz w:val="18"/>
          <w:szCs w:val="18"/>
          <w:color w:val="auto"/>
        </w:rPr>
        <w:t>”), which was 19.99% of the shares of our common stock outstanding immediately prior to the Effective Date, unless we obtain stockholder approval to issue shares of common stock in excess of the Exchange Cap. On March 25, 2026, our stockholders approved the issuance of shares pursuant to the SEPA and the Promissory Note for the Pre-Paid Advance in excess of the Exchange Cap to Yorkville in accordance with the Nasdaq Rules. Further stockholder approval is required to issue shares of our common stock in excess of the Exchange Cap with respect to the YA Debenture. In any event, we may not issue or sell any shares of common stock under the SEPA, the YA Debenture Purchase Agreement or the YA Debenture if such issuance or sale would breach any applicable Nasdaq Rules.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not issue or sell any shares of common stock to Yorkville under the SEPA, the YA Debenture Purchase Agreement, the Promissory Note or the YA Debenture, which, when aggregated with all other shares of common stock then beneficially owned by Yorkville and its affiliates (as calculated pursuant to Section 13(d) of the Securities Exchange Act of 1934, as amended, and Rule 13d-3 promulgated thereunder), would result in Yorkville and its affiliates beneficially owning more than 4.99% of the then-outstanding shares of our common stock.</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SEPA will automatically terminate on the earlier to occur of (i) January 27, 2029 or (ii) the date on which Yorkville has purchased from us under the SEPA the Commitment Amount in full. We may terminate the SEPA at any time upon five trading days’ prior written notice to Yorkville, provided that there are no outstanding Advance Notices under which we are yet to issue common stock and provided that we have paid all amounts owed to Yorkville pursuant to the SEPA and the Promissory Note. We and Yorkville may also agree to terminate the SEPA by mutual written consent. Neither we nor Yorkville may assign or transfer our respective rights and obligations under the SEPA, and no provision of the SEPA may be modified or waived by us or Yorkville other than by an instrument in writing signed by both parties.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Each of the SEPA and the YA Debenture Purchase Agreement contains customary representations, warranties, conditions, and indemnification obligations of the parties. The representations, warranties, and covenants contained in the SEPA and the YA Debenture Purchase Agreement were made only for purposes of such agreement and as of specific dates, were solely for the benefit of the parties to such agreement and may be subject to limitations agreed upon by the parties. Copies of the agreements have been filed as exhibits to the registration statement that includes this prospectus and are available electronically on the SEC’s website at </w:t>
      </w:r>
      <w:r>
        <w:rPr>
          <w:rFonts w:ascii="Times New Roman" w:cs="Times New Roman" w:eastAsia="Times New Roman" w:hAnsi="Times New Roman"/>
          <w:sz w:val="18"/>
          <w:szCs w:val="18"/>
          <w:i w:val="1"/>
          <w:iCs w:val="1"/>
          <w:color w:val="auto"/>
        </w:rPr>
        <w:t>www.sec.gov.</w:t>
      </w:r>
    </w:p>
    <w:p>
      <w:pPr>
        <w:spacing w:after="0" w:line="17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In connection with the SEPA, on January 27, 2026, we entered into a registration rights agreement (the “</w:t>
      </w:r>
      <w:r>
        <w:rPr>
          <w:rFonts w:ascii="Times New Roman" w:cs="Times New Roman" w:eastAsia="Times New Roman" w:hAnsi="Times New Roman"/>
          <w:sz w:val="18"/>
          <w:szCs w:val="18"/>
          <w:b w:val="1"/>
          <w:bCs w:val="1"/>
          <w:color w:val="auto"/>
        </w:rPr>
        <w:t>January 2026 YA RRA</w:t>
      </w:r>
      <w:r>
        <w:rPr>
          <w:rFonts w:ascii="Times New Roman" w:cs="Times New Roman" w:eastAsia="Times New Roman" w:hAnsi="Times New Roman"/>
          <w:sz w:val="18"/>
          <w:szCs w:val="18"/>
          <w:color w:val="auto"/>
        </w:rPr>
        <w:t>”) with Yorkville pursuant to which we agreed to file a registration statement registering the resale of the common stock underlying the Promissory Note, the Commitment Shares and additional Advances pursuant to the SEPA. In connection with the issuance of the YA Debenture, on March 6, 2026, we entered into a further registration rights agreement (the “</w:t>
      </w:r>
      <w:r>
        <w:rPr>
          <w:rFonts w:ascii="Times New Roman" w:cs="Times New Roman" w:eastAsia="Times New Roman" w:hAnsi="Times New Roman"/>
          <w:sz w:val="18"/>
          <w:szCs w:val="18"/>
          <w:b w:val="1"/>
          <w:bCs w:val="1"/>
          <w:color w:val="auto"/>
        </w:rPr>
        <w:t>March 2026 YA RRA</w:t>
      </w:r>
      <w:r>
        <w:rPr>
          <w:rFonts w:ascii="Times New Roman" w:cs="Times New Roman" w:eastAsia="Times New Roman" w:hAnsi="Times New Roman"/>
          <w:sz w:val="18"/>
          <w:szCs w:val="18"/>
          <w:color w:val="auto"/>
        </w:rPr>
        <w:t>”) with Yorkville pursuant to which we agreed to file a registration statement registering the resale of the common stock underlying the YA Debenture.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than as stated above, we will control the timing and amount of any sales of common stock to Yorkville that we may elect, in our sole discretion, to effect from time to time during the term of the SEPA. Actual sales of shares of common stock to Yorkville under the SEPA will depend on a variety of factors to be determined by us from time to time, including, among other things, market conditions, the trading price of the common stock and determinations by us as to the appropriate sources of funding for our business and our operations.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net proceeds to us from any sales that we elect to make to Yorkville under the SEPA, if any, will depend on the frequency and prices at which we sell shares of our common stock to Yorkville. We expect that any proceeds received by us from such sales to Yorkville will be used for general corporate purposes.</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So long as the outstanding balance owed outstanding under the Promissory Note and the YA Debenture is more than $2.0 million, we will not (a) repay any loans to any executives or employees of the Company or to make any payments in respect of any related party debt (other than regular interest payments) or (b) effect or enter into an agreement to effect any issuance by the Company or any of its subsidiaries of common stock or any security which entitles the holder to acquire Common Shares (or a combination of units thereof) involving a variable rate transaction, other than involving a variable rate transaction with Yorkville. Notwithstanding the foregoing: (i) prior to the effectiveness of the registration statement for the YA Debenture, the Company may use the White Lion Purchase Agreement (as defined below), provided that the total gross proceeds of shares sold under the White Lion Purchase Agreement shall not exceed $4,000,000 during such period; and (ii) we may use the White Lion Purchase Agreement at any time if either</w:t>
      </w:r>
    </w:p>
    <w:p>
      <w:pPr>
        <w:spacing w:after="0" w:line="3" w:lineRule="exact"/>
        <w:rPr>
          <w:sz w:val="20"/>
          <w:szCs w:val="20"/>
          <w:color w:val="auto"/>
        </w:rPr>
      </w:pPr>
    </w:p>
    <w:p>
      <w:pPr>
        <w:jc w:val="both"/>
        <w:ind w:firstLine="5"/>
        <w:spacing w:after="0" w:line="253" w:lineRule="auto"/>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outstanding balance owed under the Promissory Note and the YA Debenture is less than $2,000,000 (in which case, for the avoidance of doubt, we may use the White Lion Purchase Agreement without limitation so long as the aggregate outstanding balance owed under the Promissory Note and the YA Debenture is less than $2,000,000); or (y) the aggregate proceeds received by us from any offer and sale of shares pursuant to the White Lion Purchase Agreement are promptly used to pay the amounts outstanding under the YA Debenture.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2" w:right="459" w:bottom="1440" w:gutter="0" w:footer="0" w:header="0"/>
        </w:sectPr>
      </w:pPr>
    </w:p>
    <w:bookmarkStart w:id="13" w:name="page14"/>
    <w:bookmarkEnd w:id="13"/>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5874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7875" cy="6587490"/>
                    </a:xfrm>
                    <a:prstGeom prst="rect">
                      <a:avLst/>
                    </a:prstGeom>
                    <a:noFill/>
                  </pic:spPr>
                </pic:pic>
              </a:graphicData>
            </a:graphic>
          </wp:anchor>
        </w:drawing>
        <w:t>We further agreed that, during such time as the outstanding balance owed under the Promissory Note and the YA Debenture is greater than or equal to $2,000,000, without the prior written consent of Yorkville, neither we nor any of our subsidiaries shall, directly or indirectly (a) enter into, create, incur, assume, guarantee or suffer to exist any Indebtedness, other than permitted indebtedness under the YA Debenture Purchase Agreement, or (ii) enter into, create, incur, assume or suffer to exist any lien on or with respect to any of its property or assets now owned or hereafter acquired or any interest therein or any income or profits therefrom, other than permitted liens under the YA Debenture Purchase Agreement. Notwithstanding the foregoing, we may effect an issuance otherwise prohibited by the YA Debenture Purchase Agreement so long as we promptly apply the net cash proceeds of such issuance to repay in full all amounts then owed under the YA Debenture (including all outstanding principal, accrued and unpaid interest, fees, premiums, and other amounts payable thereunder).</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Yorkville has agreed that none of Yorkville, its sole member, any of their respective officers, or any entity managed or controlled by Yorkville or its sole member will engage in or effect, directly or indirectly, for its own account or for the account of any other of such persons or entities, any short sales of the common stock or hedging transaction that establishes a net short position in the common stock during the term of the SEPA.</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Because the per share purchase price that Yorkville will pay for the SEPA Shares pursuant to any Advance that we may elect to effect pursuant to the SEPA will be determined by reference to the VWAP during the applicable period for such Advance on the applicable purchase date for such Advance (the “</w:t>
      </w:r>
      <w:r>
        <w:rPr>
          <w:rFonts w:ascii="Times New Roman" w:cs="Times New Roman" w:eastAsia="Times New Roman" w:hAnsi="Times New Roman"/>
          <w:sz w:val="18"/>
          <w:szCs w:val="18"/>
          <w:b w:val="1"/>
          <w:bCs w:val="1"/>
          <w:color w:val="auto"/>
        </w:rPr>
        <w:t>Purchase Date</w:t>
      </w:r>
      <w:r>
        <w:rPr>
          <w:rFonts w:ascii="Times New Roman" w:cs="Times New Roman" w:eastAsia="Times New Roman" w:hAnsi="Times New Roman"/>
          <w:sz w:val="18"/>
          <w:szCs w:val="18"/>
          <w:color w:val="auto"/>
        </w:rPr>
        <w:t>”), as of the date of this prospectus, we cannot determine the actual purchase price per share that Yorkville will be required to pay for any SEPA Shares that we may elect to sell to Yorkville under the SEPA from and after the Effective Date and, therefore, we cannot be certain how many SEPA Shares, in the aggregate, we may issue and sell to Yorkville under the SEPA from and after the Effective Date.</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we elect to issue and sell to Yorkville more than the 22,381,878 shares of common stock being registered under the Securities Act for resale by Yorkville under the registration statement that includes this prospectus, which we have the right, but not the obligation, to do, we must first file with the SEC one or more additional registration statements to register under the Securities Act for the offer and resale by Yorkville of any such additional shares of our common stock we wish to sell from time to time under the SEPA, which the SEC must declare effective, before we may elect to sell any additional shares of our common stock to Yorkville under the SEPA. Any issuance and sale by us under the SEPA of a substantial amount of shares of common stock in addition to the 22,381,878 shares of common stock being registered for resale by Yorkville under the registration statement that includes this prospectus could cause additional substantial dilution to our stockholders.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issuance of our common stock to Yorkville pursuant to the SEPA, the Promissory Note or the YA Debenture will not affect the rights or privileges of our existing stockholders, except that the economic and voting interests of each of our existing stockholders will be diluted. Although the number of shares of our common stock that our existing stockholders own will not decrease, the shares of our common stock owned by our existing stockholders will represent a smaller percentage of our total outstanding shares of our common stock after any such issuance.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not selling any securities under this prospectus and will not receive any of the proceeds from the sale of our common stock by the Selling Securityholder. However, we expect to receive proceeds from sales of common stock that we may elect to make to Yorkville pursuant to the SEPA, if any, from time to time in our discretion. The net proceeds from sales, if any, under the SEPA, will depend on the frequency and prices at which we sell shares of common stock to Yorkville after the date of this prospectus.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received (i) $1,710,000 upon the issuance of the Promissory Note in connection with the Pre-Paid Advance made on the Effective Date of the SEPA and (ii) proceeds of $9,000,000 from the issuance and sale by us to Yorkville of the YA Debenture. If we exercise our right to issue further shares of our common stock pursuant to the SEPA, we may receive up to an additional proceeds in connection with such Advances after the date of this prospectus, subject to the further limitations and terms and conditions of the SEPA. The net proceeds from sales, if any, under the SEPA, will depend on the frequency and prices at which we sell shares of common stock to Yorkville after the date of this prospectus. See “SELLING SECURITYHOLDER” on page 99 of this prospectus for additional information regarding the Selling Securityholder.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6" w:right="459" w:bottom="1440" w:gutter="0" w:footer="0" w:header="0"/>
        </w:sectPr>
      </w:pPr>
    </w:p>
    <w:bookmarkStart w:id="14" w:name="page15"/>
    <w:bookmarkEnd w:id="14"/>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410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7875" cy="7410450"/>
                    </a:xfrm>
                    <a:prstGeom prst="rect">
                      <a:avLst/>
                    </a:prstGeom>
                    <a:noFill/>
                  </pic:spPr>
                </pic:pic>
              </a:graphicData>
            </a:graphic>
          </wp:anchor>
        </w:drawing>
        <w:t>The Selling Securityholder may sell or otherwise dispose of the common stock described in this prospectus in a number of different ways and at varying prices. Yorkville is an “underwriter” within the meaning of Section 2(a)(11)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only with respect to advances under the SEPA and any profits on the sales of shares of our common stock by Yorkville acquired under the SEPA and any discounts, commissions, or concessions received by Yorkville are deemed to be underwriting discounts and commissions under the Securities Act. If any underwriters, dealers, or agents are involved in the sale of any of the securities, their names and any applicable purchase price, fee, commission, or discount arrangement between or among them will be set forth, or will be calculable from the information set forth, in any applicable prospectus supplement. Yorkville is not an “underwriter” within the meaning of Section 2(a)(11) of the Securities Act with respect to the shares of our common stock issuable upon conversion of the Promissory Note issued to Yorkville pursuant to the SEPA.</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pay the expenses incurred in registering under the Securities Act the offer and sale of the shares of the common stock to which this prospectus relates by the Selling Securityholder, including our legal and accounting fees. See “Plan of Distribution” on page 114 of this prospectus for more information. No securities may be sold without delivery of this prospectus and any applicable prospectus supplement describing the method and terms of the offering of such securities. You should carefully read this prospectus and any applicable prospectus supplement before you invest in our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Dilution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May 15, 2026, there were 145,819,663 shares of our common stock outstanding of which approximately 108.9 million shares were held by non-affiliates of our company. If all of the 22,381,878 shares offered for resale by the Selling Securityholder under this prospectus were issued and outstanding as of the date hereof, such shares would represent approximately 13.3% of the total number of outstanding shares of common stock and approximately 17.0% of the total number of outstanding shares of common stock held by non-affiliates of our company, in each case as of May 15,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Below is a summary of material factors that make an investment in our securities speculative or risky. Importantly, this summary does not address all of the risks and uncertainties that we face.</w:t>
      </w:r>
    </w:p>
    <w:p>
      <w:pPr>
        <w:spacing w:after="0" w:line="162" w:lineRule="exact"/>
        <w:rPr>
          <w:sz w:val="20"/>
          <w:szCs w:val="20"/>
          <w:color w:val="auto"/>
        </w:rPr>
      </w:pPr>
    </w:p>
    <w:p>
      <w:pPr>
        <w:ind w:left="660" w:hanging="331"/>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that may continue in the future; our management has identified conditions that raise substantial doubt about our ability to continue as a going concern; and we may not achieve profitability or generate positive cash flow.</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funding to finance our operations. This additional financing may not be available on acceptable terms or at all. Failure to obtain this necessary capital when needed may force us to curtail planned programs or cease operations entirely.</w:t>
      </w:r>
    </w:p>
    <w:p>
      <w:pPr>
        <w:spacing w:after="0" w:line="161" w:lineRule="exact"/>
        <w:rPr>
          <w:rFonts w:ascii="Times New Roman" w:cs="Times New Roman" w:eastAsia="Times New Roman" w:hAnsi="Times New Roman"/>
          <w:sz w:val="18"/>
          <w:szCs w:val="18"/>
          <w:color w:val="auto"/>
        </w:rPr>
      </w:pPr>
    </w:p>
    <w:p>
      <w:pPr>
        <w:ind w:left="660" w:hanging="331"/>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funds may cause dilution to existing stockholders and/or may restrict our operations or require us to relinquish proprietary rights.</w:t>
      </w:r>
    </w:p>
    <w:p>
      <w:pPr>
        <w:spacing w:after="0" w:line="161" w:lineRule="exact"/>
        <w:rPr>
          <w:rFonts w:ascii="Times New Roman" w:cs="Times New Roman" w:eastAsia="Times New Roman" w:hAnsi="Times New Roman"/>
          <w:sz w:val="18"/>
          <w:szCs w:val="18"/>
          <w:color w:val="auto"/>
        </w:rPr>
      </w:pPr>
    </w:p>
    <w:p>
      <w:pPr>
        <w:jc w:val="both"/>
        <w:ind w:left="660" w:hanging="331"/>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controls over financial reporting. As a result of these material weaknesses, we previously identified material errors to our interim results for the thirteen weeks ended March 30, 2025, the thirteen and twenty-six weeks ended June 29, 2025, and the thirteen and thirty-nine weeks ended September 28, 2025 (the “Prior Periods”) and determined that the Prior Periods included in our Quarterly Reports on Form 10-Q for the quarters ended March 30, 2025, June 29, 2025, and September 28, 2025 should no longer be relied upon and should be restated. If we are unable to maintain effective internal controls over financial reporting and disclosure controls and procedures, the accuracy and timeliness of our financial and operating reporting may be adversely affected, and confidence in our operations and disclosures may be lost.</w:t>
      </w:r>
    </w:p>
    <w:p>
      <w:pPr>
        <w:spacing w:after="0" w:line="188"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the restatement of our previously issued quarterly financial statements.</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prepare and timely file our periodic reports with the SEC limits our access to the public markets to raise debt or equity capital.</w:t>
      </w:r>
    </w:p>
    <w:p>
      <w:pPr>
        <w:spacing w:after="0" w:line="225"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in part on the availability of rebates, tax credits and other financial incentives. The OBBBA has materially reduced the availability of these rebates, credits or incentives, which may adversely impact our business.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6" w:right="459" w:bottom="1440" w:gutter="0" w:footer="0" w:header="0"/>
        </w:sectPr>
      </w:pPr>
    </w:p>
    <w:bookmarkStart w:id="15" w:name="page16"/>
    <w:bookmarkEnd w:id="15"/>
    <w:p>
      <w:pPr>
        <w:ind w:left="340" w:right="20" w:hanging="331"/>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136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7875" cy="7136130"/>
                    </a:xfrm>
                    <a:prstGeom prst="rect">
                      <a:avLst/>
                    </a:prstGeom>
                    <a:noFill/>
                  </pic:spPr>
                </pic:pic>
              </a:graphicData>
            </a:graphic>
          </wp:anchor>
        </w:drawing>
        <w:t>Macroeconomic conditions in our domestic and international markets, as well as inflation concerns, instability of financial institutions, rising interest rates, and recessionary concerns may adversely affect our industry, business and financial results.</w:t>
      </w:r>
    </w:p>
    <w:p>
      <w:pPr>
        <w:spacing w:after="0" w:line="161" w:lineRule="exact"/>
        <w:rPr>
          <w:rFonts w:ascii="Times New Roman" w:cs="Times New Roman" w:eastAsia="Times New Roman" w:hAnsi="Times New Roman"/>
          <w:sz w:val="18"/>
          <w:szCs w:val="18"/>
          <w:color w:val="auto"/>
        </w:rPr>
      </w:pPr>
    </w:p>
    <w:p>
      <w:pPr>
        <w:ind w:left="340" w:hanging="331"/>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losses and may be unable to achieve or sustain profitability in the future.</w:t>
      </w:r>
    </w:p>
    <w:p>
      <w:pPr>
        <w:spacing w:after="0" w:line="225" w:lineRule="exact"/>
        <w:rPr>
          <w:rFonts w:ascii="Times New Roman" w:cs="Times New Roman" w:eastAsia="Times New Roman" w:hAnsi="Times New Roman"/>
          <w:sz w:val="18"/>
          <w:szCs w:val="18"/>
          <w:color w:val="auto"/>
        </w:rPr>
      </w:pPr>
    </w:p>
    <w:p>
      <w:pPr>
        <w:ind w:left="340" w:hanging="331"/>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both traditional energy companies and renewable energy companies.</w:t>
      </w:r>
    </w:p>
    <w:p>
      <w:pPr>
        <w:spacing w:after="0" w:line="225" w:lineRule="exact"/>
        <w:rPr>
          <w:rFonts w:ascii="Times New Roman" w:cs="Times New Roman" w:eastAsia="Times New Roman" w:hAnsi="Times New Roman"/>
          <w:sz w:val="18"/>
          <w:szCs w:val="18"/>
          <w:color w:val="auto"/>
        </w:rPr>
      </w:pPr>
    </w:p>
    <w:p>
      <w:pPr>
        <w:ind w:left="340" w:hanging="331"/>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strategy depends on the widespread adoption of solar power technology.</w:t>
      </w:r>
    </w:p>
    <w:p>
      <w:pPr>
        <w:spacing w:after="0" w:line="225" w:lineRule="exact"/>
        <w:rPr>
          <w:rFonts w:ascii="Times New Roman" w:cs="Times New Roman" w:eastAsia="Times New Roman" w:hAnsi="Times New Roman"/>
          <w:sz w:val="18"/>
          <w:szCs w:val="18"/>
          <w:color w:val="auto"/>
        </w:rPr>
      </w:pPr>
    </w:p>
    <w:p>
      <w:pPr>
        <w:ind w:left="340" w:hanging="331"/>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the credit risk of customers and our finance partners, and payment delinquencies on accounts receivables.</w:t>
      </w:r>
    </w:p>
    <w:p>
      <w:pPr>
        <w:spacing w:after="0" w:line="225" w:lineRule="exact"/>
        <w:rPr>
          <w:rFonts w:ascii="Times New Roman" w:cs="Times New Roman" w:eastAsia="Times New Roman" w:hAnsi="Times New Roman"/>
          <w:sz w:val="18"/>
          <w:szCs w:val="18"/>
          <w:color w:val="auto"/>
        </w:rPr>
      </w:pPr>
    </w:p>
    <w:p>
      <w:pPr>
        <w:ind w:left="340" w:hanging="331"/>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unauthorized access to or disclosure or theft of personal information we gather, store or use could harm our reputation and subject us to claims or litigation.</w:t>
      </w:r>
    </w:p>
    <w:p>
      <w:pPr>
        <w:spacing w:after="0" w:line="161" w:lineRule="exact"/>
        <w:rPr>
          <w:rFonts w:ascii="Times New Roman" w:cs="Times New Roman" w:eastAsia="Times New Roman" w:hAnsi="Times New Roman"/>
          <w:sz w:val="18"/>
          <w:szCs w:val="18"/>
          <w:color w:val="auto"/>
        </w:rPr>
      </w:pPr>
    </w:p>
    <w:p>
      <w:pPr>
        <w:ind w:left="340" w:right="20" w:hanging="331"/>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the continuing contributions of key personnel, including Thurman J. Rodgers. If we are unable to attract and retain key employees and qualified personnel, our business and prospects could be harmed.</w:t>
      </w:r>
    </w:p>
    <w:p>
      <w:pPr>
        <w:spacing w:after="0" w:line="161" w:lineRule="exact"/>
        <w:rPr>
          <w:rFonts w:ascii="Times New Roman" w:cs="Times New Roman" w:eastAsia="Times New Roman" w:hAnsi="Times New Roman"/>
          <w:sz w:val="18"/>
          <w:szCs w:val="18"/>
          <w:color w:val="auto"/>
        </w:rPr>
      </w:pPr>
    </w:p>
    <w:p>
      <w:pPr>
        <w:ind w:left="340" w:hanging="331"/>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and ability to grow may fluctuate from quarter to quarter and year to year, which could make future performance difficult to predict and could cause operating results for a particular period to fall below expectations.</w:t>
      </w:r>
    </w:p>
    <w:p>
      <w:pPr>
        <w:spacing w:after="0" w:line="161" w:lineRule="exact"/>
        <w:rPr>
          <w:rFonts w:ascii="Times New Roman" w:cs="Times New Roman" w:eastAsia="Times New Roman" w:hAnsi="Times New Roman"/>
          <w:sz w:val="18"/>
          <w:szCs w:val="18"/>
          <w:color w:val="auto"/>
        </w:rPr>
      </w:pPr>
    </w:p>
    <w:p>
      <w:pPr>
        <w:jc w:val="both"/>
        <w:ind w:left="340" w:right="20" w:hanging="331"/>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breaches of our information technology systems, which could lead to disclosure of internal information, damage to our reputation or relationships with dealers, suppliers, and customers, and disrupt access to online services. Such breaches could subject us to significant reputational, financial, legal, and operational consequences.</w:t>
      </w:r>
    </w:p>
    <w:p>
      <w:pPr>
        <w:spacing w:after="0" w:line="175" w:lineRule="exact"/>
        <w:rPr>
          <w:rFonts w:ascii="Times New Roman" w:cs="Times New Roman" w:eastAsia="Times New Roman" w:hAnsi="Times New Roman"/>
          <w:sz w:val="18"/>
          <w:szCs w:val="18"/>
          <w:color w:val="auto"/>
        </w:rPr>
      </w:pPr>
    </w:p>
    <w:p>
      <w:pPr>
        <w:jc w:val="both"/>
        <w:ind w:left="340" w:hanging="331"/>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legal proceedings and regulatory inquiries and may be named in additional claims or legal proceedings or become involved in regulatory inquiries, all of which are costly, distracting to our core business and could result in an unfavorable outcome or harm our business, financial condition, results of operations or the trading price for our securities.</w:t>
      </w:r>
    </w:p>
    <w:p>
      <w:pPr>
        <w:spacing w:after="0" w:line="175" w:lineRule="exact"/>
        <w:rPr>
          <w:rFonts w:ascii="Times New Roman" w:cs="Times New Roman" w:eastAsia="Times New Roman" w:hAnsi="Times New Roman"/>
          <w:sz w:val="18"/>
          <w:szCs w:val="18"/>
          <w:color w:val="auto"/>
        </w:rPr>
      </w:pPr>
    </w:p>
    <w:p>
      <w:pPr>
        <w:ind w:left="340" w:right="20" w:hanging="331"/>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executive officers and principal stockholders will continue to have significant influence over our company, which could limit your ability to influence the outcome of key transactions, including a change of control.</w:t>
      </w:r>
    </w:p>
    <w:p>
      <w:pPr>
        <w:spacing w:after="0" w:line="161" w:lineRule="exact"/>
        <w:rPr>
          <w:rFonts w:ascii="Times New Roman" w:cs="Times New Roman" w:eastAsia="Times New Roman" w:hAnsi="Times New Roman"/>
          <w:sz w:val="18"/>
          <w:szCs w:val="18"/>
          <w:color w:val="auto"/>
        </w:rPr>
      </w:pPr>
    </w:p>
    <w:p>
      <w:pPr>
        <w:ind w:left="340" w:hanging="331"/>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meet all applicable requirements of Nasdaq and Nasdaq determines to delist our common stock, the delisting could adversely affect the market liquidity of our common stock and the market price of our common stock could decrease.</w:t>
      </w:r>
    </w:p>
    <w:p>
      <w:pPr>
        <w:spacing w:after="0" w:line="161" w:lineRule="exact"/>
        <w:rPr>
          <w:rFonts w:ascii="Times New Roman" w:cs="Times New Roman" w:eastAsia="Times New Roman" w:hAnsi="Times New Roman"/>
          <w:sz w:val="18"/>
          <w:szCs w:val="18"/>
          <w:color w:val="auto"/>
        </w:rPr>
      </w:pPr>
    </w:p>
    <w:p>
      <w:pPr>
        <w:jc w:val="both"/>
        <w:ind w:left="340" w:right="20" w:hanging="331"/>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repurchase up to 5,618,488 shares of common stock from the investors with whom we entered into Forward Purchase Agreements in connection with the closing of the Business Combination, which would reduce the amount of cash available to us to fund our growth plan.</w:t>
      </w:r>
    </w:p>
    <w:p>
      <w:pPr>
        <w:spacing w:after="0" w:line="175" w:lineRule="exact"/>
        <w:rPr>
          <w:rFonts w:ascii="Times New Roman" w:cs="Times New Roman" w:eastAsia="Times New Roman" w:hAnsi="Times New Roman"/>
          <w:sz w:val="18"/>
          <w:szCs w:val="18"/>
          <w:color w:val="auto"/>
        </w:rPr>
      </w:pPr>
    </w:p>
    <w:p>
      <w:pPr>
        <w:ind w:left="340" w:right="20" w:hanging="331"/>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10.0% Senior Secured Notes are secured obligations, and there are risks associated with our 10.0% Senior Secured Notes that could adversely affect our business and financial condition.</w:t>
      </w:r>
    </w:p>
    <w:p>
      <w:pPr>
        <w:spacing w:after="0" w:line="161" w:lineRule="exact"/>
        <w:rPr>
          <w:rFonts w:ascii="Times New Roman" w:cs="Times New Roman" w:eastAsia="Times New Roman" w:hAnsi="Times New Roman"/>
          <w:sz w:val="18"/>
          <w:szCs w:val="18"/>
          <w:color w:val="auto"/>
        </w:rPr>
      </w:pPr>
    </w:p>
    <w:p>
      <w:pPr>
        <w:ind w:left="340" w:right="20" w:hanging="331"/>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features of the Convertible Senior Notes and Yorkville Notes may adversely affect our financial condition and operating results.</w:t>
      </w:r>
    </w:p>
    <w:p>
      <w:pPr>
        <w:spacing w:after="0" w:line="161" w:lineRule="exact"/>
        <w:rPr>
          <w:rFonts w:ascii="Times New Roman" w:cs="Times New Roman" w:eastAsia="Times New Roman" w:hAnsi="Times New Roman"/>
          <w:sz w:val="18"/>
          <w:szCs w:val="18"/>
          <w:color w:val="auto"/>
        </w:rPr>
      </w:pPr>
    </w:p>
    <w:p>
      <w:pPr>
        <w:ind w:left="340" w:right="20" w:hanging="331"/>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common stock to the Selling Securityholder may cause substantial dilution to our existing shareholders, and the sale of such shares acquired by the Selling Securityholder could cause the price of our common stock to decline.</w:t>
      </w:r>
    </w:p>
    <w:p>
      <w:pPr>
        <w:spacing w:after="0" w:line="161" w:lineRule="exact"/>
        <w:rPr>
          <w:rFonts w:ascii="Times New Roman" w:cs="Times New Roman" w:eastAsia="Times New Roman" w:hAnsi="Times New Roman"/>
          <w:sz w:val="18"/>
          <w:szCs w:val="18"/>
          <w:color w:val="auto"/>
        </w:rPr>
      </w:pPr>
    </w:p>
    <w:p>
      <w:pPr>
        <w:ind w:left="340" w:right="20" w:hanging="331"/>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(including potential sales of securities to Yorkville pursuant to the SEPA), or the perception of future sales, by us or our stockholders in the public market could cause the market price for the common stock to decline.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760" w:top="1026" w:right="4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7820" w:type="dxa"/>
            <w:vAlign w:val="bottom"/>
          </w:tcPr>
          <w:p>
            <w:pPr>
              <w:ind w:left="182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0" w:type="dxa"/>
            <w:vAlign w:val="bottom"/>
          </w:tcPr>
          <w:p>
            <w:pPr>
              <w:spacing w:after="0"/>
              <w:rPr>
                <w:sz w:val="1"/>
                <w:szCs w:val="1"/>
                <w:color w:val="auto"/>
              </w:rPr>
            </w:pPr>
          </w:p>
        </w:tc>
      </w:tr>
      <w:tr>
        <w:trPr>
          <w:trHeight w:val="41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Securities offered by the Selling</w:t>
            </w:r>
          </w:p>
        </w:tc>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Up to 22,381,878 shares of our common stock consisting of:</w:t>
            </w:r>
          </w:p>
        </w:tc>
        <w:tc>
          <w:tcPr>
            <w:tcW w:w="0" w:type="dxa"/>
            <w:vAlign w:val="bottom"/>
          </w:tcPr>
          <w:p>
            <w:pPr>
              <w:spacing w:after="0"/>
              <w:rPr>
                <w:sz w:val="1"/>
                <w:szCs w:val="1"/>
                <w:color w:val="auto"/>
              </w:rPr>
            </w:pPr>
          </w:p>
        </w:tc>
      </w:tr>
      <w:tr>
        <w:trPr>
          <w:trHeight w:val="234"/>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Securityholder</w:t>
            </w:r>
          </w:p>
        </w:tc>
        <w:tc>
          <w:tcPr>
            <w:tcW w:w="78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  175,000 Commitment Shares that we issued to Yorkville in connection with the execution of the SEPA</w:t>
            </w:r>
          </w:p>
        </w:tc>
        <w:tc>
          <w:tcPr>
            <w:tcW w:w="0" w:type="dxa"/>
            <w:vAlign w:val="bottom"/>
          </w:tcPr>
          <w:p>
            <w:pPr>
              <w:spacing w:after="0"/>
              <w:rPr>
                <w:sz w:val="1"/>
                <w:szCs w:val="1"/>
                <w:color w:val="auto"/>
              </w:rPr>
            </w:pPr>
          </w:p>
        </w:tc>
      </w:tr>
      <w:tr>
        <w:trPr>
          <w:trHeight w:val="198"/>
        </w:trPr>
        <w:tc>
          <w:tcPr>
            <w:tcW w:w="3180" w:type="dxa"/>
            <w:vAlign w:val="bottom"/>
          </w:tcPr>
          <w:p>
            <w:pPr>
              <w:spacing w:after="0"/>
              <w:rPr>
                <w:sz w:val="17"/>
                <w:szCs w:val="17"/>
                <w:color w:val="auto"/>
              </w:rPr>
            </w:pPr>
          </w:p>
        </w:tc>
        <w:tc>
          <w:tcPr>
            <w:tcW w:w="7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on January 27, 2026, as partial consideration for its commitment to purchase shares of common stock</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at our direction under the SEPA, for which we have not and will not receive any cash consideration;</w:t>
            </w: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p>
        </w:tc>
        <w:tc>
          <w:tcPr>
            <w:tcW w:w="7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and</w:t>
            </w:r>
          </w:p>
        </w:tc>
        <w:tc>
          <w:tcPr>
            <w:tcW w:w="0" w:type="dxa"/>
            <w:vAlign w:val="bottom"/>
          </w:tcPr>
          <w:p>
            <w:pPr>
              <w:spacing w:after="0"/>
              <w:rPr>
                <w:sz w:val="1"/>
                <w:szCs w:val="1"/>
                <w:color w:val="auto"/>
              </w:rPr>
            </w:pPr>
          </w:p>
        </w:tc>
      </w:tr>
      <w:tr>
        <w:trPr>
          <w:trHeight w:val="414"/>
        </w:trPr>
        <w:tc>
          <w:tcPr>
            <w:tcW w:w="3180" w:type="dxa"/>
            <w:vAlign w:val="bottom"/>
          </w:tcPr>
          <w:p>
            <w:pPr>
              <w:spacing w:after="0"/>
              <w:rPr>
                <w:sz w:val="24"/>
                <w:szCs w:val="24"/>
                <w:color w:val="auto"/>
              </w:rPr>
            </w:pPr>
          </w:p>
        </w:tc>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Up to 22,206,878 Conversion Shares issued or to be issued to Yorkville in connection with the Pre-</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Paid Advance by Yorkville and pursuant to the Convertible Notes issued or to be issued to Yorkville</w:t>
            </w: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p>
        </w:tc>
        <w:tc>
          <w:tcPr>
            <w:tcW w:w="7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by us under the SEPA.</w:t>
            </w:r>
          </w:p>
        </w:tc>
        <w:tc>
          <w:tcPr>
            <w:tcW w:w="0" w:type="dxa"/>
            <w:vAlign w:val="bottom"/>
          </w:tcPr>
          <w:p>
            <w:pPr>
              <w:spacing w:after="0"/>
              <w:rPr>
                <w:sz w:val="1"/>
                <w:szCs w:val="1"/>
                <w:color w:val="auto"/>
              </w:rPr>
            </w:pPr>
          </w:p>
        </w:tc>
      </w:tr>
      <w:tr>
        <w:trPr>
          <w:trHeight w:val="41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outstanding prior</w:t>
            </w:r>
          </w:p>
        </w:tc>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145,819,663 (as of May 15, 2026).</w:t>
            </w:r>
          </w:p>
        </w:tc>
        <w:tc>
          <w:tcPr>
            <w:tcW w:w="0" w:type="dxa"/>
            <w:vAlign w:val="bottom"/>
          </w:tcPr>
          <w:p>
            <w:pPr>
              <w:spacing w:after="0"/>
              <w:rPr>
                <w:sz w:val="1"/>
                <w:szCs w:val="1"/>
                <w:color w:val="auto"/>
              </w:rPr>
            </w:pPr>
          </w:p>
        </w:tc>
      </w:tr>
      <w:tr>
        <w:trPr>
          <w:trHeight w:val="234"/>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this offering</w:t>
            </w:r>
          </w:p>
        </w:tc>
        <w:tc>
          <w:tcPr>
            <w:tcW w:w="7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outstanding after</w:t>
            </w:r>
          </w:p>
        </w:tc>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168,201,541 (based on the total shares outstanding as of May 15, 2026).</w:t>
            </w:r>
          </w:p>
        </w:tc>
        <w:tc>
          <w:tcPr>
            <w:tcW w:w="0" w:type="dxa"/>
            <w:vAlign w:val="bottom"/>
          </w:tcPr>
          <w:p>
            <w:pPr>
              <w:spacing w:after="0"/>
              <w:rPr>
                <w:sz w:val="1"/>
                <w:szCs w:val="1"/>
                <w:color w:val="auto"/>
              </w:rPr>
            </w:pPr>
          </w:p>
        </w:tc>
      </w:tr>
      <w:tr>
        <w:trPr>
          <w:trHeight w:val="234"/>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this offering</w:t>
            </w:r>
          </w:p>
        </w:tc>
        <w:tc>
          <w:tcPr>
            <w:tcW w:w="7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Terms of the offering</w:t>
            </w:r>
          </w:p>
        </w:tc>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Selling Securityholder will determine when and how it will dispose of the shares of common stock</w:t>
            </w: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p>
        </w:tc>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registered for resale under this prospectus.</w:t>
            </w:r>
          </w:p>
        </w:tc>
        <w:tc>
          <w:tcPr>
            <w:tcW w:w="0" w:type="dxa"/>
            <w:vAlign w:val="bottom"/>
          </w:tcPr>
          <w:p>
            <w:pPr>
              <w:spacing w:after="0"/>
              <w:rPr>
                <w:sz w:val="1"/>
                <w:szCs w:val="1"/>
                <w:color w:val="auto"/>
              </w:rPr>
            </w:pPr>
          </w:p>
        </w:tc>
      </w:tr>
      <w:tr>
        <w:trPr>
          <w:trHeight w:val="41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 will not receive any proceeds from the resale of shares of common stock included in this prospectus</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 Yorkville. However, prior to the date of this prospectus, we received (i) proceeds of $1,710,000 in</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connection with our sale and issuance to Yorkville of the Promissory Note pursuant to the SEPA and (ii)</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of $9,000,000 from the issuance and sale by us to Yorkville of the YA Debenture; and we may</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receive proceeds from sales of common stock that we may elect to make to Yorkville pursuant to the</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SEPA, if any, from time to time after the date of this prospectus. The net proceeds from sales, if any, under</w:t>
            </w:r>
          </w:p>
        </w:tc>
        <w:tc>
          <w:tcPr>
            <w:tcW w:w="0" w:type="dxa"/>
            <w:vAlign w:val="bottom"/>
          </w:tcPr>
          <w:p>
            <w:pPr>
              <w:spacing w:after="0"/>
              <w:rPr>
                <w:sz w:val="1"/>
                <w:szCs w:val="1"/>
                <w:color w:val="auto"/>
              </w:rPr>
            </w:pPr>
          </w:p>
        </w:tc>
      </w:tr>
      <w:tr>
        <w:trPr>
          <w:trHeight w:val="214"/>
        </w:trPr>
        <w:tc>
          <w:tcPr>
            <w:tcW w:w="3180" w:type="dxa"/>
            <w:vAlign w:val="bottom"/>
          </w:tcPr>
          <w:p>
            <w:pPr>
              <w:spacing w:after="0"/>
              <w:rPr>
                <w:sz w:val="18"/>
                <w:szCs w:val="18"/>
                <w:color w:val="auto"/>
              </w:rPr>
            </w:pPr>
          </w:p>
        </w:tc>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SEPA, will depend on the frequency and prices at which we sell shares of common stock to Yorkville</w:t>
            </w:r>
          </w:p>
        </w:tc>
        <w:tc>
          <w:tcPr>
            <w:tcW w:w="0" w:type="dxa"/>
            <w:vAlign w:val="bottom"/>
          </w:tcPr>
          <w:p>
            <w:pPr>
              <w:spacing w:after="0"/>
              <w:rPr>
                <w:sz w:val="1"/>
                <w:szCs w:val="1"/>
                <w:color w:val="auto"/>
              </w:rPr>
            </w:pPr>
          </w:p>
        </w:tc>
      </w:tr>
      <w:tr>
        <w:trPr>
          <w:trHeight w:val="236"/>
        </w:trPr>
        <w:tc>
          <w:tcPr>
            <w:tcW w:w="3180" w:type="dxa"/>
            <w:vAlign w:val="bottom"/>
          </w:tcPr>
          <w:p>
            <w:pPr>
              <w:spacing w:after="0"/>
              <w:rPr>
                <w:sz w:val="20"/>
                <w:szCs w:val="20"/>
                <w:color w:val="auto"/>
              </w:rPr>
            </w:pPr>
          </w:p>
        </w:tc>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after the date of this prospectus.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3180" w:type="dxa"/>
            <w:vAlign w:val="bottom"/>
          </w:tcPr>
          <w:p>
            <w:pPr>
              <w:spacing w:after="0"/>
              <w:rPr>
                <w:sz w:val="24"/>
                <w:szCs w:val="24"/>
                <w:color w:val="auto"/>
              </w:rPr>
            </w:pPr>
          </w:p>
        </w:tc>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 will incur all costs associated with this prospectus and the registration statement of which it is a part.</w:t>
            </w:r>
          </w:p>
        </w:tc>
        <w:tc>
          <w:tcPr>
            <w:tcW w:w="0" w:type="dxa"/>
            <w:vAlign w:val="bottom"/>
          </w:tcPr>
          <w:p>
            <w:pPr>
              <w:spacing w:after="0"/>
              <w:rPr>
                <w:sz w:val="1"/>
                <w:szCs w:val="1"/>
                <w:color w:val="auto"/>
              </w:rPr>
            </w:pPr>
          </w:p>
        </w:tc>
      </w:tr>
      <w:tr>
        <w:trPr>
          <w:trHeight w:val="412"/>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Before investing in our securities, you should carefully read and consider the information set forth in</w:t>
            </w:r>
          </w:p>
        </w:tc>
        <w:tc>
          <w:tcPr>
            <w:tcW w:w="0" w:type="dxa"/>
            <w:vAlign w:val="bottom"/>
          </w:tcPr>
          <w:p>
            <w:pPr>
              <w:spacing w:after="0"/>
              <w:rPr>
                <w:sz w:val="1"/>
                <w:szCs w:val="1"/>
                <w:color w:val="auto"/>
              </w:rPr>
            </w:pPr>
          </w:p>
        </w:tc>
      </w:tr>
      <w:tr>
        <w:trPr>
          <w:trHeight w:val="236"/>
        </w:trPr>
        <w:tc>
          <w:tcPr>
            <w:tcW w:w="3180" w:type="dxa"/>
            <w:vAlign w:val="bottom"/>
          </w:tcPr>
          <w:p>
            <w:pPr>
              <w:spacing w:after="0"/>
              <w:rPr>
                <w:sz w:val="20"/>
                <w:szCs w:val="20"/>
                <w:color w:val="auto"/>
              </w:rPr>
            </w:pPr>
          </w:p>
        </w:tc>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11.</w:t>
            </w:r>
          </w:p>
        </w:tc>
        <w:tc>
          <w:tcPr>
            <w:tcW w:w="0" w:type="dxa"/>
            <w:vAlign w:val="bottom"/>
          </w:tcPr>
          <w:p>
            <w:pPr>
              <w:spacing w:after="0"/>
              <w:rPr>
                <w:sz w:val="1"/>
                <w:szCs w:val="1"/>
                <w:color w:val="auto"/>
              </w:rPr>
            </w:pPr>
          </w:p>
        </w:tc>
      </w:tr>
      <w:tr>
        <w:trPr>
          <w:trHeight w:val="432"/>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Nasdaq ticker symbols</w:t>
            </w:r>
          </w:p>
        </w:tc>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“SPWR” and “SPWRW”</w:t>
            </w:r>
          </w:p>
        </w:tc>
        <w:tc>
          <w:tcPr>
            <w:tcW w:w="0" w:type="dxa"/>
            <w:vAlign w:val="bottom"/>
          </w:tcPr>
          <w:p>
            <w:pPr>
              <w:spacing w:after="0"/>
              <w:rPr>
                <w:sz w:val="1"/>
                <w:szCs w:val="1"/>
                <w:color w:val="auto"/>
              </w:rPr>
            </w:pP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57645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7875" cy="57645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For additional information concerning the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beginning on page 114.</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2" w:right="45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risks and uncertainties described below together with all of the other information contained in this prospectus, including our financial statements and related notes appearing at the end of this prospectus and in the section titled “Management’s Discussion and Analysis of Financial Condition and Results of Operations,” before deciding to invest in our securities. If any of the events or developments described below were to occur, our business, prospects, operating results and financial condition could suffer materially, the trading price of our common stock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Businesses and Industry</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that may continue in the future; our management has identified conditions that raise substantial doubt about our ability to continue as a going concern; and we may not achieve profitability or generate positive cash flow.</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Since our inception, we have incurred losses and negative cash flows from operations. We incurred a net loss from continuing operations of $44.3 million in the fiscal year ended December 28, 2025 and of $19.2 million in in the thirteen weeks ended March 29, 2026. We had an accumulated deficit of $451.5 million as of March 29, 2026. We have current debt of $38.0 million, and notes payable and derivative liabilities, net of current portion of $131.8 million, as of March 29, 2026, as well as other current and long-term liabilities (including the liability we recorded relating to a litigation matter with Siemens). We had cash and cash equivalents, excluding restricted cash, of $9.5 million as of March 29, 2026, which was held for working capital expenditures. These conditions raise substantial doubt about our ability to continue as a going concern. Our ability to continue as a going concern requires that we obtain sufficient funding, either through external financial transactions or cash flows generated from operations, to meet our obligations and finance our operations.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are not able to secure adequate additional funding, either through external financial transactions or cash flows generated from operations, when needed, we will need to reevaluate our operating plan and may be forced to make reductions in spending, extend payment terms with suppliers, liquidate assets where possible, or suspend or curtail planned programs or cease operations entirely. These actions could materially impact our business, results of operations and future prospects. There can be no assurance that in the event we require additional financing, such financing will be available on terms that are favorable, or at all.</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not achieve profitability or positive cash flow for a number of reasons, including declines in revenue, as well as increases in costs of our products, U.S. and global macroeconomic trends, including with respect to the impact of U.S. trade tariffs and the imposition of additional tariffs applicable to our industry or our products. In addition, we may be unable to identify further cost savings opportunities below present levels that would not adversely impact the functioning of our existing operations needed to meet customer and regulatory requirements. If we fail to generate sufficient revenue to support our operations, we may not be able to achieve profitability or generate sufficient cash flow to meet our financial obligations and our liquidity position will be negatively impacted. See “Management’s Discussion and Analysis of Financial Condition and Results of Operations - Liquidity and Capital Resources” and “Notes to Consolidated Financial Statements - (1) Organization - (c) Liquidity and Going Concern” for a further discussion of the other factors that may impact our liquidity position.</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Failure to generate sufficient cash flows from operations, raise additional capital or reduce certain discretionary spending would have a material adverse effect on our ability to achieve our intended business objectives.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funding to finance our operations. This additional financing may not be available on acceptable terms or at all.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this necessary capital when needed may force us to curtail planned programs or cease operations entirely.</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operations have consumed significant amounts of cash since inception. We expect to incur significant operating expenses as we continue to grow our business, including expenses incurred in connection with acquisitions and the further integration of acquired businesses, including the SunPower Businesses, Sunder, Ambia and Cobalt. We anticipate that our operating losses and negative operating cash flows will continue into the foreseeable future.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had cash and cash equivalents, excluding restricted cash, of $9.5 million as of March 29, 2026. Our cash position raises substantial doubt regarding our ability to continue as a going concern for 12 months after the consolidated financial statements issuance. Further, we cannot guarantee that our business will generate sufficient cash flow from operations to fund our operations or liquidity needs. Over time, we expect that we will need to raise additional funds through the issuance of additional equity, equity-related or debt securities or through obtaining credit from financial institutions to fund, together with our principal sources of liquidity, any significant unplanned or accelerated expenses and new strategic investments.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will require substantial additional capital to continue operations. Such additional capital might not be available when we need it and our actual cash requirements might be greater than anticipated. Additionally, the ability to raise additional financing depends on numerous factors that are outside our control, including general economic and market conditions, interest rates, the health of financial institutions, investors’ and lenders’ assessments of our prospects and the prospects of the solar industry in general. We cannot be certain that additional capital will be available on attractive terms, if at all, when needed, which could be dilutive to stockholders, and our financial condition, results of operations, business and prospects could be materially and adversely affected. If the financial markets become difficult or costly to access, including due to rising interest rates, inflation, fluctuations in exchange rates or other changes in geopolitical or economic conditions, including, without limitation, with respect to tariffs and trade policies, our ability to raise additional capital may be negatively impacted. Our failure to raise capital in the future would have a negative impact on our ability to expand our business.</w:t>
      </w:r>
    </w:p>
    <w:p>
      <w:pPr>
        <w:spacing w:after="0" w:line="18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funds may cause dilution to existing stockholders and/or may restrict our operations or require us to relinquish proprietary rights.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To the extent that we raise additional capital by issuing equity, convertible debt or other convertible securities, our existing stockholders may experience substantial dilution, and the terms of these issued securities may include liquidation or other preferences that adversely affect the rights of our existing common stockholders. For example, we may issue debt or equity securities under our shelf registration statement, through our at-the-market offering facility, through our existing equity line of credit with White Lion (as defined below), through our standby equity purchase facility with Yorkville or we may issue additional debt or equity securities in private transactions. Any agreements for future debt or preferred equity financings, if available, may involve covenants limiting or restricting our ability to take specific actions, such as raising additional capital, incurring additional debt, making capital expenditures or declaring dividends. Our ability to use our at-the-market offering facility or shelf registration statement are currently constrained by the size of our non-affiliate market capitalization, our trading volume and other factors, and there can be no assurance regarding the price at which we will be able to sell such shares, and any sales of our common stock under our at-the-market offering facility, and any offerings we might complete under our shelf registration statement, may be at prices that result in additional dilution to our existing stockholders. Further, as a result of our current ineligibility to use Form S-3, we currently cannot use our at-the-market offering facility or conduct securities offerings using our shelf registration statement. If we incur additional debt, the debt holders, together with holders of our outstanding Convertible Senior Notes and the Yorkville Notes (each as defined below), would have rights senior to holders of common stock to make claims on our assets, and the terms of any future debt could restrict our operations, including our ability to pay dividends on our common stock.</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controls over financial reporting. As a result of these material weaknesses, we identified material errors to our interim results for the thirteen weeks ended March 30, 2025, the thirteen and twenty-six weeks ended June 29, 2025, and the thirteen and thirty-nine weeks ended September 28, 2025 (the “Prior Periods”) and we have determined that the Prior Periods included in our Quarterly Reports on Form 10-Q for the quarters ended March 30, 2025, June 29, 2025, and September 28, 2025 should no longer be relied upon and should be restated. If we are unable to maintain effective internal controls over financial reporting and disclosure controls and procedures, the accuracy and timeliness of our financial and operating reporting may be adversely affected, and confidence in our operations and disclosures may be lost.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and audit of our financial statements for the year ended December 28, 2025, our management identified material weaknesses in our internal control over financial reporting. A material weakness is a deficiency, or a combination of deficiencies, in internal control over financial reporting, such that a reasonable possibility exists that a material misstatement of annual or interim financial statements would not be prevented or detected on a timely basis. The material weaknesses are as follows: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did not maintain controls to execute the criteria established in the COSO Framework for (i) the control environment, (ii) risk assessment, (iii) control activities, (iv) information and communication, and (v) monitoring activities.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Each of the control deficiencies identified below constitute a material weakness, either individually or in the aggregate.</w:t>
      </w:r>
    </w:p>
    <w:p>
      <w:pPr>
        <w:spacing w:after="0" w:line="22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Control Environment. </w:t>
      </w:r>
      <w:r>
        <w:rPr>
          <w:rFonts w:ascii="Times New Roman" w:cs="Times New Roman" w:eastAsia="Times New Roman" w:hAnsi="Times New Roman"/>
          <w:sz w:val="18"/>
          <w:szCs w:val="18"/>
          <w:color w:val="auto"/>
        </w:rPr>
        <w:t>Our Company did not maintain an effective control environment and identified the following material weakness: our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lacked appropriate policies and resources to develop and operate effective internal control over financial reporting and a lack of appropriate and consistent IT policies given the significant volume of financially relevant IT changes, which contributed to the Company’s inability to properly analyze, record and disclose accounting matters timely and accurately.</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Control Activities. </w:t>
      </w:r>
      <w:r>
        <w:rPr>
          <w:rFonts w:ascii="Times New Roman" w:cs="Times New Roman" w:eastAsia="Times New Roman" w:hAnsi="Times New Roman"/>
          <w:sz w:val="18"/>
          <w:szCs w:val="18"/>
          <w:color w:val="auto"/>
        </w:rPr>
        <w:t>Our Company did not design and implement effective control activities and identified the following material weakness:</w:t>
      </w:r>
    </w:p>
    <w:p>
      <w:pPr>
        <w:spacing w:after="0" w:line="227"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design and operation of certain control activities due to significant personnel changes throughout fiscal 2025. Control deficiencies, which aggregate to a material weakness, occurred within substantially all areas of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Information and Communication. </w:t>
      </w:r>
      <w:r>
        <w:rPr>
          <w:rFonts w:ascii="Times New Roman" w:cs="Times New Roman" w:eastAsia="Times New Roman" w:hAnsi="Times New Roman"/>
          <w:sz w:val="18"/>
          <w:szCs w:val="18"/>
          <w:color w:val="auto"/>
        </w:rPr>
        <w:t>Our Company did not design and implement effective information and communication activities and identified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material weaknesses</w:t>
      </w:r>
      <w:r>
        <w:rPr>
          <w:rFonts w:ascii="Times New Roman" w:cs="Times New Roman" w:eastAsia="Times New Roman" w:hAnsi="Times New Roman"/>
          <w:sz w:val="18"/>
          <w:szCs w:val="18"/>
          <w:i w:val="1"/>
          <w:iCs w:val="1"/>
          <w:color w:val="auto"/>
        </w:rPr>
        <w:t>:</w:t>
      </w:r>
    </w:p>
    <w:p>
      <w:pPr>
        <w:spacing w:after="0" w:line="160" w:lineRule="exact"/>
        <w:rPr>
          <w:sz w:val="20"/>
          <w:szCs w:val="20"/>
          <w:color w:val="auto"/>
        </w:rPr>
      </w:pPr>
    </w:p>
    <w:p>
      <w:pPr>
        <w:jc w:val="both"/>
        <w:ind w:left="660" w:hanging="328"/>
        <w:spacing w:after="0" w:line="25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 did not design and maintain effective general information technology controls over logical access and program change management for our key information systems used to support the financial reporting process. Specifically, management did not maintain effective controls to ensure proper segregation of duties related to user administration and other privileged access functions and in implementing program changes in information systems. Due to the pervasive nature of these deficiencies, business process controls that are dependent upon information from these systems were also not effective.</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 did not have adequate processes and controls for communicating information among the accounting, finance, operations, and legal departments, necessary to support the proper functioning of internal controls.</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Monitoring Activities. </w:t>
      </w:r>
      <w:r>
        <w:rPr>
          <w:rFonts w:ascii="Times New Roman" w:cs="Times New Roman" w:eastAsia="Times New Roman" w:hAnsi="Times New Roman"/>
          <w:sz w:val="18"/>
          <w:szCs w:val="18"/>
          <w:color w:val="auto"/>
        </w:rPr>
        <w:t>Our Company did not design and implement effective monitoring activities and identified the following material weaknesses: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failure to adequately monitor compliance with accounting policies, procedures and controls related to substantially all areas of financial reporting; and (ii) failure to properly select, develop and perform ongoing evaluations of the components of internal controls (including the monitoring of service providers’ control environments).</w:t>
      </w:r>
    </w:p>
    <w:p>
      <w:pPr>
        <w:spacing w:after="0" w:line="18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These material weaknesses described in the paragraphs above contributed to material accounting errors identified and corrected during the audit of our Company’s financial statements. Additionally, in connection with the preparation of our audited financial statements for the year ended December, 28, 2025, and as a result of these material weaknesses, we identified material errors to our interim results for the thirteen weeks ended March 30, 2025, the thirteen and twenty-six weeks ended June 29, 2025, and the thirteen and thirty-nine weeks ended September 28, 2025 (the “Prior Periods”) and we determined that the Prior Periods included in our Quarterly Reports on Form 10-Q for the quarters ended March 30, 2025, June 29, 2025, and September 28, 2025 (the “Prior Filings”) should no longer be relied upon and should be restated. If we fail to adequately remediate these material weaknesses, there could be material misstatements that may not be prevented or detected.</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taken certain steps, such as recruiting additional personnel, in addition to utilizing third-party consultants and specialists, to supplement our internal resources, to enhance our internal control environment and plan to take additional steps to remediate the material weaknesses. Although we plan to complete this remediation process as quickly as possible, we cannot estimate how long it will take. We cannot provide assurance that the measures we have taken to date, and may take in the future, will be sufficient to remediate the control deficiencies that led to our material weakness in internal control over financial reporting or that such measures will prevent or avoid potential future material weaknesses.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we are not able to maintain effective internal control over financial reporting and Disclosure Controls and procedures, or if material weaknesses are discovered in future periods, a risk that is significantly increased in light of the complexity of our business, we may be unable to accurately and timely report our financial position, results of operations, cash flows or key operating metrics, which could result in late filings of the annual and quarterly reports under the Exchange Act (and which would limit our ability to use Form S-3 and may impact the availability of Rule 144), restatements of financial statements or other corrective disclosures, an inability to access commercial lending markets, defaults under our convertible notes and outstanding loans and other agreements, or other material adverse effects on our business, reputation, results of operations, financial condition or liquidity.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1" w:name="page22"/>
    <w:bookmarkEnd w:id="21"/>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the restatement of our previously issued quarterly financial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 result of our determination that the Prior Filings should no longer be relied upon and should be restated, we face a number of additional risks and uncertainties, which may affect investor confidence in the accuracy of our financial disclosures and may raise reputation issues for our business. For example, we may face potential litigation or other disputes, which may include claims relating to federal and state securities laws, contractual claims and other claims arising from the restatement of the Prior Filings and the material weaknesses in our internal control over financial reporting and the preparation of our financial statements. We may discover additional errors in our previously filed financial statements. We cannot ensure that all of the risks and challenges described above will be eliminated or that general reputational harm will not persist. If one or more of the foregoing risks or challenges persist, our business, operations and financial condition are likely to be materially and adversely affected.</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prepare and timely file our periodic reports with the SEC limits our access to the public markets to raise debt or equity capital.</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did not file our Quarterly Report on Form 10-Q for the quarter ended March 29, 2026, our Annual Report on Form 10-K for the fiscal year ended December 29, 2024, our Quarterly Report on Form 10-Q for the quarter ended September 28, 2025 or the amendment required to our Current Report originally filed on September 26, 2025 relating to the Sunder acquisition within the timeframe required by the SEC. Accordingly, we are not currently eligible to use a registration statement on Form S-3 that would allow us to continuously incorporate by reference our SEC reports into the registration statement, to use “shelf” registration statements to conduct offerings, or to use our at-the-market offering facility until approximately one year from the date we have regained and maintain status as a current filer. Our inability to use Form S-3 may significantly impair our ability to raise necessary capital to fund our operations and execute our strategy. If we seek to access the capital markets through a registered offering during the period of time that we are unable to use Form S-3, we may be required to publicly disclose the proposed offering and the material terms thereof before the offering commences, we may experience delays in the offering process due to SEC review of a Form S-1 registration statement and we may incur increased offering and transaction costs and other considerations. If we are unable to raise capital through a registered offering, we would be required to conduct our equity financing transactions on a private placement basis, which may be subject to pricing, size and other limitations imposed under the Nasdaq rules, or seek other sources of capital. The foregoing limitations on our financing approaches could prevent us from pursuing transactions or implementing business strategies that would be beneficial to our business.</w:t>
      </w:r>
    </w:p>
    <w:p>
      <w:pPr>
        <w:spacing w:after="0" w:line="18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international trade policies, tariffs, or trade disputes could significantly and adversely affect our business, revenues, margins, results of operations, and cash flows.</w:t>
      </w:r>
    </w:p>
    <w:p>
      <w:pPr>
        <w:spacing w:after="0" w:line="15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February 7, 2018, safeguard tariffs on imported solar cells and modules (“</w:t>
      </w:r>
      <w:r>
        <w:rPr>
          <w:rFonts w:ascii="Times New Roman" w:cs="Times New Roman" w:eastAsia="Times New Roman" w:hAnsi="Times New Roman"/>
          <w:sz w:val="18"/>
          <w:szCs w:val="18"/>
          <w:b w:val="1"/>
          <w:bCs w:val="1"/>
          <w:color w:val="auto"/>
        </w:rPr>
        <w:t>CSPV</w:t>
      </w:r>
      <w:r>
        <w:rPr>
          <w:rFonts w:ascii="Times New Roman" w:cs="Times New Roman" w:eastAsia="Times New Roman" w:hAnsi="Times New Roman"/>
          <w:sz w:val="18"/>
          <w:szCs w:val="18"/>
          <w:color w:val="auto"/>
        </w:rPr>
        <w:t>”) went into effect pursuant to Proclamation 9693, which approved recommendations to provide relief to U.S. manufacturers and impose safeguard tariffs on imported solar cells and modules, based on the investigations, findings, and recommendations of the U.S. International Trade Commission (the “</w:t>
      </w:r>
      <w:r>
        <w:rPr>
          <w:rFonts w:ascii="Times New Roman" w:cs="Times New Roman" w:eastAsia="Times New Roman" w:hAnsi="Times New Roman"/>
          <w:sz w:val="18"/>
          <w:szCs w:val="18"/>
          <w:b w:val="1"/>
          <w:bCs w:val="1"/>
          <w:color w:val="auto"/>
        </w:rPr>
        <w:t>International Trade Commission</w:t>
      </w:r>
      <w:r>
        <w:rPr>
          <w:rFonts w:ascii="Times New Roman" w:cs="Times New Roman" w:eastAsia="Times New Roman" w:hAnsi="Times New Roman"/>
          <w:sz w:val="18"/>
          <w:szCs w:val="18"/>
          <w:color w:val="auto"/>
        </w:rPr>
        <w:t>”). On February 4, 2022, then President Biden issued Proclamation 10339 extending the existing safeguard measures on U.S. imports of CSPV products by an additional four years until February 6, 2026. Prior to the termination of the safeguard tariffs, modules were subject to a tariff rate of approximately 15%. Cells were subjected to a tariff-rate quota, under which the first 5 GW of cell imports each year was exempt from tariffs, and cells imported after the 5 GW quota was reached were subject to the same approximately 15% tariff as modules in the first year, with the same 0.25% decline in each of the three subsequent years. The tariff-free cell quota applied globally, without any allocation by country or region.</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While solar cells and modules based on interdigitated back contact technology were excluded from these safeguard tariffs, our solar products based on other technologies continue were subject to the safeguard tariffs until February 6, 2026.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Solar cells and panels from various countries continue to be subject to U.S. antidumping, and countervailing duty (AD/CVD) actions in the United States. The U.S. Department of Commerce (the “</w:t>
      </w:r>
      <w:r>
        <w:rPr>
          <w:rFonts w:ascii="Times New Roman" w:cs="Times New Roman" w:eastAsia="Times New Roman" w:hAnsi="Times New Roman"/>
          <w:sz w:val="18"/>
          <w:szCs w:val="18"/>
          <w:b w:val="1"/>
          <w:bCs w:val="1"/>
          <w:color w:val="auto"/>
        </w:rPr>
        <w:t>Department of Commerce</w:t>
      </w:r>
      <w:r>
        <w:rPr>
          <w:rFonts w:ascii="Times New Roman" w:cs="Times New Roman" w:eastAsia="Times New Roman" w:hAnsi="Times New Roman"/>
          <w:sz w:val="18"/>
          <w:szCs w:val="18"/>
          <w:color w:val="auto"/>
        </w:rPr>
        <w:t>”) maintains antidumping and countervailing duty orders on solar cells as well as panels produced in China. In 2022, the Department of Commerce found that solar product producers in Cambodia, Malaysia, Thailand, and Vietnam were circumventing the China AD/CVD actions. As a result, imports of solar products from these countries may be treated as if they are of Chinese origin and therefore subject to the aforementioned antidumping and countervailing duty orders. On June 6, 2022, then President Biden issued an Executive Order allowing U.S. solar installers to import solar modules and cells from Cambodia, Malaysia, Thailand and Vietnam free from certain duties for 24 months, along with other incentives designed to accelerate U.S. domestic production of clean energy technologies. This moratorium ended in June 2024 and China-wide AD/CVD action now applies to imports from those countries that contain Chinese-origin inputs. Additionally, on December 29, 2023, Auxin and Concept Clean Energy, Inc. filed suit in the U.S. Court of International Trade challenging the legal basis for the moratorium and implementing regulations. In August 2025 the Court of International Trade found the moratorium on the collection of AD/CVD duties to be unlawful and ordered retroactive collection of duties that should have been paid during that period. The retroactive collection of duties was stayed pending appeal. On February 9, 2026, the U.S. government withdrew its appeal of that decision, but other parties continue to pursue the appeal. In addition, on May 15, 2024 the Department of Commerce and the U.S. International Trade Commission initiated antidumping and countervailing duty investigations of CSPV products from Cambodia, Malaysia, Thailand, and Vietnam. Both the Department of Commerce and the U.S. International Trade Commission made affirmative findings for all countries. On June 24, 2025, the Department of Commerce imposed antidumping and countervailing duty orders on CSPV products from all four countries. Duty rates range zero to over 100% antidumping duties and approximately 15% to over 3000% countervailing duties depending on the company and country. Antidumping and countervailing duties are assessed retroactively and thus final assessment of duties on imports made after June 2025 will be determined in future proceedings by the Department of Commerce.</w:t>
      </w:r>
    </w:p>
    <w:p>
      <w:pPr>
        <w:spacing w:after="0" w:line="19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high AD/CVD duty rates, together with uncertainty surrounding the implications of existing tariffs affecting the U.S. solar market and potential trade tensions between the U.S. and other countries has caused and is likely to cause further market volatility, price fluctuations, supply shortages, and project delays, any of which could harm our business, and the pursuit of mitigating actions may divert substantial resources from other projects.</w:t>
      </w:r>
    </w:p>
    <w:p>
      <w:pPr>
        <w:spacing w:after="0" w:line="176"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Further, the Uyghur Forced Labor Prevention Act may inhibit importation of certain solar modules or components. In addition, the imposition of tariffs is likely to result in a wide range of impacts to the U.S. solar industry and the global manufacturing market, as well as our business in particular. Such tariffs could materially increase the price of our solar products and result in significant additional costs to the Company, its resellers, and the resellers’ customers, which could cause a significant reduction in demand for our solar power products and greatly reduce our competitive advantage.</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in part on the availability of rebates, tax credits and other financial incentives. The OBBBA has materially reduced the availability of these rebates, credits or incentives, which may adversely impact our business.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U.S. federal, state and local government bodies provide incentives to end users, distributors, system integrators and manufacturers of solar energy systems to promote solar electricity in the form of rebates, tax credits and other financial incentives such as system performance payments, payments for renewable energy credits associated with renewable energy generation and the exclusion of solar energy systems from property tax assessments. These incentives enable us to lower the price charged to customers for energy and for solar energy systems. However, these incentives may expire on a particular date, end when the allocated funding is exhausted or be reduced or terminated as solar energy adoption rates increase. These reductions or terminations often occur without warning.</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Inflation Reduction Act of 2022 (“</w:t>
      </w:r>
      <w:r>
        <w:rPr>
          <w:rFonts w:ascii="Times New Roman" w:cs="Times New Roman" w:eastAsia="Times New Roman" w:hAnsi="Times New Roman"/>
          <w:sz w:val="18"/>
          <w:szCs w:val="18"/>
          <w:b w:val="1"/>
          <w:bCs w:val="1"/>
          <w:color w:val="auto"/>
        </w:rPr>
        <w:t>IRA</w:t>
      </w:r>
      <w:r>
        <w:rPr>
          <w:rFonts w:ascii="Times New Roman" w:cs="Times New Roman" w:eastAsia="Times New Roman" w:hAnsi="Times New Roman"/>
          <w:sz w:val="18"/>
          <w:szCs w:val="18"/>
          <w:color w:val="auto"/>
        </w:rPr>
        <w:t>”) extended and modified prior law applicable to U.S. federal tax credits that are available with respect to solar energy systems. Under the IRA, the following tax credits were generally available: (i) a production tax credit under Code Section 45 (for facilities that began construction before January 1, 2025) and Code Section 45Y (for facilities that are placed in service after December 31, 2024) (the “</w:t>
      </w:r>
      <w:r>
        <w:rPr>
          <w:rFonts w:ascii="Times New Roman" w:cs="Times New Roman" w:eastAsia="Times New Roman" w:hAnsi="Times New Roman"/>
          <w:sz w:val="18"/>
          <w:szCs w:val="18"/>
          <w:b w:val="1"/>
          <w:bCs w:val="1"/>
          <w:color w:val="auto"/>
        </w:rPr>
        <w:t>PTC</w:t>
      </w:r>
      <w:r>
        <w:rPr>
          <w:rFonts w:ascii="Times New Roman" w:cs="Times New Roman" w:eastAsia="Times New Roman" w:hAnsi="Times New Roman"/>
          <w:sz w:val="18"/>
          <w:szCs w:val="18"/>
          <w:color w:val="auto"/>
        </w:rPr>
        <w:t>”) with respect to electricity produced from certain qualifying facilities, (ii) an investment tax credit under Code Section 48 (for facilities that began construction before January 1, 2025) and Code Section 48E (for facilities that are placed in service after December 31, 2024) (the “</w:t>
      </w:r>
      <w:r>
        <w:rPr>
          <w:rFonts w:ascii="Times New Roman" w:cs="Times New Roman" w:eastAsia="Times New Roman" w:hAnsi="Times New Roman"/>
          <w:sz w:val="18"/>
          <w:szCs w:val="18"/>
          <w:b w:val="1"/>
          <w:bCs w:val="1"/>
          <w:color w:val="auto"/>
        </w:rPr>
        <w:t>ITC</w:t>
      </w:r>
      <w:r>
        <w:rPr>
          <w:rFonts w:ascii="Times New Roman" w:cs="Times New Roman" w:eastAsia="Times New Roman" w:hAnsi="Times New Roman"/>
          <w:sz w:val="18"/>
          <w:szCs w:val="18"/>
          <w:color w:val="auto"/>
        </w:rPr>
        <w:t>”) in connection with the installation of certain solar facilities and energy storage technology, and (iii) a residential clean energy credit (the “</w:t>
      </w:r>
      <w:r>
        <w:rPr>
          <w:rFonts w:ascii="Times New Roman" w:cs="Times New Roman" w:eastAsia="Times New Roman" w:hAnsi="Times New Roman"/>
          <w:sz w:val="18"/>
          <w:szCs w:val="18"/>
          <w:b w:val="1"/>
          <w:bCs w:val="1"/>
          <w:color w:val="auto"/>
        </w:rPr>
        <w:t>Section 25D Credit</w:t>
      </w:r>
      <w:r>
        <w:rPr>
          <w:rFonts w:ascii="Times New Roman" w:cs="Times New Roman" w:eastAsia="Times New Roman" w:hAnsi="Times New Roman"/>
          <w:sz w:val="18"/>
          <w:szCs w:val="18"/>
          <w:color w:val="auto"/>
        </w:rPr>
        <w:t>”) in connection with the installation of qualifying property that uses solar energy to generate electricity for residential use.</w:t>
      </w:r>
    </w:p>
    <w:p>
      <w:pPr>
        <w:spacing w:after="0" w:line="18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On July 4, 2025, the One Big Beautiful Bill Act (the “</w:t>
      </w:r>
      <w:r>
        <w:rPr>
          <w:rFonts w:ascii="Times New Roman" w:cs="Times New Roman" w:eastAsia="Times New Roman" w:hAnsi="Times New Roman"/>
          <w:sz w:val="18"/>
          <w:szCs w:val="18"/>
          <w:b w:val="1"/>
          <w:bCs w:val="1"/>
          <w:color w:val="auto"/>
        </w:rPr>
        <w:t>OBBBA</w:t>
      </w:r>
      <w:r>
        <w:rPr>
          <w:rFonts w:ascii="Times New Roman" w:cs="Times New Roman" w:eastAsia="Times New Roman" w:hAnsi="Times New Roman"/>
          <w:sz w:val="18"/>
          <w:szCs w:val="18"/>
          <w:color w:val="auto"/>
        </w:rPr>
        <w:t>”) was enacted and significantly modified the IRA’s clean energy incentive framework by accelerating the termination of certain credits and adding new eligibility restrictions and compliance burdens. The OBBBA effectively repealed, on an accelerated timeline, key federal tax incentives for solar projects by curtailing eligibility for the clean electricity PTC and ITC for applicable solar facilities placed in service after December 31, 2027 (subject to grandfathering for projects that begin construction by July 4, 2026) and by terminating the Section 25D Credit after 2025.</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With respect to the PTC, solar energy projects that began construction before January 1, 2025 generally remain eligible for the PTC under Section 45 (as amended by the IRA) and generally are not subject to the accelerated phaseouts or other limitations introduced by the OBBBA. The PTC available to a taxpayer in 2024 and prior taxable years under Code Section 45 generally is equal to a certain rate multiplied by the kilowatt hours of electricity produced by the taxpayer from solar energy at a facility owned by it and sold to an unrelated party during that taxable year. The base rates for the PTC under Code Section 45 is 0.3 cents (adjusted for inflation). This rate is increased to 1.5 cents (adjusted for inflation) for projects that (i) have a maximum net output of less than one megawatt (measured in alternating current), (ii) begin construction before January 29, 2023, and (iii) meet certain prevailing wage and apprenticeship requirements. It also may be increased for projects that include a certain percentage of components produced in the U.S. and projects that are located in certain energy communities, in each case subject to applicable requirements and IRS guidance.</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PTC under Code Section 45Y, the successor to Code Section 45 that is applicable for facilities placed in service after December 31, 2024, generally is similar to the PTC under Code Section 45 but includes certain different terms and qualification requirements. The PTC amount under Code Section 45Y generally is equal to the PTC outlined above for Code Section 45, including the availability of the same increased credit rates under the same circumstances. The PTC under Code Section 45Y applies to kilowatt hours of electricity produced at a “qualified facility,” which generally is a facility, such as a solar energy facility, that generates electricity and has a greenhouse gas emission rate that is not greater than zero.</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690" w:gutter="0" w:footer="0" w:header="0"/>
        </w:sectPr>
      </w:pPr>
    </w:p>
    <w:bookmarkStart w:id="23" w:name="page24"/>
    <w:bookmarkEnd w:id="23"/>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the OBBBA, solar facilities that begin construction after July 4, 2026 (one year after enactment of the OBBBA) are ineligible for the Code Section 45Y credit if placed in service after December 31, 2027. Facilities that begin construction prior to July 4, 2026 are not subject to this accelerated placed-in-service deadline. In addition, IRS guidance interpreting these OBBBA termination provisions imposes more stringent “beginning of construction” requirements, increasing the risk that projects may fail to qualify if development timelines slip or if the taxpayer cannot satisfy the applicable standards. Moreover, the OBBBA denies the Code Section 45Y for certain leased residential solar water heating property (while generally excluding leased solar electric generating property from that denial). A facility is not eligible for the PTC under Code Section 45Y if a tax credit already is allowed with respect to the facility under Code Section 45, 48 or 48E (or certain other tax credit provisions) for the taxable year or any prior taxable year.</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With respect to the ITC, solar energy projects that began construction before January 1, 2025 generally remain eligible for the ITC under Section 48 and are not subject to the accelerated phaseouts or other limitations introduced by the OBBBA. The ITC available under Code Section 48E is the successor provision of Code Section 48 and is applicable for investments in facilities placed in service after December 31, 2024. The ITC under Code Section 48E generally is similar to the ITC outlined above under Code Section 48 in structure, including generally providing for the same increased credit rates under the same circumstances. The ITC under Code Section 48E applies to investments in a “qualified facility” and “energy storage technology”. A “qualified facility” for these purposes generally is the same as described above for the PTC under Code Section 45Y and “energy storage technology” is defined by reference to such term in Code Section 48.</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Similar to Section 45Y, solar facilities that begin construction after July 4, 2026 (one year after enactment) are ineligible for the Section 48E credit if placed in service after December 31, 2027. This placed-in-service deadline would not apply to energy storage technology. Moreover, the OBBBA denies the Code Section 48E for certain leased residential solar water heating property (while generally excluding leased solar electric generating property from that denial). The ITC under Code Section 48E is subject to recapture if the Internal Revenue Service determines that the greenhouse gas emissions rate for the facility exceeds a certain threshold. A facility is not eligible for the ITC under Code Section 48E if a tax credit already is allowed with respect to the facility under Code Section 45, 45Y or 48 (or certain other tax credit provisions) for the taxable year or any prior taxable year.</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the IRA, the Section 25D Credit available to a taxpayer is equal to the “applicable percentage” of expenditures for property that uses solar energy to generate electricity for use in a dwelling unit located in the U.S. and used as a residence by the taxpayer. The applicable percentage is 26% for such systems that are placed in service before January 1, 2022 and 30% for such systems that are placed in service after December 31, 2021. As modified by the OBBBA, the Section 25D Credit terminated with respect to expenditures made after December 31, 2025, and an expenditure generally is treated as made when the original installation of the property is completed (or, in certain cases, when construction or reconstruction is completed and the taxpayer’s original use of the structure begins). The unavailability of the Section 25D Credit for systems when installation is completed after December 31, 2025 likely will impact the prices of our solar energy systems and overall value proposition our solar systems provide to customers.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OBBBA also introduces additional restrictions relating to certain FEOC and supply chain sourcing, which may affect project eligibility and increase compliance costs. On February 12, 2026, the U.S. Treasury Department and Internal Revenue Service released IRS Notice 2026-15, which provides additional guidance regarding the prohibited foreign entity (“PFE”) rules under the OBBBA. In particular, this notice establishes interim safe harbors for determining whether a project receives material assistance from a PFE, including guidance on calculation of the Material Assistance Cost Ratio. While this guidance reduces certain uncertainties, it is interim in nature, and further rulemaking, including a notice of proposed rulemaking and final regulations expected later in 2026, may modify or replace this framework. Such future guidance could impose more restrictive requirements or additional compliance burdens, which may increase our costs and adversely affect our ability, or our customers’ ability, to qualify for applicable tax credits. If we or our customers are unable to satisfy the PFE or related eligibility requirements, it could materially and adversely affect our revenues, results of operations, cash flows and the overall demand for our products.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OBBBA has materially reduced the governmental incentives available to participants in the solar industry, which is likely to adversely affect the results of our operations and our ability to compete in this industry by increasing the cost of capital, causing us to increase the prices of our energy and solar energy systems and reduce the size of our addressable market. Even where incentives remain available, evolving statutory requirements and administrative guidance may create uncertainty, increase compliance costs, and delay or reduce tax credit financing, which could disrupt project timelines and harm our liquidity.</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Moreover, the U.S. federal tax credits discussed above have complex legal and operational requirements, including with respect to “beginning of construction” and placed-in-service requirements. There also may be uncertainty as to how such requirements promulgated under the IRA or the OBBBA are interpreted. If Internal Revenue Service guidance regarding implementation of the IRA or the OBBBA is viewed by investors as unclear, tax credit financing may be delayed or downsized, harming our ability to secure financing for customers. Our failure to either (i) interpret the new requirements under the IRA and the OBBBA regarding among other things, timing of construction, prevailing wage, apprenticeship, domestic content, siting in an “energy community,” accurately or (ii) adequately update our supply-chain, manufacturing, installation, and record-keeping processes to meet such requirements, may result a partial or full reduction in the related U.S. federal tax benefit, and our customers, financiers and shareholders may require us to indemnify them for certain of such reductions.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we cannot be certain if the reduced reporting requirements applicable to these companies will make our common stock less attractive to investors.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(JOBS Act). For as long as we continue to be an emerging growth company, we intend to take advantage of exemptions from various reporting requirements that apply to other public companies that are not emerging growth companies, including:</w:t>
      </w:r>
    </w:p>
    <w:p>
      <w:pPr>
        <w:spacing w:after="0" w:line="176"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(the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regarding mandatory audit firm rotation or a supplement to the auditor’s report providing additional information about the audit and the financial statements;</w:t>
      </w:r>
    </w:p>
    <w:p>
      <w:pPr>
        <w:spacing w:after="0" w:line="17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proxy statements;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stockholder votes on executive compensation and stockholder approval of any golden parachute payments not previously approved.</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be different from companies that comply with the new or revised accounting pronouncements as of public company effective dates.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(1) the last day of the fiscal year in which we have at least $1.235 billion in total annual gross revenues;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IPO.</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Even after we no longer qualify as an emerging growth company, we may still qualify as a “smaller reporting company,” as defined in the Exchange Act, which generally would allow us to continue to take advantage of many of the same exemptions from disclosure requirements, including providing only two years of audited financial statements, not being required to comply with the auditor attestation requirements of Section 404 of the Sarbanes-Oxley Act and reduced disclosure obligations regarding executive compensation our periodic reports and proxy statements, unless we are also an accelerated filer, in which case different requirements will apply.</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cannot predict if investors will find our securities less attractive because we may rely on these exemptions. If some investors find our common stock less attractive as a result, there may be a less active trading market for our securities and the trading price of our securities may be more volatile.</w:t>
      </w:r>
    </w:p>
    <w:p>
      <w:pPr>
        <w:spacing w:after="0" w:line="15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Macroeconomic conditions in our domestic and international markets, as well as inflation concerns, instability of financial institutions, rising interest rates, and recessionary concerns may adversely affect our industry, business and financial results.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depends on the overall demand for our solar energy products and on the economic health and willingness of our customers and potential customers to purchase our products and services. As a result of macroeconomic or market uncertainty, including inflation concerns, rising interest rates, recessionary concerns, and geopolitical conflicts, customers may decide to delay purchasing our products and services or not purchase at all. In addition, a number of the risks associated with our business, which are disclosed in these risk factors, may increase in likelihood, magnitude or duration, and we may face new risks that we have not yet identified.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past, unfavorable macroeconomic and market conditions have resulted in sustained periods of decreased demand. Macroeconomic and market conditions could be adversely affected by a variety of political, economic or other factors in the U.S. and international markets, which could, in turn, adversely affect spending levels of installers and end users and could create volatility or deteriorating conditions in the markets in which we operate. Macroeconomic uncertainty or weakness could result in:</w:t>
      </w:r>
    </w:p>
    <w:p>
      <w:pPr>
        <w:spacing w:after="0" w:line="180"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demand for our products as a result of constraints on spending for solar energy systems by our customers and/or a reduction in government subsidies for renewable energy investments;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price competition for our products that may adversely affect revenue, gross margin and profitability;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any disadvantageous trade regulations and import duties and tariffs;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ability to forecast operating results and make decisions about budgeting, planning and future investments;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popularity of solar energy as a green energy solution;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financial difficulties faced by our suppliers or other partners, including impacts to material costs, sales, liquidity levels, ability to continue investing in their businesses, ability to import or export goods, ability to meet development commitments and manufacturing capability;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overhead and production costs as a percentage of revenue.</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Reductions in customer spending in response to unfavorable or uncertain macroeconomic and market conditions, globally or in a particular region where we operate, would adversely affect our business, results of operations and financial condition.</w:t>
      </w:r>
    </w:p>
    <w:p>
      <w:pPr>
        <w:spacing w:after="0" w:line="15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Existing regulations and policies, including trade policies and tariffs, and changes to these regulations and policies, including changes to trade policies and tariffs, may present technical, regulatory, and economic barriers to the purchase and use of solar power products, which may significantly reduce demand for our products and services.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market for electric generation products is heavily influenced by federal, state and local government laws, geopolitical forces (such as trade policies and tariffs), regulations and policies concerning the electric utility industry in the U.S. and abroad, as well as policies promulgated by electric utilities. These regulations and policies often relate to electricity pricing and technical interconnection of customer-owned electricity generation, and trade and policy changes that make solar power less competitive with other power sources could deter investment in the research and development of alternative energy sources as well as customer purchases of solar power technology, which could in turn result in a significant reduction in the demand for our solar power products. The market for electric generation equipment is also influenced by geopolitics, trade and local content laws, policies and tariffs, regulations and policies that can discourage growth and competition in the solar industry and create economic barriers to the purchase of solar power products, thus reducing demand for our solar products. In addition, on-grid applications depend on access to the grid, which is also regulated by government entities. We anticipate that our solar power products and our installation will continue to be subject to oversight and regulation in accordance with federal, state, local and foreign regulations relating to construction, safety, environmental protection, utility interconnection and metering, trade, and related matters. It is difficult to track the requirements of individual states or local jurisdictions and design equipment to comply with the varying standards. In addition, the U.S. and European Union, among others, have imposed tariffs or are in the process of evaluating the imposition of tariffs on solar panels, solar cells, polysilicon, and potentially other components. These and any other tariffs or similar taxes or duties may increase the price of our solar products and adversely affect our cost reduction roadmap, which could harm our results of operations and financial condition. We cannot predict what actions may be taken by the United States or other countries with respect to trade policies and tariffs or with respect to other policies and incentives that impact the solar industry, or that promote other forms of energy production over the solar industry. Any new regulations or policies pertaining our solar power products may result in significant additional expenses for our customers, which could cause a significant reduction in demand for our solar power products.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net metering and related policies to offer competitive pricing to customers in many of our current markets and changes to net metering policies may significantly reduce demand for electricity from residential solar energy systems.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Net metering is one of several key policies that have enabled the growth of distributed generation solar energy systems in the U.S., providing significant value to customers for electricity generated by their residential solar energy systems but not directly consumed on-site. Net metering allows a homeowner to pay his or her local electric utility for power usage net of production from the solar energy system or other distributed generation source. Homeowners receive a credit for the energy an interconnected solar energy system generates in excess of that needed by the home to offset energy purchases from the centralized utility made at times when the solar energy system is not generating sufficient energy to meet the customer’s demand. In many markets, this credit is equal to the residential retail rate for electricity and in other markets, such as Hawaii and Nevada, the rate is less than the retail rate and may be set, for example, as a percentage of the retail rate or based upon a valuation of the excess electricity. In some states and utility territories, customers are also reimbursed by the centralized electric utility for net excess generation on a periodic basis.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Net metering programs have been subject to legislative and regulatory scrutiny in some states and territories including, but not limited to, California, New Jersey, Arizona, Nevada, Connecticut, Florida, Maine, Kentucky, Puerto Rico and Guam. These jurisdictions, by statute, regulation, administrative order or a combination thereof, have recently adopted or are considering new restrictions and additional changes to net metering programs either on a state-wide basis or within specific utility territories. Many of these measures were introduced and supported by centralized electric utilities. These measures vary by jurisdiction and may include a reduction in the rates or value of the credits customers are paid or receive for the power they deliver back to the electrical grid, caps or limits on the aggregate installed capacity of generation in a state or utility territory eligible for net metering, expiration dates for and phasing out of net metering programs, replacement of net metering programs with alternative programs that may provide less compensation and limits on the capacity size of individual distributed generation systems that can qualify for net metering. Net metering and related policies concerning distributed generation also received attention from federal legislators and regulators.</w:t>
      </w:r>
    </w:p>
    <w:p>
      <w:pPr>
        <w:spacing w:after="0" w:line="18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California, the California Public Utilities Commission (“</w:t>
      </w:r>
      <w:r>
        <w:rPr>
          <w:rFonts w:ascii="Times New Roman" w:cs="Times New Roman" w:eastAsia="Times New Roman" w:hAnsi="Times New Roman"/>
          <w:sz w:val="18"/>
          <w:szCs w:val="18"/>
          <w:b w:val="1"/>
          <w:bCs w:val="1"/>
          <w:color w:val="auto"/>
        </w:rPr>
        <w:t>CPUC</w:t>
      </w:r>
      <w:r>
        <w:rPr>
          <w:rFonts w:ascii="Times New Roman" w:cs="Times New Roman" w:eastAsia="Times New Roman" w:hAnsi="Times New Roman"/>
          <w:sz w:val="18"/>
          <w:szCs w:val="18"/>
          <w:color w:val="auto"/>
        </w:rPr>
        <w:t>”) issued an order in 2016 retaining retail-based net metering credits for residential customers of California’s major utilities as part of Net Energy Metering 2.0 (“</w:t>
      </w:r>
      <w:r>
        <w:rPr>
          <w:rFonts w:ascii="Times New Roman" w:cs="Times New Roman" w:eastAsia="Times New Roman" w:hAnsi="Times New Roman"/>
          <w:sz w:val="18"/>
          <w:szCs w:val="18"/>
          <w:b w:val="1"/>
          <w:bCs w:val="1"/>
          <w:color w:val="auto"/>
        </w:rPr>
        <w:t>NEM 2.0</w:t>
      </w:r>
      <w:r>
        <w:rPr>
          <w:rFonts w:ascii="Times New Roman" w:cs="Times New Roman" w:eastAsia="Times New Roman" w:hAnsi="Times New Roman"/>
          <w:sz w:val="18"/>
          <w:szCs w:val="18"/>
          <w:color w:val="auto"/>
        </w:rPr>
        <w:t>”). Under NEM 2.0, new distributed generation customers receive the retail rate for electricity exported to the grid, less certain non-by passable fees. Customers under NEM 2.0 also are subject to interconnection charges and time-of-use rates. Existing customers who receive service under the prior net metering program, as well as new customers under the NEM 2.0 program, currently are permitted to remain covered by them on a legacy basis for a period of 20 years. On September 3, 2020, the CPUC opened a new proceeding to review its current net metering policies and to develop Net Energy Metering 3.0 (“</w:t>
      </w:r>
      <w:r>
        <w:rPr>
          <w:rFonts w:ascii="Times New Roman" w:cs="Times New Roman" w:eastAsia="Times New Roman" w:hAnsi="Times New Roman"/>
          <w:sz w:val="18"/>
          <w:szCs w:val="18"/>
          <w:b w:val="1"/>
          <w:bCs w:val="1"/>
          <w:color w:val="auto"/>
        </w:rPr>
        <w:t>NEM 3.0</w:t>
      </w:r>
      <w:r>
        <w:rPr>
          <w:rFonts w:ascii="Times New Roman" w:cs="Times New Roman" w:eastAsia="Times New Roman" w:hAnsi="Times New Roman"/>
          <w:sz w:val="18"/>
          <w:szCs w:val="18"/>
          <w:color w:val="auto"/>
        </w:rPr>
        <w:t>”), also referred to by the CPUC as the NEM 2.0 successor tariff. NEM 3.0 was finalized on December 15, 2022 and includes several changes from previous net metering plans. The changes instituted by NEM 3.0 impacted the amount that homeowners with solar power will be able to recuperate when selling excess energy back to the utility grid. With NEM 3.0, the value of the credits for net exports are tied to the state’s Distributed Energy Resources Avoided Cost Calculator Documentation (“</w:t>
      </w:r>
      <w:r>
        <w:rPr>
          <w:rFonts w:ascii="Times New Roman" w:cs="Times New Roman" w:eastAsia="Times New Roman" w:hAnsi="Times New Roman"/>
          <w:sz w:val="18"/>
          <w:szCs w:val="18"/>
          <w:b w:val="1"/>
          <w:bCs w:val="1"/>
          <w:color w:val="auto"/>
        </w:rPr>
        <w:t>ACC</w:t>
      </w:r>
      <w:r>
        <w:rPr>
          <w:rFonts w:ascii="Times New Roman" w:cs="Times New Roman" w:eastAsia="Times New Roman" w:hAnsi="Times New Roman"/>
          <w:sz w:val="18"/>
          <w:szCs w:val="18"/>
          <w:color w:val="auto"/>
        </w:rPr>
        <w:t>”). Another significant change with NEM 3.0 relates to the netting period: the time period over which the utilities measure the clean energy being imported or exported. In general, longer netting periods have typically been advantageous for solar power customers because production can offset any consumption. NEM 3.0 will instead measure energy using instantaneous netting, which means interval netting approximately every 15 minutes. This will lead to more NEM customers’ electricity registering as exports, now valued at the new, lower ACC value. Overall, the institution on NEM 3.0 has resulted in a smaller market for residential solar systems and it is not certain that market conditions will improve or that NEM 3.0 will be amended or replaced with a more solar-friendly rate structure. Other states may adopt policies similar to NEM 3.0 that cause deterioration to other residential solar markets.</w:t>
      </w:r>
    </w:p>
    <w:p>
      <w:pPr>
        <w:spacing w:after="0" w:line="18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shortage, delay or component price change from these suppliers or delays and price increases associated with the product transport logistics could result in sales and installation delays, cancellations and loss of market share.</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purchase solar panels, inverters and other system components from a number of suppliers for certain components; however, we may be susceptible to quality issues, shortages and price changes. If we fail to develop, maintain and expand relationships with existing or new suppliers, we may be unable to adequately meet anticipated demand for our solar energy systems or may only be able to offer our systems at higher costs or after delays. If one or more of the suppliers that we rely upon to meet anticipated demand ceases or reduces production, we may be unable to satisfy this demand due to an inability to quickly identify alternate suppliers or to qualify alternative products on commercially reasonable terms.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particular, there are a limited number of inverter and battery suppliers. Once we design a system for use with a particular inverter or battery, if that type of inverter or battery is not readily available at an anticipated price, we may incur additional delay and expense to redesign the system and source alternative inventory.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production of solar panels involves the use of numerous raw materials and components. Several of these have experienced periods of limited availability, particularly polysilicon, as well as indium, cadmium telluride, aluminum and copper. The manufacturing infrastructure for some of these raw materials and components has a long lead time, requires significant capital investment and relies on the continued availability of key commodity materials, potentially resulting in an inability to meet demand for these components. The prices for these raw materials and components fluctuate depending on global market conditions and demand and we may experience rapid increases in costs or sustained periods of limited supplies.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Despite efforts to obtain components from multiple sources whenever possible, many suppliers may be single-source suppliers of certain components. If we cannot maintain long-term supply agreements or identify and qualify multiple sources for components, access to supplies at satisfactory prices, volumes and quality levels may be harmed. We may also experience delivery delays of components from suppliers in various global locations. In addition, while there are alternative suppliers and service providers that we could enter into agreements with to replace our suppliers on commercially reasonable terms, we may be unable to establish alternate supply relationships or obtain or engineer replacement components in the short term, or at all, at favorable prices or costs. Qualifying alternate suppliers or developing our own replacements for certain components may be time-consuming and costly and may force us to make modifications to our product designs.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need to purchase supplies globally and our continued international expansion further subjects us to risks relating to currency fluctuations. Any decline in the exchange rate of the U.S. dollar compared to the functional currency of component suppliers could increase component prices. In addition, the state of the financial markets could limit suppliers’ ability to raise capital if they are required to expand their production to meet our needs or satisfy our operating capital requirements. Changes in economic and business conditions, wars, governmental changes and other factors beyond our control or which we do not presently anticipate, could also affect suppliers’ solvency and ability to deliver components on a timely basis. Any of these shortages, delays or price changes could limit our growth, cause cancellations or adversely affect profitability and the ability to compete in the markets in which we operate effectively.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business substantially focuses on solar service agreements and transactions with residential customers.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substantially focuses on solar service agreements and transactions with residential customers. Our energy system sales to homeowners utilize power purchase agreements (“</w:t>
      </w:r>
      <w:r>
        <w:rPr>
          <w:rFonts w:ascii="Times New Roman" w:cs="Times New Roman" w:eastAsia="Times New Roman" w:hAnsi="Times New Roman"/>
          <w:sz w:val="18"/>
          <w:szCs w:val="18"/>
          <w:b w:val="1"/>
          <w:bCs w:val="1"/>
          <w:color w:val="auto"/>
        </w:rPr>
        <w:t>PPAs</w:t>
      </w:r>
      <w:r>
        <w:rPr>
          <w:rFonts w:ascii="Times New Roman" w:cs="Times New Roman" w:eastAsia="Times New Roman" w:hAnsi="Times New Roman"/>
          <w:sz w:val="18"/>
          <w:szCs w:val="18"/>
          <w:color w:val="auto"/>
        </w:rPr>
        <w:t>”), leases, loans and other products and services. We currently offer PPAs and leases through Goodleap, LLC, LightReach, EverBright, LLC, Dividend Solar Loan Company and other financial institutions. If we were unable to arrange new or alternative financing methods for PPAs and leases on favorable terms, our business, financial condition, results of operations, and prospects could be materially and adversely affected.</w:t>
      </w:r>
    </w:p>
    <w:p>
      <w:pPr>
        <w:spacing w:after="0" w:line="17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operations and growth effectively, we may be unable to execute our business plan, maintain high levels of customer service or adequately address competitive challenges.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experienced significant growth in recent periods (including through the integration of acquired companies) as measured by our number of customers, and we intend to continue efforts to expand our business within existing and new markets. This growth (including these integration activities) has placed, and any future growth may place, a strain on management, operational and financial infrastructure. Our growth requires our management to devote a significant amount of time and effort to maintain and expand relationships with customers, dealers and other third parties, attract new customers and dealers, arrange financing for growth and manage expansion into additional markets.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our current and planned operations, personnel, information technology and other systems and procedures might need to be revised to support future growth and may require us to make additional unanticipated investments in its infrastructure. Our success and ability to further scale our business will depend, in part, on our ability to manage these changes in a cost-effective and efficient manner.</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cannot manage operations and growth, we may be unable to meet expectations regarding growth, opportunity and financial targets, take advantage of market opportunities, execute our business strategies or respond to competitive pressures. This could also result in declines in quality or customer satisfaction, increased costs, difficulties in introducing new offerings or other operational difficulties. Any failure to effectively manage our operations and growth could adversely impact our reputation, business, financial condition, cash flows and results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losses and may be unable to achieve or sustain profitability in the future.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incurred net losses in the past, including a net loss from continuing operations of $44.3 million in the fiscal year ended December 28, 2025. We had an accumulated deficit of $451.5 million as of March 29, 2026. Additionally, as of March 29, 2026, we had current indebtedness of $38.0 million and long-term indebtedness, including derivative liabilities, net of current of $131.8 million. We will continue to incur net losses as spending increases to finance the expansion of operations, installation, engineering, administrative, sales and marketing staffs, spending increases on brand awareness and other sales and marketing initiatives and implement internal systems and infrastructure to support the Company’s growth. We do not know whether revenue will grow rapidly enough to absorb these costs, and our limited operating history makes it difficult to assess the extent of these expenses or their impact on results of operations. Our ability to achieve profitability depends on a number of factors, including but not limited to:</w:t>
      </w:r>
    </w:p>
    <w:p>
      <w:pPr>
        <w:spacing w:after="0" w:line="18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the customer base;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or further lowering the cost of capital;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cost of components for our solar service offerings;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and maintaining our sales partner network;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direct-to-consumer and New Homes business to scale; and</w:t>
      </w:r>
    </w:p>
    <w:p>
      <w:pPr>
        <w:spacing w:after="0" w:line="225" w:lineRule="exact"/>
        <w:rPr>
          <w:rFonts w:ascii="Times New Roman" w:cs="Times New Roman" w:eastAsia="Times New Roman" w:hAnsi="Times New Roman"/>
          <w:sz w:val="18"/>
          <w:szCs w:val="18"/>
          <w:color w:val="auto"/>
        </w:rPr>
      </w:pPr>
    </w:p>
    <w:p>
      <w:pPr>
        <w:ind w:left="340" w:right="140" w:hanging="8"/>
        <w:spacing w:after="0" w:line="498" w:lineRule="auto"/>
        <w:tabs>
          <w:tab w:leader="none" w:pos="6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operating costs by lowering customer acquisition costs and optimizing our design and installation processes and supply chain logistics. Even if we do achieve profitability, we may be unable to sustain or increase profitability in the future.</w:t>
      </w:r>
    </w:p>
    <w:p>
      <w:pPr>
        <w:spacing w:after="0" w:line="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material drop in the retail price of utility-generated electricity or electricity from other sources could adversely impact our ability to attract customers, which would harm our business, financial condition, and results of operations.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a homeowner’s decision to buy solar energy from us is primarily driven by a desire to lower electricity costs. Decreases in the retail prices of electricity from utilities or other energy sources would harm our ability to offer competitive pricing and could harm its business. The price of electricity from utilities could decrease as a result of:</w:t>
      </w:r>
    </w:p>
    <w:p>
      <w:pPr>
        <w:spacing w:after="0" w:line="17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construction of a significant number of new power generation plants, including nuclear, coal, natural gas or renewable energy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construction of additional electric transmission and distribution lines;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price of natural gas or other natural resources as a result of new drilling techniques or other technological developments, a relaxation of associated regulatory standards, or broader economic or policy developments;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conservation technologies and public initiatives to reduce electricity consumption;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subsidies impacting electricity prices, including in connection with electricity generation and transmission;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energy technologies that provide less expensive energy.</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reduction in utility electricity prices would make the purchase of our solar service offerings less attractive. If the retail price of energy available from utilities were to decrease due to any of these or other reasons, we would be at a competitive disadvantage. As a result, we may be unable to attract new homeowners and growth would be limited.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from both traditional energy companies and renewable energy companies.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solar energy and renewable energy industries are both highly competitive and continually evolving as participants strive to distinguish themselves within their markets and compete with large utilities. Our primary competitors are the traditional utilities that supply energy to potential customers. We compete with these utilities primarily based on price, predictability of price and the ease by which customers can switch to electricity generated by our solar energy systems. If we cannot offer compelling value to its customers based on these factors, then our business will not grow. Utilities generally have substantially greater financial, technical, operational and other resources than us. As a result of their greater size, these competitors may be able to devote more resources to the research, development, promotion and sale of their products or respond more quickly to evolving industry standards and changes in market conditions than we can. Utilities could also offer other value added products and services that could help them compete with us even if the cost of electricity they offer is higher than ours. In addition, utilities’ diversified generation portfolios which may allow utilities to sell electricity more cheaply than electricity generated by our solar energy systems.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growth strategy depends on the widespread adoption of solar power technology.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distributed residential solar energy market is at a relatively early stage of development compared to fossil fuel-based electricity generation. If additional demand for distributed residential solar energy systems fails to develop sufficiently or takes longer to develop than we anticipate, the Company may be unable to originate additional solar service agreements and related solar energy systems and energy storage systems to grow the business. In addition, demand for solar energy systems and energy storage systems in our targeted markets may not develop to the extent it anticipates. As a result, we may need to successfully broaden our customer base through origination of solar service agreements and related solar energy systems and energy storage systems within its current markets or in new markets we may enter.</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Many factors may affect the demand for solar energy systems, including, but not limited to, the following:</w:t>
      </w:r>
    </w:p>
    <w:p>
      <w:pPr>
        <w:spacing w:after="0" w:line="225"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substance and magnitude of solar support programs including government targets, subsidies, incentives, renewable portfolio standards and residential net metering rules;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pricing of other conventional and non-renewable energy sources, such as natural gas, coal, oil and other fossil fuels, wind, utility-scale solar, nuclear, geothermal and biomass;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reliability and availability of energy generated by solar energy systems compared to conventional and other non-solar renewable energy sources;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performance of energy storage technology, the ability to implement such technology for use in conjunction with solar energy systems and the cost competitiveness such technology provides to customers as compared to costs for those customers reliant on the conventional electrical grid;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the level of interest rates.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residential solar energy industry is constantly evolving, which makes it difficult to evaluate our prospects. We cannot be certain if historical growth rates reflect future opportunities or its anticipated growth will be realized. The failure of distributed residential solar energy to achieve, or its being significantly delayed in achieving, widespread adoption could have a material adverse effect on our business, financial condition and results of operations.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seasonal trends, poor weather, labor shortages, and construction cycles.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is subject to significant industry-specific seasonal fluctuations. In the U.S., many customers make purchasing decisions towards the end of the year in order to take advantage of tax credits and residential solar sales tend to decline during the winter months. In addition, sales in the new home development market are often tied to construction market demands, which tend to follow national trends in construction, including declining sales during cold weather months.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disasters, terrorist activities, political unrest, economic volatility, and other outbreaks could disrupt our delivery and operations, which could materially and adversely affect our business, financial condition, and results of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Global pandemics or fear of spread of contagious diseases, such as Ebola virus disease (EVD), coronavirus disease 2019 (COVID-19), Middle East respiratory syndrome (MERS), severe acute respiratory syndrome (SARS), H1N1 flu, H7N9 flu, avian flu and monkeypox, as well as hurricanes, earthquakes, tsunamis, or other natural disasters could disrupt our business operations, reduce or restrict operations and services, incur significant costs to protect its employees and facilities, or result in regional or global economic distress, which may materially and adversely affect business, financial condition, and results of operations. Actual or threatened war, terrorist activities, political unrest, civil strife, future disruptions in access to bank deposits or lending commitments due to bank failures and other geopolitical uncertainty could have a similar adverse effect on our business, financial condition, and results of operations. On February 24, 2022, the Russian Federation launched an invasion of Ukraine that has had an immediate impact on the global economy resulting in higher energy prices and higher prices for certain raw materials and goods and services which in turn is contributing to higher inflation in the U.S. and other countries across the globe with significant disruption to financial markets. Any one or more of these events may impede our operation and delivery efforts and adversely affect sales results, or even for a prolonged period of time, which could materially and adversely affect our business, financial condition, and results of operations. We cannot predict the full effects the supply chain constraints will have on our business, cash flows, liquidity, financial condition and results of operations at this time due to numerous uncertainties.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the credit risk of customers and our finance partners, and payment delinquencies on accounts receivables.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Defaults by customers and the financial institutions that fund some of our customers’ solar systems have not been material to date, but we expect that the risk of customer defaults or financial partner defaults may increase as we grow our business. For example, Sunnova Energy International, Inc. (“Sunnova”), a major provider of financing for solar systems, announced that substantial doubt exists regarding its ability to continue as a going concern. While the Company does not use Sunnova for any of its customer financing, if any of our financing partners experience liquidity concerns or stop funding projects, we may incur significant losses or project delays. If any of our customers are unable to make milestone payments on systems purchased in cash, our revenue and costs could be adversely affected. If economic conditions worsen, certain of our customers or finance partners may face liquidity concerns and may be unable to satisfy their payment obligations to us on a timely basis or at all, which could have a material adverse effect on our financial condition and results of operations.</w:t>
      </w:r>
    </w:p>
    <w:p>
      <w:pPr>
        <w:spacing w:after="0" w:line="18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of past or future acquisitions, including the transactions under the asset purchase agreement with the SunPower Debtors, the Sunder Acquisition, the Ambia Acquisition and the Cobalt Acquisition and integration of these acquisitions may disrupt our business.</w:t>
      </w:r>
    </w:p>
    <w:p>
      <w:pPr>
        <w:spacing w:after="0" w:line="17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November 2022, we acquired The Solaria Corporation (“</w:t>
      </w:r>
      <w:r>
        <w:rPr>
          <w:rFonts w:ascii="Times New Roman" w:cs="Times New Roman" w:eastAsia="Times New Roman" w:hAnsi="Times New Roman"/>
          <w:sz w:val="18"/>
          <w:szCs w:val="18"/>
          <w:b w:val="1"/>
          <w:bCs w:val="1"/>
          <w:color w:val="auto"/>
        </w:rPr>
        <w:t>Solaria</w:t>
      </w:r>
      <w:r>
        <w:rPr>
          <w:rFonts w:ascii="Times New Roman" w:cs="Times New Roman" w:eastAsia="Times New Roman" w:hAnsi="Times New Roman"/>
          <w:sz w:val="18"/>
          <w:szCs w:val="18"/>
          <w:color w:val="auto"/>
        </w:rPr>
        <w:t>”), after which Complete Solar was renamed “Complete Solaria, Inc.” In October 2023, we subsequently sold solar panel assets of Solaria, including intellectual property and customer contracts, to Maxeon Solar Technologies, Ltd., which resulted in an impairment loss of $147.5 million and loss on disposal of $1.8 million. On September 30, 2024, we completed the acquisition of the Acquired SunPower Assets under the APA with the SunPower Debtors, which resulted in our acquisition of the SunPower Businesses and a significant expansion of our business operations and headcount. On September 21, 2025, we entered into an agreement to acquire Sunder and completed the Sunder Acquisition effective September 24, 2025. On November 21, 2025, we entered into an agreement to acquire Ambia and completed the Ambia Acquisition on November 21, 2025. We completed the acquisition of Cobalt on February 2, 2026. In the future, we may acquire additional companies, project pipelines, products, or technologies, or enter into joint ventures or other strategic initiatives. Our ability as an organization to integrate acquisitions is unproven. We may not realize the anticipated benefits of our acquisitions or any other future acquisition or the acquisition may be viewed negatively by customers, financial markets or investors.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ind w:left="340"/>
        <w:spacing w:after="0"/>
        <w:rPr>
          <w:sz w:val="20"/>
          <w:szCs w:val="20"/>
          <w:color w:val="auto"/>
        </w:rPr>
      </w:pPr>
      <w:r>
        <w:rPr>
          <w:rFonts w:ascii="Times New Roman" w:cs="Times New Roman" w:eastAsia="Times New Roman" w:hAnsi="Times New Roman"/>
          <w:sz w:val="18"/>
          <w:szCs w:val="18"/>
          <w:color w:val="auto"/>
        </w:rPr>
        <w:t>Any acquisition has numerous risks, including, but not limited to, the following:</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assimilating the operations and personnel of the acquired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effectively integrating the acquired technologies or products with current products and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controls, procedures and policies during the transition and integration;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ongoing business and distraction of management and employees from other opportunities and challenges due to integration issues;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acquired company’s accounting, management information and other administrative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technical and managerial personnel of the acquired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customers, vendors, and other business partners of the acquired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the financial and strategic goals for the acquired and combined businesses;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acquisition-related costs or amortization costs for acquired intangible assets that could impact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due diligence processes to identify significant issues with product quality, legal and financial liabilities, among other things;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assert that internal controls over financial reporting are effective;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or obtain in a timely manner, approvals from governmental authorities, which could delay or prevent such acquisitions.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rebuild trust with home builders due to the bankruptcy of the SunPower Debtors.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advantageous financing arrangements with financiers in order to pass the saving on to customers.</w:t>
      </w:r>
    </w:p>
    <w:p>
      <w:pPr>
        <w:spacing w:after="0" w:line="22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file claims against other parties for infringing its intellectual property that may be costly and may not be resolved in its favor.</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protect our intellectual property rights and to maintain competitive advantage, we have filed, and may continue to file, suits against parties we believe infringe or misappropriate our intellectual property. Intellectual property litigation is expensive and time-consuming, could divert management’s attention from our business, and could have a material adverse effect on our business, operating results, or financial condition, and our enforcement efforts may not be successful. In addition, the validity of our patents may be challenged in such litigation. Our participation in intellectual property enforcement actions may negatively impact our financial results.</w:t>
      </w:r>
    </w:p>
    <w:p>
      <w:pPr>
        <w:spacing w:after="0" w:line="179"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Developments in technology or improvements in distributed solar energy generation and related technologies or components may materially adversely affect demand for our offerings.</w:t>
      </w:r>
    </w:p>
    <w:p>
      <w:pPr>
        <w:spacing w:after="0" w:line="159"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Significant developments in technology, such as advances in distributed solar power generation, energy storage solutions such as batteries, energy storage management systems, the widespread use or adoption of fuel cells for residential or commercial properties or improvements in other forms of distributed or centralized power production may materially and adversely affect demand for our offerings and otherwise affect our business. Future technological advancements may result in reduced prices to consumers or more efficient solar energy systems than those available today, either of which may result in current customer dissatisfaction. We may not be able to adopt these new technologies as quickly as its competitors or on a cost-effective basis.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recent technological advancements may impact our business in ways not currently anticipated. Any failure by us to adopt or have access to new or enhanced technologies or processes, or to react to changes in existing technologies, could result in product obsolescence or the loss of competitiveness of and decreased consumer interest in its solar energy services, which could have a material adverse effect on its business, financial condition and results of operations.</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data protection laws. Many of these laws and regulations are subject to change and uncertain interpretation and could result in claims, increased cost of operations or otherwise harm its business.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Consumer personal privacy and data security have become significant issues and the subject of rapidly evolving regulation in the U.S. Furthermore, federal, state and local government bodies or agencies have in the past adopted, and may in the future adopt, more laws and regulations affecting data privacy. For example, the state of California enacted the California Consumer Privacy Act of 2018 (“</w:t>
      </w:r>
      <w:r>
        <w:rPr>
          <w:rFonts w:ascii="Times New Roman" w:cs="Times New Roman" w:eastAsia="Times New Roman" w:hAnsi="Times New Roman"/>
          <w:sz w:val="18"/>
          <w:szCs w:val="18"/>
          <w:b w:val="1"/>
          <w:bCs w:val="1"/>
          <w:color w:val="auto"/>
        </w:rPr>
        <w:t>CCPA</w:t>
      </w:r>
      <w:r>
        <w:rPr>
          <w:rFonts w:ascii="Times New Roman" w:cs="Times New Roman" w:eastAsia="Times New Roman" w:hAnsi="Times New Roman"/>
          <w:sz w:val="18"/>
          <w:szCs w:val="18"/>
          <w:color w:val="auto"/>
        </w:rPr>
        <w:t>”) and California voters recently approved the California Privacy Rights Act (“</w:t>
      </w:r>
      <w:r>
        <w:rPr>
          <w:rFonts w:ascii="Times New Roman" w:cs="Times New Roman" w:eastAsia="Times New Roman" w:hAnsi="Times New Roman"/>
          <w:sz w:val="18"/>
          <w:szCs w:val="18"/>
          <w:b w:val="1"/>
          <w:bCs w:val="1"/>
          <w:color w:val="auto"/>
        </w:rPr>
        <w:t>CPRA</w:t>
      </w:r>
      <w:r>
        <w:rPr>
          <w:rFonts w:ascii="Times New Roman" w:cs="Times New Roman" w:eastAsia="Times New Roman" w:hAnsi="Times New Roman"/>
          <w:sz w:val="18"/>
          <w:szCs w:val="18"/>
          <w:color w:val="auto"/>
        </w:rPr>
        <w:t>”). The CCPA creates individual privacy rights for consumers and places increased privacy and security obligations on entities handling the personal data of consumers or households. The CCPA went into effect in January 2020 and it requires covered companies to provide new disclosures to California consumers, provides such consumers, business-to-business contacts and employees new ways to opt-out of certain sales of personal information, and allows for a new private right of action for data breaches. The CPRA modifies the CCPA and imposes additional data protection obligations on companies doing business in California, including additional consumer rights processes and opt outs for certain uses of sensitive data. The CCPA and the CPRA may significantly impact the Company’s business activities and require substantial compliance costs that adversely affect its business, operating results, prospects and financial condition. To date, we have not experienced substantial compliance costs in connection with fulfilling the requirements under the CCPA or CPRA. However, we cannot be certain that compliance costs will not increase in the future with respect to the CCPA and CPRA or any other recently passed consumer privacy regulation.</w:t>
      </w:r>
    </w:p>
    <w:p>
      <w:pPr>
        <w:spacing w:after="0" w:line="1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Outside the U.S., an increasing number of laws, regulations, and industry standards may govern data privacy and security. For example, the European Union’s General Data Protection Regulation (“</w:t>
      </w:r>
      <w:r>
        <w:rPr>
          <w:rFonts w:ascii="Times New Roman" w:cs="Times New Roman" w:eastAsia="Times New Roman" w:hAnsi="Times New Roman"/>
          <w:sz w:val="18"/>
          <w:szCs w:val="18"/>
          <w:b w:val="1"/>
          <w:bCs w:val="1"/>
          <w:color w:val="auto"/>
        </w:rPr>
        <w:t>EU GDPR</w:t>
      </w:r>
      <w:r>
        <w:rPr>
          <w:rFonts w:ascii="Times New Roman" w:cs="Times New Roman" w:eastAsia="Times New Roman" w:hAnsi="Times New Roman"/>
          <w:sz w:val="18"/>
          <w:szCs w:val="18"/>
          <w:color w:val="auto"/>
        </w:rPr>
        <w:t>”) and the United Kingdom’s GDPR (“</w:t>
      </w:r>
      <w:r>
        <w:rPr>
          <w:rFonts w:ascii="Times New Roman" w:cs="Times New Roman" w:eastAsia="Times New Roman" w:hAnsi="Times New Roman"/>
          <w:sz w:val="18"/>
          <w:szCs w:val="18"/>
          <w:b w:val="1"/>
          <w:bCs w:val="1"/>
          <w:color w:val="auto"/>
        </w:rPr>
        <w:t>UK GDPR</w:t>
      </w:r>
      <w:r>
        <w:rPr>
          <w:rFonts w:ascii="Times New Roman" w:cs="Times New Roman" w:eastAsia="Times New Roman" w:hAnsi="Times New Roman"/>
          <w:sz w:val="18"/>
          <w:szCs w:val="18"/>
          <w:color w:val="auto"/>
        </w:rPr>
        <w:t>”) impose strict requirements for processing personal data.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 Non-compliance with the UK GDPR may result in substantially similar adverse consequences to those in relation to the EU GDPR, including monetary penalties of up to £17.5 million or 4% of worldwide revenue, whichever is higher.</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Europe and other jurisdictions to the U.S.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w:t>
      </w:r>
      <w:r>
        <w:rPr>
          <w:rFonts w:ascii="Times New Roman" w:cs="Times New Roman" w:eastAsia="Times New Roman" w:hAnsi="Times New Roman"/>
          <w:sz w:val="18"/>
          <w:szCs w:val="18"/>
          <w:b w:val="1"/>
          <w:bCs w:val="1"/>
          <w:color w:val="auto"/>
        </w:rPr>
        <w:t>EEA</w:t>
      </w:r>
      <w:r>
        <w:rPr>
          <w:rFonts w:ascii="Times New Roman" w:cs="Times New Roman" w:eastAsia="Times New Roman" w:hAnsi="Times New Roman"/>
          <w:sz w:val="18"/>
          <w:szCs w:val="18"/>
          <w:color w:val="auto"/>
        </w:rPr>
        <w:t>”) and the United Kingdom have significantly restricted the transfer of personal data to the U.S. and other countries whose privacy laws it believes are not adequate. Other jurisdictions may adopt similarly stringent interpretations of their data localization and cross- border data transfer laws. Although there are currently various mechanisms that may be used to transfer personal data from the EEA and UK to the U.S. in compliance with law, such as the EEA and UK’s standard contractual clauses, these mechanisms are subject to legal challenges, and there is no assurance that the Company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its operations, the need to relocate part of or all of its business or data processing activities to other jurisdictions at significant expense, increased exposure to regulatory actions, substantial fines and penalties, the inability to transfer data and work with partners, vendors and other third parties, and injunctions against its processing or transferring of personal data necessary to operate its business. Some European regulators have ordered certain companies to suspend or permanently cease certain transfers out of Europe for allegedly violating the EU GDPR’s cross-border data transfer limitations.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inability to adequately address privacy and security concerns, even if unfounded, or comply with applicable privacy and data security laws, regulations and policies, could result in additional cost and liability to us damage our reputation, inhibit sales and adversely affect our business. Furthermore, the costs of compliance with, and other burdens imposed by, the laws, regulations and policies that are applicable to our business may limit the use and adoption of, and reduce the overall demand for, its solutions. If we are not able to adjust to changing laws, regulations and standards related to privacy or security, our business may be harmed.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unauthorized access to or disclosure or theft of personal information we gather, store or use could harm our reputation and subject us to claims or litigation.</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receive, store and use personal information of customers, including names, addresses, e-mail addresses, and other housing and energy use information. We also store information of dealers, including employee, financial and operational information. We rely on the availability of data collected from customers and dealers in order to manage our business and market our offerings. We take certain steps in an effort to protect the security, integrity and confidentiality of the personal information collected, stored or transmitted, but there is no guarantee inadvertent or unauthorized use or disclosure will not occur or third parties will not gain unauthorized access to this information despite our efforts. Although we take precautions to provide for disaster recovery, our ability to recover systems or data may be expensive and may interfere with normal operations. Also, although we obtain assurances from such third parties that they will use reasonable safeguards to secure their systems, we may be adversely affected by unavailability of their systems or unauthorized use or disclosure or its data maintained in such systems. Because techniques used to obtain unauthorized access or sabotage systems change frequently and generally are not identified until they are launched against a target, our suppliers or vendors and our dealers may be unable to anticipate these techniques or to implement adequate preventative or mitigation measures.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Cyberattacks in particular are becoming more sophisticated and include, but are not limited to, malicious software, attempts to gain unauthorized access to data and other electronic security breaches that could lead to disruptions in critical systems, disruption of customers’ operations, loss or damage to data delivery systems, unauthorized release of confidential or otherwise protected information, corruption of data and increased costs to prevent, respond to or mitigate cybersecurity events. In addition, certain cyber incidents, such as advanced persistent threats, may remain undetected for an extended period.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Unauthorized use, disclosure of or access to any personal information maintained by us or on the behalf of us, whether through breach of our systems, breach of the systems of our suppliers, vendors or dealers by an unauthorized party or through employee or contractor error, theft or misuse or otherwise, could harm our business. If any such unauthorized use, disclosure of or access to such personal information were to occur, our operations could be seriously disrupted and we could be subject to demands, claims and litigation by private parties and investigations, related actions and penalties by regulatory authorities.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could incur significant costs in notifying affected persons and entities and otherwise complying with the multitude of federal, state and local laws and regulations relating to the unauthorized access to, use of or disclosure of personal information. Finally, any perceived or actual unauthorized access to, use of or disclosure of such information could harm our reputation, substantially impair our business, financial condition and results of operations. While we currently maintain cybersecurity insurance, such insurance may not be sufficient to cover against claims, and we cannot be certain that cyber insurance will continue to be available on economically reasonable terms, or at all, or that any insurer will not deny coverage as to any future claim.</w:t>
      </w:r>
    </w:p>
    <w:p>
      <w:pPr>
        <w:spacing w:after="0" w:line="18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laws and regulations relating to interactions by the Company or its dealers with current or prospective residential customers, it could result in negative publicity, claims, investigations and litigation and adversely affect financial performance.</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business substantially focuses on home improvement contracts for the installation of solar systems for residential customers. We offer leases, loans and other products and services directly to consumers and through sales partners in our dealer networks, who utilize sales people employed by or engaged as third-party service providers of such contractors. We and our dealers must comply with numerous federal, state and local laws and regulations that govern matters relating to interactions with residential consumers, including those pertaining to consumer protection, marketing and sales, privacy and data security, consumer financial and credit transactions, mortgages and refinancings, home improvement contracts, warranties and various means of customer solicitation, including under the laws described below in “</w:t>
      </w:r>
      <w:r>
        <w:rPr>
          <w:rFonts w:ascii="Times New Roman" w:cs="Times New Roman" w:eastAsia="Times New Roman" w:hAnsi="Times New Roman"/>
          <w:sz w:val="18"/>
          <w:szCs w:val="18"/>
          <w:i w:val="1"/>
          <w:iCs w:val="1"/>
          <w:color w:val="auto"/>
        </w:rPr>
        <w:t>As sales to residential customers have grown, we have increasingly become subject to substantial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financing and consumer protection laws and regulations.</w:t>
      </w:r>
      <w:r>
        <w:rPr>
          <w:rFonts w:ascii="Times New Roman" w:cs="Times New Roman" w:eastAsia="Times New Roman" w:hAnsi="Times New Roman"/>
          <w:sz w:val="18"/>
          <w:szCs w:val="18"/>
          <w:color w:val="auto"/>
        </w:rPr>
        <w:t>” These laws and regulations are dynamic and subject to potentially differing interpretations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federal, state and local legislative and regulatory bodies may initiate investigations, expand current laws or regulations, or enact new laws and regulations regarding these matters. Changes in these laws or regulations or their interpretation could dramatically affect how we and our dealers do business, acquire customers and manage and use information collected from and about current and prospective customers and the costs associated therewith. We and our dealers strive to comply with all applicable laws and regulations relating to interactions with residential customers. It is possible, however, that these requirements may be interpreted and applied in a manner inconsistent from one jurisdiction to another and may conflict with other rules or our practices or the practices of our dealers.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we require dealers to meet consumer compliance requirements, we do not control dealers and their suppliers or their business practices. Accordingly, we cannot guarantee they follow ethical business practices such as fair wage practices and compliance with environmental, safety and other local laws. A lack of demonstrated compliance could lead us to seek alternative dealers or suppliers, which could increase costs and have a negative effect on business and prospects for growth. Violation of labor or other laws by our dealers or suppliers or the divergence of a dealer or supplier’s labor or other practices from those generally accepted as ethical in the U.S. or other markets in which the Company does or intends to do business could also attract negative publicity and harm the business.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From time to time, we have been included in lawsuits brought by the consumer customers of certain contractors in our networks, citing claims based on the sales practices of these contractors. We cannot be sure that a court of law would not determine that we are liable for the actions of the contractors in our networks or that a regulator or state attorney general’s office may hold us accountable for violations of consumer protection or other applicable laws by. Our risk mitigation processes may not be sufficient to mitigate financial harm associated with violations of applicable law by our contractors or ensure that any such contractor is able to satisfy its indemnification obligations to us. Any significant judgment against us could expose it to broader liabilities, a need to adjust our distribution channels for products and services or otherwise change our business model and could adversely impact the business.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introducing new services and product offerings.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intend to introduce new offerings of services and products to both new and existing customers in the future, including home automation products and additional home technology solutions. We may be unsuccessful in significantly broadening our customer base through the addition of these services and products within current markets or in new markets the Company may enter. Additionally, we may not be successful in generating substantial revenue from any additional services and products introduced in the future and may decline to initiate new product and service offerings.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Damage to our brand and reputation or change or loss of use of our brand could harm our business and results of operations.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depend significantly on our reputation for high-quality products, excellent customer service and the brand name “SunPower” to attract new customers and grow our business. If we fail to continue to deliver solar energy systems or energy storage systems within the planned timelines, if our offerings do not perform as anticipated or if we damage any of our customers’ properties or delays or cancels projects, our brand and reputation could be significantly impaired. Future technological improvements may allow the company to offer lower prices or offer new technology to new customers; however, technical limitations in our current solar energy systems and energy storage systems may prevent us from offering such lower prices or new technology to existing customers.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given the sheer number of interactions our personnel or dealers operating on our behalf have with customers and potential customers, it is inevitable that some customers’ and potential customers’ interactions with us or dealers operating on our behalf will be perceived as less than satisfactory. This has led to instances of customer complaints, some of which have affected our digital footprint on rating websites and social media platforms. If we cannot manage hiring and training processes to avoid or minimize these issues to the extent possible, our reputation may be harmed and our ability to attract new customers would suffer.</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if we were to no longer use, lose the right to continue to use or if others use the “SunPower” brand, we could lose recognition in the marketplace among customers, suppliers and dealers, which could affect our business, financial condition, results of operations and would require financial and other investment and management attention in new branding, which may not be as successful.</w:t>
      </w:r>
    </w:p>
    <w:p>
      <w:pPr>
        <w:spacing w:after="0" w:line="17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the continuing contributions of key personnel, including Thurman J. Rodgers. If we are unable to attract and retain key employees and qualified personnel, our business and prospects could be harmed.</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rely heavily on the services of our key executive officers and other key employees, in particular Thurman J. Rodgers, and the loss of services of any principal member of the management team or other key employees could adversely affect our operations. There have been, and from time to time there may continue to be, changes in our management team resulting from the hiring or departure of executives and key employees, or the transition of executives within our business, which could disrupt our business. For example, during 2024, 2025 and early 2026, we had turnover in key positions, including our Chief Executive Officer and our Chief Financial Officer. As a result of the SunPower Acquisition, the Sunder Acquisition, the Ambia Acquisition and the Cobalt Acquisition, we also appointed new employees to key positions and restructured our management reporting lines. Such changes in our executive management team or workforce may be disruptive to our business, divert management’s attention, result in a loss of knowledge and negatively impact employee morale. If we encounter further turnover or difficulties associated with the transition or departure of our executive officers and key employees, or if we are unsuccessful in recruiting new personnel or in retaining and motivating existing personnel, our operations may be disrupted, which could harm our business.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investing significant resources in developing new members of management as we complete our restructuring and strategic transformation, including as a result of the SunPower Acquisition. We also anticipate that over time we will need to hire a number of highly skilled technical, sales, marketing, administrative, and accounting personnel. The competition for qualified personnel is intense in this industry. We may not be successful in attracting and retaining sufficient numbers of qualified personnel to support its anticipated growth. We cannot guarantee that any employee will remain employed with us for any definite period of time since all employees, including key executive officers, serve at-will and may terminate their employment at any time for any reason.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Labor is subject to external factors that are beyond our control, including our industry’s highly competitive market for skilled workers and leaders, cost inflation, and workforce participation rates. As we build our brand and become more well known and grow globally, there is increased risk that competitors or other companies will seek to hire our personnel. The failure to attract, integrate, train, motivate and retain these personnel could seriously harm our business and prospects.</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dealers or suppliers fail to hire and retain sufficient employees and service providers in key functions, our growth and ability to timely complete customer projects and successfully manage customer accounts would be constrained.</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 support growth, we and our dealers need to hire, train, deploy, manage and retain a substantial number of skilled employees, engineers, installers, electricians and sales and project finance specialists. Competition for qualified personnel in this industry has increased substantially, particularly for skilled personnel involved in the installation of solar energy systems. We and our dealers also compete with the homebuilding and construction industries for skilled labor. These industries are cyclical and when participants in these industries seek to hire additional workers, it puts upward pressure on us and our dealers’ labor costs. Companies with whom our dealers compete to hire installers may offer compensation or incentive plans that certain installers may view as more favorable. As a result, our dealers may be unable to attract or retain qualified and skilled installation personnel. The further unionization of the industry’s labor force or the homebuilding and construction industries’ labor forces could also increase our dealers’ labor costs.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Shortages of skilled labor could significantly delay a project or otherwise increase dealers’ costs. Further, we need to continue to increase the training of the customer service team to provide high-end account management and service to homeowners before, during and following the point of installation of its solar energy systems. Identifying and recruiting qualified personnel and training them requires significant time, expense and attention. It can take several months before a new customer service team member is fully trained and productive at the standards established by us. If we are unable to hire, develop and retain talented customer service or other personnel, we may not be able to grow our business.</w:t>
      </w:r>
    </w:p>
    <w:p>
      <w:pPr>
        <w:spacing w:after="0" w:line="179"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and ability to grow may fluctuate from quarter to quarter and year to year, which could make future performance difficult to predict and could cause operating results for a particular period to fall below expectations.</w:t>
      </w:r>
    </w:p>
    <w:p>
      <w:pPr>
        <w:spacing w:after="0" w:line="15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quarterly and annual operating results and its ability to grow are difficult to predict and may fluctuate significantly. We have experienced seasonal and quarterly fluctuations in the past and expect to experience such fluctuations in the future. In addition to the other risks described in this “Risk Factors” section, the following factors could cause operating results to fluctuate:</w:t>
      </w:r>
    </w:p>
    <w:p>
      <w:pPr>
        <w:spacing w:after="0" w:line="17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or initiation of any governmental rebates or incentives;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fluctuations in customer demand for our solar energy services, solar energy systems and energy storage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dealers’ ability to complete installations in a timely manner;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dealers’ ability to gain interconnection permission for an installed solar energy system from the relevant utility;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terms and costs of suitable financing;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timing of sales and potential decreases in value of Solar Renewable Energy Certificates;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expand its operations and the amount and timing of expenditures related to this expansion;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capital-raising activities or commitments;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terms or those of competitors, including centralized electric utilities;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competitors’ businesses, technology or the competitive landscape;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other weather or meteorological conditions.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these or other reasons, the results of any prior quarterly or annual periods should not be relied upon as indications of our future performance.</w:t>
      </w:r>
    </w:p>
    <w:p>
      <w:pPr>
        <w:spacing w:after="0" w:line="22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obtain insurance on the terms of any available insurance coverage could be materially adversely affected by international, national, state or local events or company-specific events, as well as the financial condition of insurers.</w:t>
      </w:r>
    </w:p>
    <w:p>
      <w:pPr>
        <w:spacing w:after="0" w:line="15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insurance policies cover legal and contractual liabilities arising out of bodily injury, personal injury or property damage to third parties and are subject to policy limits.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However, such policies do not cover all potential losses and coverage is not always available in the insurance market on commercially reasonable terms. In addition, we may have disagreements with insurers on the amount of recoverable damages and the insurance proceeds received for any loss of, or any damage to, any of our assets may be claimed by lenders under financing arrangements or otherwise may not be sufficient to restore the loss or damage without a negative impact on its results of operations. Furthermore, the receipt of insurance proceeds may be delayed, requiring us to use cash or incur financing costs in the interim. To the extent our experiences covered losses under its insurance policies, the limit of our coverage for potential losses may be decreased or the insurance rates it has to pay increased. Furthermore, the losses insured through commercial insurance are subject to the credit risk of those insurance companies. While we believe our commercial insurance providers are currently creditworthy, we cannot assure such insurance companies will remain so in the future.</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not be able to maintain or obtain insurance of the type and amount desired at reasonable rates. The insurance coverage obtained may contain large deductibles or fail to cover certain risks or all potential losses. In addition, our insurance policies are subject to annual review by insurers and may not be renewed on similar or favorable terms, including coverage, deductibles or premiums, or at all. If a significant accident or event occurs for which we are not fully insured or the Company suffers losses due to one or more of its insurance carriers defaulting on their obligations or contesting their coverage obligations, it could have a material adverse effect on our business, financial condition and results of operations.</w:t>
      </w:r>
    </w:p>
    <w:p>
      <w:pPr>
        <w:spacing w:after="0" w:line="17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breaches of our information technology systems, which could lead to disclosure of internal information, damage to our reputation or relationships with dealers, suppliers, and customers, and disrupt access to online services. Such breaches could subject us to significant reputational, financial, legal, and operational consequences.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requires the use and storage of confidential and proprietary information, intellectual property, commercial banking information, personal information concerning customers, employees, and business partners, and corporate information concerning internal processes and business functions. Malicious attacks to gain access to such information affects many companies across various industries, including ours.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Where appropriate, we use encryption and authentication technologies to secure the transmission and storage of data. These security measures may be compromised as a result of third-party security breaches, employee error, malfeasance, faulty password management, or other irregularity or malicious effort, and result in persons obtaining unauthorized access to data.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devote resources to network security, data encryption, and other security measures to protect our systems and data, but these security measures cannot provide absolute security. Because the techniques used to obtain unauthorized access, disable or degrade service, or sabotage systems change frequently, target end users through phishing and other malicious techniques, and/or may be difficult to detect for long periods of time, we may be unable to anticipate these techniques or implement adequate preventative measures. As a result, we may experience a breach of our systems in the future that reduces our ability to protect sensitive data. In addition, hardware, software, or applications we develop or procure from third parties may contain defects in design or manufacture or other problems that could unexpectedly compromise information security. Unauthorized parties may also attempt to gain access to our systems or facilities through fraud, trickery or other forms of deceiving team members, contractors and temporary staff. If we experience, or are perceived to have experienced, a significant data security breach, fail to detect and appropriately respond to a significant data security breach, or fail to implement disclosure controls and procedures that provide for timely disclosure of data security breaches deemed material to our business, including corrections or updates to previous disclosures, we could be exposed to a risk of loss, increased insurance costs, remediation and prospective prevention costs, damage to our reputation and brand, litigation and possible liability, or government enforcement actions, any of which could detrimentally affect our business, results of operations, and financial condition.</w:t>
      </w:r>
    </w:p>
    <w:p>
      <w:pPr>
        <w:spacing w:after="0" w:line="1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also share information with contractors and third-party providers to conduct business. While we generally review and typically request or require such contractors and third-party providers to implement security measures, such as encryption and authentication technologies to secure the transmission and storage of data, those third-party providers may experience a significant data security breach, which may also detrimentally affect our business, results of operations, and financial condition as discussed above. See also under this section, “</w:t>
      </w:r>
      <w:r>
        <w:rPr>
          <w:rFonts w:ascii="Times New Roman" w:cs="Times New Roman" w:eastAsia="Times New Roman" w:hAnsi="Times New Roman"/>
          <w:sz w:val="18"/>
          <w:szCs w:val="18"/>
          <w:i w:val="1"/>
          <w:iCs w:val="1"/>
          <w:color w:val="auto"/>
        </w:rPr>
        <w:t>We may be required to file claims against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parties for infringing its intellectual property that may be costly and may not be resolved in our favor</w:t>
      </w:r>
      <w:r>
        <w:rPr>
          <w:rFonts w:ascii="Times New Roman" w:cs="Times New Roman" w:eastAsia="Times New Roman" w:hAnsi="Times New Roman"/>
          <w:sz w:val="18"/>
          <w:szCs w:val="18"/>
          <w:color w:val="auto"/>
        </w:rPr>
        <w:t>.” We rely substantially upon trade secret laws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restrictions to protect our proprietary rights, and, if these rights are not sufficiently protected, our ability to compete and generate revenue could suffer.</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 sales to residential customers have grown, we have increasingly become subject to consumer protection laws and regulations.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we continue to seek to expand our retail customer base, our activities with customers are subject to consumer protection laws that may not be applicable to other businesses, such as federal truth-in-lending, consumer leasing, telephone and digital marketing, and equal credit opportunity laws and regulations, as well as state and local finance laws and regulations. Claims arising out of actual or alleged violations of law may be asserted against us by individuals or governmental entities and may expose the Company to significant damages or other penalties, including fines. In addition, our affiliations with third-party dealers may subject the Company to alleged liability in connection with actual or alleged violations of law by such dealers, whether or not actually attributable to us, which may expose us to significant damages and penalties, and we may incur substantial expenses in defending against legal actions related to third-party dealers, whether or not ultimately found liable.</w:t>
      </w:r>
    </w:p>
    <w:p>
      <w:pPr>
        <w:spacing w:after="0" w:line="18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competitive environment in which we operate often requires the undertaking of customer obligations, which may turn out to be costlier than anticipated and, in turn, materially and adversely affect our business, results of operations and financial condition.</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often required, at the request of our end customer, to undertake certain obligations such as:</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output performance warranties;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maintenance.</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Such customer obligations involve complex accounting analyses and judgments regarding the timing of revenue and expense recognition, and in certain situations these factors may require us to defer revenue or profit recognition until projects are completed or until contingencies are resolved, which could adversely affect revenues and profits in a particular period.</w:t>
      </w:r>
    </w:p>
    <w:p>
      <w:pPr>
        <w:spacing w:after="0" w:line="172"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construction, cost overruns, delays, regulatory compliance and other contingencies, any of which could have a material adverse effect on its business and results of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 licensed contractor in certain communities that we service and are ultimately responsible as the contracting party for every solar energy system installation. A significant portion of our business depends on obtaining and maintaining required licenses in various jurisdictions. All such licenses are subject to audit by the relevant government agency. Our failure to obtain or maintain required licenses could result in the termination of certain of our contracts. For example, we hold a license with California’s Contractors State License Board (the “</w:t>
      </w:r>
      <w:r>
        <w:rPr>
          <w:rFonts w:ascii="Times New Roman" w:cs="Times New Roman" w:eastAsia="Times New Roman" w:hAnsi="Times New Roman"/>
          <w:sz w:val="18"/>
          <w:szCs w:val="18"/>
          <w:b w:val="1"/>
          <w:bCs w:val="1"/>
          <w:color w:val="auto"/>
        </w:rPr>
        <w:t>CSLB</w:t>
      </w:r>
      <w:r>
        <w:rPr>
          <w:rFonts w:ascii="Times New Roman" w:cs="Times New Roman" w:eastAsia="Times New Roman" w:hAnsi="Times New Roman"/>
          <w:sz w:val="18"/>
          <w:szCs w:val="18"/>
          <w:color w:val="auto"/>
        </w:rPr>
        <w:t>”) and that license is currently under probation with the CSLB. If we fail to comply with the CSLB’s law and regulations, it could result in termination of certain of our contracts, monetary penalties, extension of the license probation period or revocation of its license in California. In addition, we may be liable, either directly or through its solar partners, to homeowners for any damage we cause to them, their home, belongings or property during the installation of our systems. For example, we either directly or through its solar partners, frequently penetrate homeowners’ roofs during the installation process and may incur liability for the failure to adequately weatherproof such penetrations following the completion of construction. In addition, because the solar energy systems we or our solar partners deploy are high voltage energy systems, we may incur liability for failing to comply with electrical standards and manufacturer recommendations.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 we or our installation partners may face construction delays or cost overruns, which may adversely affect our or our sales partners’ ability to ramp up the volume of installation in accordance with our plans. Such delays or overruns may occur as a result of a variety of factors, such as labor shortages, defects in materials and workmanship, adverse weather conditions, transportation constraints, construction change orders, site changes, labor issues and other unforeseen difficulties, any of which could lead to increased cancellation rates, reputational harm and other adverse effects.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the installation of solar energy systems, energy storage systems, and other energy-related products requiring building modifications are subject to oversight and regulation in accordance with national, state, and local laws and ordinances relating to building, fire, and electrical codes, safety, environmental protection, utility interconnection and metering, and related matters. We also rely on certain employees to maintain professional licenses in many of the jurisdictions in which we operate, and the failure to employ properly licensed personnel could adversely affect our licensing status in those jurisdictions. It is difficult and costly to track the requirements of every individual authority having jurisdiction over our installations and to design solar energy systems to comply with these varying standards. Any new government regulations or utility policies pertaining to our systems may result in significant additional expenses to homeowners and us and, as a result, could cause a significant reduction in demand for solar service offerings.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While we have a variety of stringent quality standards that the Company applies in the selection of its solar partners, we do not control our suppliers and solar partners or their business practices. Accordingly, we cannot guarantee that they follow our standards or ethical business practices, such as fair wage practices and compliance with environmental, safety and other local laws. A lack of demonstrated compliance could lead us to seek alternative suppliers or contractors, which could increase costs and result in delayed delivery or installation of our products, product shortages or other disruptions of its operations. Violation of labor or other laws by our suppliers and solar partners or the divergence of a supplier’s or solar partners’ labor or other practices from those generally accepted as ethical in the U.S. or other markets in which we do business could also attract negative publicity and harm our business, brand and reputation in the market.</w:t>
      </w:r>
    </w:p>
    <w:p>
      <w:pPr>
        <w:spacing w:after="0" w:line="18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occupational safety and health requirements and best practices can be costly, and noncompliance with such requirements may result in potentially significant penalties, operational delays and adverse publicity.</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installation and ongoing operations and maintenance of solar energy systems and energy storage systems requires individuals hired by us, our dealers, or third-party contractors, potentially including employees, to work at heights with complicated and potentially dangerous electrical systems. The evaluation and modification of buildings as part of the installation process requires these individuals to work in locations that may contain potentially dangerous levels of asbestos, lead, mold or other materials known or believed to be hazardous to human health. There is substantial risk of serious injury or death if proper safety procedures are not followed. Our operations are subject to regulation by the Occupational Safety and Health Administration (“</w:t>
      </w:r>
      <w:r>
        <w:rPr>
          <w:rFonts w:ascii="Times New Roman" w:cs="Times New Roman" w:eastAsia="Times New Roman" w:hAnsi="Times New Roman"/>
          <w:sz w:val="18"/>
          <w:szCs w:val="18"/>
          <w:b w:val="1"/>
          <w:bCs w:val="1"/>
          <w:color w:val="auto"/>
        </w:rPr>
        <w:t>OSHA</w:t>
      </w:r>
      <w:r>
        <w:rPr>
          <w:rFonts w:ascii="Times New Roman" w:cs="Times New Roman" w:eastAsia="Times New Roman" w:hAnsi="Times New Roman"/>
          <w:sz w:val="18"/>
          <w:szCs w:val="18"/>
          <w:color w:val="auto"/>
        </w:rPr>
        <w:t>”) and the Department of Transportation (“</w:t>
      </w:r>
      <w:r>
        <w:rPr>
          <w:rFonts w:ascii="Times New Roman" w:cs="Times New Roman" w:eastAsia="Times New Roman" w:hAnsi="Times New Roman"/>
          <w:sz w:val="18"/>
          <w:szCs w:val="18"/>
          <w:b w:val="1"/>
          <w:bCs w:val="1"/>
          <w:color w:val="auto"/>
        </w:rPr>
        <w:t>DOT</w:t>
      </w:r>
      <w:r>
        <w:rPr>
          <w:rFonts w:ascii="Times New Roman" w:cs="Times New Roman" w:eastAsia="Times New Roman" w:hAnsi="Times New Roman"/>
          <w:sz w:val="18"/>
          <w:szCs w:val="18"/>
          <w:color w:val="auto"/>
        </w:rPr>
        <w:t>”) and equivalent state and local laws. Changes to OSHA or DOT requirements, or stricter interpretation or enforcement of existing laws or regulations, could result in increased costs. If we fail to comply with applicable OSHA or DOT regulations, even if no work-related serious injury or death occurs, we may be subject to civil or criminal enforcement and be required to pay substantial penalties, incur significant capital expenditures or suspend or limit operations. Because individuals hired by us or on our behalf to perform installation and ongoing operations and maintenance of the Company’s solar energy systems and energy storage systems, including its dealers and third-party contractors, are compensated on a per project basis, they are incentivized to work more quickly than installers compensated on an hourly basis. While we have not experienced a high level of injuries to date, this incentive structure may result in higher injury rates than others in the industry and could accordingly expose the Company to increased liability. Individuals hired by or on behalf of us may have workplace accidents and receive citations from OSHA regulators for alleged safety violations, resulting in fines. Any such accidents, citations, violations, injuries or failure to comply with industry best practices may subject us to adverse publicity, damage its reputation and competitive position and adversely affect the business.</w:t>
      </w:r>
    </w:p>
    <w:p>
      <w:pPr>
        <w:spacing w:after="0" w:line="19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has benefited from the declining cost of solar energy system components, but it may be harmed if the cost of such components stabilizes or increases in the future.</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has benefited from the declining cost of solar energy system components and to the extent such costs stabilize, decline at a slower rate or increase, our future growth rate may be negatively impacted. The declining cost of solar energy system components and the raw materials necessary to manufacture them has been a key driver in the price of our solar energy systems, and the prices charged for electricity and customer adoption of solar energy. Solar energy system component and raw material prices may not continue to decline at the same rate as they have over the past several years or at all. In addition, growth in the solar industry and the resulting increase in demand for solar energy system components and the raw materials necessary to manufacture them may also put upward pressure on prices. An increase of solar energy system components and raw materials prices could slow growth and cause business and results of operations to suffer. Further, the cost of solar energy system components and raw materials has increased and could increase in the future due to tariff penalties, duties, the loss of or changes in economic governmental incentives or other factors.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claims against us could result in adverse publicity and potentially significant monetary damages.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It is possible our solar energy systems or energy storage systems could injure customers or other third parties or our solar energy systems or energy storage systems could cause property damage as a result of product malfunctions, defects, improper installation, fire or other causes. Any product liability claim we face could be expensive to defend and may divert management’s attention. The successful assertion of product liability claims against us could result in potentially significant monetary damages, potential increases in insurance expenses, penalties or fines, subject the Company to adverse publicity, damage our reputation and competitive position and adversely affect sales of solar energy systems or energy storage systems. In addition, product liability claims, injuries, defects or other problems experienced by other companies in the residential solar industry could lead to unfavorable market conditions to the industry as a whole and may have an adverse effect on our ability to expand its portfolio of solar service agreements and related solar energy systems and energy storage systems, thus affecting our business, financial condition and results of operations.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warranty costs may exceed the warranty reserve.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provide warranties that cover parts performance and labor to purchasers of our solar modules. We also have legacy warranty and performance obligations from our former business manufacturing solar panels. We maintain a warranty reserve on our financial statements, and our warranty claims may exceed the warranty reserve. Any significant warranty expenses could adversely affect our financial condition and results of operations. Significant warranty problems could impair our reputation which could result in lower revenue and a lower gross margin.</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legal proceedings and regulatory inquiries and may be named in additional claims or legal proceedings or become involved in regulatory inquiries, all of which are costly, distracting to our core business and could result in an unfavorable outcome or harm our business, financial condition, results of operations or the trading price for our securities.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involved in claims and legal proceedings that arise from normal business activities. In addition, from time to time, third parties have asserted and may in the future assert claims against us. We evaluate all claims, lawsuits and investigations with respect to their potential merits, our potential defenses and counter claims, settlement or litigation potential and the expected effect on us. In the event that we are involved in significant disputes, including the legal claims noted below, or are the subject of a formal action by a regulatory agency, we could be exposed to costly and time-consuming legal proceedings that could result in any number of outcomes. Although outcomes of such actions vary, any claims, proceedings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some other harm to the business. In any of these cases, our business, financial condition or results of operations could be negatively impacted. We make a provision for a liability relating to legal matters when it is both probable that a liability has been incurred and the amount of the loss can be reasonably estimated. These provisions are reviewed at least quarterly and adjusted to reflect the impacts of negotiations, estimated settlements, legal rulings, advice of legal counsel and other information and events pertaining to a particular matter. Depending on the nature and timing of any such controversy, an unfavorable resolution of a matter could materially affect our future business, financial condition or results of operations, or all of the foregoing, in a particular quarter.</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12 - Commitments and Contingencies” in the notes to consolidated financial statements included elsewhere in this prospectus for a further discussion of the legal claims summarized therein.</w:t>
      </w:r>
    </w:p>
    <w:p>
      <w:pPr>
        <w:spacing w:after="0" w:line="16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to the other information provided in Note 12, on February 22, 2024, the court in the case issued an order against certain subsidiaries of the Company which awarded Siemens approximately $6.9 million. On March 15, 2024, Siemens filed a motion seeking to recover $2.67 million for attorneys’ fees, expenses, and pre-and post-judgment interest. The Company opposed Siemens’ motion for attorneys’ fees, expenses, and pre- and post-judgment interest on April 5, 2024. On June 17, 2024, the court entered a final order which awarded Siemens a total of $2.0 million in attorneys’ fees and costs. We have appealed these judgments. On August 19, 2024, Siemens applied for the enforcement to a sister state judgment in the Superior Court of Alameda, California and the court entered a judgement in favor of Siemens. On December 9, 2024, Siemens moved to amend the judgment to add the Company as a judgement debtor. Our subsidiaries opposed the Siemens motion. The court heard the motion by submission on April 3, 2025, but has not yet issued a ruling. The Company recognized $6.9 million as a legal loss related to this litigation in 2023, and in 2024, the Company recorded an additional accrual for $2.0 million for attorneys’ fees, expenses, and pre-judgment interest, in accrued expenses and other current liabilities within its consolidated balance sheet as of December 29, 2024. This legal loss was recognized in fiscal 2024 in loss from discontinued operations, net of tax on the consolidated statements of operations and comprehensive loss. The Company had liability of $6.9 million recorded as a legal loss related to this litigation, excluding amounts for attorneys’ fees and costs, in accrued expenses and other current liabilities within its consolidated balance sheet at December 29, 2024. On December 4, 2025, the Company entered into a Settlement Agreement with Siemens Government Technologies, Inc. and Siemens Industry, Inc. to resolve a case in the Circuit Court of Fairfax County, Virginia and other related cases as well as to resolve potential claims related to Siemens’ Atwater Wastewater Treatment Plant. In exchange for full releases, the Company has agreed to pay Siemens $9.5 million as follows: $4.75 million was payable prior to April 30, 2026 and a payment of $2.375 million is due on each of September 30, 2026 and December 31, 2026. If the Company successfully engages in one or more financing transactions with $5.0 million or more after the Company’s issuances of the 10.0% convertible senior secured notes due 2029, any remaining payments to Siemens (if any) will become immediately due and payable. The settlement payment to Siemens is secured by a first-priority continuing security interest in $9.5 million of Company collateral. This security interest is reduced on a one-to-one basis as the settlement payments are made.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qualified directors and officers.</w:t>
      </w:r>
    </w:p>
    <w:p>
      <w:pPr>
        <w:spacing w:after="0" w:line="159"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We face increased legal, accounting, administrative and other costs and expenses as a public company that we did not incur as a private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impose additional reporting and other obligations on public companies. Compliance with public company requirements will increase costs and make certain activities more time- consuming. A number of those requirements will require us to carry out activities we had not done previously.</w:t>
      </w:r>
    </w:p>
    <w:p>
      <w:pPr>
        <w:spacing w:after="0" w:line="1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any issues in complying with those requirements are identified (for example, if we or the auditors identify a material weakness or significant deficiency in the internal control over financial reporting), we could incur additional costs rectifying those issues, and the existence of those issues could adversely affect our reputation or investor perceptions of it. It may also be more expensive to obtain director and officer liability insurance. Risks associated with our status as a public company may make it more difficult to attract and retain qualified persons to serve on the SunPower Board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certain other tax attributes may be limited.</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may never achieve profitability. Under current U.S. federal income tax law, unused losses for the tax year ended December 31, 2017 and prior tax years will carry forward to offset future taxable income, if any, until such unused losses expire, and unused federal losses generated after December 31, 2017 will not expire and may be carried forward indefinitely but will be only deductible to the extent of 80% of current year taxable income in any given year. Many states have similar laws.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both current and future unused net operating loss (“</w:t>
      </w:r>
      <w:r>
        <w:rPr>
          <w:rFonts w:ascii="Times New Roman" w:cs="Times New Roman" w:eastAsia="Times New Roman" w:hAnsi="Times New Roman"/>
          <w:sz w:val="18"/>
          <w:szCs w:val="18"/>
          <w:b w:val="1"/>
          <w:bCs w:val="1"/>
          <w:color w:val="auto"/>
        </w:rPr>
        <w:t>NOL</w:t>
      </w:r>
      <w:r>
        <w:rPr>
          <w:rFonts w:ascii="Times New Roman" w:cs="Times New Roman" w:eastAsia="Times New Roman" w:hAnsi="Times New Roman"/>
          <w:sz w:val="18"/>
          <w:szCs w:val="18"/>
          <w:color w:val="auto"/>
        </w:rPr>
        <w:t>”) carryforwards and other tax attributes may be subject to limitation under Sections 382 and 383 of the Internal Revenue Code of 1986, as amended (the “Code”), if a corporation undergoes an “ownership change,” generally defined as a greater than 50 percentage point change (by value) in equity ownership by certain stockholders over a three-year period. The Business Combination may have resulted in an ownership change for us and, accordingly, our NOL carryforwards and certain other tax attributes may be subject to limitations (or disallowance) on their use after the Business Combination. Our NOL carryforwards may also be subject to limitation as a result of prior shifts in equity ownership. Additional ownership changes in the future could result in additional limitations on our NOL carryforwards. Consequently, even if we achieve profitability, we may not be able to utilize a material portion of our NOL carryforwards and other tax attributes, which could have a material adverse effect on cash flow and results of operations.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the Offering</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under the SEPA to Yorkville, or that may be issued to Yorkville upon conversion of the Promissory Notes, or the actual gross proceeds resulting from those sales.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27, 2026, we entered into the SEPA with Yorkville, pursuant to which Yorkville has committed to purchase up to $25.0 million shares of our common stock, subject to certain limitations and conditions set forth in the SEPA. The shares of our common stock that may be issued under the SEPA may be sold by us to Yorkville at our discretion from time to time for a period of up to 36 months, unless the SEPA is earlier terminated, beginning on the Effective Date. In connection with pre-paid advances under the SEPA, we issued a Promissory Note in $1,900,000 principal amount, and such Promissory Note is or will be convertible into shares of our common stock.</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March 6, 2026, the Company entered into the YA Debenture Purchase Agreement pursuant to which Yorkville purchased and the Company issued the YA Debenture in the principal amount of $10.0 million. Yorkville may convert any portion of the outstanding balance under the YA Debenture into shares of the Company’s common stock at the Fixed Price of $1.64 per share. Additionally, at any time on or after any Installment Date, Yorkville may convert any portion of any due and unpaid Installment Amount outstanding under the YA Debenture into shares of our common stock at a price equal to 95% of the volume weighted average price of our common stock during the five trading days prior to the conversion date (but the conversion price will not be lower than the “Floor Price” then in effect). On April 21, 2026, in connection with the Company’s offering of its 10% Notes, the Company and Yorkville entered into the YA Letter, Pursuant to which the Company agreed to voluntary prepay $5,000,000 of the outstanding principal amount of YA Debenture, resulting in a revised outstanding principal balance under the YA Debenture of $5,000,000.</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generally have the right to control the timing and amount of any sales of our shares of common stock to Yorkville under the SEPA; however, we generally will not have the right to control the timing or amount of any subsequent sales of such shares, and we will not have the right to control the timing of Yorkville’s conversion of the Promissory Note or the YA Debenture. Sales of our common stock, if any, to Yorkville under the SEPA will depend upon market conditions and other factors to be determined by us. We may ultimately decide to sell to Yorkville all, some or none of the shares of our common stock that may be available for us to sell to Yorkville pursuant to the SEPA.</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per share purchase price that Yorkville will pay for shares of our common stock in any transaction that we may elect to effect pursuant to the SEPA (the “Purchase Shares”) will be determined by reference to the VWAP during the applicable period, respectively, on the applicable Purchase Date. Additionally, the Promissory Note previously issued to Yorkville as a pre-paid advance pursuant to the SEPA is convertible at conversion prices determined by reference to the VWAP during the applicable period. Similarly, the YA Debenture is convertible at conversion prices determined by reference to the VWAP during the applicable period. Accordingly, as of the date of this prospectus, it is not possible for us to predict the number of shares of common stock that we will sell to Yorkville under the SEPA or upon conversion of the Promissory Note or the YA Debenture, the purchase price per share that Yorkville will pay for shares purchased from us under the SEPA, or the aggregate gross proceeds that we will receive from those purchases by Yorkville under the SEPA.</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Although the SEPA provides that we may sell up to an aggregate of $25.0 million of our common stock to Yorkville, only 22,381,878 shares of our common stock, relating to the Promissory Note issued under the SEPA and the Commitment Shares, are being registered under the Securities Act for resale by Yorkville under the registration statement that includes this prospectus. If we elect to issue and sell to Yorkville under the SEPA any or all of the Purchase Shares for resale by Yorkville, we may be required to first (i) obtain stockholder approval to issue shares of common stock in excess of the Exchange Cap under the SEPA in accordance with applicable Nasdaq rules and (ii) file with the SEC one or more additional registration statements to register under the Securities Act the resale by Yorkville of any such additional shares of our common stock we wish to sell from time to time under the SEPA, which the SEC must declare effective, in each case before we may elect to sell any additional shares of our common stock to Yorkville under the SEPA. Any issuance and sale by us under the SEPA of a substantial amount of shares of common stock in addition to the 22,381,878 shares of common stock being registered for resale by Yorkville under this prospectus could cause additional substantial dilution to our stockholders. The number of shares of our common stock ultimately offered for sale by Yorkville is dependent upon the number of shares of common stock, if any, we ultimately elect to sell to Yorkville under the SEPA.</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Investors who buy shares at different times will likely pay different prices.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SEPA, we will have discretion, subject to market demand, to vary the timing, prices, and numbers of shares sold to Yorkville. If and when we do elect to sell shares of our common stock to Yorkville pursuant to the SEPA, after Yorkville has acquired such shares, Yorkville may resell all, some or none of such shares at any time or from time to time in its discretion and at different prices. As a result, investors who purchase shares from Yorkville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Yorkville in this offering as a result of future sales made by us to Yorkville at prices lower than the prices such investors paid for their shares in this offering. In addition, if we sell a substantial number of shares to Yorkville under the SEPA or in connection with a conversion of the Promissory Note or the YA Debenture, or if investors expect that we will do so, the actual sales of shares or the mere existence of our arrangement with Yorkville may make it more difficult for us to sell equity or equity-related securities in the future at a time and at a price that we might otherwise wish to effect such sales.</w:t>
      </w:r>
    </w:p>
    <w:p>
      <w:pPr>
        <w:spacing w:after="0" w:line="184"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issued the Promissory Note in connection with the SEPA and the YA Debenture in connection with the YA Debenture Purchase Agreement, and we do not have the right to control the timing and amount of the issuance of our common stock to Yorkville and, accordingly, it is not possible to predict the actual number of shares of common stock we will issue pursuant to the conversion of the Promissory Note or the YA Debenture at any one time or in total.</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January 27, 2026, we issued the Promissory Note to Yorkville in the aggregate principal amount of $1.9 million. Additionally, on March 6, 2026, we issued the YA Debenture in the aggregate principal amount of $10 million, of which we subsequently prepaid $5 million. We do not have the right to control the timing and amount of any issuances of our shares of common stock to Yorkville upon conversion of the Promissory Note or the YA Debenture. As the conversion price per share to be used upon conversion of the Promissory Note and the YA Debenture will fluctuate based on the market prices of our shares of common stock, if any, it is not possible for us to predict the actual number of shares of common stock we will issue pursuant to the conversion of the Promissory Note and the YA Debenture at any one time or in total.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our securities in the public market by our existing stockholders could cause the price of our shares of common stock to fall.</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Yorkville can resell, under this prospectus, up to 22,381,878 shares of common stock from time to time after the date of this prospectus relating to the Promissory Note and the Commitment Shares. If all of the 22,381,878 shares offered for resale by Yorkville under this prospectus were issued and outstanding as of the date hereof (without taking into account the 19.99% Exchange Cap limitation), such shares would represent approximately 13.3% of the total number of outstanding shares of common stock and approximately 17.0% of the total number of outstanding shares of common stock held by non-affiliates, in each case as of May 15, 2026.</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our shares of common stock in the public market by Yorkville and/or by our other existing stockholders, or the perception that those sales might occur, could depress the market price of our shares of common stock and could impair our ability to raise capital through the sale of additional equity securities</w:t>
      </w:r>
      <w:r>
        <w:rPr>
          <w:rFonts w:ascii="Times New Roman" w:cs="Times New Roman" w:eastAsia="Times New Roman" w:hAnsi="Times New Roman"/>
          <w:sz w:val="18"/>
          <w:szCs w:val="18"/>
          <w:i w:val="1"/>
          <w:iCs w:val="1"/>
          <w:color w:val="auto"/>
        </w:rPr>
        <w:t>.</w:t>
      </w:r>
    </w:p>
    <w:p>
      <w:pPr>
        <w:spacing w:after="0" w:line="172"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we receive from the sale of shares to the Selling Securityholder and may not use them effectively.</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we sell additional shares of our common stock to Yorkville pursuant to the SEPA, our management will have broad discretion in the application of the proceeds we receive from the Selling Securityholder, if any, including for the purposes describe in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and you will not have the opportunity as part of your investment decision to assess whether our management is using the proceeds appropriately. Because of the number and variability of factors that will determine our use of our proceeds from the Selling Securityholder under the SEPA, their ultimate use may vary substantially from their currently intended use. The failure by our management to apply these funds effectively could result in financial losses that could have a material adverse effect on our business and cause the price of our common stock to decline. Pending their use, we may invest the proceeds from the Selling Securityholder in short-term, investment grade, interest-bearing securities. These investments may not yield a favorable return to our shareholders.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Other Securities</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executive officers and principal stockholders will continue to have significant influence over our company, which could limit your ability to influence the outcome of key transactions, including a change of control.</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Directors, executive officers and each of our 5% stockholders and their affiliates, in the aggregate, beneficially own approximately 53.6% of the outstanding shares of our common stock, based on the number of shares outstanding as of May 15, 2026 (including all convertible securities and securities that such holders have the right to acquire within 60 days following May 15, 2026). As a result, these stockholders, if acting together, will be able to significantly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of our company, could deprive our stockholders of an opportunity to receive a premium for their common stock as part of a sale of our company and might ultimately affect the market price of our common stock.</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may be volatile, and you could lose all or part of your investment.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Fluctuations in the price of our securities could contribute to the loss of all or part of your investment.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ind w:left="340"/>
        <w:spacing w:after="0"/>
        <w:rPr>
          <w:sz w:val="20"/>
          <w:szCs w:val="20"/>
          <w:color w:val="auto"/>
        </w:rPr>
      </w:pPr>
      <w:r>
        <w:rPr>
          <w:rFonts w:ascii="Times New Roman" w:cs="Times New Roman" w:eastAsia="Times New Roman" w:hAnsi="Times New Roman"/>
          <w:sz w:val="18"/>
          <w:szCs w:val="18"/>
          <w:color w:val="auto"/>
        </w:rPr>
        <w:t>Factors affecting the trading price of our securities:</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failing to meet the expectation of securities analysts or investors in a particular period;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market in general;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securities available for public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common stock by our Directors, executive officers or significant stockholders or the perception that such sales could occur;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international currency fluctuations and acts of war or terrorism.</w:t>
      </w:r>
    </w:p>
    <w:p>
      <w:pPr>
        <w:spacing w:after="0" w:line="15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securities adversely, the price and trading volume of our securities could decline.</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trading market for our securities is influenced by the research and reports that industry or securities analysts may publish about us, our business, our market, or our competitors. If any of the analysts who currently cover us change their recommendation regarding our stock adversely, or provide more favorable relative recommendations about our competitors, the price of our securities would likely decline. If any analyst who currently cover us were to cease coverage of us or fail to regularly publish reports on us, we could lose visibility in the financial markets, which could cause our stock price or trading volume to decline. If we obtain additional coverage and any new analyst issues, an adverse or misleading opinion regarding us, our business model, our intellectual property or our stock performance, or if our operating results fail to meet the expectations of analysts, our stock price could decline.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continue, which would adversely affect the liquidity and price of our securities.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price of our securities may fluctuate significantly due to general market and economic conditions and an active trading market for our securities may not be sustained. In addition, the price of our securities can vary due to general economic conditions and forecasts, our general business condition and the release of our financial reports.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meet all applicable requirements of Nasdaq and Nasdaq determines to delist our common stock, the delisting could adversely affect the market liquidity of our common stock and the market price of our common stock could decrease.</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are unable to satisfy the Nasdaq criteria for continued listing, our common stock would be subject to delisting. A delisting of our common stock could negatively impact us by, among other things, reducing the liquidity and market price of our common stock; reducing the number of investors willing to hold or acquire our common stock, which could negatively impact our ability to raise equity financing; decreasing the amount of news and analyst coverage of us; and limiting our ability to issue additional securities or obtain additional financing in the future. In addition, delisting from Nasdaq may negatively impact our reputation and, consequently, our business.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There can be no assurance that we will maintain compliance with the requirements for listing our common stock on Nasdaq. On April 28, 2025, we received a letter from the Listing Qualifications staff of Nasdaq (the “</w:t>
      </w:r>
      <w:r>
        <w:rPr>
          <w:rFonts w:ascii="Times New Roman" w:cs="Times New Roman" w:eastAsia="Times New Roman" w:hAnsi="Times New Roman"/>
          <w:sz w:val="18"/>
          <w:szCs w:val="18"/>
          <w:b w:val="1"/>
          <w:bCs w:val="1"/>
          <w:color w:val="auto"/>
        </w:rPr>
        <w:t>Nasdaq Staff</w:t>
      </w:r>
      <w:r>
        <w:rPr>
          <w:rFonts w:ascii="Times New Roman" w:cs="Times New Roman" w:eastAsia="Times New Roman" w:hAnsi="Times New Roman"/>
          <w:sz w:val="18"/>
          <w:szCs w:val="18"/>
          <w:color w:val="auto"/>
        </w:rPr>
        <w:t>”) indicating that, as a result of our delay in filing the Company’s Annual Report on Form 10-K for the year ended December 29, 2024 (the “</w:t>
      </w:r>
      <w:r>
        <w:rPr>
          <w:rFonts w:ascii="Times New Roman" w:cs="Times New Roman" w:eastAsia="Times New Roman" w:hAnsi="Times New Roman"/>
          <w:sz w:val="18"/>
          <w:szCs w:val="18"/>
          <w:b w:val="1"/>
          <w:bCs w:val="1"/>
          <w:color w:val="auto"/>
        </w:rPr>
        <w:t>2024 Form 10-K</w:t>
      </w:r>
      <w:r>
        <w:rPr>
          <w:rFonts w:ascii="Times New Roman" w:cs="Times New Roman" w:eastAsia="Times New Roman" w:hAnsi="Times New Roman"/>
          <w:sz w:val="18"/>
          <w:szCs w:val="18"/>
          <w:color w:val="auto"/>
        </w:rPr>
        <w:t>”), we were not in compliance with the timely filing requirements for continued listing under Nasdaq Listing Rule 5250(c)(1). The Nasdaq letter had no immediate effect on the listing or trading of our common stock or warrants. The Nasdaq listing rules require Nasdaq-listed companies to timely file all required periodic reports with the SEC. The Nasdaq letter stated that, under Nasdaq rules, the Company had 60 calendar days to submit a plan to regain compliance with Nasdaq’s continued listing requirements. We filed our 2024 Form 10-K on April 30, 2025. Subsequently, on November 19, 2025, we received a notice from the Nasdaq staff indicating that, as a result of our delay in filing the Company’s Quarterly Report on Form 10-Q for the quarter ended September 28, 2025 (the “</w:t>
      </w:r>
      <w:r>
        <w:rPr>
          <w:rFonts w:ascii="Times New Roman" w:cs="Times New Roman" w:eastAsia="Times New Roman" w:hAnsi="Times New Roman"/>
          <w:sz w:val="18"/>
          <w:szCs w:val="18"/>
          <w:b w:val="1"/>
          <w:bCs w:val="1"/>
          <w:color w:val="auto"/>
        </w:rPr>
        <w:t>Q3 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10-Q</w:t>
      </w:r>
      <w:r>
        <w:rPr>
          <w:rFonts w:ascii="Times New Roman" w:cs="Times New Roman" w:eastAsia="Times New Roman" w:hAnsi="Times New Roman"/>
          <w:sz w:val="18"/>
          <w:szCs w:val="18"/>
          <w:color w:val="auto"/>
        </w:rPr>
        <w:t>”), we were not in compliance with the timely filing requirements for continued listing under Nasdaq Listing Rule 5250(c)(1). The Nasdaq letter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our Q3 Form 10-Q had no immediate effect on the listing or trading of our common stock or warrants. The Nasdaq letter stated that, under Nasdaq rules, the Company had 60 calendar days to submit a plan to regain compliance with Nasdaq’s continued listing requirements. We filed the Q3 Form 10-Q on December 19, 2025.</w:t>
      </w:r>
    </w:p>
    <w:p>
      <w:pPr>
        <w:spacing w:after="0" w:line="1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Nasdaq delists our securities from trading on its exchange for failure to meet the listing standards, we and our stockholders could face significant material adverse consequences including:</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possibly resulting in a reduced level of trading activity in the secondary trading market for our common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 a decreased ability to issue additional securities or obtain additional financing in the future.</w:t>
      </w:r>
    </w:p>
    <w:p>
      <w:pPr>
        <w:spacing w:after="0" w:line="22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by our shareholders could cause the price of our common stock to decline.</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w:t>
      </w:r>
    </w:p>
    <w:p>
      <w:pPr>
        <w:spacing w:after="0" w:line="17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Bylaws and provisions of the Delaware General Corporation Law may delay or prevent an acquisition by a third party that could otherwise be in the interests of shareholders.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contain several provisions that may make it more difficult or expensive for a third party to acquire control of us without the approval of our board. These provisions, which may delay, prevent or deter a merger, acquisition, tender offer, proxy contest, or other transaction that stockholders may consider favorable, include the following:</w:t>
      </w:r>
    </w:p>
    <w:p>
      <w:pPr>
        <w:spacing w:after="0" w:line="176"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director nominations;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limiting stockholders’ ability to call special meetings of stockholders and to take action by written consent;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business combinations with interested stockholders;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of Directors to designate the terms of and issue new series of preferred stock without stockholder approval, which could be used, among other things, to institute a rights plan that would have the effect of significantly diluting the stock ownership of a potential hostile acquirer, likely preventing acquisitions by such acquirer.</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provisions of our Certificate of Incorporation and Bylaws could discourage potential takeover attempts and reduce the price that investors might be willing to pay for the shares of our common stock in the future, which could reduce the market price of our common stock.</w:t>
      </w:r>
    </w:p>
    <w:p>
      <w:pPr>
        <w:spacing w:after="0" w:line="15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provision of our Certificate of Incorporation requiring exclusive venue in the Court of Chancery in the State of Delaware and the federal district courts of the U.S. for certain types of lawsuits may have the effect of discouraging lawsuits against directors and officers.</w:t>
      </w:r>
    </w:p>
    <w:p>
      <w:pPr>
        <w:spacing w:after="0" w:line="15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unless otherwise consented to by us in writing, the Court of Chancery of the State of Delaware (or, if the Court of Chancery does not have jurisdiction, another State court in Delaware or the federal district court for the District of Delaware) will, to the fullest extent permitted by law, be the sole and exclusive forum for the following types of actions or proceedings:</w:t>
      </w:r>
    </w:p>
    <w:p>
      <w:pPr>
        <w:spacing w:after="0" w:line="176"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us;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duty (including any fiduciary duty) owed by any of our current or former Directors, officers, stockholders, employees or agents to us or our stockholders;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current or former Directors, officers, stockholders, employees or agents relating to any provision of the Delaware General Corporation Law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or our Certificate of Incorporation or the Bylaws or as to which the DGCL confers jurisdiction on the Court of Chancery of the State of Delaware;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current or former Directors, officers, stockholders, employees or agents governed by the internal affairs doctrine of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will further provide that, unless otherwise consented to by us in writing to the selection of an alternative forum, the federal district courts of the U.S. will, to the fullest extent permitted by law, be the sole and exclusive forum for the resolution of any complaint against any person in connection with any offering of our securities, asserting a cause of action arising under the Securities Act. Any person or entity purchasing or otherwise acquiring any interest in our securities will be deemed to have notice of and consented to this provision.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our Certificate of Incorporation contains the choice of forum provisions described above, it is possible that a court could rule that such provisions are inapplicable for a particular claim or action or that such provisions are unenforceable.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In addition, Section 27 of the Exchange Act creates exclusive federal jurisdiction over all suits brought to enforce any duty or liability created by the Exchange Act or the rules and regulations thereunder, and, therefore, the exclusive forum provisions described above do not apply to any actions brought under the Exchange Act.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Although we believe these provisions will benefit us by limiting costly and time-consuming litigation in multiple forums and by providing increased consistency in the application of applicable law, these exclusive forum provisions may limit the ability of our shareholders to bring a claim in a judicial forum that such shareholders find favorable for disputes with us or our Directors, officers or employees, which may discourage such lawsuits against us and our Directors, officers and other employees.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repurchase up to 5,618,488 shares of common stock from the investors with whom we entered into Forward Purchase Agreements in connection with the closing of the Business Combination, which would reduce the amount of cash available to us to fund our growth plan.</w:t>
      </w:r>
    </w:p>
    <w:p>
      <w:pPr>
        <w:spacing w:after="0" w:line="175"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On and around July 13, 2023, FACT entered into separate Forward Purchase Agreements (the “Forward Purchase Agreements”) with each of (i) Meteora Special Opportunity Fund I, LP (“</w:t>
      </w:r>
      <w:r>
        <w:rPr>
          <w:rFonts w:ascii="Times New Roman" w:cs="Times New Roman" w:eastAsia="Times New Roman" w:hAnsi="Times New Roman"/>
          <w:sz w:val="18"/>
          <w:szCs w:val="18"/>
          <w:b w:val="1"/>
          <w:bCs w:val="1"/>
          <w:color w:val="auto"/>
        </w:rPr>
        <w:t>MSOF</w:t>
      </w:r>
      <w:r>
        <w:rPr>
          <w:rFonts w:ascii="Times New Roman" w:cs="Times New Roman" w:eastAsia="Times New Roman" w:hAnsi="Times New Roman"/>
          <w:sz w:val="18"/>
          <w:szCs w:val="18"/>
          <w:color w:val="auto"/>
        </w:rPr>
        <w:t>”), Meteora Capital Partners, LP (“</w:t>
      </w:r>
      <w:r>
        <w:rPr>
          <w:rFonts w:ascii="Times New Roman" w:cs="Times New Roman" w:eastAsia="Times New Roman" w:hAnsi="Times New Roman"/>
          <w:sz w:val="18"/>
          <w:szCs w:val="18"/>
          <w:b w:val="1"/>
          <w:bCs w:val="1"/>
          <w:color w:val="auto"/>
        </w:rPr>
        <w:t>MCP</w:t>
      </w:r>
      <w:r>
        <w:rPr>
          <w:rFonts w:ascii="Times New Roman" w:cs="Times New Roman" w:eastAsia="Times New Roman" w:hAnsi="Times New Roman"/>
          <w:sz w:val="18"/>
          <w:szCs w:val="18"/>
          <w:color w:val="auto"/>
        </w:rPr>
        <w:t>”) and Meteora Select Trading Opportunities Master, LP (“MSTO”) (with MSOF, MCP, and MSTO collectively as “</w:t>
      </w:r>
      <w:r>
        <w:rPr>
          <w:rFonts w:ascii="Times New Roman" w:cs="Times New Roman" w:eastAsia="Times New Roman" w:hAnsi="Times New Roman"/>
          <w:sz w:val="18"/>
          <w:szCs w:val="18"/>
          <w:b w:val="1"/>
          <w:bCs w:val="1"/>
          <w:color w:val="auto"/>
        </w:rPr>
        <w:t>Meteora</w:t>
      </w:r>
      <w:r>
        <w:rPr>
          <w:rFonts w:ascii="Times New Roman" w:cs="Times New Roman" w:eastAsia="Times New Roman" w:hAnsi="Times New Roman"/>
          <w:sz w:val="18"/>
          <w:szCs w:val="18"/>
          <w:color w:val="auto"/>
        </w:rPr>
        <w:t>”); (ii) Polar Multi-Strategy Master Fund (“</w:t>
      </w:r>
      <w:r>
        <w:rPr>
          <w:rFonts w:ascii="Times New Roman" w:cs="Times New Roman" w:eastAsia="Times New Roman" w:hAnsi="Times New Roman"/>
          <w:sz w:val="18"/>
          <w:szCs w:val="18"/>
          <w:b w:val="1"/>
          <w:bCs w:val="1"/>
          <w:color w:val="auto"/>
        </w:rPr>
        <w:t>Polar</w:t>
      </w:r>
      <w:r>
        <w:rPr>
          <w:rFonts w:ascii="Times New Roman" w:cs="Times New Roman" w:eastAsia="Times New Roman" w:hAnsi="Times New Roman"/>
          <w:sz w:val="18"/>
          <w:szCs w:val="18"/>
          <w:color w:val="auto"/>
        </w:rPr>
        <w:t>”), and (iii) Diametric True Alpha Market Neutral Master Fund, LP, Diametric True Alpha Enhanced Market Neutral Master Fund, LP, and Pinebridge Partners Master Fund, LP (collectively, “</w:t>
      </w:r>
      <w:r>
        <w:rPr>
          <w:rFonts w:ascii="Times New Roman" w:cs="Times New Roman" w:eastAsia="Times New Roman" w:hAnsi="Times New Roman"/>
          <w:sz w:val="18"/>
          <w:szCs w:val="18"/>
          <w:b w:val="1"/>
          <w:bCs w:val="1"/>
          <w:color w:val="auto"/>
        </w:rPr>
        <w:t>Sandia</w:t>
      </w:r>
      <w:r>
        <w:rPr>
          <w:rFonts w:ascii="Times New Roman" w:cs="Times New Roman" w:eastAsia="Times New Roman" w:hAnsi="Times New Roman"/>
          <w:sz w:val="18"/>
          <w:szCs w:val="18"/>
          <w:color w:val="auto"/>
        </w:rPr>
        <w:t>”, and each of Meteora, Polar, and Sandia, individually, an “</w:t>
      </w:r>
      <w:r>
        <w:rPr>
          <w:rFonts w:ascii="Times New Roman" w:cs="Times New Roman" w:eastAsia="Times New Roman" w:hAnsi="Times New Roman"/>
          <w:sz w:val="18"/>
          <w:szCs w:val="18"/>
          <w:b w:val="1"/>
          <w:bCs w:val="1"/>
          <w:color w:val="auto"/>
        </w:rPr>
        <w:t>FPA Investor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FPA Investors</w:t>
      </w:r>
      <w:r>
        <w:rPr>
          <w:rFonts w:ascii="Times New Roman" w:cs="Times New Roman" w:eastAsia="Times New Roman" w:hAnsi="Times New Roman"/>
          <w:sz w:val="18"/>
          <w:szCs w:val="18"/>
          <w:color w:val="auto"/>
        </w:rPr>
        <w:t>”), pursuant to which FACT (now SunPower Inc. (f/k/a Complete Solaria, Inc.) following the closing of the Business Combination) agreed to purchase in the aggregate, on the date that is 24 months after the closing date of the Forward Purchase Agreements (the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up to 5,618,488 shares of common stock then held by the FPA Investors (subject to certain conditions and purchase limits set forth in the Forward Purchase Agreements). Pursuant to the terms of the Forward Purchase Agreements, each FPA Investor further agreed not to redeem any of the FACT Class A Ordinary Shares owned by it at such time. The per price at which the FPA Investors have the right to sell the shares to us on the Maturity Date will not be less than $5.00 per share. On December 18, 2023, the Company and each FPA Investor entered into separate amendments to the Forward Purchase Agreements (the “</w:t>
      </w:r>
      <w:r>
        <w:rPr>
          <w:rFonts w:ascii="Times New Roman" w:cs="Times New Roman" w:eastAsia="Times New Roman" w:hAnsi="Times New Roman"/>
          <w:sz w:val="18"/>
          <w:szCs w:val="18"/>
          <w:b w:val="1"/>
          <w:bCs w:val="1"/>
          <w:color w:val="auto"/>
        </w:rPr>
        <w:t>First Amendments”).</w:t>
      </w:r>
      <w:r>
        <w:rPr>
          <w:rFonts w:ascii="Times New Roman" w:cs="Times New Roman" w:eastAsia="Times New Roman" w:hAnsi="Times New Roman"/>
          <w:sz w:val="18"/>
          <w:szCs w:val="18"/>
          <w:color w:val="auto"/>
        </w:rPr>
        <w:t xml:space="preserve"> The First Amendments lower the reset floor price of each Forward Purchase Agreement from $5.00 to $3.00 and allow the Company to raise up to $10,000,000 of equity from existing stockholders without triggering certain anti-dilution provisions contained in the Forward Purchase Agreements;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 On May 7 and 8, 2024, respectively, the Company entered into separate amendments to the Forward Purchase Agreements (the collectively the “</w:t>
      </w:r>
      <w:r>
        <w:rPr>
          <w:rFonts w:ascii="Times New Roman" w:cs="Times New Roman" w:eastAsia="Times New Roman" w:hAnsi="Times New Roman"/>
          <w:sz w:val="18"/>
          <w:szCs w:val="18"/>
          <w:b w:val="1"/>
          <w:bCs w:val="1"/>
          <w:color w:val="auto"/>
        </w:rPr>
        <w:t>Second Amendments</w:t>
      </w:r>
      <w:r>
        <w:rPr>
          <w:rFonts w:ascii="Times New Roman" w:cs="Times New Roman" w:eastAsia="Times New Roman" w:hAnsi="Times New Roman"/>
          <w:sz w:val="18"/>
          <w:szCs w:val="18"/>
          <w:color w:val="auto"/>
        </w:rPr>
        <w:t>”) with Sandia (the “</w:t>
      </w:r>
      <w:r>
        <w:rPr>
          <w:rFonts w:ascii="Times New Roman" w:cs="Times New Roman" w:eastAsia="Times New Roman" w:hAnsi="Times New Roman"/>
          <w:sz w:val="18"/>
          <w:szCs w:val="18"/>
          <w:b w:val="1"/>
          <w:bCs w:val="1"/>
          <w:color w:val="auto"/>
        </w:rPr>
        <w:t>Sandia Second Amendment</w:t>
      </w:r>
      <w:r>
        <w:rPr>
          <w:rFonts w:ascii="Times New Roman" w:cs="Times New Roman" w:eastAsia="Times New Roman" w:hAnsi="Times New Roman"/>
          <w:sz w:val="18"/>
          <w:szCs w:val="18"/>
          <w:color w:val="auto"/>
        </w:rPr>
        <w:t>”) and Polar (the “</w:t>
      </w:r>
      <w:r>
        <w:rPr>
          <w:rFonts w:ascii="Times New Roman" w:cs="Times New Roman" w:eastAsia="Times New Roman" w:hAnsi="Times New Roman"/>
          <w:sz w:val="18"/>
          <w:szCs w:val="18"/>
          <w:b w:val="1"/>
          <w:bCs w:val="1"/>
          <w:color w:val="auto"/>
        </w:rPr>
        <w:t>Polar 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The Second Amendments lower the reset price of each Forward Purchase Agreement from $3.00 to $1.00 per share and amend the VWAP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Trigger Event provision to read: “After December 31, 2024, an event that occurs if the VWAP Price, for any 20 trading days during a 30 consecutive trading day-period, is below $1.00 per Share.” The Sandia Second Amendment is not effective until the Company executes similar amendments with both Polar and Meteora. Subsequently, on June 14, 2024, the Company entered into an amendment to the Forward Purchase Agreement with Sandia (the “</w:t>
      </w:r>
      <w:r>
        <w:rPr>
          <w:rFonts w:ascii="Times New Roman" w:cs="Times New Roman" w:eastAsia="Times New Roman" w:hAnsi="Times New Roman"/>
          <w:sz w:val="18"/>
          <w:szCs w:val="18"/>
          <w:b w:val="1"/>
          <w:bCs w:val="1"/>
          <w:color w:val="auto"/>
        </w:rPr>
        <w:t>Sandia Third Amendment</w:t>
      </w:r>
      <w:r>
        <w:rPr>
          <w:rFonts w:ascii="Times New Roman" w:cs="Times New Roman" w:eastAsia="Times New Roman" w:hAnsi="Times New Roman"/>
          <w:sz w:val="18"/>
          <w:szCs w:val="18"/>
          <w:color w:val="auto"/>
        </w:rPr>
        <w:t>”). The Sandia Third Amendment sets the reset price of each Forward Purchase Agreement to $1.00 per share and amends the VWAP Trigger Event provision to read: “After December 31, 2024, an event that occurs if the VWAP Price, for any 20 trading days during a 30 consecutive trading day-period, is below $1.00 per Share.” In the event either Polar or Meteora amend their Forward Purchase Agreements to include different terms from the $1.00 reset price and VWAP trigger adjustment, or file a notice of a VWAP trigger event, as referenced herein, the Sandia Forward Purchase Agreement will be retroactively amended to reflect those improved terms and liquidity on the Sandia Forward Purchase Agreement, including any of the 1,050,000 shares that were sold upon execution of the Sandia Forward Purchase Agreement. On July 17, 2024, the Company entered into the third amendment to the Forward Purchase Agreement with Polar (the “</w:t>
      </w:r>
      <w:r>
        <w:rPr>
          <w:rFonts w:ascii="Times New Roman" w:cs="Times New Roman" w:eastAsia="Times New Roman" w:hAnsi="Times New Roman"/>
          <w:sz w:val="18"/>
          <w:szCs w:val="18"/>
          <w:b w:val="1"/>
          <w:bCs w:val="1"/>
          <w:color w:val="auto"/>
        </w:rPr>
        <w:t>Polar Third Amendment</w:t>
      </w:r>
      <w:r>
        <w:rPr>
          <w:rFonts w:ascii="Times New Roman" w:cs="Times New Roman" w:eastAsia="Times New Roman" w:hAnsi="Times New Roman"/>
          <w:sz w:val="18"/>
          <w:szCs w:val="18"/>
          <w:color w:val="auto"/>
        </w:rPr>
        <w:t>”), pursuant to which the Company and Polar agreed that Section 2 (Most Favored Nation) of the Forward Purchase Agreement is applicable to all 2,450,000 shares subject to the Forward Purchase Agreement. On July 15, 2025, the Company and Meteora entered into an amendment to the FPA between Meteora and the Company, on July 16, 2025, the Company and Sandia entered into an amendment to the FPA between Sandia and the Company, and on August 1, 2025, the Company and Polar entered in an amendment to the FPA between Polar and the Company (collectively, the “FPA Amendments”). The FPA Amendments extend the valuation date applicable to the Forward Purchase Agreements (the “Valuation Date”) to the earliest to occur of (a) July 17, 2026, (b) the date specified by Meteora or Sandia, as applicable, in a written notice to be delivered to the Company at their discretion and (c) 90 days after delivery by us of a written notice in the event that for any 20 trading days during a 30 consecutive trading day-period that occurs at least six months after the closing date of the transactions under the Amended and Restated Business Combination Agreement entered into on May 26, 2023, the applicable volume-weighted average price (“VWAP Price”) is less than the then applicable reset price, provided that a registration statement was effective and available for the entire measurement period and remains continuously effective and available during the entire 90 day notice period. The FPA Amendments further amend the definition of “Settlement Amount Adjustment” to provide that if the expected Settlement Amount (as defined in the FPA Amendments) determined by the VWAP Price over the 15 scheduled trading days ending on but excluding the valuation date exceeds the Settlement Amount Adjustment, then the Settlement Amount Adjustment shall be deemed to be zero, and that if the Settlement Amount Adjustment exceeds the Settlement Amount, then the Settlement Amount Adjustment shall be paid, at the Company’s option, in cash or shares of our common stock. The FPA Amendments also amend the definition of “Cash Settlement Payment Date” to provide that if the Settlement Amount Adjustment exceeds the Settlement Amount, we shall remit to the applicable seller the difference between (i) the Settlement Amount Adjustment and (ii) the Settlement Amount. The FPA Amendments further provide that the Settlement Amount will be used solely as a calculation mechanism to determine any liability the Company may owe to the applicable seller via the Settlement Amount Adjustment, and notwithstanding anything to the contrary, the applicable seller shall not be required to remit the Settlement Amount to the Company or return any portion of the Prepayment Amount.</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the FPA Investors hold some or all of the 5,618,488 forward purchase agreement shares on the Maturity Date, and the per share trading price of our common stock is less than the per share price at which the FPA Investors have the right to sell the common stock to us on the Maturity Date, we would expect that the FPA Investors will exercise this repurchase right with respect to such shares. In the event that we are required to repurchase these forward purchase agreement shares, or in the event that the Forward Purchase Agreements are terminated, the amount of cash arising from the Business Combination that would ultimately be available to fund our liquidity and capital resource requirements would be reduced accordingly, which would adversely affect our ability to fund our growth plan in the manner we had contemplated when entering into the Forward Purchase Agreements.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Warrants to purchase shares of our common stock may not be exercised at all or may be exercised on a cashless basis and we may not receive any cash proceeds from the exercise of such warrants.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exercise price of warrants to purchase shares of our common stock may be higher than the prevailing market price of the underlying shares of common stock. The exercise price of such warrants is subject to market conditions and may not be advantageous if the prevailing market price of the underlying shares of common stock is lower than the exercise price. The cash proceeds associated with the exercise of such warrants to purchase our common stock are contingent upon our stock price. The value of our common stock will fluctuate and may not align with the exercise price of such warrants at any given time. If such warrants are “out of the money,” meaning the exercise price is higher than the market price of our common stock, there is a high likelihood that warrant holders may choose not to exercise their warrants. As a result, we may not receive any proceeds from the exercise of such warrants.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Furthermore, with regard to certain warrants to purchase shares of our common stock that were issued in a private placement at the time of FACT’s IPO and warrants issued to certain selling securityholders in connection with conversion of working capital loans, it is possible that we may not receive cash upon their exercise, since these warrants may be exercised on a cashless basis. A cashless exercise allows warrant holders to convert the warrants into shares of our common stock without the need for a cash payment. Instead of paying cash upon exercise, the warrant holder would receive a reduced number of shares based on a predetermined formula. As a result, the number of shares issued through a cashless exercise will be lower than if the warrants were exercised on a cash basis, which could impact the cash proceeds we receive from the exercise of such warrants.</w:t>
      </w:r>
    </w:p>
    <w:p>
      <w:pPr>
        <w:spacing w:after="0" w:line="183"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Servicing our outstanding debt requires a significant amount of cash, and we may not have sufficient cash flow from our business to pay our substantial debt.</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ability to make scheduled payments of the principal of, to pay interest on or to refinance our indebtedness, including (a) 12.00% Notes due 2029 (the “</w:t>
      </w:r>
      <w:r>
        <w:rPr>
          <w:rFonts w:ascii="Times New Roman" w:cs="Times New Roman" w:eastAsia="Times New Roman" w:hAnsi="Times New Roman"/>
          <w:sz w:val="18"/>
          <w:szCs w:val="18"/>
          <w:b w:val="1"/>
          <w:bCs w:val="1"/>
          <w:color w:val="auto"/>
        </w:rPr>
        <w:t>12.0% Notes</w:t>
      </w:r>
      <w:r>
        <w:rPr>
          <w:rFonts w:ascii="Times New Roman" w:cs="Times New Roman" w:eastAsia="Times New Roman" w:hAnsi="Times New Roman"/>
          <w:sz w:val="18"/>
          <w:szCs w:val="18"/>
          <w:color w:val="auto"/>
        </w:rPr>
        <w:t>”), the 7.00% Notes due 2029 (the “</w:t>
      </w:r>
      <w:r>
        <w:rPr>
          <w:rFonts w:ascii="Times New Roman" w:cs="Times New Roman" w:eastAsia="Times New Roman" w:hAnsi="Times New Roman"/>
          <w:sz w:val="18"/>
          <w:szCs w:val="18"/>
          <w:b w:val="1"/>
          <w:bCs w:val="1"/>
          <w:color w:val="auto"/>
        </w:rPr>
        <w:t>7.0% Notes</w:t>
      </w:r>
      <w:r>
        <w:rPr>
          <w:rFonts w:ascii="Times New Roman" w:cs="Times New Roman" w:eastAsia="Times New Roman" w:hAnsi="Times New Roman"/>
          <w:sz w:val="18"/>
          <w:szCs w:val="18"/>
          <w:color w:val="auto"/>
        </w:rPr>
        <w:t>”) and the 10.00% Senior Secured Convertible Notes due 2029 (the “</w:t>
      </w:r>
      <w:r>
        <w:rPr>
          <w:rFonts w:ascii="Times New Roman" w:cs="Times New Roman" w:eastAsia="Times New Roman" w:hAnsi="Times New Roman"/>
          <w:sz w:val="18"/>
          <w:szCs w:val="18"/>
          <w:b w:val="1"/>
          <w:bCs w:val="1"/>
          <w:color w:val="auto"/>
        </w:rPr>
        <w:t>10.0% Notes</w:t>
      </w:r>
      <w:r>
        <w:rPr>
          <w:rFonts w:ascii="Times New Roman" w:cs="Times New Roman" w:eastAsia="Times New Roman" w:hAnsi="Times New Roman"/>
          <w:sz w:val="18"/>
          <w:szCs w:val="18"/>
          <w:color w:val="auto"/>
        </w:rPr>
        <w:t>” and, collectively with the 12.0% Notes and the 7.0% Notes, the “</w:t>
      </w:r>
      <w:r>
        <w:rPr>
          <w:rFonts w:ascii="Times New Roman" w:cs="Times New Roman" w:eastAsia="Times New Roman" w:hAnsi="Times New Roman"/>
          <w:sz w:val="18"/>
          <w:szCs w:val="18"/>
          <w:b w:val="1"/>
          <w:bCs w:val="1"/>
          <w:color w:val="auto"/>
        </w:rPr>
        <w:t>Convertible Senior Notes</w:t>
      </w:r>
      <w:r>
        <w:rPr>
          <w:rFonts w:ascii="Times New Roman" w:cs="Times New Roman" w:eastAsia="Times New Roman" w:hAnsi="Times New Roman"/>
          <w:sz w:val="18"/>
          <w:szCs w:val="18"/>
          <w:color w:val="auto"/>
        </w:rPr>
        <w:t>”), and (b) the Promissory Note and YA Debenture issued to Yorkville (collectively, the “</w:t>
      </w:r>
      <w:r>
        <w:rPr>
          <w:rFonts w:ascii="Times New Roman" w:cs="Times New Roman" w:eastAsia="Times New Roman" w:hAnsi="Times New Roman"/>
          <w:sz w:val="18"/>
          <w:szCs w:val="18"/>
          <w:b w:val="1"/>
          <w:bCs w:val="1"/>
          <w:color w:val="auto"/>
        </w:rPr>
        <w:t>Yorkville Notes</w:t>
      </w:r>
      <w:r>
        <w:rPr>
          <w:rFonts w:ascii="Times New Roman" w:cs="Times New Roman" w:eastAsia="Times New Roman" w:hAnsi="Times New Roman"/>
          <w:sz w:val="18"/>
          <w:szCs w:val="18"/>
          <w:color w:val="auto"/>
        </w:rPr>
        <w:t>”), depends on our future performance, which is subject to economic, financial, competitive and other factors beyond our control. Our business may not continue to generate cash flow from operations in the future sufficient to service our debt and make necessary capital expenditures. Additionally, as a result of the delayed filing of our Annual Report on Form 10-K for the year ended December 29, 2024 and, subsequently, our Quarterly Report on Form 10-Q for the quarter ended September 28, 2025, we incurred additional interest under the then-outstanding 12.0% Notes and 7.0% Notes.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Convertible Senior Notes.</w:t>
      </w:r>
    </w:p>
    <w:p>
      <w:pPr>
        <w:spacing w:after="0" w:line="18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10.0% Senior Secured Notes are secured obligations, and there are risks associated with our 10.0% Senior Secured Notes that could adversely affect our business and financial condition.</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April 21, 2026, the Company entered into note purchase agreements in connection with a private offering of $41.0 million aggregate principal amount of 10.00% Convertible Senior Secured Notes due 2029 (the “</w:t>
      </w:r>
      <w:r>
        <w:rPr>
          <w:rFonts w:ascii="Times New Roman" w:cs="Times New Roman" w:eastAsia="Times New Roman" w:hAnsi="Times New Roman"/>
          <w:sz w:val="18"/>
          <w:szCs w:val="18"/>
          <w:b w:val="1"/>
          <w:bCs w:val="1"/>
          <w:color w:val="auto"/>
        </w:rPr>
        <w:t>10.0% Notes</w:t>
      </w:r>
      <w:r>
        <w:rPr>
          <w:rFonts w:ascii="Times New Roman" w:cs="Times New Roman" w:eastAsia="Times New Roman" w:hAnsi="Times New Roman"/>
          <w:sz w:val="18"/>
          <w:szCs w:val="18"/>
          <w:color w:val="auto"/>
        </w:rPr>
        <w:t>”). The indenture for the 10.0% Notes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includes customary covenants and sets forth certain events of default after which the 10.0% Notes may be declared immediately due and payable and sets forth certain types of bankruptcy or insolvency events of default involving the Company after which the 10.0% Notes become automatically due and payable, which include the following:</w:t>
      </w:r>
    </w:p>
    <w:p>
      <w:pPr>
        <w:spacing w:after="0" w:line="183" w:lineRule="exact"/>
        <w:rPr>
          <w:sz w:val="20"/>
          <w:szCs w:val="20"/>
          <w:color w:val="auto"/>
        </w:rPr>
      </w:pPr>
    </w:p>
    <w:p>
      <w:pPr>
        <w:ind w:left="660" w:hanging="328"/>
        <w:spacing w:after="0" w:line="281" w:lineRule="auto"/>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certain payment defaults on the 10% Notes (which, in the case of a default in the payment of interest on the Notes, will be subject to a 30-day cure period);</w:t>
      </w:r>
    </w:p>
    <w:p>
      <w:pPr>
        <w:spacing w:after="0" w:line="189"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failure by the Company to comply with its obligation to convert the 10.0% Notes in accordance with the Indenture upon exercise of a holder’s conversion right;</w:t>
      </w:r>
    </w:p>
    <w:p>
      <w:pPr>
        <w:spacing w:after="0" w:line="189" w:lineRule="exact"/>
        <w:rPr>
          <w:rFonts w:ascii="Arial" w:cs="Arial" w:eastAsia="Arial" w:hAnsi="Arial"/>
          <w:sz w:val="18"/>
          <w:szCs w:val="18"/>
          <w:b w:val="1"/>
          <w:bCs w:val="1"/>
          <w:color w:val="auto"/>
        </w:rPr>
      </w:pPr>
    </w:p>
    <w:p>
      <w:pPr>
        <w:ind w:left="660" w:hanging="328"/>
        <w:spacing w:after="0"/>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Company’s failure to send certain notices under the Indenture within specified periods of time;</w:t>
      </w:r>
    </w:p>
    <w:p>
      <w:pPr>
        <w:spacing w:after="0" w:line="251"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w:t>
      </w:r>
    </w:p>
    <w:p>
      <w:pPr>
        <w:spacing w:after="0" w:line="20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default by the Company in its other obligations or agreements under the Indenture or the Notes if such default is not cured or waived within 60 days after notice is given in accordance with the Indenture;</w:t>
      </w:r>
    </w:p>
    <w:p>
      <w:pPr>
        <w:spacing w:after="0" w:line="189"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certain defaults by the Company or any of its significant subsidiaries with respect to (y) the liens securing the Company’s payment obligations under Siemens Settlement, or (z) indebtedness for borrowed money of at least $10.0 million;</w:t>
      </w:r>
    </w:p>
    <w:p>
      <w:pPr>
        <w:spacing w:after="0" w:line="189" w:lineRule="exact"/>
        <w:rPr>
          <w:rFonts w:ascii="Arial" w:cs="Arial" w:eastAsia="Arial" w:hAnsi="Arial"/>
          <w:sz w:val="18"/>
          <w:szCs w:val="18"/>
          <w:b w:val="1"/>
          <w:bCs w:val="1"/>
          <w:color w:val="auto"/>
        </w:rPr>
      </w:pPr>
    </w:p>
    <w:p>
      <w:pPr>
        <w:ind w:left="660" w:hanging="328"/>
        <w:spacing w:after="0"/>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certain events of bankruptcy, insolvency or reorganization of the Company or any of the Company’s significant subsidiaries;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jc w:val="both"/>
        <w:ind w:left="660" w:hanging="328"/>
        <w:spacing w:after="0" w:line="260" w:lineRule="auto"/>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final judgment or judgments for the payment of $10,000,000 (or its foreign currency equivalent) or more (excluding any amounts covered by insurance) in the aggregate rendered against the Company or any significant subsidiary, which judgment is not discharged, bonded, paid, waived or stayed within 60 days after (i) the date on which the right to appeal thereof has expired if no such appeal has commenced, or (ii) the date on which all rights to appeal have been extinguished;</w:t>
      </w:r>
    </w:p>
    <w:p>
      <w:pPr>
        <w:spacing w:after="0" w:line="209"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security interest and liens purported to be created by any collateral document, including the Security Agreement (as defined below), shall cease to be in full force and effect or shall cease to give the collateral agent, for the benefit of the holders of the 10.0% Notes, the liens, rights, powers and privileges purported to be created and granted under such collateral documents, subject to certain exceptions; and</w:t>
      </w:r>
    </w:p>
    <w:p>
      <w:pPr>
        <w:spacing w:after="0" w:line="20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guarantee with respect to the 10.0% Notes ceases to be in full force and effect or the Company or any guarantor denies or disaffirms its obligations under the Indenture or any guarantee with respect to the 10.0% Notes.</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If certain bankruptcy and insolvency-related events of default occur with respect to the Company, the principal of, and accrued and unpaid interest, if any, on, all of the 10.0% Notes then outstanding shall automatically become due and payable.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ability to remain in compliance with the covenants under the 10% Senior Secured Notes depends on, among other things, our operating performance, competitive developments, financial market conditions and stock exchange listing of our common stock, all of which are significantly affected by financial, business, economic and other factors. We are not able to control many of these factors. Accordingly, our cash flow may not be sufficient to allow us to make required payments under the 10.0% Notes or meet our other obligations thereunder.</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are not able to satisfy our obligations under the 10.0% Notes, including compliance with the affirmative, negative and financial covenants applicable to the Company, or if there are events of defaults under the 10.0% Notes, the holders will have the right to foreclose on their first priority security interest relating to substantially all of our assets to the exclusion of our general unsecured creditors. If the holders of the 10.0% Notes pursue foreclosure, any such foreclosure would have a material and adverse impact on our business.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conversion features of the Convertible Senior Notes may adversely affect our financial condition and operating results.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holders of Convertible Senior Notes will be entitled to convert their notes at and during specified periods at their option. If one or more holders elect to convert their notes, unless we elect to satisfy our conversion obligation by delivering solely shares of our common stock (other than paying cash in lieu of delivering any fractional share), at maturity, we would be required to settle a portion or all of our conversion obligation through the payment of cash, which could adversely affect our liquidity.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49" w:name="page50"/>
    <w:bookmarkEnd w:id="49"/>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the indentures or other agreements governing the Convertible Senior Notes, as well as the agreements governing the Yorkville Notes may delay or prevent an otherwise a beneficial takeover attempt of us.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Certain provisions in the indentures or other agreements governing the Convertible Senior Notes may make it more difficult or expensive for a third party to acquire us. For example, the indentures and other agreements governing the Convertible Senior Notes will require us to repurchase the Convertible Senior Notes for cash upon the occurrence of a fundamental change and, in certain circumstances, to increase the conversion rate for a holder that converts its notes in connection with a make-whole fundamental change. A takeover of us may trigger the requirement that we repurchase the Convertible Senior Notes and/or increase the conversion rate, which could make it costlier for a potential acquirer to engage in such takeover. Such additional costs may have the effect of delaying or preventing a takeover of us that would otherwise be beneficial to investors.</w:t>
      </w:r>
    </w:p>
    <w:p>
      <w:pPr>
        <w:spacing w:after="0" w:line="18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Conversion of the Convertible Senior Notes or the Yorkville Notes may dilute the ownership interest of our stockholders or may otherwise depress the price of our common stock.</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conversion of some or all of the Convertible Senior Notes or the Yorkville Notes may dilute the ownership interests of our stockholders. Upon conversion of the Convertible Senior Notes, we have the option to pay or deliver, as the case may be, cash, shares of our common stock or a combination of cash and shares of our common stock. If we elect to settle our conversion obligation in shares of our common stock or a combination of cash and shares of our common stock, any sales in the public market of our common stock issuable upon such conversion could adversely affect prevailing market prices of our common stock. In addition, the existence of the Convertible Senior Notes may encourage short selling by market participants because the conversion of the Convertible Senior Notes could be used to satisfy short positions, or anticipated conversion of the Convertible Senior Notes into shares of our common stock could depress the price of our common stock.</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accounting method for the Convertible Senior Notes could adversely affect our reported financial condition and results.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accounting method for reflecting the Convertible Senior Notes on our balance sheet, accruing interest expense for the Convertible Senior Notes and reflecting the underlying shares of our common stock in our reported diluted earnings per share may adversely affect our reported earnings and financial condition.</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we expect that the shares of common stock underlying the Convertible Senior Notes will be reflected in our diluted earnings per share using the “if converted” method. Under that method, diluted earnings per share would generally be calculated assuming that all the Convertible Senior Notes were converted solely into shares of common stock at the beginning of the reporting period, unless the result would be anti-dilutive. The application of the if-converted method may reduce our reported diluted earnings per share to the extent we are profitable in the future, and accounting standards may change in the future in a manner that may adversely affect our diluted earnings per share.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if any of the conditions to the convertibility of the Convertible Senior Notes is satisfied, then we may be required under applicable accounting standards to reclassify the liability carrying value of the Convertible Senior Notes as a current, rather than a long-term, liability. This reclassification could be required even if no noteholders or holders of affiliate notes convert their notes or affiliate notes, respectively, following the satisfaction of those conditions and could materially reduce our reported working capital.</w:t>
      </w:r>
    </w:p>
    <w:p>
      <w:pPr>
        <w:spacing w:after="0" w:line="176"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(including potential sales of securities to Yorkville pursuant to the SEPA), or the perception of future sales, by us or our stockholders in the public market could cause the market price for the common stock to decline.</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sale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it deems appropriate. In the future, we may issue our securities to raise capital or in connection with investments or acquisitions. The amount of shares of common stock issued or issuable upon exercise or conversion of securities issued in connection with a capital raise or an investment or acquisition could constitute a material portion of the then-outstanding shares of our common stock. Any issuance of additional securities in connection with capital raising activities, investments or acquisitions may result in additional dilution to our stockholders.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Information contained in this prospectus concerning the market and the industries in which SunPower competes, including its market position, general expectations of market opportunities and market size, is based on information from various third-party sources, publicly available information, various industry publications, internal data and estimates, and assumptions made by SunPower based on such sources. Internal data and estimates are based upon information obtained from trade and business organizations and other contacts in the markets in which SunPower operates and SunPower management’s understanding of industry conditions. This information and any estimates provided herein involve numerous assumptions and limitations, and you are cautioned not to give undue weight to such information. Third-party sources generally state that the information contained in such sources has been obtained from sources believed to be reliable. Although we believe that such information is reliable, there can be no assurance as to the accuracy or completeness of such information.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Although we are responsible for all of the disclosure contained in this prospectus and we believe the third-party market position, general expectations of market opportunity and market size data included in this prospectus are reliable, we have not independently verified any third-party information and each publication speaks as of its original publication date (and not as of the date of this prospectus). In addition, we do not know all of the assumptions regarding general economic conditions or growth that were used in preparing the forecasts from the sources relied upon or cited herein.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of the shares of common stock offered by the Selling Securityholder pursuant to this prospectus will be sold by the Selling Securityholder for its own account. We will not receive any of the proceeds from the resale of the shares of common stock by the Selling Securityholder.</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Prior to the date of this prospectus, we received (i) proceeds of $1,710,000 in connection with our sale and issuance to Yorkville of the Promissory Note in connection with the SEPA in the aggregate principal amount of $1,900,000 and (ii) proceeds of $9,000,000 from the issuance and sale by us to Yorkville of the YA Debenture; and we may receive proceeds from sales of common stock that we may elect to make to Yorkville pursuant to the SEPA, if any, from time to time in our discretion prior to or after the date of this prospectus. The net proceeds from sales, if any, under the SEPA, will depend on the frequency and prices at which we sell shares of common stock to Yorkville after the date of this prospectus. We will not receive any additional proceeds in connection with Yorkville’s conversion of the Promissory Note or the YA Debenture.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proceeds from the Selling Securityholder that we may receive under the SEPA are currently expected to be used for general corporate purposes, including working capital. Accordingly, we retain broad discretion over the use of the net proceeds from the sale of our common stock under the SEPA and with respect to the proceeds previously received from the issuance of Promissory Note and the YA Debenture. We have no control over the amount and timing of any conversions of the YA Debenture or the Promissory Note by the Selling Securityholder.</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incur all costs associated with this prospectus and the registration statement of which it is a part.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We cannot currently determine the price or prices at which shares of common stock may be sold by the Selling Securityholder under this prospectus.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INFORMATION FOR SECURITIES AND DIVIDEND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common stock and Public Warrants are currently listed on Nasdaq under the symbols “SPWR” and “SPWRW,” respectively. Our common stock and public warrants were previously listed on Nasdaq under the symbols “CSLR” and “CSLRW”, respectively. Prior to the consummation of the Business Combination, our common stock and our Public Warrants were listed on the New York Stock Exchange under the symbols “FACT” and “FACT WS,” respectively. On May 15, 2026, there were 152 holders of record of the common stock. We currently do not intend to list the Private Warrants on any stock exchange or stock market.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dividends on shares of our common stock. We anticipate that we will retain all of our future earnings, if any, for use in the operation and expansion of our business and do not anticipate paying cash dividends in the foreseeable future. Any decision to declare and pay dividends in the future will depend on, among other things, the consent of our lender(s), our results of operations, cash requirements, financial condition, contractual restrictions and other factors that the SunPower Board may deem relevant.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the related notes included elsewhere in this prospectus. Some of the information contained in this discussion and analysis or set forth elsewhere in this prospectus, including information with respect to our plans and strategy for our business, includes forward-looking statements that involve risks, uncertainties and assumptions. You should read the “Special Note Regarding Forward-Looking Statements” and “Risk Factors” sections of this prospectus for a discussion of important factors that could cause actual results to differ materially from the results described in or implied by the forward-looking statements contained in the following discussion and analysis.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SunPower Inc. is a residential solar and energy services company headquartered in Orem, Utah. We operate a technology-enabled platform that supports a national network of sales partners, dealers, and installation professionals to deliver solar energy systems, battery storage solutions, and related services to homeowners and homebuilders throughout the United States.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fulfill our customer contracts by using in-house installation experts and by engaging with local construction specialists. We manage the customer experience and complete all pre-construction activities prior to delivering build-ready projects including hardware, engineering plans, and building permits to our builder partners. We manage and coordinate this process through our proprietary software system.</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2025 and through the thirteen week period ended March 29, 2026 we significantly reshaped our business through a series of strategic acquisitions, including the acquisition of Sunder Energy, LLC (“Sunder”), Ambia Energy LLC (“Ambia”) and Cobalt Power Systems, Inc. (“Cobalt”). These acquisitions expanded our geographic footprint, dealer network, installation capacity, and national sales presence. The operating results in the current quarter reflect the integration and ongoing operations of these acquired businesses.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further discussed below and in the notes to the consolidated financial statements included in this prospectus, we have three reportable segments: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Residential Solar Installation, New Homes Business and Dealer.</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There is substantial doubt about our ability to continue as a going concern within one year after the date that the unaudited condensed consolidated financial statements are issued. The consolidated financial statements included in this prospectus have been prepared assuming our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our ability to continue as a going concern.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continued the integration of recent acquisitions of Sunder and Ambia into our operating platform. In the thirteen week period ended March 29, 2026, we acquired Cobalt for $9.7 million. Cobalt focuses on large premium renewable energy systems across residential, new home, multifamily and commercial projects and its operating results will be incorporated into the New Homes reportable segment.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Growth Strategy and Outlook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growth strategy contains the following elements:</w:t>
      </w:r>
    </w:p>
    <w:p>
      <w:pPr>
        <w:spacing w:after="0" w:line="223" w:lineRule="exact"/>
        <w:rPr>
          <w:sz w:val="20"/>
          <w:szCs w:val="20"/>
          <w:color w:val="auto"/>
        </w:rPr>
      </w:pPr>
    </w:p>
    <w:p>
      <w:pPr>
        <w:jc w:val="both"/>
        <w:ind w:left="66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revenue by expanding installation capacity and developing new geographic markets </w:t>
      </w:r>
      <w:r>
        <w:rPr>
          <w:rFonts w:ascii="Times New Roman" w:cs="Times New Roman" w:eastAsia="Times New Roman" w:hAnsi="Times New Roman"/>
          <w:sz w:val="18"/>
          <w:szCs w:val="18"/>
          <w:color w:val="auto"/>
        </w:rPr>
        <w:t>- We continue to expand our network of partners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 will install systems resulting from sales generated by our sales partners. By leveraging this network of skilled builders in addition to our in-house installation experts, we aim to increase our installation capacity in our traditional markets and expand our offering into new geographies throughout the U.S. This will enable greater sales growth in existing markets and create new revenue in expansion markets.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revenue and margin by engaging national-scale sales partners </w:t>
      </w:r>
      <w:r>
        <w:rPr>
          <w:rFonts w:ascii="Times New Roman" w:cs="Times New Roman" w:eastAsia="Times New Roman" w:hAnsi="Times New Roman"/>
          <w:sz w:val="18"/>
          <w:szCs w:val="18"/>
          <w:color w:val="auto"/>
        </w:rPr>
        <w:t>- We aim to offer a turnkey solar solution to prospective sales partners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national footprint. These include electric vehicle manufacturers, national home security providers, and real estate brokerages. We expect to create a consistent offering with a single execution process for such sales partners throughout their geographic territories. These national accounts have unique customer relationships that we believe will facilitate meaningful sales opportunities and low cost of acquisition to both increase revenue and improve margin.</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revenue and margin by executing on a battery storage opportunity </w:t>
      </w:r>
      <w:r>
        <w:rPr>
          <w:rFonts w:ascii="Times New Roman" w:cs="Times New Roman" w:eastAsia="Times New Roman" w:hAnsi="Times New Roman"/>
          <w:sz w:val="18"/>
          <w:szCs w:val="18"/>
          <w:color w:val="auto"/>
        </w:rPr>
        <w:t>- We have an opportunity to increase our revenue and margin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battery space through our partnership with Enphase. By providing homeowners with an option to include battery storage as part of their solar system install, we believe there will be a greater need for battery storage as the demand and costs of energy will increase.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The Mergers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entered into an Amended and Restated Business Combination Agreement with FACT, First Merger Sub, Second Merger Sub, and Solaria on October 3, 2022. The Merger was consummated on July 18, 2023. Upon the terms and subject to the conditions of the Merger, (i) First Merger Sub merged with and into Complete Solaria with Complete Solaria surviving as a wholly-owned subsidiary of FACT (the “</w:t>
      </w:r>
      <w:r>
        <w:rPr>
          <w:rFonts w:ascii="Times New Roman" w:cs="Times New Roman" w:eastAsia="Times New Roman" w:hAnsi="Times New Roman"/>
          <w:sz w:val="18"/>
          <w:szCs w:val="18"/>
          <w:b w:val="1"/>
          <w:bCs w:val="1"/>
          <w:color w:val="auto"/>
        </w:rPr>
        <w:t>First Merger</w:t>
      </w:r>
      <w:r>
        <w:rPr>
          <w:rFonts w:ascii="Times New Roman" w:cs="Times New Roman" w:eastAsia="Times New Roman" w:hAnsi="Times New Roman"/>
          <w:sz w:val="18"/>
          <w:szCs w:val="18"/>
          <w:color w:val="auto"/>
        </w:rPr>
        <w:t>”), (ii) immediately thereafter and as part of the same overall transaction, Complete Solaria merged with and into Second Merger Sub, with Second Merger Sub surviving as a wholly-owned subsidiary of FACT (the “</w:t>
      </w:r>
      <w:r>
        <w:rPr>
          <w:rFonts w:ascii="Times New Roman" w:cs="Times New Roman" w:eastAsia="Times New Roman" w:hAnsi="Times New Roman"/>
          <w:sz w:val="18"/>
          <w:szCs w:val="18"/>
          <w:b w:val="1"/>
          <w:bCs w:val="1"/>
          <w:color w:val="auto"/>
        </w:rPr>
        <w:t>Second Merger</w:t>
      </w:r>
      <w:r>
        <w:rPr>
          <w:rFonts w:ascii="Times New Roman" w:cs="Times New Roman" w:eastAsia="Times New Roman" w:hAnsi="Times New Roman"/>
          <w:sz w:val="18"/>
          <w:szCs w:val="18"/>
          <w:color w:val="auto"/>
        </w:rPr>
        <w:t>”), and FACT changed its name to “Complete Solaria, Inc.” and Second Merger Sub changed its name to “CS, LLC” and (iii) immediately after the consummation of the Second Merger and as part of the same overall transaction, Solaria merged with and into a newly formed Delaware limited liability company and wholly-owned subsidiary of FACT and changed its name to “The SolarCA LLC” (“</w:t>
      </w:r>
      <w:r>
        <w:rPr>
          <w:rFonts w:ascii="Times New Roman" w:cs="Times New Roman" w:eastAsia="Times New Roman" w:hAnsi="Times New Roman"/>
          <w:sz w:val="18"/>
          <w:szCs w:val="18"/>
          <w:b w:val="1"/>
          <w:bCs w:val="1"/>
          <w:color w:val="auto"/>
        </w:rPr>
        <w:t>Third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w:t>
      </w:r>
      <w:r>
        <w:rPr>
          <w:rFonts w:ascii="Times New Roman" w:cs="Times New Roman" w:eastAsia="Times New Roman" w:hAnsi="Times New Roman"/>
          <w:sz w:val="18"/>
          <w:szCs w:val="18"/>
          <w:color w:val="auto"/>
        </w:rPr>
        <w:t>”), with Third Merger Sub surviving as a wholly-owned subsidiary of FACT (the “</w:t>
      </w:r>
      <w:r>
        <w:rPr>
          <w:rFonts w:ascii="Times New Roman" w:cs="Times New Roman" w:eastAsia="Times New Roman" w:hAnsi="Times New Roman"/>
          <w:sz w:val="18"/>
          <w:szCs w:val="18"/>
          <w:b w:val="1"/>
          <w:bCs w:val="1"/>
          <w:color w:val="auto"/>
        </w:rPr>
        <w:t>Additional Merger</w:t>
      </w:r>
      <w:r>
        <w:rPr>
          <w:rFonts w:ascii="Times New Roman" w:cs="Times New Roman" w:eastAsia="Times New Roman" w:hAnsi="Times New Roman"/>
          <w:sz w:val="18"/>
          <w:szCs w:val="18"/>
          <w:color w:val="auto"/>
        </w:rPr>
        <w:t>”, and together with the First Merger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Second Merger, the “</w:t>
      </w:r>
      <w:r>
        <w:rPr>
          <w:rFonts w:ascii="Times New Roman" w:cs="Times New Roman" w:eastAsia="Times New Roman" w:hAnsi="Times New Roman"/>
          <w:sz w:val="18"/>
          <w:szCs w:val="18"/>
          <w:b w:val="1"/>
          <w:bCs w:val="1"/>
          <w:color w:val="auto"/>
        </w:rPr>
        <w:t>Mergers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Mergers between Complete Solaria and FACT were accounted for as a reverse recapitalization. Under this method of accounting, FACT was treated as the acquired company for financial statement reporting purposes. This determination was primarily based on the Company having a majority of the voting power of the post-combination company, the Company’s senior management comprising substantially all of the senior management of the post-combination company, and the Company’s operations comprising the ongoing operations of the post-combination company. Accordingly, for accounting purposes, the Mergers were treated as the equivalent of a capital transaction in which Complete Solaria issued stock for the net assets of FACT. The net assets of FACT were stated at historical cost, with no goodwill or other intangible assets recorded.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Disposal Transaction</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October 2023, we completed the divestiture of our solar panel business to Maxeon (“</w:t>
      </w:r>
      <w:r>
        <w:rPr>
          <w:rFonts w:ascii="Times New Roman" w:cs="Times New Roman" w:eastAsia="Times New Roman" w:hAnsi="Times New Roman"/>
          <w:sz w:val="18"/>
          <w:szCs w:val="18"/>
          <w:b w:val="1"/>
          <w:bCs w:val="1"/>
          <w:color w:val="auto"/>
        </w:rPr>
        <w:t>Divestiture</w:t>
      </w:r>
      <w:r>
        <w:rPr>
          <w:rFonts w:ascii="Times New Roman" w:cs="Times New Roman" w:eastAsia="Times New Roman" w:hAnsi="Times New Roman"/>
          <w:sz w:val="18"/>
          <w:szCs w:val="18"/>
          <w:color w:val="auto"/>
        </w:rPr>
        <w:t>”), pursuant to the terms of the Disposal Agreement. Under the terms of the Disposal Agreement, Maxeon agreed to acquire certain assets and employees of Complete Solaria, for an aggregate purchase price of approximately $11.0 million consisting of 1,100,000 shares of Maxeon ordinary shares. We determined that the criteria were met for discontinued operations classification as the divestiture represented a strategic shift in our business. In connection with the Divestiture, we recognized a loss from discontinued operations of $1.1 million, $2.0 million and $173.4 million in the fiscal years ended December 28, 2025, December 29, 2024 and December 31, 2023, respectively. We also sold all the Maxeon shares in the year ended December 31, 2023, and recorded a $4.2 million loss on the sale of these shares in our consolidated statements of operations and comprehensive loss.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Assets of SunPower Debtors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September 30, 2024, we acquired the SunPower Businesses for consideration of $54.5 million which we financed through the issuance of $66.8 million of 7.0% senior unsecured convertible notes in September 2024. These notes mature on July 1, 2029 and are convertible into shares of the Company’s common stock at the option of the holder at a current conversion rate of $1.71 per share. The SunPower Businesses operated as a solar technology and energy services provider that offered fully integrated solar, storage, and home energy solutions to customers in the United States through an array of hardware, software, and “Smart Energy” solutions. This transaction was accounted for as a business combination under Accounting Standards Codification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Sunder Energy LLC</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September 24, 2025, we acquired all of the membership interests in Sunder Energy LLC (“Sunder”) for consideration of $57.8 million. We financed this transaction through (1) $20.7 million in cash, subject to certain working capital and other adjustments; (2) a promissory note to the seller in the principal amount of $20.0 million (“Seller Note”); and (3) 10.0 million shares of the Company’s common stock valued at $17.1 million (based on the $1.71 closing share price of the Company’s common stock on September 24, 2025). We issued 3.3 million shares at the acquisition date and will issue the remaining shares in two equal tranches of 3.3 million shares at 12 months and 18 months following the date of acquisition. Sunder is a solar sales company. Sunder provides a third-party solar energy sales force to initiate and execute contracts with customers throughout the United States. Sunder’s sales force works with solar installation companies in which Sunder acts as the agent for each transaction entered. Sunder earns revenue from contracts sold to customers for solar installations performed by third-party installation companies. We acquired Sunder as a strategic acquisition to expand its overall market share and its penetration into more U.S. states. We accounted for this transaction as a business combination under ASC 805.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Ambia Energy LLC</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21, 2025, we acquired all of the membership interests in Ambia Energy LLC (“Ambia”) for consideration of $33.4 million. We financed this acquisition through the issuance of 10.2 million shares of our common stock with a fair value of $16.5 million on the date of acquisition and an agreement to issue an additional $16.9 million in shares of our common stock in two tranches with the final issuance on the 12-month anniversary of the Ambia closing. Ambia is a residential solar energy system installer and operates in various markets throughout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Constraints and Risk</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global supply chain and our industry have experienced significant disruptions in recent periods. We have seen supply chain challenges and logistics constraints increase, including shortages of panels, inverters, batteries and associated component parts for inverters and solar energy systems available for purchase, which materially impacted our results of operations. These shortages and delays can be attributed in part to the broader macroeconomic conditions and have been exacerbated by the conflicts in Ukraine and Israel. If any of our suppliers of solar modules experienced disruptions in the supply of the modules’ component parts, for example semiconductor solar wafers or inverters, this may decrease production capabilities and restrict our inventory and sales. In addition, we have experienced and are experiencing varying levels of volatility in costs of equipment and labor resulting in part from disruptions caused by general global economic conditions. While inflationary pressures have resulted in higher costs of products, in part due to an increase in the cost of the materials and wage rates, these additional costs have been offset by the related rise in electricity rates.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cannot predict the full effects the supply chain constraints will have on our business, cash flows, liquidity, financial condition and results of operations at this time due to numerous uncertainties. Given the dynamic nature of these circumstances on our ongoing business, results of operations and overall financial performance, the full impact of macroeconomic factors, including the conflicts in Ukraine and Israel, cannot be reasonably estimated at this time. In the event we are unable to mitigate the impact of delays or price volatility in solar energy systems, raw materials, and freight, it could materially adversely affect our business, prospects, financial condition and results of operations.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on risk factors that could impact our results, please refer to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Definitions/Components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recognize revenue for the Residential Solar Installation and New Homes Business reportable segments when installation is substantially complete, the system is capable of interconnection to the local power grid, and control has transferred to the customer.</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Installation activities-including system design, equipment delivery, installation, and grid interconnection-are treated as a single performance obligation. For most contracts, revenue is recognized over time beginning upon installation, using an input method based on direct installation costs. Installation costs incurred prior to this point are deferred.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Residential Solar Installation revenue is generated through cash sales, third-party financing arrangements, and power purchase or lease structures.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Homeowners are the customers in cash and financing arrangements, while leasing partners are the customers in power purchase and lease arrangements.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Homes Business revenue is primarily generated from sales to homebuilders, with limited lease arrangements recognized upon system acceptance.</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is recorded at the transaction price, net of customer incentives and financing-related fees, and may include estimated variable consideration. Deferred revenue represents amounts billed or collected in advance of performance. None of the Company’s arrangements contain a significant financing component.</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With respect to our Dealer reportable segment, we earn revenue from contracts in which solar installations are performed by third-party installation companies. In these arrangements, our performance obligation is to facilitate the transaction and arrange for installation services rather than provide those services directly. As a result, we act as an agent and recognize revenue on a net basis, representing the fee retained by us.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Dealer revenue is recognized at a point in time when Permission to Operate (“PTO”) is obtained, which indicates that installation is complete and the system is authorized for operation. These arrangements do not include significant financing components, and we do not provide warranty services related to dealer-installed systems.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and Fulfill Contracts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costs to obtain and fulfill contracts, when recognized, associated with systems sales are expensed as sales commission and cost of revenue, respectively. In addition, incentives we provide to our customers, such as discounts and rebates, are recorded net to the revenue we have recognized on the solar power system.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Revenues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revenues is comprised primarily of cost of material, internal labor costs, third-party subcontractors, design services, engineering personnel and employee-related expenses associated with permitting services, associated warranty costs, freight and delivery costs, depreciation, amortization of internally developed software and amortization of developed technology. Cost of revenues from these services is recognized when we transfer control of the product to the customer, which is generally upon installation.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Commissions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Sales commissions are direct and incremental costs of obtaining customer contracts. These costs are paid to internal sales teams and third-party vendors who source residential customer contracts for the sale of solar energy systems.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Sales and marketing expenses primarily consist of personnel related costs, including salaries and employee benefits, stock-based compensation, and other advertising and promotional expenses. We expense certain sales and marketing, including promotional expenses, as incurred.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and related expenses for employees, in our finance, research, engineering, and administrative teams including salaries, bonuses, payroll taxes, and stock-based compensation. It also consists of legal, consulting, and professional fees, rent expenses pertaining to our offices, depreciation expense, business insurance costs and other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non-operating income, net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classify changes in the fair value of (i) derivative liabilities associated with our debt, (ii) warrant liabilities, (iii) Simple Agreements for Future Equity (“SAFE”), and (iv) forward purchase agreements (“FPAs”) as non-operating gains and losses within this category.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GAAP. GAAP requires us to make estimates and assumptions that affect the reported amounts of assets, liabilities, revenue,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period-to-period. Actual results could differ significantly from our estimates. Our future financial statements will be affected to the extent that our actual results materially differ from these estimates. For further information on all of our significant accounting policies, see Note 2 - Summary of Significant Accounting Policies, to our consolidated financial statements included elsewhere in this prospectus.</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believe that policies associated with our revenue recognition and business combination have the greatest impact on our consolidated financial statements. Therefore, we consider these to be our critical accounting policies and estimates.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recognition involves significant judgment in determining the timing of control transfer, identification of the customer, estimation of variable consideration, and measurement of progress toward completion. For the Residential Solar Installation and New Homes Business segments, the Company’s performance obligation is the design and installation of a fully functioning solar energy system, which includes design, equipment delivery, installation, and grid interconnection services. These activities are combined into a single performance obligation.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is generally recognized over time using an input method based on direct installation costs, beginning when installation is complete and control of the system begins to transfer to the customer. This approach requires management to estimate total expected installation costs, and changes in these estimates may impact the timing and amount of revenue recognized. Installation costs incurred prior to the transfer of control are deferred.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certain New Homes Business lease arrangements, revenue is recognized at a point in time upon system acceptance. In arrangements involving financing partners or leasing partners, judgment is required to determine the appropriate customer, which affects revenue timing and presentation. Dealer segment revenue is recognized on a net basis at the point in time when Permission to Operate is obtained.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transaction price may include variable consideration, which is estimated using the most likely amount and constrained to amounts for which a significant revenue reversal is not probable. Estimates are reassessed each reporting period, and changes are recognized prospectively. Revenue is recorded net of customer incentives and does not include a significant financing component. Changes in assumptions related to these estimates could materially affect reported revenue and deferred balances.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Dealer revenue is recognized at a point in time when PTO is obtained, which indicates that installation is complete and the system is authorized for operation. These arrangements do not include significant financing components, and we do not provide warranty services related to dealer-installed systems.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Business Combinations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record all acquired assets and liabilities, including goodwill, and other identifiable intangible assets at fair value. The initial recognition of identifiable intangible assets, requires certain estimates and assumptions concerning the determination of the fair values and useful lives. The judgments made in the context of the purchase price allocation can materially affect our future results of operations. Accordingly, when valuing identifiable intangible assets, we obtain assistance from third-party valuation specialists. The valuations calculated from estimates are based on information available at the acquisition date. Goodwill is not amortized but is subject to annual tests for impairment or more frequent tests if events or circumstances indicate it may be impaired. Other intangible assets are amortized over their estimated useful lives and are subject to impairment if events or circumstances indicate a possible inability to realize the carrying amount.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 xml:space="preserve">A discussion of recently issued accounting standards applicable to our Company is described in </w:t>
      </w:r>
      <w:r>
        <w:rPr>
          <w:rFonts w:ascii="Times New Roman" w:cs="Times New Roman" w:eastAsia="Times New Roman" w:hAnsi="Times New Roman"/>
          <w:sz w:val="18"/>
          <w:szCs w:val="18"/>
          <w:b w:val="1"/>
          <w:bCs w:val="1"/>
          <w:color w:val="auto"/>
        </w:rPr>
        <w:t>Note 2 - 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Policies, </w:t>
      </w:r>
      <w:r>
        <w:rPr>
          <w:rFonts w:ascii="Times New Roman" w:cs="Times New Roman" w:eastAsia="Times New Roman" w:hAnsi="Times New Roman"/>
          <w:sz w:val="18"/>
          <w:szCs w:val="18"/>
          <w:color w:val="auto"/>
        </w:rPr>
        <w:t>in the accompanying notes to the consolidated financial statements.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Thirteen weeks ended March 29, 2026 and March 30, 2025</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sets forth our unaudited statements of operations data for the thirteen-weeks ended March 29, 2026 and the thirteen-weeks ended March 30, 2025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 We have derived this data from our unaudited condensed consolidated financial statements included elsewhere in this prospectus. This information should be read in conjunction with our unaudited condensed consolidated financial statements and related notes included elsewhere in this prospectus. The results of historical periods are not necessarily indicative of the results of operations for any future period.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40" w:type="dxa"/>
            <w:vAlign w:val="bottom"/>
            <w:gridSpan w:val="5"/>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194"/>
        </w:trPr>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right"/>
              <w:ind w:right="361"/>
              <w:spacing w:after="0" w:line="194"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41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r>
      <w:tr>
        <w:trPr>
          <w:trHeight w:val="245"/>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gridSpan w:val="2"/>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20" w:type="dxa"/>
            <w:vAlign w:val="bottom"/>
            <w:tcBorders>
              <w:bottom w:val="single" w:sz="8" w:color="CCEEFF"/>
            </w:tcBorders>
          </w:tcPr>
          <w:p>
            <w:pPr>
              <w:spacing w:after="0"/>
              <w:rPr>
                <w:sz w:val="21"/>
                <w:szCs w:val="2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72,793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78,413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22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7"/>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Pr>
          <w:p>
            <w:pPr>
              <w:spacing w:after="0"/>
              <w:rPr>
                <w:sz w:val="20"/>
                <w:szCs w:val="20"/>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28,106</w:t>
            </w:r>
          </w:p>
        </w:tc>
        <w:tc>
          <w:tcPr>
            <w:tcW w:w="120" w:type="dxa"/>
            <w:vAlign w:val="bottom"/>
          </w:tcPr>
          <w:p>
            <w:pPr>
              <w:spacing w:after="0"/>
              <w:rPr>
                <w:sz w:val="20"/>
                <w:szCs w:val="20"/>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51,037</w:t>
            </w:r>
          </w:p>
        </w:tc>
        <w:tc>
          <w:tcPr>
            <w:tcW w:w="160" w:type="dxa"/>
            <w:vAlign w:val="bottom"/>
          </w:tcPr>
          <w:p>
            <w:pPr>
              <w:spacing w:after="0"/>
              <w:rPr>
                <w:sz w:val="20"/>
                <w:szCs w:val="20"/>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(22,931)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6"/>
        </w:trPr>
        <w:tc>
          <w:tcPr>
            <w:tcW w:w="58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(loss) profit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44,687</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27,376</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r>
      <w:tr>
        <w:trPr>
          <w:trHeight w:val="203"/>
        </w:trPr>
        <w:tc>
          <w:tcPr>
            <w:tcW w:w="5840" w:type="dxa"/>
            <w:vAlign w:val="bottom"/>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Gross margin %</w:t>
            </w:r>
          </w:p>
        </w:tc>
        <w:tc>
          <w:tcPr>
            <w:tcW w:w="120" w:type="dxa"/>
            <w:vAlign w:val="bottom"/>
          </w:tcPr>
          <w:p>
            <w:pPr>
              <w:spacing w:after="0"/>
              <w:rPr>
                <w:sz w:val="17"/>
                <w:szCs w:val="17"/>
                <w:color w:val="auto"/>
              </w:rPr>
            </w:pPr>
          </w:p>
        </w:tc>
        <w:tc>
          <w:tcPr>
            <w:tcW w:w="1260" w:type="dxa"/>
            <w:vAlign w:val="bottom"/>
            <w:gridSpan w:val="2"/>
          </w:tcPr>
          <w:p>
            <w:pPr>
              <w:jc w:val="right"/>
              <w:ind w:right="41"/>
              <w:spacing w:after="0" w:line="203" w:lineRule="exact"/>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7"/>
                <w:szCs w:val="17"/>
                <w:color w:val="auto"/>
              </w:rPr>
            </w:pPr>
          </w:p>
        </w:tc>
        <w:tc>
          <w:tcPr>
            <w:tcW w:w="1260" w:type="dxa"/>
            <w:vAlign w:val="bottom"/>
            <w:gridSpan w:val="2"/>
          </w:tcPr>
          <w:p>
            <w:pPr>
              <w:jc w:val="right"/>
              <w:ind w:right="41"/>
              <w:spacing w:after="0" w:line="203" w:lineRule="exact"/>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commissions</w:t>
            </w:r>
          </w:p>
        </w:tc>
        <w:tc>
          <w:tcPr>
            <w:tcW w:w="120" w:type="dxa"/>
            <w:vAlign w:val="bottom"/>
          </w:tcPr>
          <w:p>
            <w:pPr>
              <w:spacing w:after="0"/>
              <w:rPr>
                <w:sz w:val="18"/>
                <w:szCs w:val="18"/>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28,564</w:t>
            </w:r>
          </w:p>
        </w:tc>
        <w:tc>
          <w:tcPr>
            <w:tcW w:w="120" w:type="dxa"/>
            <w:vAlign w:val="bottom"/>
          </w:tcPr>
          <w:p>
            <w:pPr>
              <w:spacing w:after="0"/>
              <w:rPr>
                <w:sz w:val="18"/>
                <w:szCs w:val="18"/>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7,684</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20,880</w:t>
            </w:r>
          </w:p>
        </w:tc>
        <w:tc>
          <w:tcPr>
            <w:tcW w:w="2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5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4,993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8,522</w:t>
            </w: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(3,529)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6"/>
        </w:trPr>
        <w:tc>
          <w:tcPr>
            <w:tcW w:w="5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20"/>
                <w:szCs w:val="20"/>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30,325</w:t>
            </w:r>
          </w:p>
        </w:tc>
        <w:tc>
          <w:tcPr>
            <w:tcW w:w="120" w:type="dxa"/>
            <w:vAlign w:val="bottom"/>
          </w:tcPr>
          <w:p>
            <w:pPr>
              <w:spacing w:after="0"/>
              <w:rPr>
                <w:sz w:val="20"/>
                <w:szCs w:val="20"/>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14,896</w:t>
            </w:r>
          </w:p>
        </w:tc>
        <w:tc>
          <w:tcPr>
            <w:tcW w:w="1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15,429</w:t>
            </w:r>
          </w:p>
        </w:tc>
        <w:tc>
          <w:tcPr>
            <w:tcW w:w="20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r>
      <w:tr>
        <w:trPr>
          <w:trHeight w:val="236"/>
        </w:trPr>
        <w:tc>
          <w:tcPr>
            <w:tcW w:w="584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63,882</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31,102</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r>
      <w:tr>
        <w:trPr>
          <w:trHeight w:val="210"/>
        </w:trPr>
        <w:tc>
          <w:tcPr>
            <w:tcW w:w="5840" w:type="dxa"/>
            <w:vAlign w:val="bottom"/>
            <w:tcBorders>
              <w:bottom w:val="single" w:sz="8" w:color="CCEEFF"/>
            </w:tcBorders>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(19,195</w:t>
            </w:r>
          </w:p>
        </w:tc>
        <w:tc>
          <w:tcPr>
            <w:tcW w:w="280" w:type="dxa"/>
            <w:vAlign w:val="bottom"/>
            <w:tcBorders>
              <w:bottom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(3,726</w:t>
            </w:r>
          </w:p>
        </w:tc>
        <w:tc>
          <w:tcPr>
            <w:tcW w:w="280" w:type="dxa"/>
            <w:vAlign w:val="bottom"/>
            <w:tcBorders>
              <w:bottom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(15,469</w:t>
            </w:r>
          </w:p>
        </w:tc>
        <w:tc>
          <w:tcPr>
            <w:tcW w:w="22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CCEEFF"/>
            </w:tcBorders>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415%</w:t>
            </w:r>
          </w:p>
        </w:tc>
      </w:tr>
      <w:tr>
        <w:trPr>
          <w:trHeight w:val="243"/>
        </w:trPr>
        <w:tc>
          <w:tcPr>
            <w:tcW w:w="584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Interest expense</w:t>
            </w:r>
            <w:r>
              <w:rPr>
                <w:rFonts w:ascii="Times New Roman" w:cs="Times New Roman" w:eastAsia="Times New Roman" w:hAnsi="Times New Roman"/>
                <w:sz w:val="28"/>
                <w:szCs w:val="28"/>
                <w:color w:val="auto"/>
                <w:vertAlign w:val="superscript"/>
              </w:rPr>
              <w:t>(1)</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(6,924)</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(6,041)</w:t>
            </w:r>
          </w:p>
        </w:tc>
        <w:tc>
          <w:tcPr>
            <w:tcW w:w="16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(883)</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90"/>
        </w:trPr>
        <w:tc>
          <w:tcPr>
            <w:tcW w:w="584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Other non-operating income, net</w:t>
            </w:r>
            <w:r>
              <w:rPr>
                <w:rFonts w:ascii="Times New Roman" w:cs="Times New Roman" w:eastAsia="Times New Roman" w:hAnsi="Times New Roman"/>
                <w:sz w:val="29"/>
                <w:szCs w:val="29"/>
                <w:color w:val="auto"/>
                <w:vertAlign w:val="superscript"/>
              </w:rPr>
              <w:t>(2)</w:t>
            </w: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30,761</w:t>
            </w: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14,576</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16,185</w:t>
            </w:r>
          </w:p>
        </w:tc>
        <w:tc>
          <w:tcPr>
            <w:tcW w:w="2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r>
      <w:tr>
        <w:trPr>
          <w:trHeight w:val="210"/>
        </w:trPr>
        <w:tc>
          <w:tcPr>
            <w:tcW w:w="584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Income from operations before taxes</w:t>
            </w: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4,642</w:t>
            </w:r>
          </w:p>
        </w:tc>
        <w:tc>
          <w:tcPr>
            <w:tcW w:w="2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4,812</w:t>
            </w:r>
          </w:p>
        </w:tc>
        <w:tc>
          <w:tcPr>
            <w:tcW w:w="2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w:t>
            </w:r>
          </w:p>
        </w:tc>
        <w:tc>
          <w:tcPr>
            <w:tcW w:w="220" w:type="dxa"/>
            <w:vAlign w:val="bottom"/>
            <w:tcBorders>
              <w:top w:val="single" w:sz="8" w:color="CCEEFF"/>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CCEEFF"/>
              <w:bottom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(4)%</w:t>
            </w:r>
          </w:p>
        </w:tc>
      </w:tr>
      <w:tr>
        <w:trPr>
          <w:trHeight w:val="236"/>
        </w:trPr>
        <w:tc>
          <w:tcPr>
            <w:tcW w:w="5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5,250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4,812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0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change is not meaningful.</w:t>
      </w:r>
    </w:p>
    <w:p>
      <w:pPr>
        <w:spacing w:after="0" w:line="225" w:lineRule="exact"/>
        <w:rPr>
          <w:sz w:val="20"/>
          <w:szCs w:val="20"/>
          <w:color w:val="auto"/>
        </w:rPr>
      </w:pPr>
    </w:p>
    <w:p>
      <w:pPr>
        <w:ind w:left="340" w:hanging="332"/>
        <w:spacing w:after="0" w:line="195" w:lineRule="auto"/>
        <w:tabs>
          <w:tab w:leader="none" w:pos="340"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interest expense and amortization of debt issuance costs to related party of $2.3 million and $1.4 million in the thirteen-weeks ended March 29, 2026 and March 30, 2025, respectively.</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the following gains and (losses) with related parties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94"/>
        </w:trPr>
        <w:tc>
          <w:tcPr>
            <w:tcW w:w="50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30,</w:t>
            </w:r>
          </w:p>
        </w:tc>
        <w:tc>
          <w:tcPr>
            <w:tcW w:w="100" w:type="dxa"/>
            <w:vAlign w:val="bottom"/>
          </w:tcPr>
          <w:p>
            <w:pPr>
              <w:spacing w:after="0"/>
              <w:rPr>
                <w:sz w:val="16"/>
                <w:szCs w:val="16"/>
                <w:color w:val="auto"/>
              </w:rPr>
            </w:pPr>
          </w:p>
        </w:tc>
      </w:tr>
      <w:tr>
        <w:trPr>
          <w:trHeight w:val="245"/>
        </w:trPr>
        <w:tc>
          <w:tcPr>
            <w:tcW w:w="5000" w:type="dxa"/>
            <w:vAlign w:val="bottom"/>
            <w:tcBorders>
              <w:bottom w:val="single" w:sz="8" w:color="CCEEFF"/>
            </w:tcBorders>
          </w:tcPr>
          <w:p>
            <w:pPr>
              <w:spacing w:after="0"/>
              <w:rPr>
                <w:sz w:val="21"/>
                <w:szCs w:val="21"/>
                <w:color w:val="auto"/>
              </w:rPr>
            </w:pPr>
          </w:p>
        </w:tc>
        <w:tc>
          <w:tcPr>
            <w:tcW w:w="3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forward purchase agreement liabilities</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SAFE Agreement</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Deferred Sunder Consideration</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655"/>
        </w:trPr>
        <w:tc>
          <w:tcPr>
            <w:tcW w:w="50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jc w:val="right"/>
              <w:ind w:right="287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72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 xml:space="preserve">We disaggregate our revenues based on the following types of services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53"/>
        </w:trPr>
        <w:tc>
          <w:tcPr>
            <w:tcW w:w="5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4"/>
        </w:trPr>
        <w:tc>
          <w:tcPr>
            <w:tcW w:w="59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41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r>
      <w:tr>
        <w:trPr>
          <w:trHeight w:val="245"/>
        </w:trPr>
        <w:tc>
          <w:tcPr>
            <w:tcW w:w="5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14,625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41,909</w:t>
            </w:r>
          </w:p>
        </w:tc>
        <w:tc>
          <w:tcPr>
            <w:tcW w:w="16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(27,284)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4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Dealer</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26,627</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26,627</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9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72,793</w:t>
            </w:r>
          </w:p>
        </w:tc>
        <w:tc>
          <w:tcPr>
            <w:tcW w:w="22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78,413</w:t>
            </w:r>
          </w:p>
        </w:tc>
        <w:tc>
          <w:tcPr>
            <w:tcW w:w="2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2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5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change is not meaningful.</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decrease in Residential Solar Installation was driven primarily by lower installation volumes, reflecting softer consumer demand due to higher interest rates as a result of an increase in financing costs for residential solar. In addition, the phase out of certain residential Investment Tax Credits (“ITCs”) passed in 2025 as part of the One Big Beautiful Bill in conjunction with fewer customers qualifying for financing makes it harder for a homeowner to make the decision quickly. The decrease also reflects fewer system activations as we continued to optimize our sales channels and focus on streamlining our operations to enhance its customer experience.</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New Homes Business revenues decreased primarily due to lower construction activity and selective solar integration volumes from homebuilder partners, due to higher interest rates and higher labor costs thus driving the overall costs of the home to increase. While regulatory requirements force investments in solar in certain regions and communities, the pace has slowed down due to affordability. In states and communities where regulatory requirements for new builds will not impact the demand of solar installation, homebuilders are not abandoning solar they are offering it as an option versus a spec home. Additionally, there was a backlog of jobs from the SunPower Businesses acquisition in 2024, for certain large homebuilder projects that contributed meaningfully to the prior-year quarter which did not recur in the current period as we are rebuilding our pipeline. We are also building this business which we acquired out of bankruptcy in 2024 as part of the SunPower Businesses acquisition.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Dealer revenues and costs in the thirteen week period ended March 29, 2026 are attributable to the acquisition of Sunder on September 24,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8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18,011</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22,615</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9,961</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28,422</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(18,461)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Dealer</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134</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line="20" w:lineRule="exact"/>
              <w:rPr>
                <w:sz w:val="1"/>
                <w:szCs w:val="1"/>
                <w:color w:val="auto"/>
              </w:rPr>
            </w:pPr>
          </w:p>
        </w:tc>
      </w:tr>
      <w:tr>
        <w:trPr>
          <w:trHeight w:val="278"/>
        </w:trPr>
        <w:tc>
          <w:tcPr>
            <w:tcW w:w="584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28,106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51,037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(22,931</w:t>
            </w:r>
          </w:p>
        </w:tc>
        <w:tc>
          <w:tcPr>
            <w:tcW w:w="220" w:type="dxa"/>
            <w:vAlign w:val="bottom"/>
            <w:vMerge w:val="continue"/>
          </w:tcPr>
          <w:p>
            <w:pPr>
              <w:spacing w:after="0"/>
              <w:rPr>
                <w:sz w:val="24"/>
                <w:szCs w:val="24"/>
                <w:color w:val="auto"/>
              </w:rPr>
            </w:pPr>
          </w:p>
        </w:tc>
        <w:tc>
          <w:tcPr>
            <w:tcW w:w="13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change is not meaningful.</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Residential Solar Installation cost of revenues decreased primarily attributable to lower installation activity resulting from softer consumer demand. Higher interest rates increased financing costs for homeowners, and the expiration of certain ITCs reduced the economic incentive to adopt residential solar. As a result, installation volumes declined, leading to lower associated material, labor, and subcontractor costs.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New Homes Business cost of revenues decreased primarily driven by reduced solar installation option due to the demands of keeping home prices down demanded by home buyers. Homebuilders slowed construction primarily reducing optional features due to elevated mortgage rates, affordability pressures on buyers, and the reduced benefit of ITCs for solar-equipped new homes.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Sales commissions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2"/>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4"/>
        </w:trPr>
        <w:tc>
          <w:tcPr>
            <w:tcW w:w="59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41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r>
      <w:tr>
        <w:trPr>
          <w:trHeight w:val="245"/>
        </w:trPr>
        <w:tc>
          <w:tcPr>
            <w:tcW w:w="59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gridSpan w:val="2"/>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20" w:type="dxa"/>
            <w:vAlign w:val="bottom"/>
            <w:tcBorders>
              <w:bottom w:val="single" w:sz="8" w:color="CCEEFF"/>
            </w:tcBorders>
          </w:tcPr>
          <w:p>
            <w:pPr>
              <w:spacing w:after="0"/>
              <w:rPr>
                <w:sz w:val="21"/>
                <w:szCs w:val="2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1,017</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r>
      <w:tr>
        <w:trPr>
          <w:trHeight w:val="25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Dealer</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20,845</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20,845</w:t>
            </w:r>
          </w:p>
        </w:tc>
        <w:tc>
          <w:tcPr>
            <w:tcW w:w="2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sales commissions</w:t>
            </w: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28,564</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7,684</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20,880</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272%</w:t>
            </w:r>
          </w:p>
        </w:tc>
      </w:tr>
      <w:tr>
        <w:trPr>
          <w:trHeight w:val="20"/>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change is not meaningful.</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Residential Solar Installation sales commissions decreased slightly primarily due to lower residential installation volumes. Softer consumer demand driven by higher interest rates increased financing costs and the expiration of certain ITCs resulted in fewer closed sales, which reduced commissionable activity.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New Homes Business sales commissions increased modestly due to changes in the mix of homebuilder programs and compensation structures, including higher per-unit commission rates on certain projects. Timing of community launches and sales cycles also contributed to the year-over-year variance.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9"/>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4"/>
        </w:trPr>
        <w:tc>
          <w:tcPr>
            <w:tcW w:w="59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41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r>
      <w:tr>
        <w:trPr>
          <w:trHeight w:val="245"/>
        </w:trPr>
        <w:tc>
          <w:tcPr>
            <w:tcW w:w="5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876</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Dealer</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sales and marketing</w:t>
            </w: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4,993</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8,522</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(3,529</w:t>
            </w:r>
          </w:p>
        </w:tc>
        <w:tc>
          <w:tcPr>
            <w:tcW w:w="2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(41)%</w:t>
            </w:r>
          </w:p>
        </w:tc>
      </w:tr>
      <w:tr>
        <w:trPr>
          <w:trHeight w:val="34"/>
        </w:trPr>
        <w:tc>
          <w:tcPr>
            <w:tcW w:w="59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r>
    </w:tbl>
    <w:p>
      <w:pPr>
        <w:spacing w:after="0" w:line="198"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change is not meaningful.</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Residential Solar Installation sales and marketing expenses decreased reflecting reduced spending on lead generation, advertising, and promotional programs as we scaled back customer-acquisition efforts in response to softer demand. Higher interest rates increased financing costs for homeowners, and the expiration of certain ITCs reduced the economic incentive to adopt residential solar. As a result, we intentionally moderated marketing investments to align with lower sales volumes. In addition, we acquired Sunder a sales force organization.</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New Homes Business sales and marketing expenses had no comparable expenses in the prior-year period as the Company does not make significant investments in sales and marketing spend.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9"/>
        </w:trPr>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59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3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6"/>
                <w:szCs w:val="16"/>
                <w:color w:val="auto"/>
              </w:rPr>
            </w:pPr>
          </w:p>
        </w:tc>
        <w:tc>
          <w:tcPr>
            <w:tcW w:w="1300" w:type="dxa"/>
            <w:vAlign w:val="bottom"/>
            <w:gridSpan w:val="2"/>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2"/>
              </w:rPr>
              <w:t>15,833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120" w:type="dxa"/>
            <w:vAlign w:val="bottom"/>
          </w:tcPr>
          <w:p>
            <w:pPr>
              <w:spacing w:after="0"/>
              <w:rPr>
                <w:sz w:val="18"/>
                <w:szCs w:val="18"/>
                <w:color w:val="auto"/>
              </w:rPr>
            </w:pPr>
          </w:p>
        </w:tc>
        <w:tc>
          <w:tcPr>
            <w:tcW w:w="12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11,545</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6,492</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5,053</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Dealer</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2,947</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2,947</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general and administrative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ind w:left="520"/>
              <w:spacing w:after="0" w:line="203" w:lineRule="exact"/>
              <w:rPr>
                <w:sz w:val="20"/>
                <w:szCs w:val="20"/>
                <w:color w:val="auto"/>
              </w:rPr>
            </w:pPr>
            <w:r>
              <w:rPr>
                <w:rFonts w:ascii="Times New Roman" w:cs="Times New Roman" w:eastAsia="Times New Roman" w:hAnsi="Times New Roman"/>
                <w:sz w:val="18"/>
                <w:szCs w:val="18"/>
                <w:color w:val="auto"/>
                <w:w w:val="92"/>
              </w:rPr>
              <w:t>30,325</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14,896</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15,429</w:t>
            </w:r>
          </w:p>
        </w:tc>
        <w:tc>
          <w:tcPr>
            <w:tcW w:w="20" w:type="dxa"/>
            <w:vAlign w:val="bottom"/>
            <w:tcBorders>
              <w:top w:val="single" w:sz="8" w:color="CCEEFF"/>
              <w:bottom w:val="single" w:sz="8" w:color="auto"/>
            </w:tcBorders>
          </w:tcPr>
          <w:p>
            <w:pPr>
              <w:spacing w:after="0"/>
              <w:rPr>
                <w:sz w:val="18"/>
                <w:szCs w:val="18"/>
                <w:color w:val="auto"/>
              </w:rPr>
            </w:pPr>
          </w:p>
        </w:tc>
        <w:tc>
          <w:tcPr>
            <w:tcW w:w="1460" w:type="dxa"/>
            <w:vAlign w:val="bottom"/>
            <w:tcBorders>
              <w:top w:val="single" w:sz="8" w:color="CCEEFF"/>
            </w:tcBorders>
            <w:gridSpan w:val="3"/>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104%</w:t>
            </w: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change is not meaningful.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2" w:name="page63"/>
    <w:bookmarkEnd w:id="6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Residential Solar Installation general and administrative expenses increased primarily due to higher employee-related expenses, including salaries, benefits, and stock-based compensation, as we continued to invest in operational infrastructure and administrative support functions. Additionally, higher insurance, facilities, and technology-related costs investments that focuses on scalability contributed to the period over period increase.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New Homes Business general and administrative expenses increased primarily due to higher personnel costs and expanded administrative support for homebuilder programs, including project management, compliance, and operational oversight. We also incurred incremental technology, systems, and shared-services costs allocated to the New Homes segment as part of broader organizational growth.</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Dealer general and administrative expenses primarily relate to personnel, facilities, and administrative overhead associated with integrating and operating the Dealer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in the thirteen-weeks ended March 29, 2026, consisted principally of $4.5 million attributable to our September 2024 Notes and $1.8 attributable to the July 2024 Notes.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Interest expense in the thirteen-weeks ended March 30, 2025, consisted principally of $5.0 million of interest expense attributable to our September 2024 Notes and the remainder principally attributable to the July 2024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net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non-operating income, net in the thirteen weeks ended March 29, 2026, was $30.8 million. The main drivers consist of $26.6 million gain on the remeasurement of the fair value of derivative liabilities associated with our 12% and 7% senior unsecured convertible notes and $5.2 million gain on the revaluation of deferred consideration, partially offset by a $1.1 million change in the fair value of our forward purchase agreements.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Other income net, for the thirteen weeks ended March 30, 2025, was $14.6 million. The main drivers of Other non-operating income, net were $15.1 million of gains on the remeasurement of the fair value of derivative liabilities associated with our July 2024 Notes and September 2024 Notes, $0.3 million of income arising from the change in the fair value of our forward purchase agreements and $0.2 million of other income, partially offset by $1.1 million of expense associated with the change in the fair value of our public, private placement and working capital warrants which are accounted for as liabilities.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factors discussed above, our net income for the thirteen-weeks ended March 29, 2026 was $5.25 million, a $0.4 million increase in our net income as compared to net income of $4.8 million for the thirteen weeks ended March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 ended December 28, 2025 (“2025”) compared to the fiscal year ended December 29, 2024 (“2024”)</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this section, we discuss the results of our operations for fiscal 2025 compared to fiscal 2024. We discuss our cash flows and current financial condition under “Liquidity and Capital Resources”.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 sets forth our statements of operations data for the fiscal years ended December 28, 2025 and December 29, 2024, respectively. We have derived this data from our consolidated financial statements included elsewhere in this prospectus. This information should be read in conjunction with our consolidated financial statements and related notes included elsewhere in this prospectus. The results of historical periods are not necessarily indicative of the results of operations for any future period. Within the tables presented, percentages are calculated based on the underlying whole-dollar amounts and, therefore, may not recalculate exactly from the rounded numbers used for disclosure purposes.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20" w:type="dxa"/>
            <w:vAlign w:val="bottom"/>
            <w:gridSpan w:val="5"/>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7"/>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gridSpan w:val="3"/>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r>
      <w:tr>
        <w:trPr>
          <w:trHeight w:val="245"/>
        </w:trPr>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108,742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191,258</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r>
      <w:tr>
        <w:trPr>
          <w:trHeight w:val="277"/>
        </w:trPr>
        <w:tc>
          <w:tcPr>
            <w:tcW w:w="590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(1)</w:t>
            </w:r>
          </w:p>
        </w:tc>
        <w:tc>
          <w:tcPr>
            <w:tcW w:w="220" w:type="dxa"/>
            <w:vAlign w:val="bottom"/>
          </w:tcPr>
          <w:p>
            <w:pPr>
              <w:spacing w:after="0"/>
              <w:rPr>
                <w:sz w:val="24"/>
                <w:szCs w:val="24"/>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170,788</w:t>
            </w:r>
          </w:p>
        </w:tc>
        <w:tc>
          <w:tcPr>
            <w:tcW w:w="220" w:type="dxa"/>
            <w:vAlign w:val="bottom"/>
          </w:tcPr>
          <w:p>
            <w:pPr>
              <w:spacing w:after="0"/>
              <w:rPr>
                <w:sz w:val="24"/>
                <w:szCs w:val="24"/>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69,240</w:t>
            </w:r>
          </w:p>
        </w:tc>
        <w:tc>
          <w:tcPr>
            <w:tcW w:w="180" w:type="dxa"/>
            <w:vAlign w:val="bottom"/>
          </w:tcPr>
          <w:p>
            <w:pPr>
              <w:spacing w:after="0"/>
              <w:rPr>
                <w:sz w:val="24"/>
                <w:szCs w:val="24"/>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101,548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w:t>
            </w:r>
          </w:p>
        </w:tc>
      </w:tr>
      <w:tr>
        <w:trPr>
          <w:trHeight w:val="236"/>
        </w:trPr>
        <w:tc>
          <w:tcPr>
            <w:tcW w:w="5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129,212</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39,502</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227</w:t>
            </w:r>
          </w:p>
        </w:tc>
      </w:tr>
      <w:tr>
        <w:trPr>
          <w:trHeight w:val="203"/>
        </w:trPr>
        <w:tc>
          <w:tcPr>
            <w:tcW w:w="590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Gross margin %</w:t>
            </w:r>
          </w:p>
        </w:tc>
        <w:tc>
          <w:tcPr>
            <w:tcW w:w="220" w:type="dxa"/>
            <w:vAlign w:val="bottom"/>
          </w:tcPr>
          <w:p>
            <w:pPr>
              <w:spacing w:after="0"/>
              <w:rPr>
                <w:sz w:val="17"/>
                <w:szCs w:val="17"/>
                <w:color w:val="auto"/>
              </w:rPr>
            </w:pPr>
          </w:p>
        </w:tc>
        <w:tc>
          <w:tcPr>
            <w:tcW w:w="1160" w:type="dxa"/>
            <w:vAlign w:val="bottom"/>
            <w:gridSpan w:val="2"/>
          </w:tcPr>
          <w:p>
            <w:pPr>
              <w:jc w:val="right"/>
              <w:ind w:right="41"/>
              <w:spacing w:after="0" w:line="203" w:lineRule="exact"/>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7"/>
                <w:szCs w:val="17"/>
                <w:color w:val="auto"/>
              </w:rPr>
            </w:pPr>
          </w:p>
        </w:tc>
        <w:tc>
          <w:tcPr>
            <w:tcW w:w="1140" w:type="dxa"/>
            <w:vAlign w:val="bottom"/>
            <w:gridSpan w:val="2"/>
          </w:tcPr>
          <w:p>
            <w:pPr>
              <w:jc w:val="right"/>
              <w:ind w:right="41"/>
              <w:spacing w:after="0" w:line="203" w:lineRule="exact"/>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commissions</w:t>
            </w:r>
          </w:p>
        </w:tc>
        <w:tc>
          <w:tcPr>
            <w:tcW w:w="22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37,009</w:t>
            </w:r>
          </w:p>
        </w:tc>
        <w:tc>
          <w:tcPr>
            <w:tcW w:w="22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24,590</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12,419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r>
      <w:tr>
        <w:trPr>
          <w:trHeight w:val="257"/>
        </w:trPr>
        <w:tc>
          <w:tcPr>
            <w:tcW w:w="5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9"/>
                <w:szCs w:val="29"/>
                <w:color w:val="auto"/>
                <w:vertAlign w:val="superscript"/>
              </w:rPr>
              <w:t>(1)</w:t>
            </w: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29,030</w:t>
            </w: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6,827</w:t>
            </w: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22,203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325</w:t>
            </w:r>
          </w:p>
        </w:tc>
      </w:tr>
      <w:tr>
        <w:trPr>
          <w:trHeight w:val="277"/>
        </w:trPr>
        <w:tc>
          <w:tcPr>
            <w:tcW w:w="590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9"/>
                <w:szCs w:val="29"/>
                <w:color w:val="auto"/>
                <w:vertAlign w:val="superscript"/>
              </w:rPr>
              <w:t>(1)</w:t>
            </w:r>
          </w:p>
        </w:tc>
        <w:tc>
          <w:tcPr>
            <w:tcW w:w="220" w:type="dxa"/>
            <w:vAlign w:val="bottom"/>
          </w:tcPr>
          <w:p>
            <w:pPr>
              <w:spacing w:after="0"/>
              <w:rPr>
                <w:sz w:val="24"/>
                <w:szCs w:val="24"/>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90,104</w:t>
            </w:r>
          </w:p>
        </w:tc>
        <w:tc>
          <w:tcPr>
            <w:tcW w:w="220" w:type="dxa"/>
            <w:vAlign w:val="bottom"/>
          </w:tcPr>
          <w:p>
            <w:pPr>
              <w:spacing w:after="0"/>
              <w:rPr>
                <w:sz w:val="24"/>
                <w:szCs w:val="24"/>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76,594</w:t>
            </w:r>
          </w:p>
        </w:tc>
        <w:tc>
          <w:tcPr>
            <w:tcW w:w="180" w:type="dxa"/>
            <w:vAlign w:val="bottom"/>
          </w:tcPr>
          <w:p>
            <w:pPr>
              <w:spacing w:after="0"/>
              <w:rPr>
                <w:sz w:val="24"/>
                <w:szCs w:val="24"/>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13,510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r>
      <w:tr>
        <w:trPr>
          <w:trHeight w:val="236"/>
        </w:trPr>
        <w:tc>
          <w:tcPr>
            <w:tcW w:w="5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156,143</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108,011</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r>
      <w:tr>
        <w:trPr>
          <w:trHeight w:val="210"/>
        </w:trPr>
        <w:tc>
          <w:tcPr>
            <w:tcW w:w="5900" w:type="dxa"/>
            <w:vAlign w:val="bottom"/>
            <w:tcBorders>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Loss from continuing operations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(26,931</w:t>
            </w:r>
          </w:p>
        </w:tc>
        <w:tc>
          <w:tcPr>
            <w:tcW w:w="280" w:type="dxa"/>
            <w:vAlign w:val="bottom"/>
            <w:tcBorders>
              <w:bottom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(68,509</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41,578</w:t>
            </w:r>
          </w:p>
        </w:tc>
        <w:tc>
          <w:tcPr>
            <w:tcW w:w="2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gridSpan w:val="2"/>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61</w:t>
            </w:r>
          </w:p>
        </w:tc>
      </w:tr>
      <w:tr>
        <w:trPr>
          <w:trHeight w:val="243"/>
        </w:trPr>
        <w:tc>
          <w:tcPr>
            <w:tcW w:w="590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Interest expense</w:t>
            </w:r>
            <w:r>
              <w:rPr>
                <w:rFonts w:ascii="Times New Roman" w:cs="Times New Roman" w:eastAsia="Times New Roman" w:hAnsi="Times New Roman"/>
                <w:sz w:val="28"/>
                <w:szCs w:val="28"/>
                <w:color w:val="auto"/>
                <w:vertAlign w:val="superscript"/>
              </w:rPr>
              <w:t>(2)</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(25,095)</w:t>
            </w: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(16,223)</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(8,872)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r>
      <w:tr>
        <w:trPr>
          <w:trHeight w:val="257"/>
        </w:trPr>
        <w:tc>
          <w:tcPr>
            <w:tcW w:w="5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Other non-operating income, net</w:t>
            </w:r>
            <w:r>
              <w:rPr>
                <w:rFonts w:ascii="Times New Roman" w:cs="Times New Roman" w:eastAsia="Times New Roman" w:hAnsi="Times New Roman"/>
                <w:sz w:val="29"/>
                <w:szCs w:val="29"/>
                <w:color w:val="auto"/>
                <w:vertAlign w:val="superscript"/>
              </w:rPr>
              <w:t>(3)</w:t>
            </w: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9,347</w:t>
            </w: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7,932</w:t>
            </w: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1,415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r>
      <w:tr>
        <w:trPr>
          <w:trHeight w:val="277"/>
        </w:trPr>
        <w:tc>
          <w:tcPr>
            <w:tcW w:w="590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Gain on troubled debt restructuring</w:t>
            </w:r>
            <w:r>
              <w:rPr>
                <w:rFonts w:ascii="Times New Roman" w:cs="Times New Roman" w:eastAsia="Times New Roman" w:hAnsi="Times New Roman"/>
                <w:sz w:val="29"/>
                <w:szCs w:val="29"/>
                <w:color w:val="auto"/>
                <w:vertAlign w:val="superscript"/>
              </w:rPr>
              <w:t>(4)</w:t>
            </w:r>
          </w:p>
        </w:tc>
        <w:tc>
          <w:tcPr>
            <w:tcW w:w="220" w:type="dxa"/>
            <w:vAlign w:val="bottom"/>
          </w:tcPr>
          <w:p>
            <w:pPr>
              <w:spacing w:after="0"/>
              <w:rPr>
                <w:sz w:val="24"/>
                <w:szCs w:val="24"/>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22,337</w:t>
            </w:r>
          </w:p>
        </w:tc>
        <w:tc>
          <w:tcPr>
            <w:tcW w:w="180" w:type="dxa"/>
            <w:vAlign w:val="bottom"/>
          </w:tcPr>
          <w:p>
            <w:pPr>
              <w:spacing w:after="0"/>
              <w:rPr>
                <w:sz w:val="24"/>
                <w:szCs w:val="24"/>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(22,337)</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36"/>
        </w:trPr>
        <w:tc>
          <w:tcPr>
            <w:tcW w:w="5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 before taxes</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(42,676</w:t>
            </w:r>
          </w:p>
        </w:tc>
        <w:tc>
          <w:tcPr>
            <w:tcW w:w="28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(54,444</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r>
      <w:tr>
        <w:trPr>
          <w:trHeight w:val="210"/>
        </w:trPr>
        <w:tc>
          <w:tcPr>
            <w:tcW w:w="5900" w:type="dxa"/>
            <w:vAlign w:val="bottom"/>
            <w:tcBorders>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(1,578</w:t>
            </w:r>
          </w:p>
        </w:tc>
        <w:tc>
          <w:tcPr>
            <w:tcW w:w="280" w:type="dxa"/>
            <w:vAlign w:val="bottom"/>
            <w:tcBorders>
              <w:bottom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CCEEFF"/>
            </w:tcBorders>
            <w:gridSpan w:val="2"/>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w:t>
            </w:r>
          </w:p>
        </w:tc>
      </w:tr>
      <w:tr>
        <w:trPr>
          <w:trHeight w:val="223"/>
        </w:trPr>
        <w:tc>
          <w:tcPr>
            <w:tcW w:w="5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(44,254</w:t>
            </w:r>
          </w:p>
        </w:tc>
        <w:tc>
          <w:tcPr>
            <w:tcW w:w="28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(54,444</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10,190</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r>
      <w:tr>
        <w:trPr>
          <w:trHeight w:val="21"/>
        </w:trPr>
        <w:tc>
          <w:tcPr>
            <w:tcW w:w="5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stock-based compensation expense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207"/>
        </w:trPr>
        <w:tc>
          <w:tcPr>
            <w:tcW w:w="8680" w:type="dxa"/>
            <w:vAlign w:val="bottom"/>
          </w:tcPr>
          <w:p>
            <w:pPr>
              <w:spacing w:after="0"/>
              <w:rPr>
                <w:sz w:val="18"/>
                <w:szCs w:val="18"/>
                <w:color w:val="auto"/>
              </w:rPr>
            </w:pPr>
          </w:p>
        </w:tc>
        <w:tc>
          <w:tcPr>
            <w:tcW w:w="134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gridSpan w:val="2"/>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3"/>
              </w:rPr>
              <w:t>3,003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8"/>
                <w:szCs w:val="18"/>
                <w:color w:val="auto"/>
              </w:rPr>
            </w:pPr>
          </w:p>
        </w:tc>
        <w:tc>
          <w:tcPr>
            <w:tcW w:w="11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2,618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598</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4,867</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2,312</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ind w:left="400"/>
              <w:spacing w:after="0" w:line="203" w:lineRule="exact"/>
              <w:rPr>
                <w:sz w:val="20"/>
                <w:szCs w:val="20"/>
                <w:color w:val="auto"/>
              </w:rPr>
            </w:pPr>
            <w:r>
              <w:rPr>
                <w:rFonts w:ascii="Times New Roman" w:cs="Times New Roman" w:eastAsia="Times New Roman" w:hAnsi="Times New Roman"/>
                <w:sz w:val="18"/>
                <w:szCs w:val="18"/>
                <w:color w:val="auto"/>
                <w:w w:val="92"/>
              </w:rPr>
              <w:t>10,488</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3,067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interest expense and amortization of debt discount costs with related parties of $5.7 million and $7.6 million in 2025 and 2024, respectively.</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3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the following related party transactions in 2025 (i) a gain of $3.5 million due to the change in the fair value of derivative liabilities; and (ii) $0.1 million of other income due to a change in the fair value of a forward purchase agreement.</w:t>
      </w:r>
    </w:p>
    <w:p>
      <w:pPr>
        <w:spacing w:after="0" w:line="199" w:lineRule="exact"/>
        <w:rPr>
          <w:rFonts w:ascii="Times New Roman" w:cs="Times New Roman" w:eastAsia="Times New Roman" w:hAnsi="Times New Roman"/>
          <w:sz w:val="30"/>
          <w:szCs w:val="30"/>
          <w:color w:val="auto"/>
          <w:vertAlign w:val="superscript"/>
        </w:rPr>
      </w:pPr>
    </w:p>
    <w:p>
      <w:pPr>
        <w:jc w:val="both"/>
        <w:ind w:left="340"/>
        <w:spacing w:after="0" w:line="261"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the following related party transactions in 2024; (i) $0.7 million of expense in connection with the conversion of SAFE Agreements into shares of common stock and the change in the fair value of SAFE Agreements, (ii) $3.0 million of expense in connection with the loss on issuance of a derivative liability and $0.3 million of income due to the change in the value of derivative liabilities, and (iii) $0.1 million of income in connection with the change in the fair value of forward purchase agreements.</w:t>
      </w:r>
    </w:p>
    <w:p>
      <w:pPr>
        <w:spacing w:after="0" w:line="6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3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Gain includes $12.5 million with a related party in 2024.</w:t>
      </w:r>
    </w:p>
    <w:p>
      <w:pPr>
        <w:spacing w:after="0" w:line="87"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Percentage change not meaningful.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73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 xml:space="preserve">We disaggregate our revenues based on the following reportable segments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3"/>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7"/>
        </w:trPr>
        <w:tc>
          <w:tcPr>
            <w:tcW w:w="5980" w:type="dxa"/>
            <w:vAlign w:val="bottom"/>
          </w:tcPr>
          <w:p>
            <w:pPr>
              <w:spacing w:after="0"/>
              <w:rPr>
                <w:sz w:val="18"/>
                <w:szCs w:val="18"/>
                <w:color w:val="auto"/>
              </w:rPr>
            </w:pPr>
          </w:p>
        </w:tc>
        <w:tc>
          <w:tcPr>
            <w:tcW w:w="134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gridSpan w:val="2"/>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5"/>
              </w:rPr>
              <w:t>160,987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93,527</w:t>
            </w:r>
          </w:p>
        </w:tc>
        <w:tc>
          <w:tcPr>
            <w:tcW w:w="22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240" w:type="dxa"/>
            <w:vAlign w:val="bottom"/>
          </w:tcPr>
          <w:p>
            <w:pPr>
              <w:spacing w:after="0"/>
              <w:rPr>
                <w:sz w:val="18"/>
                <w:szCs w:val="18"/>
                <w:color w:val="auto"/>
              </w:rPr>
            </w:pP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124,595</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41,282</w:t>
            </w:r>
          </w:p>
        </w:tc>
        <w:tc>
          <w:tcPr>
            <w:tcW w:w="18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83,313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w:t>
            </w: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Dealer</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14,418</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14,418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ind w:left="300"/>
              <w:spacing w:after="0" w:line="203" w:lineRule="exact"/>
              <w:rPr>
                <w:sz w:val="20"/>
                <w:szCs w:val="20"/>
                <w:color w:val="auto"/>
              </w:rPr>
            </w:pPr>
            <w:r>
              <w:rPr>
                <w:rFonts w:ascii="Times New Roman" w:cs="Times New Roman" w:eastAsia="Times New Roman" w:hAnsi="Times New Roman"/>
                <w:sz w:val="18"/>
                <w:szCs w:val="18"/>
                <w:color w:val="auto"/>
                <w:w w:val="95"/>
              </w:rPr>
              <w:t>300,000</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108,742</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191,258</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gridSpan w:val="2"/>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176</w:t>
            </w: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Percentage change not meaningful.</w:t>
      </w:r>
    </w:p>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Residential Solar Installation revenue increased primarily attributed to a full year of Solar Installation due to the acquisition of SunPower Businesses at the beginning of our fourth quarter in fiscal year ended December 29, 2024. New Homes Business increased due to the sale of solar system sales to home builders and the completion of backlog projects acquired with the SunPower Businesses. Dealer revenues are attributable to the acquisition of Sunder.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2"/>
        </w:trPr>
        <w:tc>
          <w:tcPr>
            <w:tcW w:w="5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7"/>
        </w:trPr>
        <w:tc>
          <w:tcPr>
            <w:tcW w:w="5900" w:type="dxa"/>
            <w:vAlign w:val="bottom"/>
          </w:tcPr>
          <w:p>
            <w:pPr>
              <w:spacing w:after="0"/>
              <w:rPr>
                <w:sz w:val="18"/>
                <w:szCs w:val="18"/>
                <w:color w:val="auto"/>
              </w:rPr>
            </w:pPr>
          </w:p>
        </w:tc>
        <w:tc>
          <w:tcPr>
            <w:tcW w:w="13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r>
      <w:tr>
        <w:trPr>
          <w:trHeight w:val="245"/>
        </w:trPr>
        <w:tc>
          <w:tcPr>
            <w:tcW w:w="59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43,134</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82,288</w:t>
            </w:r>
          </w:p>
        </w:tc>
        <w:tc>
          <w:tcPr>
            <w:tcW w:w="2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23,974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58,314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w:t>
            </w:r>
          </w:p>
        </w:tc>
      </w:tr>
      <w:tr>
        <w:trPr>
          <w:trHeight w:val="24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Dealer</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1"/>
        </w:trPr>
        <w:tc>
          <w:tcPr>
            <w:tcW w:w="59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cost of revenues</w:t>
            </w:r>
          </w:p>
        </w:tc>
        <w:tc>
          <w:tcPr>
            <w:tcW w:w="2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170,788</w:t>
            </w:r>
          </w:p>
        </w:tc>
        <w:tc>
          <w:tcPr>
            <w:tcW w:w="28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69,240</w:t>
            </w:r>
          </w:p>
        </w:tc>
        <w:tc>
          <w:tcPr>
            <w:tcW w:w="26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101,548</w:t>
            </w:r>
          </w:p>
        </w:tc>
        <w:tc>
          <w:tcPr>
            <w:tcW w:w="220" w:type="dxa"/>
            <w:vAlign w:val="bottom"/>
            <w:tcBorders>
              <w:top w:val="single" w:sz="8" w:color="CCEEFF"/>
              <w:bottom w:val="single" w:sz="8" w:color="CCEEFF"/>
            </w:tcBorders>
          </w:tcPr>
          <w:p>
            <w:pPr>
              <w:spacing w:after="0"/>
              <w:rPr>
                <w:sz w:val="21"/>
                <w:szCs w:val="21"/>
                <w:color w:val="auto"/>
              </w:rPr>
            </w:pPr>
          </w:p>
        </w:tc>
        <w:tc>
          <w:tcPr>
            <w:tcW w:w="1260" w:type="dxa"/>
            <w:vAlign w:val="bottom"/>
            <w:tcBorders>
              <w:top w:val="single" w:sz="8" w:color="CCEEFF"/>
              <w:bottom w:val="single" w:sz="8" w:color="CCEEFF"/>
            </w:tcBorders>
            <w:gridSpan w:val="2"/>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147</w:t>
            </w:r>
          </w:p>
        </w:tc>
      </w:tr>
      <w:tr>
        <w:trPr>
          <w:trHeight w:val="216"/>
        </w:trPr>
        <w:tc>
          <w:tcPr>
            <w:tcW w:w="5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65"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Percentage change not meaningful.</w:t>
      </w:r>
    </w:p>
    <w:p>
      <w:pPr>
        <w:spacing w:after="0" w:line="19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Residential Solar Installation cost of revenue increase is primarily attributed to a full year of Solar Installation as described above. New Homes Business cost of revenue increased as a result of a full year of completing backlog and the inventory costs associated with each solar system sale. Cost of revenues attributable to the Dealer network is attributable to the acquisition of Sunder.</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increase in gross margins is attributed to operational efficiencies gained through the synergies created by consolidating the various lines of business and streamlining direct overhead costs attributed to each solar installation.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Sales Commissions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2"/>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7"/>
        </w:trPr>
        <w:tc>
          <w:tcPr>
            <w:tcW w:w="5980" w:type="dxa"/>
            <w:vAlign w:val="bottom"/>
          </w:tcPr>
          <w:p>
            <w:pPr>
              <w:spacing w:after="0"/>
              <w:rPr>
                <w:sz w:val="18"/>
                <w:szCs w:val="18"/>
                <w:color w:val="auto"/>
              </w:rPr>
            </w:pPr>
          </w:p>
        </w:tc>
        <w:tc>
          <w:tcPr>
            <w:tcW w:w="1340" w:type="dxa"/>
            <w:vAlign w:val="bottom"/>
            <w:tcBorders>
              <w:top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3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5,032</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1,202</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3,830</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319</w:t>
            </w: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Dealer</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5,679</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5,679</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sales commissions</w:t>
            </w: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37,009</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24,590</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12,419</w:t>
            </w:r>
          </w:p>
        </w:tc>
        <w:tc>
          <w:tcPr>
            <w:tcW w:w="20" w:type="dxa"/>
            <w:vAlign w:val="bottom"/>
            <w:tcBorders>
              <w:top w:val="single" w:sz="8" w:color="CCEEFF"/>
              <w:bottom w:val="single" w:sz="8" w:color="auto"/>
            </w:tcBorders>
          </w:tcPr>
          <w:p>
            <w:pPr>
              <w:spacing w:after="0"/>
              <w:rPr>
                <w:sz w:val="18"/>
                <w:szCs w:val="18"/>
                <w:color w:val="auto"/>
              </w:rPr>
            </w:pPr>
          </w:p>
        </w:tc>
        <w:tc>
          <w:tcPr>
            <w:tcW w:w="1460" w:type="dxa"/>
            <w:vAlign w:val="bottom"/>
            <w:tcBorders>
              <w:top w:val="single" w:sz="8" w:color="CCEEFF"/>
            </w:tcBorders>
            <w:gridSpan w:val="3"/>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51</w:t>
            </w:r>
          </w:p>
        </w:tc>
      </w:tr>
      <w:tr>
        <w:trPr>
          <w:trHeight w:val="21"/>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Percentage change not meaningful.</w:t>
      </w:r>
    </w:p>
    <w:p>
      <w:pPr>
        <w:spacing w:after="0" w:line="19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Residential Solar and New Homes Business sales commission increased from the prior fiscal year ended December 28, 2025 is primarily attributable to the increase in revenue.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7"/>
        </w:trPr>
        <w:tc>
          <w:tcPr>
            <w:tcW w:w="5980" w:type="dxa"/>
            <w:vAlign w:val="bottom"/>
          </w:tcPr>
          <w:p>
            <w:pPr>
              <w:spacing w:after="0"/>
              <w:rPr>
                <w:sz w:val="18"/>
                <w:szCs w:val="18"/>
                <w:color w:val="auto"/>
              </w:rPr>
            </w:pPr>
          </w:p>
        </w:tc>
        <w:tc>
          <w:tcPr>
            <w:tcW w:w="1340" w:type="dxa"/>
            <w:vAlign w:val="bottom"/>
            <w:tcBorders>
              <w:top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3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3,253</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3,253</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Dealer</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623</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623</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sales &amp; marketing</w:t>
            </w: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29,030</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6,827</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22,203</w:t>
            </w:r>
          </w:p>
        </w:tc>
        <w:tc>
          <w:tcPr>
            <w:tcW w:w="20" w:type="dxa"/>
            <w:vAlign w:val="bottom"/>
            <w:tcBorders>
              <w:top w:val="single" w:sz="8" w:color="CCEEFF"/>
              <w:bottom w:val="single" w:sz="8" w:color="auto"/>
            </w:tcBorders>
          </w:tcPr>
          <w:p>
            <w:pPr>
              <w:spacing w:after="0"/>
              <w:rPr>
                <w:sz w:val="18"/>
                <w:szCs w:val="18"/>
                <w:color w:val="auto"/>
              </w:rPr>
            </w:pPr>
          </w:p>
        </w:tc>
        <w:tc>
          <w:tcPr>
            <w:tcW w:w="1460" w:type="dxa"/>
            <w:vAlign w:val="bottom"/>
            <w:tcBorders>
              <w:top w:val="single" w:sz="8" w:color="CCEEFF"/>
            </w:tcBorders>
            <w:gridSpan w:val="3"/>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325</w:t>
            </w:r>
          </w:p>
        </w:tc>
      </w:tr>
      <w:tr>
        <w:trPr>
          <w:trHeight w:val="21"/>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Percentage change not meaningful.</w:t>
      </w:r>
    </w:p>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Residential Solar Installation expense increased in fiscal 2025 compared to fiscal 2024 due to increase in overall headcount due to combined business and increasing sales and marketing footprint. New Homes Business increased when compared to prior year primarily attributable to our decision to invest in sales and marketing efforts in fiscal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7"/>
        </w:trPr>
        <w:tc>
          <w:tcPr>
            <w:tcW w:w="5980" w:type="dxa"/>
            <w:vAlign w:val="bottom"/>
          </w:tcPr>
          <w:p>
            <w:pPr>
              <w:spacing w:after="0"/>
              <w:rPr>
                <w:sz w:val="18"/>
                <w:szCs w:val="18"/>
                <w:color w:val="auto"/>
              </w:rPr>
            </w:pPr>
          </w:p>
        </w:tc>
        <w:tc>
          <w:tcPr>
            <w:tcW w:w="134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3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2"/>
              </w:rPr>
              <w:t>58,597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2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29,648</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18,953</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10,695</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Dealer</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1,859</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1,859</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general and administrative</w:t>
            </w: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ind w:left="400"/>
              <w:spacing w:after="0" w:line="203" w:lineRule="exact"/>
              <w:rPr>
                <w:sz w:val="20"/>
                <w:szCs w:val="20"/>
                <w:color w:val="auto"/>
              </w:rPr>
            </w:pPr>
            <w:r>
              <w:rPr>
                <w:rFonts w:ascii="Times New Roman" w:cs="Times New Roman" w:eastAsia="Times New Roman" w:hAnsi="Times New Roman"/>
                <w:sz w:val="18"/>
                <w:szCs w:val="18"/>
                <w:color w:val="auto"/>
                <w:w w:val="92"/>
              </w:rPr>
              <w:t>90,104</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76,594</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13,510</w:t>
            </w:r>
          </w:p>
        </w:tc>
        <w:tc>
          <w:tcPr>
            <w:tcW w:w="20" w:type="dxa"/>
            <w:vAlign w:val="bottom"/>
            <w:tcBorders>
              <w:top w:val="single" w:sz="8" w:color="CCEEFF"/>
              <w:bottom w:val="single" w:sz="8" w:color="auto"/>
            </w:tcBorders>
          </w:tcPr>
          <w:p>
            <w:pPr>
              <w:spacing w:after="0"/>
              <w:rPr>
                <w:sz w:val="18"/>
                <w:szCs w:val="18"/>
                <w:color w:val="auto"/>
              </w:rPr>
            </w:pPr>
          </w:p>
        </w:tc>
        <w:tc>
          <w:tcPr>
            <w:tcW w:w="1460" w:type="dxa"/>
            <w:vAlign w:val="bottom"/>
            <w:tcBorders>
              <w:top w:val="single" w:sz="8" w:color="CCEEFF"/>
            </w:tcBorders>
            <w:gridSpan w:val="3"/>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Percentage change not meaningful.</w:t>
      </w:r>
    </w:p>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Residential Solar Installation expenses decreased as a result of declines in our legacy operations following a strategic resizing of this reportable segment including reduction of personnel costs. New Homes Business increased due a full year of operations in fiscal 2025. Dealer reportable segment expenses increased entirely attributable to our acquisition of Sunder.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inclusive of amortization of debt issuance costs was $25.1 million in fiscal 2025 and principally consisted of $20.4 million attributable to our 7.0% senior unsecured convertible notes and $3.4 million attributable to our 12.0% senior unsecured convertible notes with the remainder attributable to interest expense on our other obligations.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inclusive of amortization of debt issuance costs was $16.2 million in fiscal 2024 and principally consisted of (i) $5.5 million related to our 7.0% senior unsecured convertible notes, (ii) $3.5 million related to our 12.0% senior unsecured convertible notes, (iii) $5.8 million relating to obligations that were exchanged during fiscal 2024 for 12.0% senior unsecured convertible notes, and (iv) other of $1.4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Net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Other non-operating income, net, was $9.3 million in fiscal 2025. Other income principally consisted of $11.5 million of gains from changes in the fair value of derivative liabilities associated with our 12.0% and 7.0% senior unsecured convertible notes and other non-cash income and other of $1.3 million. These gains were partially offset by a $2.8 million increase in the fair value of our public, private placement and working capital warrants accounted for as liabilities, $0.5 million increase in the fair value of our forward purchase agreements liabilities, and $0.2 million increase in the fair value of a SAFE Agreement liability.</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Other non-operating income, net was $7.9 million in fiscal 2024. The amounts consisted primarily of a $34.0 million gain on remeasurement of derivative liabilities associated with our 12.0% and 7.0% senior unsecured convertible notes, a $2.9 million net gain due to changes in fair values of warrants accounted for as liabilities, a $0.6 million gain due to the change in the fair value of SAFE Agreements and net other of $0.2 million partially offset by a $24.7 million loss on issuance of a derivative liabilities, $3.8 million of other financing costs and $1.3 million loss on the conversion of SAFE Agreements.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from Continuing Operations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net loss from continuing operations in 2025, was $44.3 million, a decrease in net loss of $10.1 million, as compared to a net loss from continuing operations of $54.4 million in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operating loss was $19.2 million in the thirteen week period ended March 29, 2026. As of March 29, 2026, we had an accumulated deficit of $451.5 million, current debt of $38.0 million, and cash and cash equivalents (excluding restricted cash) of $9.5 million which was held for working capital expenditures. We believe our operating losses and negative operating cash flows will continue into the foreseeable future.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Changes to our Liquidity and Capital Resources since December 28,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White Lion Purchase Agreement</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January 11, 2026, we and White Lion Capital, LLC (“White Lion”) entered into Amendment No. 3 (the “Amendment No. 3”) to the Common Stock Purchase Agreement, dated July 16, 2024, between the Company and White Lion, as previously amended by Amendment No. 1, effective July 24, 2024, and Amendment No. 2, effective August 14, 2024 (as amended, the “Purchase Agreement”). Amendment No. 3 extends the commitment period under the Purchase Agreement (the “Commitment Period”) to the earlier of December 31, 2027 and the date on which White Lion has purchased an aggregate number of shares of our common stock equal to the Commitment Amount (as defined below). Further, Amendment No. 3 increases, subject to approval by the Company’s stockholders, the commitment amount under the Purchase Agreement to $55.0 million of shares of its common stock (the “Commitment Amount”), which the Company may elect to sell to White Lion pursuant to the Purchase Agreement, from time to time in our sole discretion, during the Commitment Period. Lastly, Amendment No. 3 adds an option for the Company to submit three hour rapid purchase notices to White Lion that, if accepted by White Lion and otherwise delivered in accordance with the Purchase Agreement, would enable us to sell shares of our common stock to White Lion based on the lowest traded price of our common stock during the three-hour valuation period following White Lion’s written acceptance of a three hour purchase notice.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Standby Equity Purchase Agreement and $1.9 Million Note</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January 27, 2026, we entered into a Standby Equity Purchase Agreement (the “SEPA”) with YA II PN, LTD. (“YA”). Under the SEPA, YA agreed to advance up to $20.0 million (the “Prepaid Advances”) to us in the form of convertible promissory notes. (each, a “Promissory Note”), subject to the terms and conditions of the SEPA. As discussed below, we received an initial Pre-Paid Advance of $1.9 million, and the Company’s rights to further Pre-Paid Advances terminated pursuant to the terms of the SEPA. The Pre-Paid Advance under the Promissory Notes accrue interest at 0% per annum, increasing to 18% per annum upon the occurrence of an event of default. The Pre-Paid Advance that we received was funded at a 10% original issue discount. In addition, the SEPA provides us with the right, but not the obligation, to require YA to purchase up to $25.0 million (“Commitment Amount”) of our common stock through January 27, 2029, subject to customary limitations and conditions, including trading volume and ownership limitations.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SEPA will automatically terminate on the earliest to occur of (i) January 27, 2029 or (ii) the date on which YA has purchased from us under the SEPA the Commitment Amount in full. We may terminate the SEPA at any time upon five trading days’ prior written notice to YA, provided that there are no outstanding advance notices under which we have yet to issue shares of our common stock, there are no amounts outstanding under any promissory notes, and provided that we have paid all amounts owed to YA pursuant to the SEPA. We and YA may also agree to terminate the SEPA by mutual written consent.</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view the SEPA as a flexible source of potential liquidity; however, the issuance of equity under the SEPA could result in dilution to existing stockholders, and the availability of proceeds is subject to market conditions and compliance with the agreement’s terms.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execution of the SEPA, we paid YA a due diligence, structuring and commitment fee totaling $0.4 million which consisted of $0.05 million cash and 175,000 shares of common stock.</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27, 2026 the first Pre-Paid Advance was disbursed. The gross amount of the borrowing under the Pre-Paid Advance was $1.9 million, which was advanced under a Promissory Note (“$1.9 Million Note”), for net proceeds received totaling $1.7 million after the contractual discount. The $1.9 Million Note matures on January 27, 2027, subject to extension at YA’s option, and is convertible into shares of our common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2026 Bridge Note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6, 2026, we entered into a purchase agreement with YA pursuant to which we issued a convertible debenture in the principal amount of $10.0 million (the “March 2026 Bridge Note”) for net proceeds of approximately $9.0 million, after fees.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March 2026 Bridge Note bears interest at 0% per annum, increasing to 18% per annum upon the occurrence of an event of default, and matures on March 6, 2027, subject to extension at YA’s option. Beginning on May 6, 2026, we are required to make monthly installment payments through September 6, 2026, each consisting of $2.0 million of principal, a payment premium of $0.06 million, and any accrued interest. Each installment may be satisfied, at the Company’s option, in cash, through the issuance of shares pursuant to an advance notice under the SEPA, or through a combination of both. The terms of the March 2026 Bridge Note were subsequently amended as summarized below.</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March 2026 Bridge Note is convertible into shares of our common stock at the option of YA. Outstanding balances may be converted at an adjusted fixed price of $1.64 per share, or, with respect to amounts due and unpaid on or after an installment date, at a variable price based on a percentage of our stock’s recent trading prices, subject to a floor price. The March 2026 Bridge Note also permits us, under certain conditions, to redeem amounts outstanding prior to maturity, which may require the payment of a premium depending on the timing of such redemption.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7" w:name="page68"/>
    <w:bookmarkEnd w:id="67"/>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any time after issuance, YA may convert all or a portion of the outstanding principal balance into shares of the Company’s common stock at an adjusted fixed conversion price of $1.64 per share (the “Fixed Price”). In addition, any Installment Amount that remains unpaid following an Installment Date may be converted at a price equal to 95% of the volume weighted average price (“VWAP”) of the Company’s common stock during the five trading days immediately preceding the conversion date, subject to a minimum conversion price equal to the then-applicable floor price.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may, at its option, redeem all or a portion of the outstanding balance of the March 2026 Bridge Note (an “Optional Redemption”) upon written notice to YA, provided that the VWAP of the Company’s common stock at the time of such notice is less than the Fixed Price. The redemption price equals (i) the principal amount redeemed, (ii) a premium of 3% of such principal amount, and (iii) any accrued and unpaid interest; provided that the premium does not apply to Optional Redemptions completed on or prior to April 30,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transactions subsequent to March 29, 2026</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Subsequent to the quarter ended March 29, 2026, we completed several significant financing and capital restructuring transactions. On April 21, 2026, we completed a private offering (“Private Offering”) of $41.0 million aggregate principal amount of 10.0% Convertible Senior Secured Notes due 2029 (the “10% Senior Secured Notes”). The Private Offering included (i) $25.0 million of notes issued to institutional investors, (ii) $6.0 million of notes issued to an affiliate of our CEO in exchange for amounts previously advanced under the Third SAFE and Fourth SAFE (refer to </w:t>
      </w:r>
      <w:r>
        <w:rPr>
          <w:rFonts w:ascii="Times New Roman" w:cs="Times New Roman" w:eastAsia="Times New Roman" w:hAnsi="Times New Roman"/>
          <w:sz w:val="18"/>
          <w:szCs w:val="18"/>
          <w:b w:val="1"/>
          <w:bCs w:val="1"/>
          <w:color w:val="auto"/>
        </w:rPr>
        <w:t>Note 8 – SAFE Agreement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 xml:space="preserve">Note 18 – Subsequent Events to Unaudited Condensed Consolidated Financial Statements </w:t>
      </w:r>
      <w:r>
        <w:rPr>
          <w:rFonts w:ascii="Times New Roman" w:cs="Times New Roman" w:eastAsia="Times New Roman" w:hAnsi="Times New Roman"/>
          <w:sz w:val="18"/>
          <w:szCs w:val="18"/>
          <w:color w:val="auto"/>
        </w:rPr>
        <w:t>for details of the SAFE Agreements) and (iii) $10.0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notes issued in connection with the exchange of the Seller Note (as described below). Net proceeds from the Private Offering, after payment of transaction fees and expenses and the settlement of certain obligations, were approximately $9.8 million.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used a portion of the gross proceeds from the offering to (i) prepay $5.0 million of the March 2026 Bridge Note, (ii) satisfy payment obligations under an amended settlement agreement with Siemens totaling $4.75 million, (iii) make a $4.0 million cash payment to CPP Note Purchase Agreement (as defined below); and (iv) pay approximately $1.5 million of fees and expenses incurred in connection with the private offering. The remaining proceeds are expected to be used for working capital and general corporate purposes, including repayment of the remaining balance under the March 2026 Bridge Note.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April 21, 2026, in connection with the Private Offering, we and YA entered into a letter agreement (the “YA Letter”). Pursuant to the YA Letter, we agreed to voluntary prepay $5.0 million of the outstanding principal amount of March 2026 Bridge Note, resulting in a revised outstanding principal balance under the March 2026 Bridge Note of $5.0 million. We further agreed to repay the remaining principal balance and accrued interest under the March 2026 Bridge Note in four equal monthly installments of $1.287 million, with the first payment due on May 5, 2026. Pursuant to the YA Letter, YA further consented to the issuance of the 10% Senior Secured Notes and the grant of the liens to secure the obligations under the 10% Senior Secured Notes.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Also on April 21, 2026, we entered into a Note Purchase Agreement with CPP (the “CPP Note Purchase Agreement”) that provides for the following in exchange for the outstanding Seller Note (in addition to the issuance of $10.0 million principal amount of 10% Senior Secured Notes to CPP as summarized above): (i) we made a $4.0 million payment in cash to CPP at the closing under the CPP Note Purchase Agreement and (ii) amended and restated the outstanding Seller Note as further summarized below. In connection with the 10% Senior Secured Notes offering, we amended and restated the Seller Note (“A&amp;R Seller Note”). The A&amp;R Seller Note has a revised principal balance of $7.0 million and bears interest at 7.0% per annum, compounded quarterly, increasing to 10.0% per annum beginning May 15, 2026. The A&amp;R Seller Note is payable in four installments between October 2026 and January 2027, subject to extension if payment is restricted under the 10% Senior Secured Notes. The A&amp;R Seller Note is unsecured and contains customary events of default and change-of-control provisions.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on April 21, 2026, we entered into privately negotiated exchange agreements with certain holders of our 7.0% Notes due 2029, pursuant to which $21.25 million of the principal amount of such notes was exchanged for shares of our common stock and cash for accrued interest, thereby reducing outstanding indebtedness and future cash interest obligations.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Outlook</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continue to evaluate additional financing opportunities and capital management strategies to support our operating needs and strategic objectives.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consist of existing cash balances, cash flows from operations, and access to capital under new and existing financing arrangements. We expect that installment payments under the current obligations will require the use of available cash, equity issuance, or a combination thereof. As a result, our liquidity and capital resources will continue to depend on operating performance, capital market conditions, and our ability to access equity financing arrangements.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expect that our principal short-term (over the next 12 months) cash needs related to our operations will be to fund working capital, acquisitions, payments on our outstanding debt, and legal settlements. We plan to fund any cash requirements for the next 12 months from our existing cash and cash equivalents, cash generated from operations and debt and equity financings. For the long-term period (beyond 12 months), we aim to generate cash flows from operations to support our ongoing business operations and strategic investment plans. We regularly evaluate our liquidity position, debt obligations and expected cash requirements. As part of this ongoing assessment, we may pursue additional financing through the issuance of equity or the debt financing, as necessary, to meet our operational and investment needs. Our ability to obtain debt or any other additional financing that we may choose to, or need to, obtain will depend on, among other things, our development efforts, business plans, operating performance and the condition of the capital markets at the time we seek financing.</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not currently eligible to use a registration statement on Form S-3 that would allow us to continuously incorporate by reference our SEC reports into the registration statement, to use “shelf” registration statements to conduct offerings, or to use our at-the-market offering facility until approximately one year from the date we have regained and maintained status as a current filer. Our inability to use Form S-3 significantly impairs our ability to raise the necessary capital to fund our operations and execute our strategy. If we seek to access to the capital markets through a registered offering during the period of time that we are unable to use Form S-3, we may be required to publicly disclose the proposed offering and the material terms thereof before the offering commences, we may experience delays in the offering process due to SEC review of a Form S-1 registration statement and we may incur increased offering and transaction costs and other considerations. If we are unable to raise capital through a registered offering, we would be required to conduct our equity financing transactions on a private placement basis, which may be subject to pricing, size and other limitations imposed under the Nasdaq rules, or seek other sources of capital. The foregoing limitations on our financing approaches could prevent us from pursuing transactions or implementing business strategies that would be beneficial to our business.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for the thirteen weeks ended March 29, 2026 and March 30, 2025</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summarizes our cash flows from operating, investing, and financing activities for the thirteen week periods ended March 29, 2026 and March 30, 2025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94"/>
        </w:trPr>
        <w:tc>
          <w:tcPr>
            <w:tcW w:w="86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100" w:type="dxa"/>
            <w:vAlign w:val="bottom"/>
          </w:tcPr>
          <w:p>
            <w:pPr>
              <w:spacing w:after="0"/>
              <w:rPr>
                <w:sz w:val="16"/>
                <w:szCs w:val="16"/>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22,267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(2,836)</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(2,825)</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flows from operating activities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$25.6 million in the thirteen weeks ended March 29, 2026. Net income of $4.1 million was offset by unfavorable non-cash adjustments of $22.0 million and an $8.9 million net cash outflow of operating assets and liabilities. Unfavorable non-cash adjustments consisted principally of a $26.6 million change in the fair value of derivative liabilities, $5.2 million unfavorable change in the fair value of the deferred consideration, $0.6 million deferred tax benefit and $0.6 million change in the fair value of warrants, partially offset by a $3.7 million of amortization of debt issuance costs, $3.6 million of depreciation and amortization, $1.6 million of stock-based compensation expense, $1.1 million change in the fair value of forward purchase agreements, $0.5 million of non-cash lease expense and net other adjustments of $0.5 million, Net cash outflows from changes in operating assets and liabilities principally consisted of a $12.9 million decrease in contract liabilities, $10.9 million increase in prepaid expenses and other assets and a $1.8 million decrease in accounts payable, partially offset by a $9.7 million increase in accrued expenses and other current liabilities, $5.0 million decrease in accounts receivable and a $2.0 million decrease in inventories.</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of $2.7 million in the thirteen weeks ended March 30, 2025, was due to net income of $4.8 million offset by $7.4 million of unfavorable noncash adjustments and $0.1 million of cash outflow from changes in operating assets and liabilities. Non-cash adjustments consisted principally of $15.1 million arising from remeasurement of derivative liabilities, partially offset by $3.7 million of amortization of debt issuance costs, $1.6 million of depreciation and amortization, $1.1 million provision for credit losses, $1.1 million due to the change in the fair value of warrants classified as liabilities, and $0.5 million of stock-based compensation. Cash outflows from changes in operating assets consisted principally of $11.3 million increase in contract assets, $4.4 million increase in prepaid expenses and other current assets, a $5.2 million decrease in accrued expenses and other liabilities, and a $0.4 million decrease in current operating lease liabilities almost entirely offset by an $11.4 million decrease in inventories, a $6.9 million increase in accounts payable and a $3.1 million decrease in contract liabilities.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flows from investing activities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inflow of $0.5 million from investing activities in the thirteen week period ended March 29, 2026 is attributable to the cash acquired in the acquisition of Cobalt. Cobalt was acquired in exchange for shares of our common stock.</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 was zero in the thirteen-weeks ended March 30,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auto"/>
        </w:rPr>
        <w:t>Cash flows from financing activities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from continuing operations was $22.2 million for the thirteen weeks ended March 29, 2026 and consisted principally of $10.7 million in proceeds from the issuance of short-term debt, $1.3 million in proceeds from a related party in exchange for the issuance of 12% senior unsecured convertible notes, $7.0 million of proceeds from the issuance of our common stock and a related party investor deposit of $5.0 million partially offset by $1.1 million in principal payments on our 12% senior unsecured convertible notes and $0.7 million of finance lease payments.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$0.2 million for the thirteen weeks ended March 30, 2025, and consisted of $0.5 million of payments on our finance leases partially offset by $0.2 million in proceeds from the issuance of September 2024 Notes, and $0.1 million in proceeds from the exercise of stock options and warrants in exchange for the issuance of shares of our common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for the Fiscal Years Ended December 28, 2025 and December 29, 2024</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following table summarizes our cash flows from operating, investing, and financing activities for the fiscal years ended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207"/>
        </w:trPr>
        <w:tc>
          <w:tcPr>
            <w:tcW w:w="8680" w:type="dxa"/>
            <w:vAlign w:val="bottom"/>
          </w:tcPr>
          <w:p>
            <w:pPr>
              <w:spacing w:after="0"/>
              <w:rPr>
                <w:sz w:val="18"/>
                <w:szCs w:val="18"/>
                <w:color w:val="auto"/>
              </w:rPr>
            </w:pPr>
          </w:p>
        </w:tc>
        <w:tc>
          <w:tcPr>
            <w:tcW w:w="1340" w:type="dxa"/>
            <w:vAlign w:val="bottom"/>
            <w:tcBorders>
              <w:top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 from continuing operations</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 from continuing operations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(19,339)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(54,657)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 from continuing operations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120,100</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10,803</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Flows from Operating Activities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from continuing operations of $15.3 million for the fiscal year ended December 28, 2025 was primarily due to the net loss from continuing operations, net of tax of $44.3 million and net cash outflows of $3.1 million from changes in our operating assets and liabilities which was partially offset by non-cash adjustments of $32.1 million. The main drivers of non-cash charges of $31.3 million consisted of $15.3 million of amortization of debt issuance costs, $10.5 million of stock-based compensation expense, $9.1 million of depreciation and amortization expense, $3.6 million provision for credit losses, $2.8 million loss due to the changes in the fair value warrant liabilities, $1.4 million of non-cash lease expense, and $1.3 million of deferred tax expense, partially offset by an $11.5 million change in the fair value of derivative liabilities, a $0.5 million change in the fair value of our forward purchase agreement liabilities, and a $0.6 million change in the fair value of deferred consideration in connection with our acquisition of Sunder. The main drivers of net cash outflows from changes in operating assets and liabilities consisted of a $38.8 million increase in trade accounts receivable, an $15.9 million decrease in accrued expenses and other current liabilities, a $1.5 million decrease in operating lease liabilities, a $5.6 million increase in prepaid expenses and other assets and a $3.1 million decrease in contract liabilities, partially offset by a $38.4 million decrease in inventories, a $15.3 million increase in accounts payable and an $8.5 million decrease in contract assets.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from continuing operations of $54.6 million for the fiscal year ended December 29, 2024 was primarily due to the net loss from continuing operations, net of tax of $54.4 million and net cash outflows of $6.6 million from changes in our operating assets and liabilities which was partially offset by non-cash adjustments of $6.4 million. Non-cash charges primarily consisted of $24.7 million for loss on issuance of derivative liability, $9.1 million provision for credit losses, $5.8 million of amortization of debt issuance costs, $9.2 million of non-cash expense in connection with warrants issued for vendor services, $3.1 million of stock-based compensation expense, $3.9 million accretion of debt in CS Solis, $3.8 million for asset impairment and disposals, $2.7 million for depreciation and amortization, $1.8 million for non-cash interest expense, $0.8 million for lease expense, and $1.3 million for loss on conversion of SAFE Agreements to shares of common stock, and $0.4 million of other financing costs, partially offset by a decrease of $34.0 million for the change in fair value of derivative liabilities, $22.3 million gain on troubled debt restructuring, $2.9 million change in fair value of warrant liabilities, and $1.0 million change due to fair value adjustments. The main drivers of net cash outflows derived from the changes in operating assets and liabilities were related to an increase in contract assets of $21.5 million, a $10.4 million decrease in accounts payable, a $0.8 million decrease in operating lease liabilities, and a $0.2 million increase in prepaid expenses and other current assets, partially offset by an $8.7 million decrease in inventories, a $3.3 million decrease in accounts receivable, a $14.1 million increase in accrued expenses and $0.2 million of other.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auto"/>
        </w:rPr>
        <w:t>Cash Flows from Investing Activities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from continuing operations of $19.3 million in 2025 is principally attributable to the cash paid for the acquisition of Sunder.</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by investing activities from continuing operations of $54.7 million for the fiscal year ended December 29, 2024 was primarily due to the acquisition of SunPower of $53.5 million (net of $1.0 million of cash) and $1.2 million in capital expenditures.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Flows from Financing Activities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from continuing operations in 2025 was $30.9 million and consisted of $19.8 million received in exchange for 7.0% senior unsecured convertible notes, $7.0 million received from related party trusts of T.J. Rodgers, our Chairman and CEO, in exchange for 12% senior unsecured convertible notes, an investor deposit of $2.0 million received from a related party trust of T.J. Rodgers, $6.7 million in proceeds from the issuance of shares of our common stock, and $0.6 million in proceeds from the exercise of stock options and a warrant in exchange for shares of our common stock, partially offset by $2.3 million of finance lease payments, $2.2 million in payments on our debt obligations and $0.7 million for taxes paid related to net share settlement of equity awards.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from continuing operations in 2024 was of $120.1 million and consisted of $107.7 million in proceeds from the issuance of convertible notes, $6.0 million in proceeds from the issuance of SAFE agreement, $6.7 million in proceeds from the issuance of common stock and $0.5 million in proceeds from the exercise of common stock options. The proceeds were partially offset by finance lease payments and the payment of a note aggregating $0.8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or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SunPower is an “emerging growth company” as defined in Section 2(a) of the Securities Act and has elected to take advantage of the benefits of the extended transition period for new or revised financial accounting standards. Following the closing of the Mergers, our post-combination company remains an emerging growth company until the earliest of (i) the last day of the fiscal year in which the market value of common stock that is held by non-affiliates exceeds $700 million as of the end of that year’s second fiscal quarter, (ii) the last day of the fiscal year in which we have total annual gross revenue of $1.235 billion or more during such fiscal year (as indexed for inflation), (iii) the date on which we have issued more than $1.0 billion in non-convertible debt in the prior three-year period, or (iv) the last day of the fiscal year ending after the fifth anniversary of our IPO.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mission is to deliver energy-efficient solutions to homeowners and small to medium-sized businesses that allow them to lower their energy bills while reducing their carbon footprint. SunPower Inc. or SunPower, has created a unique, end-to-end offering that delivers a best-in-class customer experience with a robust technology platform, financing solutions, and high-performance solar equipment.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SunPower Inc. (the “Company”) is the rebranded name of Complete Solaria, Inc. The rebranding was effective April 22, 2025 and became legally effective on October 17, 2025. We are headquartered in Orem, Utah.</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Complete Solaria, Inc. (“Complete Solaria”) was formed in November 2022 through the merger of Complete Solar Holding Corporation, a Delaware corporation (“Complete Solar”), and The Solaria Corporation, a Delaware corporation (such entity, “Solaria,” and such transaction, the “Business Combination”). Complete Solaria created a technology platform to offer clean energy products to homeowners by enabling a national network of sales partners and build partners. Our sales partners generate solar installation contracts with homeowners on our behalf. To facilitate this process, we provide the software tools, sales support and brand identity to our sales partners, making them competitive with national providers. We fulfill our customer contracts by engaging with local construction specialists and using our in-house installation experts. We manage the customer experience and complete all pre-construction activities prior to delivering build-ready projects including hardware, engineering plans, and building permits to our builder partners and in-house teams.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October 2023, we sold the solar panel assets of The Solaria Corporation, including intellectual property and customer contracts to Maxeon Solar Technologies, Ltd. (“Maxeon”) pursuant to the terms of an asset purchase agreement (the “Disposal Agreement”). Under the terms of the Disposal Agreement, Maxeon agreed to acquire certain assets and employees of Complete Solaria for an aggregate purchase price of approximately $11.0 million consisting of 1,100,000 shares of Maxeon ordinary shares.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expect to continue making acquisitions and entering into strategic partnerships as part of our long-term business strategy. For example, on September 24, 2025, we completed the purchase of all the membership interests of Sunder Energy, LLC (“Sunder”). Sunder provides a third-party solar energy sales force to initiate and execute contracts with customers throughout the United States. Sunder’s sales force works with solar installation companies in which Sunder acts as the agent for each transaction entered. Sunder earns revenue based on residential solar installation contracts for residential homeowners that are sold to installation companies in accordance with its contracts with those installation companies. Upon entering into a sales contract, the requisite performance obligation of Sunder is to assist the installation companies in the progress of the installation and obtain permission to operate. On November 21, 2025, we completed the purchase of all the membership interest of Ambia Energy, LLC (“Ambia”). Ambia is a residential solar energy system installer which operates in various markets throughout the United States. Ambia generates revenue from selling and installing solar energy systems or orchestrating the sale of a solar energy system which will be installed by a third party. On January 30, 2026, we completed the purchase of all of the equity interests of Cobalt Power Systems, Inc. (“Cobalt”). Cobalt is an installer of residential and commercial solar energy systems in the San Francisco Bay area. Cobalt generates revenue from the design and installation of solar power systems.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5, 2024, we entered into an Asset Purchase Agreement (the “APA”) among us and SunPower Corporation and its direct and indirect subsidiaries (collectively, the “SunPower Debtors”) providing for the sale and purchase of certain assets relating to the Blue Raven Solar business, New Homes Business and Non-Installing Dealer network previously operated by the SunPower Debtors (the “Acquired SunPower Assets”). The APA was entered into in connection with a voluntary petition filed by SunPower under Chapter 11 of the United States Code, 11 U.S.C.§§ 101-1532. The sale was approved on September 23, 2024, by the United States Bankruptcy Court for the District of Delaware. We completed the acquisition of the Acquired SunPower Assets effective September 30, 2024. The assets and businesses acquired by us under the APA are referred to as the “SunPower Businesses.” As part of the acquisition the Company acquired Albatross, an order-to-management proprietary software to manage our orders, fulfillment and customer service all in one central location.</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acquisitions of Sunder, Ambia, Cobalt and SunPower Businesses are collectively referred to herein as “Acquisitions”.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Model</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offer solar system sales and installation to residential homeowners and the new home builders’ communities. The Acquisitions will allow us to accelerate our revenue growth and expand our footprint to deliver solar system sales into regions where we might have not previously done business.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sell solar systems to homeowners, home builders and small to medium-sized commercial customers through third-party sales partners. As a result of our acquisition of Sunder, we operate a solar energy sales force to initiate and execute contracts with customers throughout the United States. We manage every aspect of project management for those contracts before ultimately contracting with builder partners or using in-house installation experts to complete the construction and installation of the solar systems. This residential solar platform provides homeowners with simple pricing for solar energy that provides significant savings compared to traditional utility energy. Homeowners can choose from a wide array of system features and financing options that best meet their needs. By delivering the best-matched products and a best-in-class customer experience, we establish valuable customer relationships that can extend beyond the initial solar energy system purchase and provide us with opportunities to offer additional products and services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Innovation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Since inception, we have continued to invest in a platform of services and tools to enable large-scale operations for sales and builder partners. The platform incorporates processes and software solutions that simplify and streamline design, proposals, and project management throughout the lifecycle of a residential solar project. The platform empowers new market entrants and smaller industry participants with its plug-and-play capabilities. The ecosystem we have built provides broad reach, and we believe it positions us for sustained and rapid growth through a capital-efficient business model. The network of our partners continues to expand today.</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use salesforce.com to manage and fulfill orders which replaced our use of Albatross, the rights to which we acquired in connection with our acquisition of the SunPower Businesses. Albatross is a sales order platform which will be sunset later in 2026. Our acquisition of Sunder included Merdeka, a software platform which gives access from bookings to energization. We currently have this platform on view only and believe it has future potential as a differentiating option compared to our competition.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Differentiation and Operating Results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Delivering a differentiated customer experience is core to our strategy. It emphasizes a customized solution, including a design specific to each customer’s home and pricing configurations that typically drive both customer savings and value. Developing a trusted brand and providing a customized solar service offering resonates with customers accustomed to a traditional residential power market that is often overpriced and lacking in customer choice.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overall mission is to deliver energy-efficient solutions to homeowners, home builders and small to medium-sized businesses that allow them to lower their energy bills while reducing their carbon footprint. We want to pass our operational costs savings back to our customers by keeping costs low in an environment where labor costs are rising and interest rates remain uncertain. These operational costs savings are attributed to the workforce that was acquired as part of the SunPower Acquisition. We expanded our operations center that supports operations, order process, customer care and support, credit and collections, procurement, vendor management and accounting related functions, and have rationalized our headcount.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strategy focuses on providing our sales partners with the software tools, sales support, and ability to compete effectively with national providers.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turnkey solution makes it easy for anyone to sell solar.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Solar System Sales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Solar System Sales are full systems sold to homeowners, home builders and small to medium-sized commercial businesses through our sales partner channels. We and our builder partners fulfill and install the systems. We believe that we can increase revenue by executing the following approaches:</w:t>
      </w:r>
    </w:p>
    <w:p>
      <w:pPr>
        <w:spacing w:after="0" w:line="160" w:lineRule="exact"/>
        <w:rPr>
          <w:sz w:val="20"/>
          <w:szCs w:val="20"/>
          <w:color w:val="auto"/>
        </w:rPr>
      </w:pPr>
    </w:p>
    <w:p>
      <w:pPr>
        <w:jc w:val="both"/>
        <w:ind w:left="660" w:hanging="328"/>
        <w:spacing w:after="0" w:line="258"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revenue by expanding installation capacity and developing new geographic markets through our partner programs- </w:t>
      </w:r>
      <w:r>
        <w:rPr>
          <w:rFonts w:ascii="Times New Roman" w:cs="Times New Roman" w:eastAsia="Times New Roman" w:hAnsi="Times New Roman"/>
          <w:sz w:val="18"/>
          <w:szCs w:val="18"/>
          <w:color w:val="auto"/>
        </w:rPr>
        <w:t>Certain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become builder partners who install systems resulting from sales generated by our sales partners. By leveraging this network of skilled builders, in addition to our in-house installation experts, we aim to increase our installation capacity in traditional markets and expand our offering into new geographies throughout the U.S. We believe this will enable greater sales growth in existing markets and create new revenue in expansion markets.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revenue and margin by engaging national-scale sales partners</w:t>
      </w:r>
      <w:r>
        <w:rPr>
          <w:rFonts w:ascii="Times New Roman" w:cs="Times New Roman" w:eastAsia="Times New Roman" w:hAnsi="Times New Roman"/>
          <w:sz w:val="18"/>
          <w:szCs w:val="18"/>
          <w:color w:val="auto"/>
        </w:rPr>
        <w:t>-We expect to create a consistent offering with a single execution process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national-scale sales partners throughout their territories, including in territories where we do not currently operate. These national accounts have unique customer relationships that will facilitate meaningful sales opportunities and low acquisition cost to increase revenue and improve margin.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revenue and margin by executing on a battery storage opportunity </w:t>
      </w:r>
      <w:r>
        <w:rPr>
          <w:rFonts w:ascii="Times New Roman" w:cs="Times New Roman" w:eastAsia="Times New Roman" w:hAnsi="Times New Roman"/>
          <w:sz w:val="18"/>
          <w:szCs w:val="18"/>
          <w:color w:val="auto"/>
        </w:rPr>
        <w:t>- We have an opportunity to increase our revenue and margin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battery space through our partnership with Enphase. By providing homeowners with an option to include battery storage as part of their solar system install, we believe there will be a greater need for battery storage as the demand and costs of energy will increase.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strengths position us to drive the mass adoption of residential solar in a manner that maximizes the value of our growing customer base over the long term:</w:t>
      </w:r>
    </w:p>
    <w:p>
      <w:pPr>
        <w:spacing w:after="0" w:line="160" w:lineRule="exact"/>
        <w:rPr>
          <w:sz w:val="20"/>
          <w:szCs w:val="20"/>
          <w:color w:val="auto"/>
        </w:rPr>
      </w:pPr>
    </w:p>
    <w:p>
      <w:pPr>
        <w:jc w:val="both"/>
        <w:ind w:left="660" w:right="20" w:hanging="328"/>
        <w:spacing w:after="0" w:line="267"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Platform of Services and Tools</w:t>
      </w:r>
      <w:r>
        <w:rPr>
          <w:rFonts w:ascii="Times New Roman" w:cs="Times New Roman" w:eastAsia="Times New Roman" w:hAnsi="Times New Roman"/>
          <w:sz w:val="18"/>
          <w:szCs w:val="18"/>
          <w:color w:val="auto"/>
        </w:rPr>
        <w:t>: A diversified and multi-pronged customer acquisition approach. This infrastructure underpins the ability to enjoy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broad customer reach with a low system-wide cost structure and positions us for expansion to every market where distributed solar energy generation can offer homeowners savings versus traditional utility retail power.</w:t>
      </w:r>
    </w:p>
    <w:p>
      <w:pPr>
        <w:spacing w:after="0" w:line="173"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Differentiated Customer Experience</w:t>
      </w:r>
      <w:r>
        <w:rPr>
          <w:rFonts w:ascii="Times New Roman" w:cs="Times New Roman" w:eastAsia="Times New Roman" w:hAnsi="Times New Roman"/>
          <w:sz w:val="18"/>
          <w:szCs w:val="18"/>
          <w:color w:val="auto"/>
        </w:rPr>
        <w:t>: We offer a unique customer experience through various methods: customer-friendly solar service features,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tailored designs and customizable pricing for each homeowner, a highly consultative sales process, and a focus on customer savings.</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Access to customers through third-party sales channels: </w:t>
      </w:r>
      <w:r>
        <w:rPr>
          <w:rFonts w:ascii="Times New Roman" w:cs="Times New Roman" w:eastAsia="Times New Roman" w:hAnsi="Times New Roman"/>
          <w:sz w:val="18"/>
          <w:szCs w:val="18"/>
          <w:color w:val="auto"/>
        </w:rPr>
        <w:t>The turn-key solar product offering, best-in-class customer service, and national footprint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third-party sales channels and strategic national partnerships. We provide solutions for sales channels seeking to expand their geographic reach and strengthen their relationships with their own customers.</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Skilled labor workforce: </w:t>
      </w:r>
      <w:r>
        <w:rPr>
          <w:rFonts w:ascii="Times New Roman" w:cs="Times New Roman" w:eastAsia="Times New Roman" w:hAnsi="Times New Roman"/>
          <w:sz w:val="18"/>
          <w:szCs w:val="18"/>
          <w:color w:val="auto"/>
        </w:rPr>
        <w:t>We invest in safety first and ensure that our labor workforce is not only proficient in construction and energy but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strong communication, problem-solving and customer service skills. This allows them not only to make decisions quickly onsite but allows them to be empowered to service our customers on the spot and timely.</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Customer Service and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Solar System Sales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made significant investments to create a platform of services and tools that addresses customer origination, system design and installation, and general customer support. Before a sales representative conducts a consultation, homeowners are pre-qualified based on a preliminary evaluation that considers a homeowner’s credit, home ownership, electricity usage and suitability of the roof based on age, condition, shading and pitch. Once a homeowner is pre-qualified, all necessary data is collected, and a proposal is generated for the homeowner. If a homeowner is interested in moving forward, a customer contract is generated for electronic execution. This contract then undergoes a final review before it is countersigned. Homeowners financing their purchase via a loan, lease or power purchase agreement submit applications to financial institutions and, upon credit approval, execute financing agreements between the homeowner and the financier.</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Once an agreement is fully executed, a site audit is performed at the home to inspect the condition of the roof, electrical equipment, and shading. Following this audit are a final system design plan and an application for any required building permits. The plans are reviewed to ensure they conform to the executed contract or to process a change order if required. A second production estimate is generated at that time and if the expected energy production exceeds or falls below the original estimate by certain thresholds, the homeowner agreement is modified accordingly. To reduce installation costs and operational risk, there are defined design and installation quality standards designed to ensure that homeowners receive a quality product, regardless of who installs the system.</w:t>
      </w:r>
    </w:p>
    <w:p>
      <w:pPr>
        <w:spacing w:after="0" w:line="18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After the solar panels are installed, the customer care team follows up with the homeowner with a survey on their experience. If a system requires maintenance, we or a dedicated service-only contractor will visit the customer’s home and perform any necessary repairs or maintenance at no additional cost to the customer.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main components of a residential solar energy system are the solar modules, inverters, and racking systems. We also offer battery storage and car chargers where it can benefit our customers. We generally purchase components from select distributors, which are then shipped to build partners for installation. There is a running list of approved suppliers in the event any of the sources for modules, inverters or other components become unavailable. If we fail to develop, maintain, and expand relationships with these or other suppliers, the ability to meet anticipated demand for solar energy systems may be adversely affected, or at higher costs or delayed. If one or more of the suppliers ceases or reduces production due to its financial condition, acquisition by a competitor or otherwise, it may be difficult to identify alternate suppliers quickly or to qualify alternative products on commercially reasonable terms, and the ability to satisfy this demand may be adversely affected.</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screen all suppliers and components based on expected cost, reliability, warranty coverage, ease of installation, etc. We typically enter into master contract arrangements with major suppliers that define the general terms and conditions of purchases, including warranties, product specifications, indemnities, delivery and other customary terms. The declining cost of solar modules and the raw materials necessary to manufacture them have been a key driver in the prices charged for electricity and homeowner adoption of solar energy. If solar module and raw material prices do not continue to decline at the same rate as they have over the past several years, the resulting prices could slow growth and cause financial results to suffer. If we are required to pay higher prices for supplies, accept less favorable terms, or purchase solar modules or other system components from alternative, higher-priced sources, financial results may be adversely affected.</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and our build partners are responsible for and source the other products related to solar energy systems, such as fasteners, wiring and electrical fittings. From time-to-time, we procure these other products related to solar energy systems for our own installation business. We manage inventory through just-in-time delivery, at local warehouses, and as segregated inventory at build partners.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main components of a residential solar module are the solar cells. Our solar modules are generally manufactured by third-party select manufacturers and are purchased from distributors.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primary competitors are the traditional utilities that supply electricity to potential customers. We compete with these traditional utilities primarily based on price (cents per kilowatt hour), predictability of future prices (by providing pre-determined annual price escalations) and the ease by which homeowners can switch to electricity generated by solar energy systems. Based on these factors, we compete favorably with many traditional utilities.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compete for homeowner customers with other solar sales and installation companies and with solar companies with business models that are like ours. Our main competitors can be grouped broadly into (a) national, vertically integrated companies with established brands and proprietary consumer financing products; (b) small, local solar contractors who operate with relatively low fixed overhead expenses but who may lack systems, tools, and sophisticated product offerings; and (c) sales aggregators who engage with third-party sales companies to generate installation contracts. We compete favorably with these companies, with (a) better customer experience and better sales partner experience than the national vertically integrated companies; (b) better pricing and broader customer offerings than smaller local solar contractors; and (c) a better build partner experience than sales aggregators.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face competition from purely finance-driven organizations that acquire homeowner customers and then subcontract out the installation of solar energy systems, installation businesses that seek financing from external parties, large construction companies and utilities and sophisticated electrical and roofing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seek to protect our intellectual property rights by relying on federal, state and common law rights in the U.S. and other countries, as well as contractual restrictions. We generally enter into confidentiality and invention assignment agreements with employees and contractors, and confidentiality agreements with other third parties, to limit access to, and disclosure and use of, confidential information and proprietary technology. In addition to these contractual arrangements, we also rely on a combination of trademarks, trade dress, domain names, copyrights, and trade secrets to help protect the brand and other intellectual property.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 and Incentives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Governments have used different public policy mechanisms to accelerate the adoption and use of solar power. Examples of customer-focused financial mechanisms include capital cost rebates, performance-based incentives, feed-in tariffs, tax credits, renewable portfolio standards, net metering, and carbon regulations. Some of these government mandates and economic incentives are scheduled to be reduced or to expire or could be eliminated. Capital cost rebates provide funds to customers based on the cost and size of a customer’s solar power system. Performance-based incentives provide funding to a customer based on the energy produced by their solar power system. Feed-in tariffs pay customers for solar power system generation based on energy produced at a rate generally guaranteed for a period of time. Tax credits reduce a customer’s taxes at the time the taxes are due. Renewable portfolio standards mandate that a certain percentage of electricity delivered to customers comes from eligible renewable energy resources. Net metering allows customers to deliver to the electric grid any excess electricity produced by their on-site solar power systems and to be credited for that excess electricity at or near the full retail price of electricity. Carbon regulations, including cap-and-trade and carbon pricing programs, increase the cost of fossil fuels, which release climate-altering carbon dioxide and other greenhouse gas emissions during combustion.</w:t>
      </w:r>
    </w:p>
    <w:p>
      <w:pPr>
        <w:spacing w:after="0" w:line="1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the mechanisms described above, there are various incentives for homeowners and businesses to adopt solar power in The Inflation Reduction Act of 2022 (the “IRA”). On July 4, 2025, the One Big Beautiful Bill Act (the “OBBBA”) was enacted and significantly modified this framework by accelerating the phase-out or termination of certain federal tax incentives and introducing additional eligibility requirements and compliance obligations. In particular, the OBBBA accelerates the termination of the clean electricity investment tax credit and production tax credit for applicable solar facilities, generally limiting availability to projects that begin construction by July 4, 2026 or are placed in service by December 31, 2027, and terminates the residential clean energy credit for property installed after December 31, 2025. The OBBBA also introduces additional restrictions relating to certain foreign entities of concern (“FEOC”) and supply chain sourcing, which may affect project eligibility and increase compliance costs.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Moreover, in Europe, the European Commission has mandated that its member states adopt integrated national climate and energy plans to increase their renewable energy targets to be achieved by 2030, which could benefit the deployment of solar. However, the U.S. and European Union, among others, have imposed tariffs or other import duties on solar products, or are evaluating the imposition of such duties on solar panels, solar cells, polysilicon, and other components. These import duties may offset the incentives described above and increase the price of our solar products.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May 15, 2026, we had 710 employees on a full-time basis. We also engage independent contractors and consultants. No employees are covered by collective bargaining agreements. There have not been any work stoppages.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human capital resources objectives include identifying, recruiting, retaining, training, and integrating our existing and new employees. The principal purposes of our equity incentive plans are to attract, retain and motivate personnel through the granting of equity-based awards, increasing stockholder value and the success of our Company by motivating such individuals to perform to the best of their abilities and achieve SunPower’s objectives.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corporate headquarters and executive offices are located in Orem, Utah.</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lease all the facilities and own no real property. We believe that our current facilities are adequate to meet ongoing needs. If additional space is required, we believe that we will be able to obtain additional facilities on commercially reasonable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Corporate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were originally known as Freedom Acquisition I Corp (“FACT”). We are engaged in solar system sales and associated commerce. On July 18, 2023, Complete Solaria, FACT, and certain other entities consummated the transactions contemplated under that certain amended and restated Business Combination Agreement, dated as of May 26, 2023, following the approval at the special meeting of the stockholders of FACT held July 11, 2023. In connection with the closing of the Business Combination, we changed our name from Freedom Acquisition I Corp. to Complete Solaria, Inc.</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principal executive offices are located at 1403 N. Research Way, Orem UT 84097, and our telephone number is (877) 299-4943.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Access to Company Information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file or furnish periodic reports and amendments thereto, including our Annual Reports on Form 10-K, our Quarterly Reports on Form 10-Q and Current Reports on Form 8-K, proxy statements and other information with the SEC. In addition, the SEC maintains a website (www.sec.gov) that contains reports, proxy and information statements, and other information regarding issuers that file electronically. Our internet address is https://us.sunpower.com. Through our internet website, we make available, free of charge, our Annual Report on Form 10-K, quarterly reports on Form 10-Q, current reports on Form 8-K, and all amendments to those reports as soon as reasonably practicable after such reports have been filed with or furnished to the SEC. The link to our website is provided as an inactive textual reference only and the information on our website is not a part of this prospectus.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MANAGEMENT</w:t>
            </w:r>
          </w:p>
        </w:tc>
        <w:tc>
          <w:tcPr>
            <w:tcW w:w="900" w:type="dxa"/>
            <w:vAlign w:val="bottom"/>
          </w:tcPr>
          <w:p>
            <w:pPr>
              <w:spacing w:after="0"/>
              <w:rPr>
                <w:sz w:val="20"/>
                <w:szCs w:val="20"/>
                <w:color w:val="auto"/>
              </w:rPr>
            </w:pPr>
          </w:p>
        </w:tc>
      </w:tr>
      <w:tr>
        <w:trPr>
          <w:trHeight w:val="432"/>
        </w:trPr>
        <w:tc>
          <w:tcPr>
            <w:tcW w:w="103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Our Directors and their ages as of May 15, 2026 are set forth below.</w:t>
            </w:r>
          </w:p>
        </w:tc>
        <w:tc>
          <w:tcPr>
            <w:tcW w:w="900" w:type="dxa"/>
            <w:vAlign w:val="bottom"/>
          </w:tcPr>
          <w:p>
            <w:pPr>
              <w:spacing w:after="0"/>
              <w:rPr>
                <w:sz w:val="24"/>
                <w:szCs w:val="24"/>
                <w:color w:val="auto"/>
              </w:rPr>
            </w:pPr>
          </w:p>
        </w:tc>
      </w:tr>
      <w:tr>
        <w:trPr>
          <w:trHeight w:val="452"/>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720" w:type="dxa"/>
            <w:vAlign w:val="bottom"/>
            <w:gridSpan w:val="2"/>
          </w:tcPr>
          <w:p>
            <w:pPr>
              <w:ind w:left="250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Thurman J. Rodgers</w:t>
            </w:r>
          </w:p>
        </w:tc>
        <w:tc>
          <w:tcPr>
            <w:tcW w:w="120" w:type="dxa"/>
            <w:vAlign w:val="bottom"/>
            <w:tcBorders>
              <w:top w:val="single" w:sz="8" w:color="CCEEFF"/>
            </w:tcBorders>
            <w:shd w:val="clear" w:color="auto" w:fill="CCEEFF"/>
          </w:tcPr>
          <w:p>
            <w:pPr>
              <w:spacing w:after="0"/>
              <w:rPr>
                <w:sz w:val="18"/>
                <w:szCs w:val="18"/>
                <w:color w:val="auto"/>
              </w:rPr>
            </w:pPr>
          </w:p>
        </w:tc>
        <w:tc>
          <w:tcPr>
            <w:tcW w:w="5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Chairman, CEO, Director</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Antonio R. Alvarez</w:t>
            </w: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J. Anderson</w:t>
            </w: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257"/>
        </w:trPr>
        <w:tc>
          <w:tcPr>
            <w:tcW w:w="46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Adam Gishen </w:t>
            </w:r>
            <w:r>
              <w:rPr>
                <w:rFonts w:ascii="Times New Roman" w:cs="Times New Roman" w:eastAsia="Times New Roman" w:hAnsi="Times New Roman"/>
                <w:sz w:val="29"/>
                <w:szCs w:val="29"/>
                <w:color w:val="auto"/>
                <w:vertAlign w:val="superscript"/>
              </w:rPr>
              <w:t>(1) (3)</w:t>
            </w: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Lundell</w:t>
            </w: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r>
      <w:tr>
        <w:trPr>
          <w:trHeight w:val="257"/>
        </w:trPr>
        <w:tc>
          <w:tcPr>
            <w:tcW w:w="46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Lothar Maier </w:t>
            </w:r>
            <w:r>
              <w:rPr>
                <w:rFonts w:ascii="Times New Roman" w:cs="Times New Roman" w:eastAsia="Times New Roman" w:hAnsi="Times New Roman"/>
                <w:sz w:val="29"/>
                <w:szCs w:val="29"/>
                <w:color w:val="auto"/>
                <w:vertAlign w:val="superscript"/>
              </w:rPr>
              <w:t>(1) (2)</w:t>
            </w: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 Daniel McCranie</w:t>
            </w: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r>
      <w:tr>
        <w:trPr>
          <w:trHeight w:val="257"/>
        </w:trPr>
        <w:tc>
          <w:tcPr>
            <w:tcW w:w="46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Ronald Pasek </w:t>
            </w:r>
            <w:r>
              <w:rPr>
                <w:rFonts w:ascii="Times New Roman" w:cs="Times New Roman" w:eastAsia="Times New Roman" w:hAnsi="Times New Roman"/>
                <w:sz w:val="29"/>
                <w:szCs w:val="29"/>
                <w:color w:val="auto"/>
                <w:vertAlign w:val="superscript"/>
              </w:rPr>
              <w:t>(1) (3)</w:t>
            </w: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Lead Independent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r>
      <w:tr>
        <w:trPr>
          <w:trHeight w:val="256"/>
        </w:trPr>
        <w:tc>
          <w:tcPr>
            <w:tcW w:w="46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Tidjane Thiam </w:t>
            </w:r>
            <w:r>
              <w:rPr>
                <w:rFonts w:ascii="Times New Roman" w:cs="Times New Roman" w:eastAsia="Times New Roman" w:hAnsi="Times New Roman"/>
                <w:sz w:val="29"/>
                <w:szCs w:val="29"/>
                <w:color w:val="auto"/>
                <w:vertAlign w:val="superscript"/>
              </w:rPr>
              <w:t>(2)</w:t>
            </w: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r>
      <w:tr>
        <w:trPr>
          <w:trHeight w:val="257"/>
        </w:trPr>
        <w:tc>
          <w:tcPr>
            <w:tcW w:w="46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Devin Whatley </w:t>
            </w:r>
            <w:r>
              <w:rPr>
                <w:rFonts w:ascii="Times New Roman" w:cs="Times New Roman" w:eastAsia="Times New Roman" w:hAnsi="Times New Roman"/>
                <w:sz w:val="29"/>
                <w:szCs w:val="29"/>
                <w:color w:val="auto"/>
                <w:vertAlign w:val="superscript"/>
              </w:rPr>
              <w:t>(2)</w:t>
            </w: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r>
      <w:tr>
        <w:trPr>
          <w:trHeight w:val="257"/>
        </w:trPr>
        <w:tc>
          <w:tcPr>
            <w:tcW w:w="4620" w:type="dxa"/>
            <w:vAlign w:val="bottom"/>
            <w:gridSpan w:val="2"/>
            <w:shd w:val="clear" w:color="auto" w:fill="CF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Jamie Haenggi </w:t>
            </w:r>
            <w:r>
              <w:rPr>
                <w:rFonts w:ascii="Times New Roman" w:cs="Times New Roman" w:eastAsia="Times New Roman" w:hAnsi="Times New Roman"/>
                <w:sz w:val="29"/>
                <w:szCs w:val="29"/>
                <w:color w:val="auto"/>
                <w:vertAlign w:val="superscript"/>
              </w:rPr>
              <w:t>(2) (3)</w:t>
            </w:r>
          </w:p>
        </w:tc>
        <w:tc>
          <w:tcPr>
            <w:tcW w:w="5720" w:type="dxa"/>
            <w:vAlign w:val="bottom"/>
            <w:gridSpan w:val="2"/>
            <w:shd w:val="clear" w:color="auto" w:fill="CF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900" w:type="dxa"/>
            <w:vAlign w:val="bottom"/>
            <w:shd w:val="clear" w:color="auto" w:fill="CF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r>
      <w:tr>
        <w:trPr>
          <w:trHeight w:val="39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Bernard Gutmann</w:t>
            </w:r>
            <w:r>
              <w:rPr>
                <w:rFonts w:ascii="Times New Roman" w:cs="Times New Roman" w:eastAsia="Times New Roman" w:hAnsi="Times New Roman"/>
                <w:sz w:val="29"/>
                <w:szCs w:val="29"/>
                <w:color w:val="auto"/>
                <w:vertAlign w:val="superscript"/>
              </w:rPr>
              <w:t>(1)</w:t>
            </w: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r>
    </w:tbl>
    <w:p>
      <w:pPr>
        <w:spacing w:after="0" w:line="60"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w:t>
      </w:r>
    </w:p>
    <w:p>
      <w:pPr>
        <w:spacing w:after="0" w:line="221"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Thurman J. Rodgers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Thurman J. (T.J.) Rodgers, 78, has served as the Chief Executive Officer of the Company since April 2024 and as a member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Board of Directors since November 2022 and as Executive Chairman since June 2023. Mr. Rodgers founded Cypress Semiconductor in</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1982 and served as Cypress’ Chief Executive Officer from 1982 to 2016. Mr. Rodgers currently serves on the boards of other energy-related companies: including Enovix and Enphase Energy Inc. (energy and storage technologies). From 2004 to 2012, he served as a member of Dartmouth’s board of trustees. Mr. Rodgers was a Sloan scholar at Dartmouth, where he graduated in 1970 as the Salutatorian with a double major in Physics and Chemistry. He won the Townsend Prize and the Haseltine Chemistry-Physics Prize as the top physics and chemistry student in his class. Mr. Rodgers holds a master’s degree and a Ph.D. in Electrical Engineering from Stanford University, where he attended on a Hertz fellowship.</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Antonio R. Alvarez</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Antonio R. Alvarez, 69, has served as a member of the Company’s Board of Directors since November 2022. Mr. Alvarez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the President of the Company since the merger of Complete Solar and Solaria in November 2022 until March 2023. From 2020 to 2022, Mr. Alvarez served as Solaria’s Chief Executive Officer. Prior to 2020, Mr. Alvarez served in various executive roles at Altierre Corporation, Aptina Imaging, Advanced Analogic Technologies, Leadis Technology and Cypress Semiconductor. Currently, Mr. Alvarez serves on the Board of Directors of NexGen Power Systems and previously served as a board member of SunEdison, SunEdison Semiconductor, ChipMOS Technology, and Validity Sensors. Mr. Alvarez holds a B.S. and an M.S. in Electrical Engineering from the Georgia Institute of Technology.</w:t>
      </w:r>
    </w:p>
    <w:p>
      <w:pPr>
        <w:spacing w:after="0" w:line="1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William J. Anderson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William J. Anderson, 49, served as the Chief Executive Officer of the Company from November 2022 to December 2023.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2010 to 2022, he served as the Chief Executive Officer of Complete Solar. From 2007 to 2009, Mr. Anderson served as CEO of Risk Allocation Systems, Inc., a lending platform connecting automobile dealerships and credit unions in order to offer point of sale automobile loans to car buyers. From 2009 to 2010, Mr. Anderson served as Partner at SVE Partners, a boutique consulting firm serving technology start-ups and venture capital investors. Mr. Anderson holds a B.S. in Managerial Sciences from the Massachusetts Institute of Technology and an M.B.A. from the Stanford University Graduate School of Business.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8" w:name="page79"/>
    <w:bookmarkEnd w:id="78"/>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Adam Gishen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Adam Gishen, 51, served as FACT’s Chief Executive Officer from February until the Business Combination in July 2023, and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one of FACT’s initial board observers. From 2015 to 2020, Mr. Gishen served in several senior roles at Credit Suisse Group AG, including Global Head of Investor Relations, Corporate Communications and Marketing and Branding. Prior to 2015, Mr. Gishen was a partner at Ondra Partners, a financial advisory firm and previous to this worked as a Managing Director at Nomura and at Lehman Brothers in the area of equity capital markets. Mr. Gishen graduated from the University of Leeds.</w:t>
      </w:r>
    </w:p>
    <w:p>
      <w:pPr>
        <w:spacing w:after="0" w:line="17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Chris Lundell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Christopher Lundell, 65, has served as a member of the Company’s Board of Directors since November 2023. Mr. Lundell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Chief Executive Officer of the Company from December 2023 to April 2024. Mr. Lundell is the Founder of CMO Grow, a marketing consultancy firm. Prior to that, he was the CMO at Vivint Solar, the President of the Americas at NEXThink, and CMO and COO at Domo. He holds an M.B.A. from Brigham Young University.</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Lothar Maier</w:t>
      </w:r>
      <w:r>
        <w:rPr>
          <w:rFonts w:ascii="Times New Roman" w:cs="Times New Roman" w:eastAsia="Times New Roman" w:hAnsi="Times New Roman"/>
          <w:sz w:val="18"/>
          <w:szCs w:val="18"/>
          <w:color w:val="auto"/>
        </w:rPr>
        <w:t>. Lothar Maier, 71, has served as a member of the Company’s Board of Directors since November 2024. Mr. Maier served as Director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FormFactor Inc, from November 2006 to May 2024. Mr. Maier served as the Chief Executive Officer and a member of the Board of Directors of Linear Technology Corporation, a supplier of high performance analog integrated circuits, from January 2005 to March 2017. Prior to that, he served as Linear Technology’s Chief Operating Officer from April 1999 to December 2004. Before joining Linear Technology, Mr. Maier held various management positions at Cypress Semiconductor Corporation, a provider of high-performance, mixed-signal, programmable solutions, from July 1983 to March 1999, including as Senior Vice President and Executive Vice President of Worldwide Operations. Mr. Maier holds a B.S. in chemical engineering from the University of California at Berkeley.</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 Daniel McCranie. </w:t>
      </w:r>
      <w:r>
        <w:rPr>
          <w:rFonts w:ascii="Times New Roman" w:cs="Times New Roman" w:eastAsia="Times New Roman" w:hAnsi="Times New Roman"/>
          <w:sz w:val="18"/>
          <w:szCs w:val="18"/>
          <w:color w:val="auto"/>
        </w:rPr>
        <w:t>J. Daniel McCranie, 82, has served as a member of the Company’s Board of Directors since January 2025. After his early career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semiconductor sales, Mr. McCranie became the executive vice president of sales &amp; marketing for Harris Corporation, a technology company, and the chief executive officer of SEEQ Technology, a semiconductor company, and Virage Logic Corporation, a semiconductor company. From 1994 to 2001, he joined Cypress Semiconductor Corporation, a semiconductor company, as executive vice president of sales &amp; marketing. He has held 10 board positions in the semiconductor and technology, including having served on the board of Cypress Semiconductor Corporation, from June 2017 to May 2019, ON Semiconductor Corporation, a semiconductor company, from 2001 to 2018, and Enovix Corporation from December 2021 until January 2023. From 2012 to 2017, he served on the board of Mentor Graphics, an electric design automation company. He holds a B.S. in Electrical Engineering from Virginia Polytechnic Institute.</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Ronald Pasek</w:t>
      </w:r>
      <w:r>
        <w:rPr>
          <w:rFonts w:ascii="Times New Roman" w:cs="Times New Roman" w:eastAsia="Times New Roman" w:hAnsi="Times New Roman"/>
          <w:sz w:val="18"/>
          <w:szCs w:val="18"/>
          <w:color w:val="auto"/>
        </w:rPr>
        <w:t>. Ronald Pasek, 65, has served as a member of the Company’s Board of Directors since February 2023. Since 2015, Mr. Pasek has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the chairman of the Board of Directors of Spectra7 Microsystems Inc., a Canadian publicly-traded consumer connectivity company. Since January 2026, Mr. Pasek has also served as a director of Extreme Networks, Inc. From 2016 to 2020, Mr. Pasek was Chief Financial Officer of NetApp. From 2009 until its acquisition by Intel in December 2015, Mr. Pasek served as Senior Vice President, Finance and Chief Financial Officer of Altera Corporation, a worldwide provider of programmable logic devices. Mr. Pasek was previously employed by Sun Microsystems, in a variety of roles including Vice President, Corporate Treasurer and Vice President of worldwide field finance, worldwide manufacturing and U.S. field finance. Mr. Pasek holds a B.S. degree from San Jose State University and an M.B.A. degree from Santa Clara University.</w:t>
      </w:r>
    </w:p>
    <w:p>
      <w:pPr>
        <w:spacing w:after="0" w:line="18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Tidjane Thiam</w:t>
      </w:r>
      <w:r>
        <w:rPr>
          <w:rFonts w:ascii="Times New Roman" w:cs="Times New Roman" w:eastAsia="Times New Roman" w:hAnsi="Times New Roman"/>
          <w:sz w:val="18"/>
          <w:szCs w:val="18"/>
          <w:color w:val="auto"/>
        </w:rPr>
        <w:t>. Tidjane Thiam, 63, served as a member of the FACT Board and as Executive Chairman of FACT since inception until the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 in July 2023. In 2021, Mr. Thiam was appointed Chairman of Rwanda Finance Limited. He also serves as a Director and Chair of the Audit Committee of Kering S.A., the French luxury group. Mr. Thiam is also a Special Envoy on Covid 19 for the African Union. From 2015 to 2020, Mr. Thiam</w:t>
      </w:r>
    </w:p>
    <w:p>
      <w:pPr>
        <w:jc w:val="both"/>
        <w:spacing w:after="0" w:line="227" w:lineRule="auto"/>
        <w:rPr>
          <w:sz w:val="20"/>
          <w:szCs w:val="20"/>
          <w:color w:val="auto"/>
        </w:rPr>
      </w:pPr>
      <w:r>
        <w:rPr>
          <w:rFonts w:ascii="Times New Roman" w:cs="Times New Roman" w:eastAsia="Times New Roman" w:hAnsi="Times New Roman"/>
          <w:sz w:val="18"/>
          <w:szCs w:val="18"/>
          <w:color w:val="auto"/>
        </w:rPr>
        <w:t>was Chief Executive Officer of Credit Suisse Group AG. From 2014 to 2019, Mr. Thiam was a Director of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Century Fox and served on its Nominating and Corporate Governance Committee. Mr. Thiam previously served at Prudential plc, a global insurance company based on London, as the Group Chief Executive from 2009 to 2015, a Director from 2008 to 2015 and Group Chief Financial Officer from 2008 to 2009. Mr. Thiam holds an M.B.A. from INSEAD and graduated from École Nationale Supérieure des Mines de Paris in 1986 and from École Polytechnique in Paris in 1984.</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9" w:name="page80"/>
    <w:bookmarkEnd w:id="79"/>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Devin Whatley</w:t>
      </w:r>
      <w:r>
        <w:rPr>
          <w:rFonts w:ascii="Times New Roman" w:cs="Times New Roman" w:eastAsia="Times New Roman" w:hAnsi="Times New Roman"/>
          <w:sz w:val="18"/>
          <w:szCs w:val="18"/>
          <w:color w:val="auto"/>
        </w:rPr>
        <w:t>. Devin Whatley, 57, has served as a member of our Board of Directors since November 2022. Since 2010, Mr. Whatley has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Managing Partner at the Ecosystem Integrity Fund. Mr. Whatley serves as a member of the Board of Directors of several private companies focused on renewable energy. Mr. Whatley was a CFA Charterholder and holds a B.A. in East Asian Studies with a Business Emphasis from the University of California, Los Angeles and an M.B.A. from the Wharton School at the University of Pennsylvania.</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Jamie Haenggi</w:t>
      </w:r>
      <w:r>
        <w:rPr>
          <w:rFonts w:ascii="Times New Roman" w:cs="Times New Roman" w:eastAsia="Times New Roman" w:hAnsi="Times New Roman"/>
          <w:sz w:val="18"/>
          <w:szCs w:val="18"/>
          <w:color w:val="auto"/>
        </w:rPr>
        <w:t>. Jamie Haenggi, 56 has served as a member of the Company’s Board of Directors since April 2025. Ms. Haenggi brings more than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years of executive leadership in sales, marketing, operations, and customer experience across the solar, security, and telecom industries. Most recently, she served as President of ADT Solar and Executive Vice President and Chief Customer Officer of ADT Security Services. Prior to that, she held Chief Marketing Officer and senior executive roles at ADT Security, Protection 1, National Guardian, Holmes Protection, and Vonage. Ms. Haenggi currently serves as Chief Executive Officer of GoodwinBeckham, a boutique executive consulting firm. She holds a Bachelor of Arts in International Relations with minors in East Asian studies and Japanese from the University of Minnesota and an Honorary Doctorate from Taylor University. Ms. Haenggi has been inducted into the Security Industry Hall of Fame and the Direct Marketing News Hall of Femme.</w:t>
      </w:r>
    </w:p>
    <w:p>
      <w:pPr>
        <w:spacing w:after="0" w:line="18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Bernard Gutmann</w:t>
      </w:r>
      <w:r>
        <w:rPr>
          <w:rFonts w:ascii="Times New Roman" w:cs="Times New Roman" w:eastAsia="Times New Roman" w:hAnsi="Times New Roman"/>
          <w:sz w:val="18"/>
          <w:szCs w:val="18"/>
          <w:color w:val="auto"/>
        </w:rPr>
        <w:t>. Bernard Gutmann, 66, has served as a member of the Company’s Board of Directors since May 2026. Mr. Gutmann brings close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forty years of experience in the semiconductor space. Most recently he served as the Executive Vice President and Chief Financial Officer &amp; Treasurer of ON Semiconductor, a semiconductor manufacturing company, a position he held from September 2012 to February 2021. Prior to that, from 2006 to 2012, he served in the role of Vice President, Corporate Analysis &amp; Strategy of SCI LLC, a wholly owned subsidiary of ON Semiconductor. From 1999 to 2002, he held the position of Director, Financial Planning &amp; Analysis of SCI LLC.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executive officers and their ages as of May 15, 2026 are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1"/>
                <w:szCs w:val="21"/>
                <w:color w:val="auto"/>
              </w:rPr>
            </w:pPr>
          </w:p>
        </w:tc>
        <w:tc>
          <w:tcPr>
            <w:tcW w:w="674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Thurman J. Rodgers</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c>
          <w:tcPr>
            <w:tcW w:w="100" w:type="dxa"/>
            <w:vAlign w:val="bottom"/>
            <w:tcBorders>
              <w:top w:val="single" w:sz="8" w:color="CCEEFF"/>
            </w:tcBorders>
            <w:shd w:val="clear" w:color="auto" w:fill="CCEEFF"/>
          </w:tcPr>
          <w:p>
            <w:pPr>
              <w:spacing w:after="0"/>
              <w:rPr>
                <w:sz w:val="18"/>
                <w:szCs w:val="18"/>
                <w:color w:val="auto"/>
              </w:rPr>
            </w:pPr>
          </w:p>
        </w:tc>
        <w:tc>
          <w:tcPr>
            <w:tcW w:w="6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Jeanne Nguyen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Biographical information for Mr. Rodgers is included with the Director biographies above.</w:t>
      </w:r>
    </w:p>
    <w:p>
      <w:pPr>
        <w:spacing w:after="0" w:line="2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Jeanne Nguyen. </w:t>
      </w:r>
      <w:r>
        <w:rPr>
          <w:rFonts w:ascii="Times New Roman" w:cs="Times New Roman" w:eastAsia="Times New Roman" w:hAnsi="Times New Roman"/>
          <w:sz w:val="18"/>
          <w:szCs w:val="18"/>
          <w:color w:val="auto"/>
        </w:rPr>
        <w:t>Jeanne Nguyen has served as the Chief Accounting Officer since 2024. Jeanne Nguyen served as the Interim Chief Financial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SunPower since July 22, 2025 prior to resigning from that position on February 2, 2026. Prior to that, Ms. Nguyen served as SunPower’s corporate controller following our acquisition of the SunPower Businesses in September 2024, and she served as the corporate controller of SunPower Corporation from December 2023 until our acquisition of the SunPower Businesses. Prior to that, Ms. Nguyen served as Corporate Controller of Convoy Inc. from September 2016 until October 2023. Prior to joining Convoy Inc., Ms. Nguyen was a senior manager in the Assurance services practice at PricewaterhouseCoopers from July 2011 to March 2016. Ms. Nguyen is a certified public accountant and holds a BA in Business Administration from the University of Washington.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required under Nasdaq listing standards, a majority of the members of a listed company’s Board of Directors must qualify as “independent,” as affirmatively determined by the Board of Directors. In addition, Nasdaq listing standards require that, subject to specified exceptions, each member of a listed company’s Audit Committee, Compensation Committee, and Nominating and Corporate Governance Committee be “independent.”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Based on information provided by each Director concerning her or his background, employment and affiliations, the Board of Directors affirmatively determined that none of our Directors - other than Thurman J. Rodgers, Antonio Alvarez, William Anderson, J. Daniel McCranie, and Chris Lundell - has any relationships that would interfere with the exercise of independent judgment in carrying out the responsibilities of a Director and that each of Messrs. Gishen, Maier, Pasek, Thiam, Whatley and Ms. Haenggi, representing a majority of SunPower’s incumbent Directors, is “independent” as that term is defined under the Nasdaq listing standards.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Role of the Board of Directors in Risk Oversight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One of the key functions of the Board of Directors is the informed oversight of SunPower’s risk management process. The Board of Directors does not anticipate having a standing risk management committee, but rather anticipates administering this oversight function directly through the Board of Directors as a whole, as well as through various standing committees of the Board of Directors that address risks inherent in their respective areas of oversight. In particular, the Board of Directors is responsible for monitoring and assessing strategic risk exposure, and SunPower’s Audit Committee is responsible for considering and discussing SunPower’s major financial risk exposures and the steps its management will take to monitor and control such exposures, including guidelines and policies to govern the process by which risk assessment and management is undertaken. The Audit Committee monitors compliance with legal and regulatory requirements. The Compensation Committee assesses and monitors whether SunPower’s compensation plans, policies and programs comply with applicable legal and regulatory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has formed an Audit Committee, Compensation Committee, and Nominating and Corporate Governance Committee. The Board of Directors may from time to time establish other committees.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Chief Executive Officer, Chief Financial Officer and other executive officers regularly report to the non-executive Directors and each standing committee to ensure effective and efficient oversight of its activities and to assist in proper risk management and the ongoing evaluation of management controls.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Audit Committee consists of Ronald Pasek, who serves as the chairperson, Adam Gishen, Lothar Maier and Bernard Gutmann. Each member of the Audit Committee qualifies as an independent director under the Nasdaq corporate governance standards and the independence requirements of Rule 10A-3 under the Exchange Act. Our Board of Directors has determined that Ronald Pasek qualifies as an “audit committee financial expert” as such term is defined in Item 407(d)(5) of Regulation S-K and possesses the requisite financial expertise required under the applicable requirements of Nasdaq. As discussed above, our Board of Directors has also determined that Ronald Pasek is an independent director.</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responsibilities of the Audit Committee include, among other things:</w:t>
      </w:r>
    </w:p>
    <w:p>
      <w:pPr>
        <w:spacing w:after="0" w:line="225"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the Board of Directors oversee corporate accounting and financial reporting processes;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and qualifications of a qualified firm to serve as the independent registered public accounting firm to audit SunPower’s financial statements;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SunPower’s interim and year-end operating results;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policies on financial risk assessment and financial risk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1" w:name="page82"/>
    <w:bookmarkEnd w:id="81"/>
    <w:p>
      <w:pPr>
        <w:jc w:val="both"/>
        <w:ind w:left="66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SunPower’s internal quality-control procedures, any material issues with such procedures, and any steps taken to deal with such issues when required by applicable law;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services to be performed by the independent registered public accounting firm.</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of Directors adopted a written charter of the Audit Committee which is available on SunPower’s website.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Compensation Committee consists of Devin Whatley, who serves as the chairperson, Lothar Maier and Jamie Haenggi. The Board of Directors has determined that each current member of the Compensation Committee is independent. The Board of Directors has also determined that each current committee member and a former member of the Compensation Committee - Antonio R. Alvarez - is a “non-employee director” as defined in Rule 16b-3 promulgated under the Exchange Act. Mr. Alvarez resigned from the Compensation Committee during April 2025. While Mr. Alvarez is not an independent director, Section 5605(d)(2)(B) of the Nasdaq listing standards nonetheless permitted the appointment of a non-independent director to the compensation committee if the Board of Directors, under exceptional and limited circumstances, determines that the non-independent director’s membership is required by the best interests of the Company and its stockholders. Based on Mr. Alvarez’s extensive experience with SunPower and familiarity with the industry, the Board of Directors previously concluded that Mr. Alvarez’s appointment to, and membership on, the Compensation Committee prior to Mr. Alvarez’s resignation from the Compensation Committee was in the best interests of SunPower and its stockholders. Further, a majority of the members of the Compensation Committee are independent directors.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responsibilities of the Compensation Committee are:</w:t>
      </w:r>
    </w:p>
    <w:p>
      <w:pPr>
        <w:spacing w:after="0" w:line="225" w:lineRule="exact"/>
        <w:rPr>
          <w:sz w:val="20"/>
          <w:szCs w:val="20"/>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the Board of Directors approve, the compensation of SunPower’s executive officers and senior management;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the compensation of SunPower’s Directors;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the Board of Directors approve, the terms of compensatory arrangements with SunPower’s executives;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SunPower’s stock and equity incentive plans;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independent compensation consultants and assessing whether there are any conflicts of interest with any of the committee’s compensation advisors;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amending and terminating, or recommending that the Board of Directors approve, amend or terminate, incentive compensation and equity plans, severance agreements, change-of-control protections and any other compensatory arrangements for SunPower’s executive officers and other senior management, as appropriate;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SunPower’s employees;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SunPower’s overall compensation.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of Directors adopted a written charter for the Compensation Committee which is available on SunPower’s website.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Nominating and Corporate Governance Committee consists of Jamie Haenggi, who serves as the chairperson, Ron Pasek, Tidjane Thiam,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Adam Gishen. The responsibilities of the Nominating and Corporate Governance Committee are:</w:t>
      </w:r>
    </w:p>
    <w:p>
      <w:pPr>
        <w:spacing w:after="0" w:line="207"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recommending that the Board of Directors approve, nominees for election to the Board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the Board of Directors and of individual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SunPower’s corporate governance practices and reporting;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management succession plans;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the Board of Directors regarding corporate governance guidelines and matters.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of Directors adopted a written charter of the Nominating and Corporate Governance Committee which is available on SunPower’s website.</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evaluates all candidates for Director thoroughly, whether they are recommended by the management team, stockholders or third parties, in accordance with the needs of the Board of Directors and the qualifications of the candidate.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Ethical Business Conduct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SunPower has adopted a code of ethical business conduct that applies to all of its Directors, officers and employees, including its principal executive officer, principal financial officer and principal accounting officer, and is available on SunPower’s website at https://investors.sunpower.com/corporate-governance/governance-overview. SunPower’s code of business conduct is a “code of ethics,” as defined in Item 406(b) of Regulation S-K. If we grant any waiver from a provision of the code of ethical business conduct to any executive officer or Director, we will disclose it on our website.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 member of the Compensation Committee was at any time during 2025, or at any other time, one of SunPower’s officers or employees, except Mr. Alvarez who previously served on the Compensation Committee also served as the Company’s president until March 2023. None of SunPower’s executive officers has served as a director or member of a compensation committee (or other committee serving an equivalent function) of any entity, one of whose executive officers served as a Director of our Board of Directors or member of the Compensation Committee.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SunPower has opted to comply with the executive compensation disclosure rules applicable to emerging growth companies. The scaled down disclosure rules are those applicable to “smaller reporting companies,” as such term is defined in the rules promulgated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which require compensation disclosure for all individuals serving as SunPower’s principal executive officer during 2025, the two most highly compensated executive officers of SunPower, other than the principal executive officer, whose total compensation for 2025 exceeded $100,000 and who were serving as executive officers as of December 28, 2025, and up to two additional individuals for whom disclosure under the applicable rules would have been provided but for the fact that such individuals were not serving as executive officers at the end of 2025. SunPower refers to these individuals as “named executive officers.” For fiscal 2025, the Company’s named executive officers were:</w:t>
      </w:r>
    </w:p>
    <w:p>
      <w:pPr>
        <w:spacing w:after="0" w:line="189"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Thurman J. (T.J.) Rodgers, our Chief Executive Officer and Executive Chairman;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Jeanne Nguyen, our Chief Accounting Officer and former Interim Chief Financial Officer;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Daniel Foley, our former Chief Financial Officer.</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our compensation program should promote the success of our Company and align executive incentives with the long-term interests of its stockholders. Our current compensation programs reflect its startup origins in that they consist primarily of salary and equity-based awards. As SunPower’s needs evolve, we intend to continue to evaluate our philosophy and compensation programs as circumstances require.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2025 and 2024, Mr. Rodgers did not receive any separate compensation in his role as our Chief Executive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of SunPower’s named executive officers for services performed in the fiscal year ended December 28, 2025 and in the fiscal year ended December 29,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20" w:type="dxa"/>
            <w:vAlign w:val="bottom"/>
          </w:tcPr>
          <w:p>
            <w:pPr>
              <w:spacing w:after="0"/>
              <w:rPr>
                <w:sz w:val="19"/>
                <w:szCs w:val="19"/>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0"/>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220" w:type="dxa"/>
            <w:vAlign w:val="bottom"/>
          </w:tcPr>
          <w:p>
            <w:pPr>
              <w:spacing w:after="0"/>
              <w:rPr>
                <w:sz w:val="23"/>
                <w:szCs w:val="23"/>
                <w:color w:val="auto"/>
              </w:rPr>
            </w:pPr>
          </w:p>
        </w:tc>
        <w:tc>
          <w:tcPr>
            <w:tcW w:w="880" w:type="dxa"/>
            <w:vAlign w:val="bottom"/>
            <w:gridSpan w:val="2"/>
          </w:tcPr>
          <w:p>
            <w:pPr>
              <w:jc w:val="right"/>
              <w:spacing w:after="0" w:line="270" w:lineRule="exact"/>
              <w:rPr>
                <w:sz w:val="20"/>
                <w:szCs w:val="20"/>
                <w:color w:val="auto"/>
              </w:rPr>
            </w:pPr>
            <w:r>
              <w:rPr>
                <w:rFonts w:ascii="Times New Roman" w:cs="Times New Roman" w:eastAsia="Times New Roman" w:hAnsi="Times New Roman"/>
                <w:sz w:val="18"/>
                <w:szCs w:val="18"/>
                <w:b w:val="1"/>
                <w:bCs w:val="1"/>
                <w:color w:val="auto"/>
                <w:w w:val="96"/>
              </w:rPr>
              <w:t>Awards</w:t>
            </w:r>
            <w:r>
              <w:rPr>
                <w:rFonts w:ascii="Times New Roman" w:cs="Times New Roman" w:eastAsia="Times New Roman" w:hAnsi="Times New Roman"/>
                <w:sz w:val="29"/>
                <w:szCs w:val="29"/>
                <w:b w:val="1"/>
                <w:bCs w:val="1"/>
                <w:color w:val="auto"/>
                <w:w w:val="96"/>
                <w:vertAlign w:val="superscript"/>
              </w:rPr>
              <w:t>(1)</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300" w:type="dxa"/>
            <w:vAlign w:val="bottom"/>
          </w:tcPr>
          <w:p>
            <w:pPr>
              <w:spacing w:after="0"/>
              <w:rPr>
                <w:sz w:val="23"/>
                <w:szCs w:val="23"/>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4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Thurman J. (T.J.) Rodgers</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0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360" w:type="dxa"/>
            <w:vAlign w:val="bottom"/>
          </w:tcPr>
          <w:p>
            <w:pPr>
              <w:spacing w:after="0" w:line="236" w:lineRule="exact"/>
              <w:rPr>
                <w:sz w:val="20"/>
                <w:szCs w:val="20"/>
                <w:color w:val="auto"/>
              </w:rPr>
            </w:pPr>
            <w:r>
              <w:rPr>
                <w:rFonts w:ascii="Times New Roman" w:cs="Times New Roman" w:eastAsia="Times New Roman" w:hAnsi="Times New Roman"/>
                <w:sz w:val="17"/>
                <w:szCs w:val="17"/>
                <w:i w:val="1"/>
                <w:iCs w:val="1"/>
                <w:color w:val="auto"/>
              </w:rPr>
              <w:t xml:space="preserve">Jeanne Nguyen </w:t>
            </w:r>
            <w:r>
              <w:rPr>
                <w:rFonts w:ascii="Times New Roman" w:cs="Times New Roman" w:eastAsia="Times New Roman" w:hAnsi="Times New Roman"/>
                <w:sz w:val="27"/>
                <w:szCs w:val="27"/>
                <w:i w:val="1"/>
                <w:iCs w:val="1"/>
                <w:color w:val="auto"/>
                <w:vertAlign w:val="superscript"/>
              </w:rPr>
              <w:t>(2)</w:t>
            </w: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2025</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350,000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1,534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353,034</w:t>
            </w: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Accounting Officer and Former</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336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58,300</w:t>
            </w: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237,046</w:t>
            </w:r>
          </w:p>
        </w:tc>
        <w:tc>
          <w:tcPr>
            <w:tcW w:w="12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295,346</w:t>
            </w:r>
          </w:p>
        </w:tc>
      </w:tr>
      <w:tr>
        <w:trPr>
          <w:trHeight w:val="257"/>
        </w:trPr>
        <w:tc>
          <w:tcPr>
            <w:tcW w:w="33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i w:val="1"/>
                <w:iCs w:val="1"/>
                <w:color w:val="auto"/>
              </w:rPr>
              <w:t>Daniel Foley</w:t>
            </w:r>
            <w:r>
              <w:rPr>
                <w:rFonts w:ascii="Times New Roman" w:cs="Times New Roman" w:eastAsia="Times New Roman" w:hAnsi="Times New Roman"/>
                <w:sz w:val="29"/>
                <w:szCs w:val="29"/>
                <w:i w:val="1"/>
                <w:iCs w:val="1"/>
                <w:color w:val="auto"/>
                <w:vertAlign w:val="superscript"/>
              </w:rPr>
              <w:t>(3)</w:t>
            </w: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2025</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233,333</w:t>
            </w: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060" w:type="dxa"/>
            <w:vAlign w:val="bottom"/>
            <w:tcBorders>
              <w:right w:val="single" w:sz="8" w:color="CCEEFF"/>
            </w:tcBorders>
            <w:gridSpan w:val="2"/>
            <w:shd w:val="clear" w:color="auto" w:fill="CCEEFF"/>
          </w:tcPr>
          <w:p>
            <w:pPr>
              <w:jc w:val="right"/>
              <w:ind w:right="120"/>
              <w:spacing w:after="0" w:line="256" w:lineRule="exact"/>
              <w:rPr>
                <w:sz w:val="20"/>
                <w:szCs w:val="20"/>
                <w:color w:val="auto"/>
              </w:rPr>
            </w:pPr>
            <w:r>
              <w:rPr>
                <w:rFonts w:ascii="Times New Roman" w:cs="Times New Roman" w:eastAsia="Times New Roman" w:hAnsi="Times New Roman"/>
                <w:sz w:val="18"/>
                <w:szCs w:val="18"/>
                <w:color w:val="auto"/>
              </w:rPr>
              <w:t>455,000</w:t>
            </w:r>
            <w:r>
              <w:rPr>
                <w:rFonts w:ascii="Times New Roman" w:cs="Times New Roman" w:eastAsia="Times New Roman" w:hAnsi="Times New Roman"/>
                <w:sz w:val="29"/>
                <w:szCs w:val="29"/>
                <w:color w:val="auto"/>
                <w:vertAlign w:val="superscript"/>
              </w:rPr>
              <w:t>(4)</w:t>
            </w: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line="256" w:lineRule="exact"/>
              <w:rPr>
                <w:sz w:val="20"/>
                <w:szCs w:val="20"/>
                <w:color w:val="auto"/>
              </w:rPr>
            </w:pPr>
            <w:r>
              <w:rPr>
                <w:rFonts w:ascii="Times New Roman" w:cs="Times New Roman" w:eastAsia="Times New Roman" w:hAnsi="Times New Roman"/>
                <w:sz w:val="18"/>
                <w:szCs w:val="18"/>
                <w:color w:val="auto"/>
              </w:rPr>
              <w:t>100,000</w:t>
            </w:r>
            <w:r>
              <w:rPr>
                <w:rFonts w:ascii="Times New Roman" w:cs="Times New Roman" w:eastAsia="Times New Roman" w:hAnsi="Times New Roman"/>
                <w:sz w:val="29"/>
                <w:szCs w:val="29"/>
                <w:color w:val="auto"/>
                <w:vertAlign w:val="superscript"/>
              </w:rPr>
              <w:t>(3)</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789,833</w:t>
            </w:r>
          </w:p>
        </w:tc>
      </w:tr>
      <w:tr>
        <w:trPr>
          <w:trHeight w:val="256"/>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Former Chief Financial Officer</w:t>
            </w: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161,947</w:t>
            </w: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100"/>
              <w:spacing w:after="0" w:line="256" w:lineRule="exact"/>
              <w:rPr>
                <w:sz w:val="20"/>
                <w:szCs w:val="20"/>
                <w:color w:val="auto"/>
              </w:rPr>
            </w:pPr>
            <w:r>
              <w:rPr>
                <w:rFonts w:ascii="Times New Roman" w:cs="Times New Roman" w:eastAsia="Times New Roman" w:hAnsi="Times New Roman"/>
                <w:sz w:val="18"/>
                <w:szCs w:val="18"/>
                <w:color w:val="auto"/>
              </w:rPr>
              <w:t>780,000</w:t>
            </w:r>
            <w:r>
              <w:rPr>
                <w:rFonts w:ascii="Times New Roman" w:cs="Times New Roman" w:eastAsia="Times New Roman" w:hAnsi="Times New Roman"/>
                <w:sz w:val="29"/>
                <w:szCs w:val="29"/>
                <w:color w:val="auto"/>
                <w:vertAlign w:val="superscript"/>
              </w:rPr>
              <w:t>(5)</w:t>
            </w:r>
          </w:p>
        </w:tc>
        <w:tc>
          <w:tcPr>
            <w:tcW w:w="120" w:type="dxa"/>
            <w:vAlign w:val="bottom"/>
            <w:shd w:val="clear" w:color="auto" w:fill="CCEEFF"/>
          </w:tcPr>
          <w:p>
            <w:pPr>
              <w:spacing w:after="0"/>
              <w:rPr>
                <w:sz w:val="22"/>
                <w:szCs w:val="22"/>
                <w:color w:val="auto"/>
              </w:rPr>
            </w:pPr>
          </w:p>
        </w:tc>
        <w:tc>
          <w:tcPr>
            <w:tcW w:w="10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941,947</w:t>
            </w:r>
          </w:p>
        </w:tc>
      </w:tr>
    </w:tbl>
    <w:p>
      <w:pPr>
        <w:spacing w:after="0" w:line="198" w:lineRule="exact"/>
        <w:rPr>
          <w:sz w:val="20"/>
          <w:szCs w:val="20"/>
          <w:color w:val="auto"/>
        </w:rPr>
      </w:pPr>
    </w:p>
    <w:p>
      <w:pPr>
        <w:jc w:val="both"/>
        <w:ind w:left="340" w:hanging="332"/>
        <w:spacing w:after="0" w:line="256"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reported in this column do not reflect the amounts actually received by SunPower’s named executive officers. Instead, these amounts reflect the aggregate grant-date fair value of awards granted to each named executive officer, computed in accordance with the FASB ASC Topic 718,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See “Item 8. Financial Statements and Supplementary Data - Notes to Consolidated Financial Statements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Note 15 - Stock-Based Compensation</w:t>
      </w:r>
      <w:r>
        <w:rPr>
          <w:rFonts w:ascii="Times New Roman" w:cs="Times New Roman" w:eastAsia="Times New Roman" w:hAnsi="Times New Roman"/>
          <w:sz w:val="18"/>
          <w:szCs w:val="18"/>
          <w:color w:val="auto"/>
        </w:rPr>
        <w:t>”. As required by SEC rules, the amounts shown exclude the impact of estimated forfeitures related to service-based vesting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Unless otherwise noted in the footnotes below, the shares underlying these options vest in 48 equal monthly installments, subject to the named executive officer’s continued service at each vesting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4" w:name="page85"/>
    <w:bookmarkEnd w:id="84"/>
    <w:p>
      <w:pPr>
        <w:jc w:val="both"/>
        <w:ind w:left="340" w:hanging="332"/>
        <w:spacing w:after="0" w:line="266"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Nguyen joined the Company in September 2024 and was appointed as our Interim Chief Financial Officer in July 2025. Ms. Nguyen’s base salary amount is pro-rated for 2024. On February 2, 2026, Ms. Nguyen resigned as the Interim Chief Financial Officer, and she now serves as our Chief Accounting Officer.</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Foley resigned as our Chief Financial Officer in July 2025. Mr. Foley’s base salary amount is pro rated for 2025, and the amount reflected as All Other Compensation comprises cash payments made in connection with his separation from the Company. In connection with Mr. Foley’s separation from the Company on July 25, 2025, the Company accelerated the vesting of 57,741 restricted stock units (equal to $100,000), in accordance with the terms of his separation agreement.</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250,000 restricted stock units issued in April 2025, of which 19,970 of the RSUs were vested at the time of Mr. Foley’s separation from the Company. Upon Mr. Foley’s separation, the remaining unvested restricted stock units were canceled.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total shares underlying this option award vested on July 1, 2025. Upon Mr. Foley’s separation from the Company, the remaining unvested shares underlying this option were forfeited.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28, 2025</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information regarding the outstanding option awards and RSUs held by each of the named executive officers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28, 2025:</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 xml:space="preserve">Option Awards </w:t>
            </w:r>
            <w:r>
              <w:rPr>
                <w:rFonts w:ascii="Times New Roman" w:cs="Times New Roman" w:eastAsia="Times New Roman" w:hAnsi="Times New Roman"/>
                <w:sz w:val="29"/>
                <w:szCs w:val="29"/>
                <w:b w:val="1"/>
                <w:bCs w:val="1"/>
                <w:color w:val="auto"/>
                <w:vertAlign w:val="superscript"/>
              </w:rPr>
              <w:t>(1)</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 xml:space="preserve">Stock Awards </w:t>
            </w:r>
            <w:r>
              <w:rPr>
                <w:rFonts w:ascii="Times New Roman" w:cs="Times New Roman" w:eastAsia="Times New Roman" w:hAnsi="Times New Roman"/>
                <w:sz w:val="29"/>
                <w:szCs w:val="29"/>
                <w:b w:val="1"/>
                <w:bCs w:val="1"/>
                <w:color w:val="auto"/>
                <w:w w:val="95"/>
                <w:vertAlign w:val="superscript"/>
              </w:rPr>
              <w:t>(1)</w:t>
            </w:r>
          </w:p>
        </w:tc>
        <w:tc>
          <w:tcPr>
            <w:tcW w:w="0" w:type="dxa"/>
            <w:vAlign w:val="bottom"/>
          </w:tcPr>
          <w:p>
            <w:pPr>
              <w:spacing w:after="0"/>
              <w:rPr>
                <w:sz w:val="1"/>
                <w:szCs w:val="1"/>
                <w:color w:val="auto"/>
              </w:rPr>
            </w:pPr>
          </w:p>
        </w:tc>
      </w:tr>
      <w:tr>
        <w:trPr>
          <w:trHeight w:val="194"/>
        </w:trPr>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Market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of shares</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or units</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or units</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of stock</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 stock</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Vesting</w:t>
            </w: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2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0" w:type="dxa"/>
            <w:vAlign w:val="bottom"/>
          </w:tcPr>
          <w:p>
            <w:pPr>
              <w:spacing w:after="0"/>
              <w:rPr>
                <w:sz w:val="1"/>
                <w:szCs w:val="1"/>
                <w:color w:val="auto"/>
              </w:rPr>
            </w:pPr>
          </w:p>
        </w:tc>
      </w:tr>
      <w:tr>
        <w:trPr>
          <w:trHeight w:val="184"/>
        </w:trPr>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38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Commencement</w:t>
            </w:r>
          </w:p>
        </w:tc>
        <w:tc>
          <w:tcPr>
            <w:tcW w:w="128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Options (#)</w:t>
            </w:r>
          </w:p>
        </w:tc>
        <w:tc>
          <w:tcPr>
            <w:tcW w:w="142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Options (#)</w:t>
            </w:r>
          </w:p>
        </w:tc>
        <w:tc>
          <w:tcPr>
            <w:tcW w:w="120" w:type="dxa"/>
            <w:vAlign w:val="bottom"/>
          </w:tcPr>
          <w:p>
            <w:pPr>
              <w:spacing w:after="0"/>
              <w:rPr>
                <w:sz w:val="16"/>
                <w:szCs w:val="16"/>
                <w:color w:val="auto"/>
              </w:rPr>
            </w:pPr>
          </w:p>
        </w:tc>
        <w:tc>
          <w:tcPr>
            <w:tcW w:w="1040" w:type="dxa"/>
            <w:vAlign w:val="bottom"/>
            <w:gridSpan w:val="2"/>
          </w:tcPr>
          <w:p>
            <w:pPr>
              <w:jc w:val="center"/>
              <w:ind w:right="340"/>
              <w:spacing w:after="0" w:line="184" w:lineRule="exact"/>
              <w:rPr>
                <w:sz w:val="20"/>
                <w:szCs w:val="20"/>
                <w:color w:val="auto"/>
              </w:rPr>
            </w:pPr>
            <w:r>
              <w:rPr>
                <w:rFonts w:ascii="Times New Roman" w:cs="Times New Roman" w:eastAsia="Times New Roman" w:hAnsi="Times New Roman"/>
                <w:sz w:val="18"/>
                <w:szCs w:val="18"/>
                <w:b w:val="1"/>
                <w:bCs w:val="1"/>
                <w:color w:val="auto"/>
              </w:rPr>
              <w:t>Exercise</w:t>
            </w:r>
          </w:p>
        </w:tc>
        <w:tc>
          <w:tcPr>
            <w:tcW w:w="1000" w:type="dxa"/>
            <w:vAlign w:val="bottom"/>
            <w:gridSpan w:val="2"/>
          </w:tcPr>
          <w:p>
            <w:pPr>
              <w:jc w:val="center"/>
              <w:ind w:right="160"/>
              <w:spacing w:after="0" w:line="184" w:lineRule="exact"/>
              <w:rPr>
                <w:sz w:val="20"/>
                <w:szCs w:val="20"/>
                <w:color w:val="auto"/>
              </w:rPr>
            </w:pPr>
            <w:r>
              <w:rPr>
                <w:rFonts w:ascii="Times New Roman" w:cs="Times New Roman" w:eastAsia="Times New Roman" w:hAnsi="Times New Roman"/>
                <w:sz w:val="18"/>
                <w:szCs w:val="18"/>
                <w:b w:val="1"/>
                <w:bCs w:val="1"/>
                <w:color w:val="auto"/>
              </w:rPr>
              <w:t>Expiration</w:t>
            </w:r>
          </w:p>
        </w:tc>
        <w:tc>
          <w:tcPr>
            <w:tcW w:w="1260" w:type="dxa"/>
            <w:vAlign w:val="bottom"/>
            <w:gridSpan w:val="3"/>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rPr>
              <w:t>not</w:t>
            </w:r>
          </w:p>
        </w:tc>
        <w:tc>
          <w:tcPr>
            <w:tcW w:w="96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not</w:t>
            </w: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3"/>
                <w:szCs w:val="23"/>
                <w:color w:val="auto"/>
              </w:rPr>
            </w:pPr>
          </w:p>
        </w:tc>
        <w:tc>
          <w:tcPr>
            <w:tcW w:w="88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8"/>
              </w:rPr>
              <w:t>Date</w:t>
            </w:r>
            <w:r>
              <w:rPr>
                <w:rFonts w:ascii="Times New Roman" w:cs="Times New Roman" w:eastAsia="Times New Roman" w:hAnsi="Times New Roman"/>
                <w:sz w:val="29"/>
                <w:szCs w:val="29"/>
                <w:b w:val="1"/>
                <w:bCs w:val="1"/>
                <w:color w:val="auto"/>
                <w:w w:val="88"/>
                <w:vertAlign w:val="superscript"/>
              </w:rPr>
              <w:t>(1)</w:t>
            </w:r>
          </w:p>
        </w:tc>
        <w:tc>
          <w:tcPr>
            <w:tcW w:w="1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280" w:type="dxa"/>
            <w:vAlign w:val="bottom"/>
          </w:tcPr>
          <w:p>
            <w:pPr>
              <w:spacing w:after="0"/>
              <w:rPr>
                <w:sz w:val="23"/>
                <w:szCs w:val="23"/>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Unexerciseable</w:t>
            </w:r>
          </w:p>
        </w:tc>
        <w:tc>
          <w:tcPr>
            <w:tcW w:w="120" w:type="dxa"/>
            <w:vAlign w:val="bottom"/>
          </w:tcPr>
          <w:p>
            <w:pPr>
              <w:spacing w:after="0"/>
              <w:rPr>
                <w:sz w:val="23"/>
                <w:szCs w:val="23"/>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vested (#)</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vested (#)</w:t>
            </w:r>
          </w:p>
        </w:tc>
        <w:tc>
          <w:tcPr>
            <w:tcW w:w="0" w:type="dxa"/>
            <w:vAlign w:val="bottom"/>
          </w:tcPr>
          <w:p>
            <w:pPr>
              <w:spacing w:after="0"/>
              <w:rPr>
                <w:sz w:val="1"/>
                <w:szCs w:val="1"/>
                <w:color w:val="auto"/>
              </w:rPr>
            </w:pPr>
          </w:p>
        </w:tc>
      </w:tr>
      <w:tr>
        <w:trPr>
          <w:trHeight w:val="27"/>
        </w:trPr>
        <w:tc>
          <w:tcPr>
            <w:tcW w:w="1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1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Thurman J. (T.J.)</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37,500</w:t>
            </w:r>
            <w:r>
              <w:rPr>
                <w:rFonts w:ascii="Times New Roman" w:cs="Times New Roman" w:eastAsia="Times New Roman" w:hAnsi="Times New Roman"/>
                <w:sz w:val="29"/>
                <w:szCs w:val="29"/>
                <w:color w:val="auto"/>
                <w:vertAlign w:val="superscript"/>
              </w:rPr>
              <w:t>(2)</w:t>
            </w: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Rodgers</w:t>
            </w:r>
          </w:p>
        </w:tc>
        <w:tc>
          <w:tcPr>
            <w:tcW w:w="9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12/3/2023</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12/3/2024</w:t>
            </w:r>
          </w:p>
        </w:tc>
        <w:tc>
          <w:tcPr>
            <w:tcW w:w="12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12/2/2033</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7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12/3/2023</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12/3/2024</w:t>
            </w: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line="256" w:lineRule="exact"/>
              <w:rPr>
                <w:sz w:val="20"/>
                <w:szCs w:val="20"/>
                <w:color w:val="auto"/>
              </w:rPr>
            </w:pPr>
            <w:r>
              <w:rPr>
                <w:rFonts w:ascii="Times New Roman" w:cs="Times New Roman" w:eastAsia="Times New Roman" w:hAnsi="Times New Roman"/>
                <w:sz w:val="18"/>
                <w:szCs w:val="18"/>
                <w:color w:val="auto"/>
              </w:rPr>
              <w:t>79,101</w:t>
            </w:r>
            <w:r>
              <w:rPr>
                <w:rFonts w:ascii="Times New Roman" w:cs="Times New Roman" w:eastAsia="Times New Roman" w:hAnsi="Times New Roman"/>
                <w:sz w:val="29"/>
                <w:szCs w:val="29"/>
                <w:color w:val="auto"/>
                <w:vertAlign w:val="superscript"/>
              </w:rPr>
              <w:t>(2)</w:t>
            </w: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12/2/2033</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Jeanne Nguyen</w:t>
            </w: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10/14/2024</w:t>
            </w:r>
          </w:p>
        </w:tc>
        <w:tc>
          <w:tcPr>
            <w:tcW w:w="10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10/14/2024</w:t>
            </w:r>
          </w:p>
        </w:tc>
        <w:tc>
          <w:tcPr>
            <w:tcW w:w="120" w:type="dxa"/>
            <w:vAlign w:val="bottom"/>
          </w:tcPr>
          <w:p>
            <w:pPr>
              <w:spacing w:after="0"/>
              <w:rPr>
                <w:sz w:val="22"/>
                <w:szCs w:val="22"/>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121,968</w:t>
            </w:r>
          </w:p>
        </w:tc>
        <w:tc>
          <w:tcPr>
            <w:tcW w:w="100" w:type="dxa"/>
            <w:vAlign w:val="bottom"/>
          </w:tcPr>
          <w:p>
            <w:pPr>
              <w:spacing w:after="0"/>
              <w:rPr>
                <w:sz w:val="22"/>
                <w:szCs w:val="22"/>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197,588</w:t>
            </w:r>
          </w:p>
        </w:tc>
        <w:tc>
          <w:tcPr>
            <w:tcW w:w="0" w:type="dxa"/>
            <w:vAlign w:val="bottom"/>
          </w:tcPr>
          <w:p>
            <w:pPr>
              <w:spacing w:after="0"/>
              <w:rPr>
                <w:sz w:val="1"/>
                <w:szCs w:val="1"/>
                <w:color w:val="auto"/>
              </w:rPr>
            </w:pPr>
          </w:p>
        </w:tc>
      </w:tr>
      <w:tr>
        <w:trPr>
          <w:trHeight w:val="257"/>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Foley</w:t>
            </w:r>
          </w:p>
        </w:tc>
        <w:tc>
          <w:tcPr>
            <w:tcW w:w="9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6/11/2024</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7/1/2025</w:t>
            </w: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1080"/>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3"/>
                <w:szCs w:val="13"/>
                <w:color w:val="auto"/>
              </w:rPr>
              <w:t>(3)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option awards were granted pursuant to the 2023 Plan. Market value is based on a share price of $1.62 at the close of business on December 26, 2025.</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total shares underlying the option award vested on the one-year anniversary of the grant date.</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total shares underlying the option award vested on July 1, 2025. As a result of Mr. Foley’s separation from the Company, no further portion of the options are exercisable and the unvested portions of the options expired.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Employment Arrangements with Named Executive Officers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Each of SunPower’s named executive officers is or was an at-will employee.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Thurman J. Rodgers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Mr. Rodgers is not currently a party to any employment agreement or other understanding with respect to compensation as our Chief Executive Officer. Mr. Rodgers did not receive separate compensation in his role as Chief Executive Officer during 2024 or 2025.</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Jeanne Nguyen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3, 2024, we entered into an employment agreement with Jeanne Nguyen in connection with her appointment as Chief Accounting Officer. Pursuant to the agreement, Ms. Nguyen is entitled to an annual base salary of $350,000 and is eligible to receive an annual bonus with a target of 50% of her base salary, subject to the achievement of performance objectives and the financial condition of the Company. Her employment is at-will and does not provide for any severance benefits.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Daniel Foley</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 7, 2024, we entered into an executive employment agreement with Mr. Foley, which became effective on July 1, 2024 (the “</w:t>
      </w:r>
      <w:r>
        <w:rPr>
          <w:rFonts w:ascii="Times New Roman" w:cs="Times New Roman" w:eastAsia="Times New Roman" w:hAnsi="Times New Roman"/>
          <w:sz w:val="18"/>
          <w:szCs w:val="18"/>
          <w:b w:val="1"/>
          <w:bCs w:val="1"/>
          <w:i w:val="1"/>
          <w:iCs w:val="1"/>
          <w:color w:val="auto"/>
        </w:rPr>
        <w:t>Foley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Pursuant to the Foley Agreement. Mr. Foley was entitled to a base salary of $275,000 per year, and he was eligible for an annual bonus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50% of his gross salary. Mr. Foley also received an option to purchase 500,000 shares of our common stock, subject to a five-year vesting schedule. The Foley Agreement also provided that if Mr. Foley’s employment was terminated for any reason other than cause (as defined in the Foley Agreement), death or disability, or if he resigned for good reason (as defined in the Foley Agreement), and provided that in either case such termination constituted a separation from service (as defined in the Foley Agreement), then subject to Mr. Foley executing a release agreement in the Company’s favor, and continuing to comply with all of his obligations to the Company and its affiliates, he was entitled to receive the following benefits: (a) payment of Mr. Foley’s earned but unpaid base salary; (b) payment of any unpaid bonus, with respect to the fiscal year immediately preceding the fiscal year in which such termination or such resignation occurs; (c) payment of any vested benefits to which he was entitled to under any applicable plans and programs of the Company; (d) a severance payment equal to six months of Mr. Foley’s then base salary plus a pro rata portion of Mr. Foley bonus with respect to the fiscal year in which such termination or such resignation occurs.</w:t>
      </w:r>
    </w:p>
    <w:p>
      <w:pPr>
        <w:spacing w:after="0" w:line="18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Mr. Foley’s resignation from the Company, the Company and Mr. Foley entered into a settlement and release agreement in August 2025 pursuant to which Mr. Foley received (a) cash severance payments in the total amount of $100,000 and (b) 57,741 fully-vested restricted stock units.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Base salaries are intended to provide a level of compensation sufficient to attract and retain an effective management team, when considered in combination with the other components of the executive compensation program. In general, SunPower seeks to provide a base salary level designed to reflect each executive officer’s scope of responsibility and accountability.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Bonuses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Beginning January 1, 2024, each of our named executive officers (other than Mr. Rodgers) was eligible for an annual bonus of 50% of such officer’s annual gross salary, based on criteria determined by our Board of Directors, including, but not limited to, the satisfaction of minimum performance standards, and the achievement of budgetary and other objectives, set by our Board of Directors in its sole and absolute discretion. None of our named executive officers received a cash bonus during 2024. During 2025, each of Ms. Nguyen and Mr. Foley received a $1,500 cash bonus.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did not pay any compensation to our Directors or issue any equity awards to our Directors during 2024. During 2025, we did not have a formal policy relating to the compensation of our non-employee directors. In fiscal 2025, we granted our directors restricted stock units for their contributions to the operations of the business. Additional restricted stock units were issued to Messrs. Anderson and McCranie in consideration of the additional consulting services and support provided to the Company during 2025. The following table provides the compensation for each member of the Board of Directors for 2025: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Paid in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18"/>
                <w:szCs w:val="18"/>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Cash</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280" w:type="dxa"/>
            <w:vAlign w:val="bottom"/>
          </w:tcPr>
          <w:p>
            <w:pPr>
              <w:spacing w:after="0"/>
              <w:rPr>
                <w:sz w:val="20"/>
                <w:szCs w:val="20"/>
                <w:color w:val="auto"/>
              </w:rPr>
            </w:pPr>
          </w:p>
        </w:tc>
        <w:tc>
          <w:tcPr>
            <w:tcW w:w="1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98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Thurman J. Rodgers</w:t>
            </w:r>
          </w:p>
        </w:tc>
        <w:tc>
          <w:tcPr>
            <w:tcW w:w="1040" w:type="dxa"/>
            <w:vAlign w:val="bottom"/>
            <w:shd w:val="clear" w:color="auto" w:fill="CCEEFF"/>
          </w:tcPr>
          <w:p>
            <w:pPr>
              <w:jc w:val="right"/>
              <w:ind w:right="871"/>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Adam Gishen</w:t>
            </w:r>
          </w:p>
        </w:tc>
        <w:tc>
          <w:tcPr>
            <w:tcW w:w="1040" w:type="dxa"/>
            <w:vAlign w:val="bottom"/>
          </w:tcPr>
          <w:p>
            <w:pPr>
              <w:spacing w:after="0"/>
              <w:rPr>
                <w:sz w:val="21"/>
                <w:szCs w:val="21"/>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17"/>
                <w:szCs w:val="17"/>
                <w:color w:val="auto"/>
              </w:rPr>
              <w:t>167,091</w:t>
            </w:r>
            <w:r>
              <w:rPr>
                <w:rFonts w:ascii="Times New Roman" w:cs="Times New Roman" w:eastAsia="Times New Roman" w:hAnsi="Times New Roman"/>
                <w:sz w:val="28"/>
                <w:szCs w:val="28"/>
                <w:color w:val="auto"/>
                <w:vertAlign w:val="superscript"/>
              </w:rPr>
              <w:t>(1)</w:t>
            </w:r>
          </w:p>
        </w:tc>
        <w:tc>
          <w:tcPr>
            <w:tcW w:w="140" w:type="dxa"/>
            <w:vAlign w:val="bottom"/>
          </w:tcPr>
          <w:p>
            <w:pPr>
              <w:spacing w:after="0"/>
              <w:rPr>
                <w:sz w:val="21"/>
                <w:szCs w:val="21"/>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167,091</w:t>
            </w: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Antonio R. Alvarez</w:t>
            </w:r>
          </w:p>
        </w:tc>
        <w:tc>
          <w:tcPr>
            <w:tcW w:w="10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17"/>
                <w:szCs w:val="17"/>
                <w:color w:val="auto"/>
              </w:rPr>
              <w:t>160,901</w:t>
            </w:r>
            <w:r>
              <w:rPr>
                <w:rFonts w:ascii="Times New Roman" w:cs="Times New Roman" w:eastAsia="Times New Roman" w:hAnsi="Times New Roman"/>
                <w:sz w:val="28"/>
                <w:szCs w:val="28"/>
                <w:color w:val="auto"/>
                <w:vertAlign w:val="superscript"/>
              </w:rPr>
              <w:t>(1)</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160,901</w:t>
            </w: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Chris Lundell</w:t>
            </w:r>
          </w:p>
        </w:tc>
        <w:tc>
          <w:tcPr>
            <w:tcW w:w="1040" w:type="dxa"/>
            <w:vAlign w:val="bottom"/>
          </w:tcPr>
          <w:p>
            <w:pPr>
              <w:spacing w:after="0"/>
              <w:rPr>
                <w:sz w:val="21"/>
                <w:szCs w:val="21"/>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17"/>
                <w:szCs w:val="17"/>
                <w:color w:val="auto"/>
              </w:rPr>
              <w:t>156,776</w:t>
            </w:r>
            <w:r>
              <w:rPr>
                <w:rFonts w:ascii="Times New Roman" w:cs="Times New Roman" w:eastAsia="Times New Roman" w:hAnsi="Times New Roman"/>
                <w:sz w:val="28"/>
                <w:szCs w:val="28"/>
                <w:color w:val="auto"/>
                <w:vertAlign w:val="superscript"/>
              </w:rPr>
              <w:t>(1)</w:t>
            </w:r>
          </w:p>
        </w:tc>
        <w:tc>
          <w:tcPr>
            <w:tcW w:w="140" w:type="dxa"/>
            <w:vAlign w:val="bottom"/>
          </w:tcPr>
          <w:p>
            <w:pPr>
              <w:spacing w:after="0"/>
              <w:rPr>
                <w:sz w:val="21"/>
                <w:szCs w:val="21"/>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156,776</w:t>
            </w: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Devin Whatley</w:t>
            </w:r>
          </w:p>
        </w:tc>
        <w:tc>
          <w:tcPr>
            <w:tcW w:w="10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17"/>
                <w:szCs w:val="17"/>
                <w:color w:val="auto"/>
              </w:rPr>
              <w:t>156,776</w:t>
            </w:r>
            <w:r>
              <w:rPr>
                <w:rFonts w:ascii="Times New Roman" w:cs="Times New Roman" w:eastAsia="Times New Roman" w:hAnsi="Times New Roman"/>
                <w:sz w:val="28"/>
                <w:szCs w:val="28"/>
                <w:color w:val="auto"/>
                <w:vertAlign w:val="superscript"/>
              </w:rPr>
              <w:t>(1)</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156,776</w:t>
            </w: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Ronald Pasek</w:t>
            </w:r>
          </w:p>
        </w:tc>
        <w:tc>
          <w:tcPr>
            <w:tcW w:w="1040" w:type="dxa"/>
            <w:vAlign w:val="bottom"/>
          </w:tcPr>
          <w:p>
            <w:pPr>
              <w:spacing w:after="0"/>
              <w:rPr>
                <w:sz w:val="21"/>
                <w:szCs w:val="21"/>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17"/>
                <w:szCs w:val="17"/>
                <w:color w:val="auto"/>
              </w:rPr>
              <w:t>169,153</w:t>
            </w:r>
            <w:r>
              <w:rPr>
                <w:rFonts w:ascii="Times New Roman" w:cs="Times New Roman" w:eastAsia="Times New Roman" w:hAnsi="Times New Roman"/>
                <w:sz w:val="28"/>
                <w:szCs w:val="28"/>
                <w:color w:val="auto"/>
                <w:vertAlign w:val="superscript"/>
              </w:rPr>
              <w:t>(1)</w:t>
            </w:r>
          </w:p>
        </w:tc>
        <w:tc>
          <w:tcPr>
            <w:tcW w:w="140" w:type="dxa"/>
            <w:vAlign w:val="bottom"/>
          </w:tcPr>
          <w:p>
            <w:pPr>
              <w:spacing w:after="0"/>
              <w:rPr>
                <w:sz w:val="21"/>
                <w:szCs w:val="21"/>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169,153</w:t>
            </w: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Tidjane Thiam</w:t>
            </w:r>
          </w:p>
        </w:tc>
        <w:tc>
          <w:tcPr>
            <w:tcW w:w="10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17"/>
                <w:szCs w:val="17"/>
                <w:color w:val="auto"/>
              </w:rPr>
              <w:t>160,077</w:t>
            </w:r>
            <w:r>
              <w:rPr>
                <w:rFonts w:ascii="Times New Roman" w:cs="Times New Roman" w:eastAsia="Times New Roman" w:hAnsi="Times New Roman"/>
                <w:sz w:val="28"/>
                <w:szCs w:val="28"/>
                <w:color w:val="auto"/>
                <w:vertAlign w:val="superscript"/>
              </w:rPr>
              <w:t>(1)</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160,077</w:t>
            </w: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William J. Anderson</w:t>
            </w:r>
          </w:p>
        </w:tc>
        <w:tc>
          <w:tcPr>
            <w:tcW w:w="1040" w:type="dxa"/>
            <w:vAlign w:val="bottom"/>
          </w:tcPr>
          <w:p>
            <w:pPr>
              <w:spacing w:after="0"/>
              <w:rPr>
                <w:sz w:val="21"/>
                <w:szCs w:val="21"/>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17"/>
                <w:szCs w:val="17"/>
                <w:color w:val="auto"/>
              </w:rPr>
              <w:t>214,536</w:t>
            </w:r>
            <w:r>
              <w:rPr>
                <w:rFonts w:ascii="Times New Roman" w:cs="Times New Roman" w:eastAsia="Times New Roman" w:hAnsi="Times New Roman"/>
                <w:sz w:val="28"/>
                <w:szCs w:val="28"/>
                <w:color w:val="auto"/>
                <w:vertAlign w:val="superscript"/>
              </w:rPr>
              <w:t>(1)</w:t>
            </w:r>
          </w:p>
        </w:tc>
        <w:tc>
          <w:tcPr>
            <w:tcW w:w="140" w:type="dxa"/>
            <w:vAlign w:val="bottom"/>
          </w:tcPr>
          <w:p>
            <w:pPr>
              <w:spacing w:after="0"/>
              <w:rPr>
                <w:sz w:val="21"/>
                <w:szCs w:val="21"/>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214,536</w:t>
            </w: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Lothar Maier</w:t>
            </w:r>
          </w:p>
        </w:tc>
        <w:tc>
          <w:tcPr>
            <w:tcW w:w="10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17"/>
                <w:szCs w:val="17"/>
                <w:color w:val="auto"/>
              </w:rPr>
              <w:t>367,185</w:t>
            </w:r>
            <w:r>
              <w:rPr>
                <w:rFonts w:ascii="Times New Roman" w:cs="Times New Roman" w:eastAsia="Times New Roman" w:hAnsi="Times New Roman"/>
                <w:sz w:val="28"/>
                <w:szCs w:val="28"/>
                <w:color w:val="auto"/>
                <w:vertAlign w:val="superscript"/>
              </w:rPr>
              <w:t>(1)</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367,185</w:t>
            </w: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J. Daniel McCranie</w:t>
            </w:r>
          </w:p>
        </w:tc>
        <w:tc>
          <w:tcPr>
            <w:tcW w:w="1040" w:type="dxa"/>
            <w:vAlign w:val="bottom"/>
          </w:tcPr>
          <w:p>
            <w:pPr>
              <w:spacing w:after="0"/>
              <w:rPr>
                <w:sz w:val="21"/>
                <w:szCs w:val="21"/>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17"/>
                <w:szCs w:val="17"/>
                <w:color w:val="auto"/>
              </w:rPr>
              <w:t>2,217,185</w:t>
            </w:r>
            <w:r>
              <w:rPr>
                <w:rFonts w:ascii="Times New Roman" w:cs="Times New Roman" w:eastAsia="Times New Roman" w:hAnsi="Times New Roman"/>
                <w:sz w:val="28"/>
                <w:szCs w:val="28"/>
                <w:color w:val="auto"/>
                <w:vertAlign w:val="superscript"/>
              </w:rPr>
              <w:t>(2)</w:t>
            </w:r>
          </w:p>
        </w:tc>
        <w:tc>
          <w:tcPr>
            <w:tcW w:w="140" w:type="dxa"/>
            <w:vAlign w:val="bottom"/>
          </w:tcPr>
          <w:p>
            <w:pPr>
              <w:spacing w:after="0"/>
              <w:rPr>
                <w:sz w:val="21"/>
                <w:szCs w:val="21"/>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2,217,185</w:t>
            </w:r>
          </w:p>
        </w:tc>
      </w:tr>
      <w:tr>
        <w:trPr>
          <w:trHeight w:val="25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Jamie Haenggi</w:t>
            </w:r>
          </w:p>
        </w:tc>
        <w:tc>
          <w:tcPr>
            <w:tcW w:w="1040" w:type="dxa"/>
            <w:vAlign w:val="bottom"/>
            <w:shd w:val="clear" w:color="auto" w:fill="CCEEFF"/>
          </w:tcPr>
          <w:p>
            <w:pPr>
              <w:spacing w:after="0"/>
              <w:rPr>
                <w:sz w:val="22"/>
                <w:szCs w:val="22"/>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Bernard Gutmann</w:t>
            </w:r>
          </w:p>
        </w:tc>
        <w:tc>
          <w:tcPr>
            <w:tcW w:w="1040" w:type="dxa"/>
            <w:vAlign w:val="bottom"/>
          </w:tcPr>
          <w:p>
            <w:pPr>
              <w:spacing w:after="0"/>
              <w:rPr>
                <w:sz w:val="22"/>
                <w:szCs w:val="22"/>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shares underling the RSU award were fully vested on the grant date</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243,169 shares under Mr. McCranie’s RSU awards were fully vested on the grant date. Mr. McCranie received a onetime grant of 1,000,000 RSUs in 2025 that vest in equal monthly installments over five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SunPower’s Compensation Committee oversees the compensation policies, plans and programs and reviews and determines compensation to be paid to executive officers, directors and other senior management, as appropriate. The compensation policies followed by SunPower are intended to provide for compensation that is sufficient to attract, motivate and retain executives of SunPower and potential other individuals and to establish an appropriate relationship between executive compensation and the creation of stockholder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SunPower’s named executive officers did not participate in, or earn any benefits under, any nonqualified deferred compensation plan sponsored by SunPower during fiscal 2024 or 2025. The Board of Directors may elect to provide officers and other employees with nonqualified deferred compensation benefits in the future if it determines that doing so is in the Company’s best interests.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SunPower’s named executive officers did not participate in, or otherwise receive any benefits under, any pension or retirement plan sponsored by SunPower during fiscal 2024 or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 Plans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Equity-based compensation has been and will continue to be an important foundation in executive compensation packages as SunPower believes it is important to maintain a strong link between executive incentives and the creation of stockholder value. SunPower believes that performance and equity-based compensation can be an important component of the total executive compensation package for maximizing stockholder value while, at the same time, attracting, motivating and retaining high-quality executives. In July 2023, our Board of Directors adopted the 2023 Equity Incentive Plan, as subsequently amended (the “</w:t>
      </w:r>
      <w:r>
        <w:rPr>
          <w:rFonts w:ascii="Times New Roman" w:cs="Times New Roman" w:eastAsia="Times New Roman" w:hAnsi="Times New Roman"/>
          <w:sz w:val="18"/>
          <w:szCs w:val="18"/>
          <w:b w:val="1"/>
          <w:bCs w:val="1"/>
          <w:i w:val="1"/>
          <w:iCs w:val="1"/>
          <w:color w:val="auto"/>
        </w:rPr>
        <w:t>2023 Plan</w:t>
      </w:r>
      <w:r>
        <w:rPr>
          <w:rFonts w:ascii="Times New Roman" w:cs="Times New Roman" w:eastAsia="Times New Roman" w:hAnsi="Times New Roman"/>
          <w:sz w:val="18"/>
          <w:szCs w:val="18"/>
          <w:color w:val="auto"/>
        </w:rPr>
        <w:t>”) and the Employee Stock Purchase Plan (the “</w:t>
      </w:r>
      <w:r>
        <w:rPr>
          <w:rFonts w:ascii="Times New Roman" w:cs="Times New Roman" w:eastAsia="Times New Roman" w:hAnsi="Times New Roman"/>
          <w:sz w:val="18"/>
          <w:szCs w:val="18"/>
          <w:b w:val="1"/>
          <w:bCs w:val="1"/>
          <w:i w:val="1"/>
          <w:iCs w:val="1"/>
          <w:color w:val="auto"/>
        </w:rPr>
        <w:t>ESPP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2023 Plan and the ESPP became effective immediately upon the Closing of the Business Combination.</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Below is a description of the 2023 Plan, the ESPP, Complete Solaria’s 2022 Stock Plan (the “</w:t>
      </w:r>
      <w:r>
        <w:rPr>
          <w:rFonts w:ascii="Times New Roman" w:cs="Times New Roman" w:eastAsia="Times New Roman" w:hAnsi="Times New Roman"/>
          <w:sz w:val="18"/>
          <w:szCs w:val="18"/>
          <w:b w:val="1"/>
          <w:bCs w:val="1"/>
          <w:i w:val="1"/>
          <w:iCs w:val="1"/>
          <w:color w:val="auto"/>
        </w:rPr>
        <w:t>2022 Plan</w:t>
      </w:r>
      <w:r>
        <w:rPr>
          <w:rFonts w:ascii="Times New Roman" w:cs="Times New Roman" w:eastAsia="Times New Roman" w:hAnsi="Times New Roman"/>
          <w:sz w:val="18"/>
          <w:szCs w:val="18"/>
          <w:color w:val="auto"/>
        </w:rPr>
        <w:t>”), Complete Solaria’s 2011 Stock Plan (the “</w:t>
      </w:r>
      <w:r>
        <w:rPr>
          <w:rFonts w:ascii="Times New Roman" w:cs="Times New Roman" w:eastAsia="Times New Roman" w:hAnsi="Times New Roman"/>
          <w:sz w:val="18"/>
          <w:szCs w:val="18"/>
          <w:b w:val="1"/>
          <w:bCs w:val="1"/>
          <w:i w:val="1"/>
          <w:iCs w:val="1"/>
          <w:color w:val="auto"/>
        </w:rPr>
        <w:t>2011 Plan</w:t>
      </w:r>
      <w:r>
        <w:rPr>
          <w:rFonts w:ascii="Times New Roman" w:cs="Times New Roman" w:eastAsia="Times New Roman" w:hAnsi="Times New Roman"/>
          <w:sz w:val="18"/>
          <w:szCs w:val="18"/>
          <w:color w:val="auto"/>
        </w:rPr>
        <w:t>”), Complete Solaria’s 2016 Stock Plan (the “</w:t>
      </w:r>
      <w:r>
        <w:rPr>
          <w:rFonts w:ascii="Times New Roman" w:cs="Times New Roman" w:eastAsia="Times New Roman" w:hAnsi="Times New Roman"/>
          <w:sz w:val="18"/>
          <w:szCs w:val="18"/>
          <w:b w:val="1"/>
          <w:bCs w:val="1"/>
          <w:i w:val="1"/>
          <w:iCs w:val="1"/>
          <w:color w:val="auto"/>
        </w:rPr>
        <w:t>2016 Plan</w:t>
      </w:r>
      <w:r>
        <w:rPr>
          <w:rFonts w:ascii="Times New Roman" w:cs="Times New Roman" w:eastAsia="Times New Roman" w:hAnsi="Times New Roman"/>
          <w:sz w:val="18"/>
          <w:szCs w:val="18"/>
          <w:color w:val="auto"/>
        </w:rPr>
        <w:t>”) and Complete Solaria’s 2006 Stock Plan (the “</w:t>
      </w:r>
      <w:r>
        <w:rPr>
          <w:rFonts w:ascii="Times New Roman" w:cs="Times New Roman" w:eastAsia="Times New Roman" w:hAnsi="Times New Roman"/>
          <w:sz w:val="18"/>
          <w:szCs w:val="18"/>
          <w:b w:val="1"/>
          <w:bCs w:val="1"/>
          <w:i w:val="1"/>
          <w:iCs w:val="1"/>
          <w:color w:val="auto"/>
        </w:rPr>
        <w:t>2006 Plan</w:t>
      </w:r>
      <w:r>
        <w:rPr>
          <w:rFonts w:ascii="Times New Roman" w:cs="Times New Roman" w:eastAsia="Times New Roman" w:hAnsi="Times New Roman"/>
          <w:sz w:val="18"/>
          <w:szCs w:val="18"/>
          <w:color w:val="auto"/>
        </w:rPr>
        <w:t>”). The 2022 Plan is the successor of the 2021 Stock Plan of Legacy Complete Solaria, which was amended and assumed by Complete Solaria in connection with a merger transaction completed prior to the Business Combination by Complete Solaria (the “</w:t>
      </w:r>
      <w:r>
        <w:rPr>
          <w:rFonts w:ascii="Times New Roman" w:cs="Times New Roman" w:eastAsia="Times New Roman" w:hAnsi="Times New Roman"/>
          <w:sz w:val="18"/>
          <w:szCs w:val="18"/>
          <w:b w:val="1"/>
          <w:bCs w:val="1"/>
          <w:i w:val="1"/>
          <w:iCs w:val="1"/>
          <w:color w:val="auto"/>
        </w:rPr>
        <w:t>Prior Transaction</w:t>
      </w:r>
      <w:r>
        <w:rPr>
          <w:rFonts w:ascii="Times New Roman" w:cs="Times New Roman" w:eastAsia="Times New Roman" w:hAnsi="Times New Roman"/>
          <w:sz w:val="18"/>
          <w:szCs w:val="18"/>
          <w:color w:val="auto"/>
        </w:rPr>
        <w:t>”). The 2011 Plan is the 2011 Stock Plan of Legacy Complete Solaria that was assumed by Complete Solaria in the Prior Transaction. The 2022 Plan, 2016 Plan, 2011 Plan and 2006 Plan are collectively referred to as the “</w:t>
      </w:r>
      <w:r>
        <w:rPr>
          <w:rFonts w:ascii="Times New Roman" w:cs="Times New Roman" w:eastAsia="Times New Roman" w:hAnsi="Times New Roman"/>
          <w:sz w:val="18"/>
          <w:szCs w:val="18"/>
          <w:b w:val="1"/>
          <w:bCs w:val="1"/>
          <w:i w:val="1"/>
          <w:iCs w:val="1"/>
          <w:color w:val="auto"/>
        </w:rPr>
        <w:t>Legacy Plans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2016 Plan and the 2006 Plan are the stock plans of Solaria that were assumed by Complete Solaria (n/k/a SunPower) in the Prior Transaction.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Plan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July 2023, our Board of Directors adopted and our stockholders approved the 2023 Plan. The 2023 Plan became effective immediately upon the closing. At our 2025 annual meeting of stockholders, our stockholders approved the first amendment to the 2023 Plan and at our special meeting of stockholders in March 2026, our stockholders approved the second amendment to the 2023 Plan. As amended, a total of 44,573,109 shares of common stock are reserved for issuance under the 2023 Plan.</w:t>
      </w:r>
    </w:p>
    <w:p>
      <w:pPr>
        <w:spacing w:after="0" w:line="17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Any individual who is an employee of the Company or any of its affiliates, or any person who provides services to the Company 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including consultants and members of the Company’s Board, is eligible to receive awards under the 2023 Plan at the discretion of the plan administrator.</w:t>
      </w:r>
    </w:p>
    <w:p>
      <w:pPr>
        <w:spacing w:after="0" w:line="17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The 2023 Plan provides for the grant of incentive stock options (“</w:t>
      </w:r>
      <w:r>
        <w:rPr>
          <w:rFonts w:ascii="Times New Roman" w:cs="Times New Roman" w:eastAsia="Times New Roman" w:hAnsi="Times New Roman"/>
          <w:sz w:val="18"/>
          <w:szCs w:val="18"/>
          <w:b w:val="1"/>
          <w:bCs w:val="1"/>
          <w:i w:val="1"/>
          <w:iCs w:val="1"/>
          <w:color w:val="auto"/>
        </w:rPr>
        <w:t>ISOs</w:t>
      </w:r>
      <w:r>
        <w:rPr>
          <w:rFonts w:ascii="Times New Roman" w:cs="Times New Roman" w:eastAsia="Times New Roman" w:hAnsi="Times New Roman"/>
          <w:sz w:val="18"/>
          <w:szCs w:val="18"/>
          <w:color w:val="auto"/>
        </w:rPr>
        <w:t>”), within the meaning of Section 422 of the Code to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employees of any parent or subsidiary, and for the grant of nonstatutory stock options (“</w:t>
      </w:r>
      <w:r>
        <w:rPr>
          <w:rFonts w:ascii="Times New Roman" w:cs="Times New Roman" w:eastAsia="Times New Roman" w:hAnsi="Times New Roman"/>
          <w:sz w:val="18"/>
          <w:szCs w:val="18"/>
          <w:b w:val="1"/>
          <w:bCs w:val="1"/>
          <w:i w:val="1"/>
          <w:iCs w:val="1"/>
          <w:color w:val="auto"/>
        </w:rPr>
        <w:t>NSOs</w:t>
      </w:r>
      <w:r>
        <w:rPr>
          <w:rFonts w:ascii="Times New Roman" w:cs="Times New Roman" w:eastAsia="Times New Roman" w:hAnsi="Times New Roman"/>
          <w:sz w:val="18"/>
          <w:szCs w:val="18"/>
          <w:color w:val="auto"/>
        </w:rPr>
        <w:t>”), stock appreciation rights, restricted stock awards, restricted stock unit awards, performance awards and other forms of awards to employees, directors and consultants, including employees and consultants of the Company’s affiliates.</w:t>
      </w:r>
    </w:p>
    <w:p>
      <w:pPr>
        <w:spacing w:after="0" w:line="17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A maximum number of 44,573,109 shares of the Company’s common stock may be issued under the 2023 Plan (which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common stock includes additional shares of common stock available for issuance as a result of the automatic increase thereto as of January 1, 2026 as contemplated by the next sentence). In addition, the number of shares of the common stock reserved for issuance under the 2023 Plan will automatically increase on January 1 of each year, starting on January 1, 2024 and ending on January 1, 2033, in an amount equal to the lesser of (1) 4% of the total number of shares of the Company’s common stock outstanding on December 31 of the preceding year, or (2) a lesser number of shares of common stock determined by SunPower’s Board prior to the date of the increase.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8" w:name="page89"/>
    <w:bookmarkEnd w:id="88"/>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unused shares subject to stock awards granted under the 2023 Plan that expire, lapse or are terminated, exchanged for or settled in cash, surrendered, repurchased, cancelled without having been fully exercised or forfeited, in any case, in a manner that results in the Company acquiring shares covered by the stock award at a price not greater than the price (as adjusted pursuant to the 2023 Plan) paid by the participant for such shares or not issuing any shares covered by the stock award, will, as applicable, become or again be available for stock award grants under the 2023 Plan.</w:t>
      </w:r>
    </w:p>
    <w:p>
      <w:pPr>
        <w:spacing w:after="0" w:line="1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Non-Employee Director Compensation Limit</w:t>
      </w:r>
      <w:r>
        <w:rPr>
          <w:rFonts w:ascii="Times New Roman" w:cs="Times New Roman" w:eastAsia="Times New Roman" w:hAnsi="Times New Roman"/>
          <w:sz w:val="18"/>
          <w:szCs w:val="18"/>
          <w:color w:val="auto"/>
        </w:rPr>
        <w:t>. The aggregate value of all compensation granted or paid to any non-employee director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calendar year, including awards granted and cash fees paid to such non-employee director, will not exceed (1) $1,000,000 in total value or (2) if such non-employee director is first appointed or elected to the Company’s Board during such calendar year, $1,500,000 in total value, in each case, calculating the value of any equity awards based on the grant date fair value of such equity awards for financial reporting purposes.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SunPower’s Board, or a duly authorized committee thereof, will administer the 2023 Plan and is referred to as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herein. The Company’s Board may also delegate to one or more of the Company’s officers the authority to (1) designate employees (other than officers) to receive specified stock awards and (2) determine the number of shares subject to such stock awards. Under the 2023 Plan, the Company’s Board has the authority to determine award recipients, grant dates, the numbers and types of stock awards to be granted, the applicable fair market value, and the provisions of each stock award, including the period of exercisability and the vesting schedule applicable to a stock award.</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ISOs and NSOs are granted under stock option agreements adopted by the plan administrator. The plan administrator determines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price for stock options, within the terms and conditions of the 2023 Plan, provided that the exercise price of a stock option generally cannot be less than 100% of the fair market value of a share of the Company’s common stock on the date of grant. Options granted under the 2023 Plan vest at the rate specified in the stock option agreement as determined by the plan administrator.</w:t>
      </w:r>
    </w:p>
    <w:p>
      <w:pPr>
        <w:spacing w:after="0" w:line="1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plan administrator determines the term of stock options granted under the 2023 Plan, up to a maximum of 10 years. Unless the terms of an optionholder’s stock option agreement provide otherwise or as otherwise provided by the plan administrator, if an optionholder’s service relationship with the Company or any of the Company’s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Unless the terms of an optionholder’s stock option agreement provide otherwise or as otherwise provided by the plan administrator, if an optionholder’s service relationship with the Company or any of the Company’s affiliates ceases due to death or disability, or an optionholder dies within a certain period following cessation of service, the optionholder or a beneficiary may generally exercise any vested options for a period of 18 months following the date of death, or 12 months following the date of disability. In the event of a termination for cause, options generally terminate upon the termination date. In no event may an option be exercised beyond the expiration of its term.</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Acceptable consideration for the purchase of the Company’s common stock issued upon the exercise of a stock option will be determined by the plan administrator and may include (1) cash, check, bank draft or money order, (2) a broker-assisted cashless exercise, (3) the tender of shares of the Company’s common stock previously owned by the optionholder, (4) a net exercise of the option if it is an NSO or (5) other legal consideration approved by the plan administrator.</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the plan administrator provides otherwise, options and stock appreciation rights generally are not transferable except by will or the laws of descent and distribution. Subject to approval of the plan administrator or a duly authorized officer, an option may be transferred pursuant to a domestic relations order.</w:t>
      </w:r>
    </w:p>
    <w:p>
      <w:pPr>
        <w:spacing w:after="0" w:line="17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Tax Limitations on ISOs</w:t>
      </w:r>
      <w:r>
        <w:rPr>
          <w:rFonts w:ascii="Times New Roman" w:cs="Times New Roman" w:eastAsia="Times New Roman" w:hAnsi="Times New Roman"/>
          <w:sz w:val="18"/>
          <w:szCs w:val="18"/>
          <w:color w:val="auto"/>
        </w:rPr>
        <w:t>. The aggregate fair market value, determined at the time of grant, of the Company’s common stock with respect to ISOs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exercisable for the first time by an award holder during any calendar year under all of the Company’s stock plans may not exceed $100,000. Options or portions thereof that exceed such limit will generally be treated as NSOs. No ISO may be granted to any person who, at the time of the grant, owns or is deemed to own stock possessing more than 10% of the Company’s total combined voting power or that of any of the Company’s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9" w:name="page90"/>
    <w:bookmarkEnd w:id="89"/>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Restricted stock unit awards are granted under restricted stock unit award agreements adopted by the plan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 awards will generally be granted in consideration for a participant’s services, but may be granted in consideration for any form of legal consideration that may be acceptable to the plan administrator and permissible under applicable law. A restricted stock unit award may be settled by cash, delivery of shares of the Company’s common stock, a combination of cash and shares of the Company’s Common Stock as determined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or by the plan administrator, restricted stock unit awards that have not vested will be forfeited once the participant’s continuous service ends for any reason.</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Restricted stock awards are granted under restricted stock award agreements adopted by the plan administrator. A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award may be awarded in consideration for cash, check, bank draft or money order, services to us, or any other form of legal consideration that may be acceptable to the plan administrator and permissible under applicable law. The plan administrator determines the terms and conditions of restricted stock awards, including vesting and forfeiture terms. If a participant’s service relationship with the Company ends for any reason, the Company may receive any or all of the shares of the Company’s Common Stock held by the participant that have not vested as of the date the participant terminates service with the Company through a forfeiture condition or a repurchase right.</w:t>
      </w:r>
    </w:p>
    <w:p>
      <w:pPr>
        <w:spacing w:after="0" w:line="1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Stock appreciation rights are granted under stock appreciation rights agreements adopted by the plan administrator.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administrator determines the strike price for a stock appreciation right, which generally cannot be less than 100% of the fair market value of the Company’s Common Stock on the date of grant. A stock appreciation right granted under the 2023 Plan vests at the rate specified in the stock appreciation rights agreement as determined by the plan administrator. Stock appreciation rights may be settled in cash or shares of the Company’s Common Stock or in any other form of payment, as determined by the plan administrator and specified in the stock appreciation rights agreement.</w:t>
      </w:r>
    </w:p>
    <w:p>
      <w:pPr>
        <w:spacing w:after="0" w:line="18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plan administrator determines the term of stock appreciation rights granted under the 2023 Plan, up to a maximum of 10 years. Unless the terms of a participant’s stock appreciation rights agreement provide otherwise or as otherwise provided by the plan administrator, if a participant’s service relationship with the Company or any of its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Unless the terms of a participant’s stock appreciation rights agreement provide otherwise or as otherwise provided by the plan administrator, if a participant’s service relationship with the Company or any of its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The 2023 Plan permits the grant of performance awards that may be settled in stock, cash or other property. Performance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the Company’s common stock.</w:t>
      </w:r>
    </w:p>
    <w:p>
      <w:pPr>
        <w:spacing w:after="0" w:line="18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Other Stock Awards</w:t>
      </w:r>
      <w:r>
        <w:rPr>
          <w:rFonts w:ascii="Times New Roman" w:cs="Times New Roman" w:eastAsia="Times New Roman" w:hAnsi="Times New Roman"/>
          <w:sz w:val="18"/>
          <w:szCs w:val="18"/>
          <w:color w:val="auto"/>
        </w:rPr>
        <w:t>. The plan administrator may grant other awards based in whole or in part by reference to the Company’s common stock.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will set the number of shares under the stock award (or cash equivalent) and all other terms and conditions of such awards.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0" w:name="page91"/>
    <w:bookmarkEnd w:id="90"/>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Changes to Capital Structure</w:t>
      </w:r>
      <w:r>
        <w:rPr>
          <w:rFonts w:ascii="Times New Roman" w:cs="Times New Roman" w:eastAsia="Times New Roman" w:hAnsi="Times New Roman"/>
          <w:sz w:val="18"/>
          <w:szCs w:val="18"/>
          <w:color w:val="auto"/>
        </w:rPr>
        <w:t>. In the event there is a specified type of change in the capital structure of the Company, such as a stock split, reverse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split, or recapitalization, appropriate adjustments will be made to (1) the class and maximum number of shares subject to the 2023 Plan, (2) the class(es) and maximum number of shares that may be issued pursuant to the exercise of incentive stock options, and (3) the class and number of shares and exercise price, strike price, or purchase price, if applicable, of all outstanding stock awards.</w:t>
      </w:r>
    </w:p>
    <w:p>
      <w:pPr>
        <w:spacing w:after="0" w:line="18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Corporate Transactions</w:t>
      </w:r>
      <w:r>
        <w:rPr>
          <w:rFonts w:ascii="Times New Roman" w:cs="Times New Roman" w:eastAsia="Times New Roman" w:hAnsi="Times New Roman"/>
          <w:sz w:val="18"/>
          <w:szCs w:val="18"/>
          <w:color w:val="auto"/>
        </w:rPr>
        <w:t>. The following applies to stock awards under the 2023 Plan in the event of a corporate transaction (as defined in the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unless otherwise provided in a participant’s stock award agreement or other written agreement with the Company or one of its affiliates or unless otherwise expressly provided by the plan administrator at the time of grant.</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event of a corporate transaction, any stock awards outstanding under the 2023 Plan may be assumed, or continued by any surviving or acquiring corporation (or its parent company), or new awards may be issued by such surviving or acquiring corporation (or its parent company) in substitution of such awards, and any reacquisition or repurchase rights held by the Company with respect to the stock award may be assigned to the Company’s successor (or its parent company). If the surviving or acquiring corporation (or its parent company) does not assume, continue or substitute such stock awards, then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(or, in the case of performance awards with multiple vesting levels depending on the level of performance, vesting will accelerate at 100% of the target level)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the Company with respect to such stock awards will lapse (contingent upon the effectiveness of the corporate transaction). Any such stock awards that are held by persons other than current participants will terminate if not exercised (if applicable) prior to the effective time of the corporate transaction, except that any reacquisition or repurchase rights held by the Company with respect to such stock awards will not terminate and may continue to be exercised notwithstanding the corporate transaction.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(i) the per share amount payable to holders of the Company’s common stock in connection with the corporate transaction, over (ii) if applicable, any per share exercise price payable by such holder.</w:t>
      </w:r>
    </w:p>
    <w:p>
      <w:pPr>
        <w:spacing w:after="0" w:line="1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Plan Amendment or Termination</w:t>
      </w:r>
      <w:r>
        <w:rPr>
          <w:rFonts w:ascii="Times New Roman" w:cs="Times New Roman" w:eastAsia="Times New Roman" w:hAnsi="Times New Roman"/>
          <w:sz w:val="18"/>
          <w:szCs w:val="18"/>
          <w:color w:val="auto"/>
        </w:rPr>
        <w:t>. The Company’s Board has the authority to amend, suspend, or terminate the 2023 Plan at any time, provided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action does not materially impair the existing rights of any participant without such participant’s written consent. Certain material amendments also require approval of the Company’s stockholders. No ISOs may be granted after the tenth anniversary of the date the Board adopts the 2023 Plan. No stock awards may be granted under the 2023 Plan while it is suspended or after it is terminated.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Complete Solaria 2023 Employee Stock Purchase Plan</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In July 2023, our Board of Directors adopted and our stockholders approved the 2023 Employee Stock Purchase Plan (the “</w:t>
      </w:r>
      <w:r>
        <w:rPr>
          <w:rFonts w:ascii="Times New Roman" w:cs="Times New Roman" w:eastAsia="Times New Roman" w:hAnsi="Times New Roman"/>
          <w:sz w:val="18"/>
          <w:szCs w:val="18"/>
          <w:b w:val="1"/>
          <w:bCs w:val="1"/>
          <w:i w:val="1"/>
          <w:iCs w:val="1"/>
          <w:color w:val="auto"/>
        </w:rPr>
        <w:t>ESPP</w:t>
      </w:r>
      <w:r>
        <w:rPr>
          <w:rFonts w:ascii="Times New Roman" w:cs="Times New Roman" w:eastAsia="Times New Roman" w:hAnsi="Times New Roman"/>
          <w:sz w:val="18"/>
          <w:szCs w:val="18"/>
          <w:color w:val="auto"/>
        </w:rPr>
        <w:t>”). The ESPP became effective immediately upon the Closing of the Business Combination.</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Board of Directors, or a duly authorized committee thereof, administers the ESPP.</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Limitations. </w:t>
      </w:r>
      <w:r>
        <w:rPr>
          <w:rFonts w:ascii="Times New Roman" w:cs="Times New Roman" w:eastAsia="Times New Roman" w:hAnsi="Times New Roman"/>
          <w:sz w:val="18"/>
          <w:szCs w:val="18"/>
          <w:color w:val="auto"/>
        </w:rPr>
        <w:t>Our employees and the employees of any of our designated affiliates, as designated by the Board of Directors, will be eligible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participate in the ESPP, provided they may have to satisfy one or more of the following service requirements before participating in the ESPP, as determined by the administrator: (1) customary employment with the Company or one of its affiliates for more than 20 hours per week and five or more months per calendar year or (2) continuous employment with the Company or one of its affiliates for a minimum period of time, not to exceed two years, prior to the first date of an offering. In addition, the Board of Directors may also exclude from participation in the ESPP or any offering, employees who are “highly compensated employees” (within the meaning of Section 423(b)(4)(D) of the Code) or a subset of such highly compensated employees. An employee may not be granted rights to purchase stock under the ESPP (a) if such employee immediately after the grant would own stock possessing 5% or more of the total combined voting power or value of all classes of the Company’s common stock or (b) to the extent that such rights would accrue at a rate that exceeds $25,000 worth of the Company’s common stock for each calendar year that the rights remain outstanding.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1" w:name="page92"/>
    <w:bookmarkEnd w:id="91"/>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ESPP is intended to qualify as an employee stock purchase plan under Section 423 of the Code. The administrator may specify offerings with a duration of not more than 27 months and may specify one or more shorter purchase periods within each offering. Each offering will have one or more purchase dates on which shares of the Company’s common stock will be purchased for the employees who are participating in the offering. The administrator, in its discretion, will determine the terms of offerings under the ESPP. The administrator has the discretion to structure an offering so that if the fair market value of a share of the Company’s common stock on any purchase date during the offering period is less than or equal to the fair market value of a share of the Company’s common stock on the first day of the offering period, then that offering will terminate immediately, and the participants in such terminated offering will be automatically enrolled in a new offering that begins immediately after such purchase date.</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participant may not transfer purchase rights under the ESPP other than by will, the laws of descent and distribution, or as otherwise provided under the ESPP.</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Payroll Deductions. </w:t>
      </w:r>
      <w:r>
        <w:rPr>
          <w:rFonts w:ascii="Times New Roman" w:cs="Times New Roman" w:eastAsia="Times New Roman" w:hAnsi="Times New Roman"/>
          <w:sz w:val="18"/>
          <w:szCs w:val="18"/>
          <w:color w:val="auto"/>
        </w:rPr>
        <w:t>The ESPP permits participants to purchase shares of the Company’s common stock through payroll deductions. Unless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the administrator, the purchase price of the shares will be 85% of the lower of the fair market value of the Company’s common stock on the first day of an offering or on the date of purchase. Participants may end their participation at any time during an offering and will be paid their accrued contributions that have not yet been used to purchase shares, without interest. Participation ends automatically upon termination of employment with the Company and its related corporations.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Withdrawal. </w:t>
      </w:r>
      <w:r>
        <w:rPr>
          <w:rFonts w:ascii="Times New Roman" w:cs="Times New Roman" w:eastAsia="Times New Roman" w:hAnsi="Times New Roman"/>
          <w:sz w:val="18"/>
          <w:szCs w:val="18"/>
          <w:color w:val="auto"/>
        </w:rPr>
        <w:t>Participants may withdraw from an offering by delivering a withdrawal form to the Company and terminating their contributions.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withdrawal may be elected at any time prior to the end of an offering, except as otherwise provided by the plan Administrator. Upon such withdrawal, the Company will distribute to the employee his or her accumulated but unused contributions without interest, and such employee’s right to participate in that offering will terminate. However, an employee’s withdrawal from an offering does not affect such employee’s eligibility to participate in any other offerings under the ESPP.</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Termination of Employment. </w:t>
      </w:r>
      <w:r>
        <w:rPr>
          <w:rFonts w:ascii="Times New Roman" w:cs="Times New Roman" w:eastAsia="Times New Roman" w:hAnsi="Times New Roman"/>
          <w:sz w:val="18"/>
          <w:szCs w:val="18"/>
          <w:color w:val="auto"/>
        </w:rPr>
        <w:t>A participant’s rights under any offering under the ESPP will terminate immediately if the participant either (i) is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longer employed by the Company or any of its parent or subsidiary companies (subject to any post-employment participation period required by law) or (ii) is otherwise no longer eligible to participate. In such event, the Company will distribute to the participant his or her accumulated but unused contributions, without interest.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In the event of certain specified significant corporate transactions, such as a merger or change in control, a successor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may assume, continue, or substitute each outstanding purchase right. If the successor corporation does not assume, continue, or substitute for the outstanding purchase rights, the offering in progress will be shortened and the participants’ accumulated contributions will be used to purchase shares of the Company’s common stock within ten business days (or such other period specified by the plan administrator) prior to the corporate transaction, and the participants’ purchase rights will terminate immediately thereafter.</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w:t>
      </w:r>
      <w:r>
        <w:rPr>
          <w:rFonts w:ascii="Times New Roman" w:cs="Times New Roman" w:eastAsia="Times New Roman" w:hAnsi="Times New Roman"/>
          <w:sz w:val="18"/>
          <w:szCs w:val="18"/>
          <w:color w:val="auto"/>
        </w:rPr>
        <w:t>The Board of Directors has the authority to amend, suspend, or terminate the ESPP, at any time and for any reason,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certain types of amendments will require the approval of the Company’s stockholders. Any benefits, privileges, entitlements and obligations under any outstanding purchase rights granted before an amendment, suspension or termination of the ESPP will not be materially impaired by any such amendment, suspension or termination except (i) with the consent of the person to whom such purchase rights were granted, (ii) as necessary to facilitate compliance with any laws, listing requirements, or governmental regulations, or (iii) as necessary to obtain or maintain favorable tax, listing, or regulatory treatment. The ESPP will remain in effect until terminated by the Board of Directors in accordance with the terms of the ESPP.</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i w:val="1"/>
          <w:iCs w:val="1"/>
          <w:color w:val="auto"/>
        </w:rPr>
        <w:t>2022 Plan</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Background; Termination and No Further Grants Under 2022 Stock Plan. </w:t>
      </w:r>
      <w:r>
        <w:rPr>
          <w:rFonts w:ascii="Times New Roman" w:cs="Times New Roman" w:eastAsia="Times New Roman" w:hAnsi="Times New Roman"/>
          <w:sz w:val="18"/>
          <w:szCs w:val="18"/>
          <w:color w:val="auto"/>
        </w:rPr>
        <w:t>Complete Solaria’s Board of Directors adopted, and Complete Solaria’s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approved, the 2022 Plan in October 2022 in connection with the Prior Transaction. The 2022 Plan amended and restated Legacy Complete Solaria’s 2021 Stock Plan.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2022 Plan terminated when the 2023 Plan became effective upon the consummation of the Business Combination. However, any outstanding awards granted under the 2022 Plan remain outstanding, subject to the terms of Complete Solaria’s 2022 Plan and award agreements, until such outstanding options are exercised or until any awards terminate or expire by their terms.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28, 2025, there were outstanding awards relating to 305,749 shares of the Company’s common stock under the 2022 Plan and the other Legacy Plans, collectively.</w:t>
      </w:r>
    </w:p>
    <w:p>
      <w:pPr>
        <w:spacing w:after="0" w:line="15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Stock Awards. </w:t>
      </w:r>
      <w:r>
        <w:rPr>
          <w:rFonts w:ascii="Times New Roman" w:cs="Times New Roman" w:eastAsia="Times New Roman" w:hAnsi="Times New Roman"/>
          <w:sz w:val="18"/>
          <w:szCs w:val="18"/>
          <w:color w:val="auto"/>
        </w:rPr>
        <w:t>The 2022 Plan provides for the grant of incentive stock options (“</w:t>
      </w:r>
      <w:r>
        <w:rPr>
          <w:rFonts w:ascii="Times New Roman" w:cs="Times New Roman" w:eastAsia="Times New Roman" w:hAnsi="Times New Roman"/>
          <w:sz w:val="18"/>
          <w:szCs w:val="18"/>
          <w:b w:val="1"/>
          <w:bCs w:val="1"/>
          <w:i w:val="1"/>
          <w:iCs w:val="1"/>
          <w:color w:val="auto"/>
        </w:rPr>
        <w:t>ISOs</w:t>
      </w:r>
      <w:r>
        <w:rPr>
          <w:rFonts w:ascii="Times New Roman" w:cs="Times New Roman" w:eastAsia="Times New Roman" w:hAnsi="Times New Roman"/>
          <w:sz w:val="18"/>
          <w:szCs w:val="18"/>
          <w:color w:val="auto"/>
        </w:rPr>
        <w:t>”) and nonstatutory stock options to purchase shares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common stock and restricted stock awards (collectively, “</w:t>
      </w:r>
      <w:r>
        <w:rPr>
          <w:rFonts w:ascii="Times New Roman" w:cs="Times New Roman" w:eastAsia="Times New Roman" w:hAnsi="Times New Roman"/>
          <w:sz w:val="18"/>
          <w:szCs w:val="18"/>
          <w:b w:val="1"/>
          <w:bCs w:val="1"/>
          <w:i w:val="1"/>
          <w:iCs w:val="1"/>
          <w:color w:val="auto"/>
        </w:rPr>
        <w:t>stock awards</w:t>
      </w:r>
      <w:r>
        <w:rPr>
          <w:rFonts w:ascii="Times New Roman" w:cs="Times New Roman" w:eastAsia="Times New Roman" w:hAnsi="Times New Roman"/>
          <w:sz w:val="18"/>
          <w:szCs w:val="18"/>
          <w:color w:val="auto"/>
        </w:rPr>
        <w:t>”). ISOs may be granted only to the Company’s employees and the employees of any parent corporation or subsidiary corporation. All other awards may be granted to the Company’s employees, non-employee directors and consultants and the employees and consultants of the Company’s affiliates.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a stock award granted under the 2022 Plan expires or otherwise terminates without being exercised in full, or is settled in cash, the shares of the Company’s common stock not acquired pursuant to the stock award again will become available for subsequent issuance under the 2022 Plan (in the event that the 2023 Plan does not become effective as described in the preceding paragraph). In addition, the following types of shares of the Company’s common stock under the 2022 Plan may become available for the grant of new stock awards under the 2022 Plan: (1) shares that are forfeited to or repurchased by the Company prior to becoming fully vested; (2) shares retained to satisfy income or employment withholding taxes; (3) shares retained to pay the exercise or purchase price of a stock award; or (4) shares surrendered pursuant to an option exchange program.</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Board of Directors, or a duly authorized committee thereof, has the authority to administer the 2022 Plan. 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also delegate to one or more officers the authority to (1) designate employees (other than other officers or directors) to be recipients of certain stock awards, and (2) grant stock awards to such individuals within parameters specified by the Board of Directors. Subject to the terms of the 2022 Plan, the plan administrator determines the award recipients, dates of grant, the numbers and types of stock awards to be granted and the applicable fair market value and the provisions of the stock awards, including the period of their exercisability, the vesting schedule applicable to a stock award and any repurchase rights that may apply. The plan administrator has the authority to modify outstanding awards, including reducing the exercise, purchase or strike price of any outstanding stock award, canceling any outstanding stock award in exchange for new stock awards, cash or other consideration or taking any other action that is treated as a repricing under generally accepted accounting principles, with the consent of any adversely affected participant.</w:t>
      </w:r>
    </w:p>
    <w:p>
      <w:pPr>
        <w:spacing w:after="0" w:line="18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ISOs and NSOs are granted pursuant to stock option agreements adopted by the plan administrator. The plan administrator determines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exercise price for a stock option, provided that the exercise price of a stock option generally cannot be less than 100% of the fair market value of the Company’s common stock on the date of grant. Options granted under the 2022 Plan vest at the rate specified by the plan administrator.</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plan administrator determines the term of stock options granted under the 2022 Plan, up to a maximum of ten years. Unless the terms of an optionholder’s stock option agreement provide otherwise, if an optionholder’s service relationship with us, or any of the Company’s affiliates, ceases for any reason other than disability, death or cause, the optionholder may generally exercise any vested options for a period of three months following the cessation of service. The option term may be extended in the event that the exercise of the option following such a termination of service is prohibited by applicable securities laws. If an optionholder’s service relationship with the Company or any of its affiliates ceases due to disability or death, or an optionholder dies within 3 months following cessation of service, the optionholder or a beneficiary may generally exercise any vested options for a period of 12 months following such disability or death. In the event of a termination for cause, options generally terminate immediately upon the termination of the individual for cause. In no event may an option be exercised beyond the expiration of its term.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3" w:name="page94"/>
    <w:bookmarkEnd w:id="93"/>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Acceptable consideration for the purchase of the Company’s common stock issued upon the exercise of a stock option will be determined by the plan administrator and may include: (1) cash; (2) check; (3) to the extent permitted under applicable laws, a promissory note; (4) cancellation of indebtedness;</w:t>
      </w:r>
    </w:p>
    <w:p>
      <w:pPr>
        <w:ind w:firstLine="8"/>
        <w:spacing w:after="0" w:line="260" w:lineRule="auto"/>
        <w:tabs>
          <w:tab w:leader="none" w:pos="25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previously owned Company shares; (6) a cashless exercise; (7) such other consideration and method of payment permitted under applicable laws; or (8) any combination of the foregoing methods of payment.</w:t>
      </w:r>
    </w:p>
    <w:p>
      <w:pPr>
        <w:spacing w:after="0" w:line="17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Tax Limitations on Incentive Stock Options. </w:t>
      </w:r>
      <w:r>
        <w:rPr>
          <w:rFonts w:ascii="Times New Roman" w:cs="Times New Roman" w:eastAsia="Times New Roman" w:hAnsi="Times New Roman"/>
          <w:sz w:val="18"/>
          <w:szCs w:val="18"/>
          <w:color w:val="auto"/>
        </w:rPr>
        <w:t>The aggregate fair market value, determined at the time of grant, of the Company’s common stock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ISOs that are exercisable for the first time by an optionholder during any calendar year under all the Company’s stock plans may not exceed $100,000. Options or portions thereof that exceed such limit will generally be treated as NSOs. No ISO may be granted to any person who, at the time of the grant, owns or is deemed to own stock possessing more than 10% of the total combined voting power of the Company or that of any of its affiliates unless (1) the option exercise price is at least 110% of the fair market value of the stock subject to the option on the date of grant and (2) the term of the ISO does not exceed five years from the date of grant.</w:t>
      </w:r>
    </w:p>
    <w:p>
      <w:pPr>
        <w:spacing w:after="0" w:line="182"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Incentive Stock Option Limit. </w:t>
      </w:r>
      <w:r>
        <w:rPr>
          <w:rFonts w:ascii="Times New Roman" w:cs="Times New Roman" w:eastAsia="Times New Roman" w:hAnsi="Times New Roman"/>
          <w:sz w:val="18"/>
          <w:szCs w:val="18"/>
          <w:color w:val="auto"/>
        </w:rPr>
        <w:t>The maximum number of shares of the Company’s common stock that may be issued upon the exercise of ISOs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2022 Plan is 6,677,960 shares plus, to the extent permitted by applicable law, any shares that again become available for issuance under the 2022 Plan.</w:t>
      </w:r>
    </w:p>
    <w:p>
      <w:pPr>
        <w:spacing w:after="0" w:line="15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Awards. </w:t>
      </w:r>
      <w:r>
        <w:rPr>
          <w:rFonts w:ascii="Times New Roman" w:cs="Times New Roman" w:eastAsia="Times New Roman" w:hAnsi="Times New Roman"/>
          <w:sz w:val="18"/>
          <w:szCs w:val="18"/>
          <w:color w:val="auto"/>
        </w:rPr>
        <w:t>Restricted stock awards are granted pursuant to restricted stock award agreements adopted by the plan administrator.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permissible consideration for restricted stock awards is the same as apply to stock options. Common stock acquired under a restricted stock award may, but need not, be subject to a share repurchase option in the Company’s favor in accordance with a vesting schedule to be determined by the plan administrator. A restricted stock award may be transferred only upon such terms and conditions as set by the plan administrator. Except as otherwise provided in the applicable award agreement, restricted stock awards that have not vested may be forfeited or repurchased by the Company upon the participant’s cessation of continuous service for any reason.</w:t>
      </w:r>
    </w:p>
    <w:p>
      <w:pPr>
        <w:spacing w:after="0" w:line="1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Changes to Capital Structure. </w:t>
      </w:r>
      <w:r>
        <w:rPr>
          <w:rFonts w:ascii="Times New Roman" w:cs="Times New Roman" w:eastAsia="Times New Roman" w:hAnsi="Times New Roman"/>
          <w:sz w:val="18"/>
          <w:szCs w:val="18"/>
          <w:color w:val="auto"/>
        </w:rPr>
        <w:t>In the event that there is a specified type of change in the Company’s capital structure, including without limitation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split or recapitalization, extraordinary divided payable in a form other than shares in an amount that has a material effect on the fair market value of the Company’s common stock, or any increase or decrease in the number of issued shares effected without receipt of consideration by the Company, appropriate adjustments will be made to (1) the class and maximum number of shares reserved for issuance under the 2022 Plan, and (2) the class and number of shares and price per share of stock (including any repurchase price per share) subject to outstanding stock awards.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The 2022 Plan provides that in the event of certain specified significant corporate transactions, unless otherwise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award agreement or other written agreement between the Company and the award holder, each outstanding award (vested or unvested) will be treated as the plan administrator determines, including (without limitation) taking one or more of the following actions with respect to each stock award, contingent upon the closing or completion of the transaction: (1) arranging for the assumption, continuation or substitution of the stock award by a successor corporation, (2) arranging for the assignment of any reacquisition or repurchase rights held by the Company in respect of the Company’s common stock issued pursuant to the stock award to a successor corporation, or (3) canceling the stock award in exchange for a cash payment, or no payment, as determined by the plan administrator (including a payment equal to the excess, if any, of the fair market value of the shares as of the closing date of such corporate transaction over any exercise or purchase price payable by the holder (which payment may be delayed to the same extent that payment of consideration to the holders of the Company’s common stock in connection with the transaction is delayed as a result of any escrow, holdback, earnout or similar contingencies). The plan administrator is not obligated to treat all stock awards or portions thereof in the same manner, and the plan administrator may take different actions with respect to the vested and unvested portions of a stock award.</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2022 Plan, a significant corporate transaction is generally the consummation of (1) a transfer of all or substantially all of the Company’s assets, (2) the consummation of a transaction, or series of related transactions, in which any person becomes the beneficial owners of more than 50% of the Company’s then-outstanding capital stock, or (3) a merger, consolidation or other capital reorganization or business combination transaction of the Company with our into another corporation, entity or person.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4" w:name="page95"/>
    <w:bookmarkEnd w:id="94"/>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A participant generally may not transfer stock awards under the 2022 Plan other than by will, the laws of descent and distribution or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provided under the 2022 Plan.</w:t>
      </w:r>
    </w:p>
    <w:p>
      <w:pPr>
        <w:spacing w:after="0" w:line="15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w:t>
      </w:r>
      <w:r>
        <w:rPr>
          <w:rFonts w:ascii="Times New Roman" w:cs="Times New Roman" w:eastAsia="Times New Roman" w:hAnsi="Times New Roman"/>
          <w:sz w:val="18"/>
          <w:szCs w:val="18"/>
          <w:color w:val="auto"/>
        </w:rPr>
        <w:t>The Board of Directors has the authority to amend, suspend or terminate the 2022 Plan, provided that, with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exceptions, such action does not impair the existing rights of any participant without such participant’s written consent. Certain material amendments also require the approval of our stockholders. Unless terminated sooner by the Board of Directors, the 2022 Plan will automatically terminate in October 2032. No stock awards may be granted under the 2022 Plan while it is suspended or terminated.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2011 Plan</w:t>
      </w:r>
    </w:p>
    <w:p>
      <w:pPr>
        <w:spacing w:after="0" w:line="227"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Background; Termination and No Further Grants under 2011 Stock Plan. </w:t>
      </w:r>
      <w:r>
        <w:rPr>
          <w:rFonts w:ascii="Times New Roman" w:cs="Times New Roman" w:eastAsia="Times New Roman" w:hAnsi="Times New Roman"/>
          <w:sz w:val="18"/>
          <w:szCs w:val="18"/>
          <w:color w:val="auto"/>
        </w:rPr>
        <w:t>Legacy Complete Solaria’s Board of Directors adopted the 2011 Plan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2011 and was amended from to time by Legacy Complete Solaria’s Board of Directors and its stockholders.</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2011 Plan was terminated in November 2021 in connection with Complete Solaria’s adoption of the 2022 Plan, and no new awards may be granted under it. The 2011 Plan was assumed by Complete Solaria in connection with the Prior Transaction. Outstanding awards granted under the 2011 Plan remain outstanding, subject to the terms of the 2011 Plan and award agreements, until such outstanding options are exercised or terminate or expire by their terms.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28, 2025, there were outstanding awards relating to 305,749 shares of our common stock under the 2011 Plan and the other Legacy Plans, collectively.</w:t>
      </w:r>
    </w:p>
    <w:p>
      <w:pPr>
        <w:spacing w:after="0" w:line="160"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The Board of Directors or a duly authorized committee of the Board of Directors administers the 2011 Plan and the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under it.</w:t>
      </w:r>
    </w:p>
    <w:p>
      <w:pPr>
        <w:spacing w:after="0" w:line="15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Capitalization Adjustments. </w:t>
      </w:r>
      <w:r>
        <w:rPr>
          <w:rFonts w:ascii="Times New Roman" w:cs="Times New Roman" w:eastAsia="Times New Roman" w:hAnsi="Times New Roman"/>
          <w:sz w:val="18"/>
          <w:szCs w:val="18"/>
          <w:color w:val="auto"/>
        </w:rPr>
        <w:t>In the event that any change is made in, or other events occur with respect to, the Company’s common stock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2011 Plan or any stock award, such as certain mergers, consolidations, reorganizations, recapitalizations, dividends, stock splits, or other similar transactions, appropriate adjustments will be made to the classes, number of shares subject to, and price per share and repurchase price, if applicable, of any outstanding stock awards.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In the event of a sale of all or substantially all of our assets or our merger, consolidation or other capital reorganization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combination transaction with or into another corporation, entity or person, our 2011 Plan provides that any surviving or acquiring corporation (or parent thereof) may assume or substitute such outstanding awards and any reacquisition or repurchase rights may be assigned to such surviving or acquiring corporation (or parent thereof), or such awards may be terminated in exchange for a payment of cash, securities and/or other property equal to the excess of the fair market value of the portion of the stock subject to such awards vested and exercisable as of immediately prior to the consummation of such corporate transaction. If the surviving or acquiring corporation (or parent thereof) does not assume or substitute outstanding awards in the corporate transaction, or exchange such awards for a payment, then each such outstanding award shall terminate upon consummation of the corporate transaction.</w:t>
      </w:r>
    </w:p>
    <w:p>
      <w:pPr>
        <w:spacing w:after="0" w:line="18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of a change in control (as defined in the 2011 Plan), a stock award may be subject to additional acceleration of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exercisability upon or after a change in control, as may be provided in the stock award agreement or in any other written agreement between us and a participant. In the absence of such a provision, no such acceleration will occur.</w:t>
      </w:r>
    </w:p>
    <w:p>
      <w:pPr>
        <w:spacing w:after="0" w:line="17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Amendment of Awards. </w:t>
      </w:r>
      <w:r>
        <w:rPr>
          <w:rFonts w:ascii="Times New Roman" w:cs="Times New Roman" w:eastAsia="Times New Roman" w:hAnsi="Times New Roman"/>
          <w:sz w:val="18"/>
          <w:szCs w:val="18"/>
          <w:color w:val="auto"/>
        </w:rPr>
        <w:t>The plan administrator has the authority to modify outstanding stock awards under our 2011 Plan; provided that no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or modification may impair the rights of any participant with respect to awards granted prior to such action without such participant’s written consent.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i w:val="1"/>
          <w:iCs w:val="1"/>
          <w:color w:val="auto"/>
        </w:rPr>
        <w:t>2016 Plan</w:t>
      </w:r>
    </w:p>
    <w:p>
      <w:pPr>
        <w:spacing w:after="0" w:line="22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Background; Termination and No Further Grants Under 2016 Plan. </w:t>
      </w:r>
      <w:r>
        <w:rPr>
          <w:rFonts w:ascii="Times New Roman" w:cs="Times New Roman" w:eastAsia="Times New Roman" w:hAnsi="Times New Roman"/>
          <w:sz w:val="18"/>
          <w:szCs w:val="18"/>
          <w:color w:val="auto"/>
        </w:rPr>
        <w:t>Solaria’s Board of Directors adopted, and Solaria’s stockholders approved,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Plan, in May 2016 and July 2016, respectively. Complete Solaria assumed the 2016 Plan in connection with the Prior Transaction.</w:t>
      </w:r>
    </w:p>
    <w:p>
      <w:pPr>
        <w:spacing w:after="0" w:line="16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2016 Plan was terminated in November 2022 in connection with the Prior Transaction, and no new awards may be granted under it. Outstanding awards granted under the 2016 Plan remain outstanding, subject to the terms of the 2016 Plan and award agreements, until such outstanding options are exercised or terminate or expire by their terms.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28, 2025, there were outstanding awards relating to 305,749 shares of our common stock under the 2016 Plan and the other Legacy Plans, collectively.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The Board of Directors or a duly authorized committee administers the 2016 Plan and the awards granted under it.</w:t>
      </w:r>
    </w:p>
    <w:p>
      <w:pPr>
        <w:spacing w:after="0" w:line="22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Capitalization Adjustments. </w:t>
      </w:r>
      <w:r>
        <w:rPr>
          <w:rFonts w:ascii="Times New Roman" w:cs="Times New Roman" w:eastAsia="Times New Roman" w:hAnsi="Times New Roman"/>
          <w:sz w:val="18"/>
          <w:szCs w:val="18"/>
          <w:color w:val="auto"/>
        </w:rPr>
        <w:t>In the event that any change is made in, or other events occur with respect to, common stock subject to the 2016 Plan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stock award, such as certain mergers, consolidations, reorganizations, recapitalizations, dividends, stock splits, or other similar transactions, appropriate adjustments will be made to the classes, number of shares subject to, and the price per share, if applicable, of any outstanding stock awards.</w:t>
      </w:r>
    </w:p>
    <w:p>
      <w:pPr>
        <w:spacing w:after="0" w:line="17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of a Change in Control (as defined in the 2016 Plan), our 2016 Plan provides that unless otherwise provided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agreement between us and any participant or unless otherwise expressly provided by the Board of Directors at the time of grant of an award, any surviving or acquiring corporation (or parent thereof) may assume, continue or substitute such outstanding awards and any reacquisition or repurchase rights may be assigned to such surviving or acquiring corporation (or parent thereof). If the surviving or acquiring corporation (or parent thereof) does not assume, continue or substitute outstanding awards in the corporate transaction, then the Board of Directors may provide for the accelerated vesting (in whole or in part) of any or all awards or may cancel any award for such consideration, if any, as the Board of Directors may consider appropriate.</w:t>
      </w:r>
    </w:p>
    <w:p>
      <w:pPr>
        <w:spacing w:after="0" w:line="18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Amendment of Awards. </w:t>
      </w:r>
      <w:r>
        <w:rPr>
          <w:rFonts w:ascii="Times New Roman" w:cs="Times New Roman" w:eastAsia="Times New Roman" w:hAnsi="Times New Roman"/>
          <w:sz w:val="18"/>
          <w:szCs w:val="18"/>
          <w:color w:val="auto"/>
        </w:rPr>
        <w:t>The plan administrator has the authority to modify outstanding stock awards under our 2016 Plan; provided that no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or modification may impair the rights of any participant with respect to awards granted prior to such action without such participant’s written consent.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2006 Plan</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Background; Termination and No Further Grants Under 2006 Plan. </w:t>
      </w:r>
      <w:r>
        <w:rPr>
          <w:rFonts w:ascii="Times New Roman" w:cs="Times New Roman" w:eastAsia="Times New Roman" w:hAnsi="Times New Roman"/>
          <w:sz w:val="18"/>
          <w:szCs w:val="18"/>
          <w:color w:val="auto"/>
        </w:rPr>
        <w:t>Solaria’s Board of Directors adopted, and Solaria’s stockholders approved,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2006 Plan, in February 2006 and August 2006, respectively, and it was amended and restated from to time by Solaria’s Board of Directors and its stockholders.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2006 Plan was terminated in February 2016 in connection with Solaria’s adoption of the 2016 Plan, and no new awards may be granted under it. Complete Solaria assumed the outstanding awards granted pursuant to the 2006 Plan in connection with the Prior Transaction. Outstanding awards granted under the 2006 Plan remain outstanding, subject to the terms of the 2006 Plan and award agreements, until such outstanding options are exercised or terminate or expire by their terms.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28, 2025, there were outstanding awards relating to 305,749 shares of the Company’s common stock under the 2006 Plan and the other Legacy Plans, collectively.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The Board of Directors or a duly authorized committee administers the 2006 Plan and the awards granted under it.</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Capitalization Adjustments. </w:t>
      </w:r>
      <w:r>
        <w:rPr>
          <w:rFonts w:ascii="Times New Roman" w:cs="Times New Roman" w:eastAsia="Times New Roman" w:hAnsi="Times New Roman"/>
          <w:sz w:val="18"/>
          <w:szCs w:val="18"/>
          <w:color w:val="auto"/>
        </w:rPr>
        <w:t>In the event that any change is made in, or other events occur with respect to, our Common Stock subject to the 2006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any stock award, such as certain mergers, consolidations, reorganizations, recapitalizations, dividends, stock splits, or other similar transactions affecting the shares subject to the 2006 Plan, appropriate adjustments will be made to the class and number of shares subject to, and the price per share, if applicable, of any outstanding stock awards.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of a change in control (as defined in the 2006 Plan), our 2006 Plan provides that any successor corporation (or parent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thereof) will assume or substitute such outstanding awards and any reacquisition or repurchase rights may be assigned to such surviving or acquiring corporation (or parent thereof). If the surviving or acquiring corporation (or parent thereof) does not assume or substitute outstanding awards in the corporate transaction, then the vesting of outstanding awards held by participants will accelerate in full and any repurchase rights held by us with respect to such awards will lapse, contingent upon the effectiveness of such transaction. Notwithstanding the foregoing, to the extent that stock awards will terminate if not exercised prior to the effective time of a corporate transaction, our Board of Directors may provide that such awards will be cancelled for a payment equal to the excess, if any, of the value of the property the holder would have received upon exercise of such award over any exercise price payable.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6" w:name="page97"/>
    <w:bookmarkEnd w:id="96"/>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with respect to awards (and, if applicable, shares of restricted stock acquired pursuant to such awards) granted to non-employee directors that are assumed or substituted for, if on or following the date of such assumption or substitution such individual’s status as a director is involuntarily terminated, such individual shall fully vest in and have the right to exercise awards as to all of the shares subject thereto.</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Also, with respect to awards (and, if applicable, shares of restricted stock acquired pursuant to such awards) granted to participants that are assumed or substituted for, if either (x) such participant remains continuously employed by us or our successor through the one-year anniversary of such change in control or (y) such participant’s employment is involuntarily terminated without cause (as such term is defined in the 2006 Plan), or such participant’s duties are material diminished, in either case at any time prior to the one-year anniversary of such change in control, such individual will vest into such awards on an accelerated basis as if such individual had provided an additional 12 months of continuous service, such individual shall fully vest in and have the right to exercise awards as to all of the shares subject thereto.</w:t>
      </w:r>
    </w:p>
    <w:p>
      <w:pPr>
        <w:spacing w:after="0" w:line="18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Amendment of Awards. </w:t>
      </w:r>
      <w:r>
        <w:rPr>
          <w:rFonts w:ascii="Times New Roman" w:cs="Times New Roman" w:eastAsia="Times New Roman" w:hAnsi="Times New Roman"/>
          <w:sz w:val="18"/>
          <w:szCs w:val="18"/>
          <w:color w:val="auto"/>
        </w:rPr>
        <w:t>The plan administrator has the authority to modify outstanding stock awards under our 2006 Plan; provided that no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or modification may impair the rights of any participant with respect to awards granted prior to such action without such participant’s written consent.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Inducement Grants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our acquisitions of Sunder, Ambia and Cobalt, we granted time-based restricted stock units outside of SunPower’s 2023 Plan as a material inducement to certain key employees to enter into employment with SunPower. Such inducement grants were made in accordance with Nasdaq Listing Rule 5635(c)(4). Specifically, in connection with our acquisition of Sunder, we made inducement grants on October 8, 2025 to three key employees of Sunder as a material inducement to their employment with SunPower. These inducement grants were RSUs for a total of 2,700,000 shares of our common stock, with 20% of such RSUs vesting one year after grant and the remaining vesting in equal monthly installments thereafter until the fifth anniversary of the grant date, with such vesting subject to the RSU recipient’s continuous service through each vesting date. These RSUs are also subject to accelerated vesting in the event the RSU recipient’s employment is terminated by the Company without cause.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our acquisition of Ambia, on November 21, 2025, we made inducement grants to two key employees of Ambia as a material inducement to employment with SunPower following its acquisition of Ambia. These inducement grants consist of RSUs for a total of 2,000,000 shares of SunPower common stock, with 20% of the RSUs vesting one year after grant and the remainder vesting in equal monthly installments thereafter until the fifth anniversary of the grant date, with such vesting subject to the RSU recipient’s continuous service through each vesting date. The RSUs are also subject to accelerated vesting in the event the RSU recipient’s employment is terminated by the Company without cause.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in connection with our acquisition of Cobalt, on February 2, 2026, we made inducement grants to two key employees of Cobalt as a material inducement to employment with SunPower following its acquisition of Cobalt. These inducement grants consist of RSUs for a total of 850,000 shares of SunPower common stock, with 20% of the RSUs vesting one year after grant and the remainder vesting in equal monthly installments thereafter until the fifth anniversary of the grant date, with such vesting subject to the RSU recipient’s continuous service through each vesting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and Welfare Benefits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SunPower provides benefits to its named executive officers on the same basis as provided to all of its employees, including health, dental and vision insurance; life and disability insurance; and a tax-qualified Section 401(k) plan. SunPower does not maintain any executive-specific benefit or perquisite programs.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Sales Plans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SunPower’s Directors and executive officers may adopt written plans, known as Rule 10b5-1 plans, in which they will contract with a broker to buy or sell shares of the Company’s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SunPower’s Directors and executive officers also may buy or sell additional shares outside of a Rule 10b5-1 plan when they are not in possession of material nonpublic information, subject to compliance with the terms of our insider trading policy.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SunPower is an “emerging growth company,” as defined in the JOBS Act. As an emerging growth company it is exempt from certain requirements related to executive compensation, including the requirements to hold a nonbinding advisory vote on executive compensation and to provide information relating to the ratio of total compensation of its chief executive officer to the median of the annual total compensation of all of its employees, each as required by the Investor Protection and Securities Reform Act of 2010, which is part of the Dodd-Frank Wall Street Reform and Consumer Protection 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than the compensation arrangements for our directors and executive officers, which are described in the section titled “Executive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below is a description of transactions since December 30, 2024, the beginning of fiscal year 2025, to which we were a party, in which:</w:t>
      </w:r>
    </w:p>
    <w:p>
      <w:pPr>
        <w:spacing w:after="0" w:line="207"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or any member of the immediate family of, or person sharing the household with, the foregoing persons, had or will have a direct or indirect material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Indebtedness Payable to the Rodgers Massey Revocable Living Trust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principal portion of the SCI Debt owing to the Rodgers Massey Revocable Living Trust of $1.5 million (plus accrued interest) remained outstanding as of December 28, 2025 and is outstanding as of the date of the filing date of this post-effective amendment. The outstanding amount, plus accrued interest, is due on demand to the Rodgers Massey Revocable Living Trust. Thurman J. Rodgers is a trustee of the Rodgers Massey Revocable Living Trust, and he is the Executive Chairman of our Board of Directors and our Chief Executive Officer.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12.0% Notes Issued to Affiliates of Thurman J. Rodgers</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January 29, 2026, SunPower issued a convertible promissory note in the original principal amount of $3,300,000 (the “</w:t>
      </w:r>
      <w:r>
        <w:rPr>
          <w:rFonts w:ascii="Times New Roman" w:cs="Times New Roman" w:eastAsia="Times New Roman" w:hAnsi="Times New Roman"/>
          <w:sz w:val="18"/>
          <w:szCs w:val="18"/>
          <w:b w:val="1"/>
          <w:bCs w:val="1"/>
          <w:color w:val="auto"/>
        </w:rPr>
        <w:t>January 2026 Note</w:t>
      </w:r>
      <w:r>
        <w:rPr>
          <w:rFonts w:ascii="Times New Roman" w:cs="Times New Roman" w:eastAsia="Times New Roman" w:hAnsi="Times New Roman"/>
          <w:sz w:val="18"/>
          <w:szCs w:val="18"/>
          <w:color w:val="auto"/>
        </w:rPr>
        <w:t>”) to a trust controlled by Thurman J. Rodgers. The January 2026 Note bears a 12.0% interest rate. The January 2026 Note is a general unsecured obligation of the Company and will mature on July 1, 2029, unless earlier converted, redeemed or repurchased. Interest on the January 2026 Note will be payable semiannually in arrears on January 1 and July 1 of each year, beginning on July 1, 2026. The January 2026 Note is convertible at the option of the holder at any time prior to the payment of the principal amount of the January 2026 Note in full. Upon conversion of the January 2026 Note, the Company will satisfy its conversion obligation by delivering shares of its common stock and paying cash in respect of any fractional shares. The conversion rate of the January 2026 Note is initially equal to 540.5405 shares of common stock per $1,000 principal amount due under note. The conversion rate shall be subject to adjustment from time to time pursuant to the terms of the January 2026 Note. We may not redeem the January 2026 Note prior to July 5, 2026. We may redeem for cash all (but not less than all) of the, at our option, (i) on or after July 5, 2026 and prior to July 1, 2027, if the last reported sale price of our common stock has been at least 150% of the conversion price for the January 2026 Note then in effect and (ii) on or after July 5, 2027 and prior to the maturity date for the January 2026 Note if the last reported sale price of our common stock has been at least 130% of the conversion price for the Note then in effect, in each case of (i) and (ii),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 plus accrued and unpaid interest, if any, to, but excluding, the redemption date. No sinking fund is provided for the January 2026 Note. If we undergo a change of control (as defined in the January 2026 Note), then, subject to certain conditions and except as described in the note, the holder may require the Company to redeem for cash all (but not less than all) of the note at a price equal to 100% of the principal amount of the January 2026 Note. The January 2026 Note sets forth certain events of default after which the note may be declared immediately due and payable and sets forth certain types of bankruptcy or insolvency events of default involving the Company after which the January 2026 Note becomes automatically due and payable. If certain bankruptcy and insolvency- related events of default occur with respect to the Company, the principal of, and accrued and unpaid interest, if any, on, the January 2026 Note shall automatically become due and payable. If an event of default with respect to the January 2026 Note, other than certain bankruptcy and insolvency-related events of default with respect to the Company, occurs and is continuing, a holder may at its option declare the note to be immediately due and payable.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8" w:name="page99"/>
    <w:bookmarkEnd w:id="98"/>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November 20, 2025, SunPower issued a convertible promissory note in the original principal amount of $2,000,000 (the “</w:t>
      </w:r>
      <w:r>
        <w:rPr>
          <w:rFonts w:ascii="Times New Roman" w:cs="Times New Roman" w:eastAsia="Times New Roman" w:hAnsi="Times New Roman"/>
          <w:sz w:val="18"/>
          <w:szCs w:val="18"/>
          <w:b w:val="1"/>
          <w:bCs w:val="1"/>
          <w:color w:val="auto"/>
        </w:rPr>
        <w:t>November 2025 Note</w:t>
      </w:r>
      <w:r>
        <w:rPr>
          <w:rFonts w:ascii="Times New Roman" w:cs="Times New Roman" w:eastAsia="Times New Roman" w:hAnsi="Times New Roman"/>
          <w:sz w:val="18"/>
          <w:szCs w:val="18"/>
          <w:color w:val="auto"/>
        </w:rPr>
        <w:t>”) to a trust controlled by Thurman J. Rodgers. The November 2025 Note bears a 12.0% interest rate. The November 2025 Note is a general unsecured obligation of the Company and will mature on July 1, 2029, unless earlier converted, redeemed or repurchased. Interest on the November 2025 Note will be payable semiannually in arrears on January 1 and July 1 of each year, beginning on January 1, 2026. The November 2025 Note is convertible at the option of the holder at any time prior to the payment of the principal amount of the Note in full. Upon conversion of the November 2025 Note, the Company will satisfy its conversion obligation by delivering shares of its common stock and paying cash in respect of any fractional shares. The conversion rate of the November 2025 Note is initially equal to 626.9592 shares of common stock per $1,000 principal amount due under note. The conversion rate shall be subject to adjustment from time to time pursuant to the terms of the November 2025 Note. We may not redeem the November 2025 Note prior to July 5, 2026. We may redeem for cash all (but not less than all) of the, at our option, (i) on or after July 5, 2026 and prior to July 1, 2027, if the last reported sale price of our common stock has been at least 150% of the conversion price for the November 2025 Note then in effect and (ii) on or after July 5, 2027 and prior to the maturity date for the November 2025 Note if the last reported sale price of our common stock has been at least 130% of the conversion price for the Note then in effect, in each case of (i) and (ii),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 plus accrued and unpaid interest, if any, to, but excluding, the redemption date. No sinking fund is provided for the November 2025 Note. If we undergo a change of control (as defined in the November 2025 Note), then, subject to certain conditions and except as described in the note, the holder may require the Company to redeem for cash all (but not less than all) of the note at a price equal to 100% of the principal amount of the November 2025 Note. The November 2025 Note sets forth certain events of default after which the note may be declared immediately due and payable and sets forth certain types of bankruptcy or insolvency events of default involving the Company after which the November 2025 Note becomes automatically due and payable. If certain bankruptcy and insolvency-related events of default occur with respect to the Company, the principal of, and accrued and unpaid interest, if any, on, the November 2025 Note shall automatically become due and payable. If an event of default with respect to the November 2025 Note, other than certain bankruptcy and insolvency- related events of default with respect to the Company, occurs and is continuing, a holder may at its option declare the note to be immediately due and payable.</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July 10, 2025, we issued a convertible promissory note in the original principal amount of $5,000,000 (the “</w:t>
      </w:r>
      <w:r>
        <w:rPr>
          <w:rFonts w:ascii="Times New Roman" w:cs="Times New Roman" w:eastAsia="Times New Roman" w:hAnsi="Times New Roman"/>
          <w:sz w:val="18"/>
          <w:szCs w:val="18"/>
          <w:b w:val="1"/>
          <w:bCs w:val="1"/>
          <w:color w:val="auto"/>
        </w:rPr>
        <w:t>July 2025 Note</w:t>
      </w:r>
      <w:r>
        <w:rPr>
          <w:rFonts w:ascii="Times New Roman" w:cs="Times New Roman" w:eastAsia="Times New Roman" w:hAnsi="Times New Roman"/>
          <w:sz w:val="18"/>
          <w:szCs w:val="18"/>
          <w:color w:val="auto"/>
        </w:rPr>
        <w:t>”) to a trust controlled by Thurman J. Rodgers. The July 2025 Note bears a 12.0% interest rate. The July 2025 Note is a general unsecured obligation of the Company and will mature on July 1, 2029, unless earlier converted, redeemed or repurchased. Interest on the July 2025 Note accrues at a rate of 12.00% per year from July 1, 2024 and is payable semiannually in arrears on January 1 and July 1 of each year, beginning on January 1, 2026. The July 2025 Note is convertible at the option of the holder at any time prior to the payment of the principal amount of the July 2025 Note in full. Upon conversion of the July 2025 Note, the Company will satisfy its conversion obligation by delivering shares of the Company’s common stock and paying cash in respect of any fractional shares. The conversion rate of the July 2025 Note is initially equal to 558.6592 shares of common stock per $1,000 principal amount due under the July 2025 Note. The conversion rate shall be subject to adjustment from time to time pursuant to the terms of the July 2025 Note. The Company may not redeem the July 2025 Note prior to July 5, 2026. The Company may redeem for cash all (but not less than all) of the July 2025 Note, at its option,(i) on or after July 5, 2026 and prior to July 1, 2027, if the last reported sale price of the common stock has been at least 150% of the conversion price for the July 2025 Note then in effect and (ii) on or after July 5, 2027 and prior to the maturity date for the July 2025 Note if the last reported sale price of the common stock has been at least 130% of the conversion price for the July 2025 Note then in effect, in each case of (i) and (ii),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July 2025 Note, plus accrued and unpaid interest, if any, to, but excluding, the redemption date. No sinking fund is provided for the July 2025 Note. If the Company undergoes a change of control (as defined in the July 2025 Note), then, subject to certain conditions and except as described in the July 2025 Note, the holder may require the Company to redeem for cash all (but not less than all) of July 2025 Note at a price equal to 100% of the principal amount of the July 2025 Note. The July 2025 Note sets forth certain events of default after which the July 2025 Note may be declared immediately due and payable and sets forth certain types of bankruptcy or insolvency events of default involving the Company after which the July 2025 Note becomes automatically due and payable. If certain bankruptcy and insolvency-related events of default occur with respect to the Company, the principal of, and accrued and unpaid interest, if any, on, the July 2025 Note shall automatically become due and payable. If an event of default with respect to the July 2025 Note, other than certain bankruptcy and insolvency-related events of default with respect to the Company, occurs and is continuing, a holder may at its option declare the July 2025 Note to be immediately due and payable.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9" w:name="page100"/>
    <w:bookmarkEnd w:id="99"/>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July 1, 2024, we entered into Note Purchase Agreements and the Exchange Agreement (together the “</w:t>
      </w:r>
      <w:r>
        <w:rPr>
          <w:rFonts w:ascii="Times New Roman" w:cs="Times New Roman" w:eastAsia="Times New Roman" w:hAnsi="Times New Roman"/>
          <w:sz w:val="18"/>
          <w:szCs w:val="18"/>
          <w:b w:val="1"/>
          <w:bCs w:val="1"/>
          <w:color w:val="auto"/>
        </w:rPr>
        <w:t>July 2024 Purchase Agreement</w:t>
      </w:r>
      <w:r>
        <w:rPr>
          <w:rFonts w:ascii="Times New Roman" w:cs="Times New Roman" w:eastAsia="Times New Roman" w:hAnsi="Times New Roman"/>
          <w:sz w:val="18"/>
          <w:szCs w:val="18"/>
          <w:color w:val="auto"/>
        </w:rPr>
        <w:t>”), pursuant to which we issued to certain accredited investors and qualified institutional buyers approximately $50.0 million in aggregate principal amount in July 2024 Notes. A trust controlled by Thurman J. Rodgers holds $18,000,000 principal amount of the July 2024 Notes. The July 2024 Notes accrue interest at the rate of 12.0% annually, which will be payable semiannually in arrears on January 1 and July 1 of each year, beginning on July 1, 2025, and the trust controlled by Mr. Rodgers received such interest payments during 2025 and will be entitled to such interest payments during 2026. The July 2024 Notes are convertible at the option of the holders at any time prior to the payment of the principal amount of such convertible note in full. Upon conversion of any convertible note, we will satisfy its conversion obligation by delivering shares of common stock and paying cash in respect of any fractional shares. The conversion rate for the convertible notes is initially equal to 595.2381 shares of common stock per $1,000 principal amount due under the convertible notes. The conversion rate shall be subject to adjustment from time to time pursuant to the terms of the convertible notes.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7.0% Senior Unsecured Convertible Notes issued to Affiliates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2024 and 2025, we entered into note purchase agreements with certain accredited investors and qualified institutional buyers relating to the sale and issuance of our 7.0% senior unsecured convertible notes (“</w:t>
      </w:r>
      <w:r>
        <w:rPr>
          <w:rFonts w:ascii="Times New Roman" w:cs="Times New Roman" w:eastAsia="Times New Roman" w:hAnsi="Times New Roman"/>
          <w:sz w:val="18"/>
          <w:szCs w:val="18"/>
          <w:b w:val="1"/>
          <w:bCs w:val="1"/>
          <w:color w:val="auto"/>
        </w:rPr>
        <w:t>7% Notes</w:t>
      </w:r>
      <w:r>
        <w:rPr>
          <w:rFonts w:ascii="Times New Roman" w:cs="Times New Roman" w:eastAsia="Times New Roman" w:hAnsi="Times New Roman"/>
          <w:sz w:val="18"/>
          <w:szCs w:val="18"/>
          <w:color w:val="auto"/>
        </w:rPr>
        <w:t>”). In September 2024, the Company issued $4.0 million principal amount of the 7% Notes to the Rodgers Family and Free Markets Charitable Trust, and the Company issued $4.0 million principal amount of the 7% Notes to the Rodgers Massey Revocable Living Trust. Thurman J. Rodgers is a trustee of each of the Rodgers Family and Free Markets Charitable Trust and the Rodgers Massey Revocable Living Trust. Additionally, the Company also issued $750,000 principal amount of the 7% Notes to the Dan and Kathy McCranie 2000 Revocable Trust, for which J. Daniel McCranie serves as trustee. Mr. McCranie was appointed to serve as a director of the Company on January 24, 2025.</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Interest on the 7% Notes accrues at a rate of 7.00% per year from September 16, 2024 and will be payable semiannually in arrears on January 1 and July 1 of each year, beginning on January 1, 2025. The trusts affiliated with Mr. Rodgers and Mr. McCranie received such interest payments during 2025 and will be entitled to such interest payments during 2026. Holders of the 7% may convert all or any portion of their 7%Notes at any time, in integral multiples of $1,000 principal amount, at the option of the holder. Upon conversion, the Company may satisfy its conversion obligation by paying or delivering, as the case may be, cash, shares of common stock or a combination of cash and shares of common stock, at the Company’s election, in the manner and subject to the terms, conditions and limitations provided in the Indenture. On December 18, 2024, at our annual meeting of stockholders, our stockholders approved the issuance of shares of our common stock upon conversion of the 7% Notes in excess of the limitations otherwise applicable under the Indenture as a result of Nasdaq Listing Rule 5635(d)(2). As a result of this stockholder approval, we will seek approval to amend the Indenture to enable the earlier conversion of the 7% Notes.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conversion rate for the 7% 2024 Notes was initially 467.8363 shares of common stock per $1,000 principal amount of 7% Notes. The conversion rate for the 7% Notes is subject to adjustment from time to time in accordance with the terms of the Indenture, and currently the 7% Notes are convertible at the rate of 584.7953 shares of common stock per $1,000 principal amount of these notes. In addition, upon a conversion of the 7% Notes following certain corporate events that occur prior to the maturity date of the 7% Notes or if the Company delivers a notice of redemption in respect of the 7% Notes, the Company will, under certain circumstances, increase the conversion rate of the 7% Notes for a holder who elects to convert its 7% Notes following September 16, 2025, in connection with such a corporate event that occurs prior to the maturity date, or if the Company delivers a notice of redemption in respect of the 7% Notes.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10.0% Convertible Senior Secured Notes Issued to Affiliates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21, 2026, the Company entered into note purchase agreements relating to the private offering of $41,000,000 aggregate principal amount of the Company’s 10.00% Convertible Senior Secured Notes due 2029 (the “</w:t>
      </w:r>
      <w:r>
        <w:rPr>
          <w:rFonts w:ascii="Times New Roman" w:cs="Times New Roman" w:eastAsia="Times New Roman" w:hAnsi="Times New Roman"/>
          <w:sz w:val="18"/>
          <w:szCs w:val="18"/>
          <w:b w:val="1"/>
          <w:bCs w:val="1"/>
          <w:color w:val="auto"/>
        </w:rPr>
        <w:t>10% Notes</w:t>
      </w:r>
      <w:r>
        <w:rPr>
          <w:rFonts w:ascii="Times New Roman" w:cs="Times New Roman" w:eastAsia="Times New Roman" w:hAnsi="Times New Roman"/>
          <w:sz w:val="18"/>
          <w:szCs w:val="18"/>
          <w:color w:val="auto"/>
        </w:rPr>
        <w:t>”), including $6,000,000 principal amount of Notes issuable to entities affiliated with Mr. Rodgers, the Company’s Chief Executive Officer and Chairman pursuant to Note Purchase Agreements executed between the Company and such affiliated entities.</w:t>
      </w:r>
    </w:p>
    <w:p>
      <w:pPr>
        <w:spacing w:after="0" w:line="17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The Company issued the 10% Notes pursuant to the terms and conditions of an Indenture (the “</w:t>
      </w:r>
      <w:r>
        <w:rPr>
          <w:rFonts w:ascii="Times New Roman" w:cs="Times New Roman" w:eastAsia="Times New Roman" w:hAnsi="Times New Roman"/>
          <w:sz w:val="18"/>
          <w:szCs w:val="18"/>
          <w:b w:val="1"/>
          <w:bCs w:val="1"/>
          <w:color w:val="auto"/>
        </w:rPr>
        <w:t>Secured Notes Indenture</w:t>
      </w:r>
      <w:r>
        <w:rPr>
          <w:rFonts w:ascii="Times New Roman" w:cs="Times New Roman" w:eastAsia="Times New Roman" w:hAnsi="Times New Roman"/>
          <w:sz w:val="18"/>
          <w:szCs w:val="18"/>
          <w:color w:val="auto"/>
        </w:rPr>
        <w:t>”) among the Company, the guarantor named therein, and U.S. Bank Trust Company, National Association, as trustee (in such capacity,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and as collateral agent (in such capacity, the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The 10% Notes are senior, secured obligations of the Company and will mature on May 1, 2029, unless earlier converted, redeemed, or repurchased. Interest on the 10% Notes accrues at a rate of 10.00% per year from April 23, 2026 and will be payable quarterly in arrears on April 1, July 1, October 1, and January 1 of each year, beginning on July 1, 2026. Holders of the 10% Notes may convert all or any portion of their 10% Notes at any time, in integral multiples of $1,000 principal amount, for shares of common stock at the option of the holder.</w:t>
      </w:r>
    </w:p>
    <w:p>
      <w:pPr>
        <w:spacing w:after="0" w:line="1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conversion rate for the 10% Notes was initially 610.3143 shares of common stock per $1,000 principal amount of 10% Notes, which is equivalent to an initial conversion price of approximately $1.64 per share of common stock. The initial conversion price of the 10% Notes represents a premium of approximately 45% above the last reported sale price of the common stock on The Nasdaq Global Select Market on April 21, 2026. The conversion rate for the 10% Notes is subject to adjustment from time to time in accordance with the terms of the Secured Notes Indenture. In addition, following certain corporate events that occur prior to the maturity date of the 10% Notes, the Company will, under certain circumstances, increase the conversion rate of the Notes for a holder who elects to convert its 10% Notes in connection with such a corporate event, subject to a maximum conversion rate of 884.9557 shares of Common Stock per $1,000 principal amount of 10% Notes. The 10% Notes are not redeemable by the Company.</w:t>
      </w:r>
    </w:p>
    <w:p>
      <w:pPr>
        <w:spacing w:after="0" w:line="18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Secured Notes Indenture), then, subject to certain conditions and except as described in the Secured Notes Indenture, holders of the 10% Notes may require the Company to repurchase for cash all or any portion of their 10% Notes at a fundamental change repurchase price equal to 100% of the principal amount of the 10% Notes to be repurchased, plus accrued and unpaid interest, if any, to, but excluding, the fundamental change repurchase date.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10% Notes are fully and unconditionally guaranteed by Complete Solar, Inc., a Delaware corporation and a wholly owned subsidiary of the Company (the “</w:t>
      </w:r>
      <w:r>
        <w:rPr>
          <w:rFonts w:ascii="Times New Roman" w:cs="Times New Roman" w:eastAsia="Times New Roman" w:hAnsi="Times New Roman"/>
          <w:sz w:val="18"/>
          <w:szCs w:val="18"/>
          <w:b w:val="1"/>
          <w:bCs w:val="1"/>
          <w:i w:val="1"/>
          <w:iCs w:val="1"/>
          <w:color w:val="auto"/>
        </w:rPr>
        <w:t>Guarantor</w:t>
      </w:r>
      <w:r>
        <w:rPr>
          <w:rFonts w:ascii="Times New Roman" w:cs="Times New Roman" w:eastAsia="Times New Roman" w:hAnsi="Times New Roman"/>
          <w:sz w:val="18"/>
          <w:szCs w:val="18"/>
          <w:color w:val="auto"/>
        </w:rPr>
        <w:t>”), subject to the terms of the Secured Notes Indenture. The 10% Notes and related guarantees are secured by first-priority liens on substantially all of the assets of the Company and the Guarantor, subject to certain exceptions.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Agreements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8, 2026, the Company entered into a Simple Agreement for Future Equity (the “April 2026 SAFE”) with a trust affiliated with Thurman J. Rodgers (the “Purchaser”) in connection with the Purchaser investing $5.0 million in the Company. The April 2026 SAFE was converted and exchanged into $5.0 principal amount of the 10.0% Notes.</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May 13, 2024, the Company entered into a Simple Agreement for Future Equity (the “Third SAFE”) with a trust affiliated with Thurman J. Rodgers (the “Purchaser”) in connection with the Purchaser investing $1.0 million in the Company. The Third SAFE was converted and exchanged into $1.0 principal amount of the 10.0% Notes.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31, 2024, we entered into the First SAFE with the Purchaser in connection with the Purchaser investing $1.5 million in the Company. On February 15, 2024, we entered into the Second SAFE with the Purchaser in connection with the Purchaser investing $3.5 million in the Company. On April 21, 2024, we entered into an amendment for each of our First SAFE and Second SAFE to convert the invested amounts into 4,166,666 and 9,722,222 shares of our common stock,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SameDay Solar</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SunPower previously entered into commercial agreements with SameDay Solar, a residential solar installer. William Anderson, a director and our former Chief Executive Officer, owns 60% of the equity securities of SameDay Solar, and he is the Chief Executive Officer of SameDay Solar. All agreements between SunPower and SameDay Solar previously were entered into in the ordinary course of business; provided, however, the Company facilitates equipment purchases for SameDay Solar, and SameDay Solar receives the benefit of the pricing received by the Company for equipment purchases, including for projects that are completed by SameDay Solar on behalf of the Company and that do not involve the Company or its customers. Since January 1, 2022, we have paid SameDay Solar a total of approximately $2.3 million. Mr. Anderson receives separate compensation from SameDay Solar, and given his equity ownership, Mr. Anderson also has a 60% interest in SameDay Solar’s profits and earnings.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Since January 1, 2024, we have paid SameDay Solar a total of approximately $1,065,833. Since January 1, 2024, Mr. Anderson has received approximately $15,000 of remuneration from SameDay Solar relating to its relationship with the Company. Given his equity ownership, Mr. Anderson also has a 60% interest in SameDay Solar’s profits and earnings.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has entered into employment agreements with certain of its executive officers. For more information regarding these agreements with the Company’s named executive officers, see the section titled “</w:t>
      </w:r>
      <w:r>
        <w:rPr>
          <w:rFonts w:ascii="Times New Roman" w:cs="Times New Roman" w:eastAsia="Times New Roman" w:hAnsi="Times New Roman"/>
          <w:sz w:val="18"/>
          <w:szCs w:val="18"/>
          <w:i w:val="1"/>
          <w:iCs w:val="1"/>
          <w:color w:val="auto"/>
        </w:rPr>
        <w:t>Employment Arrangements with Named Executive Officers.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Grants to Directors and Executive Officers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granted stock options, restricted stock and other equity-based awards to certain of its Directors and executive officers. For more information regarding the stock options and stock awards granted to the Company’s Directors and named executive officers, see the section titled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entered into indemnification agreements with its Directors and officers.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certificate of incorporation contains provisions limiting the liability of its Directors, and the Company’s amended and restated bylaws provide that the Company will indemnify each of its Directors and officers to the fullest extent permitted under Delaware law. The Company’s amended and restated certificate of incorporation and amended and restated bylaws also provide the Board of Directors with discretion to indemnify the Company’s employees and other agents when determined appropriate by the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Board of Directors adopted a written related person transactions policy that sets forth the Company’s policies and procedures regarding the identification, review, consideration and oversight of “related person transactions.” For purposes of the Company’s policy only, a “related person transaction” is a transaction, arrangement or relationship (or any series of similar transactions, arrangements or relationships) in which the Company or any of its subsidiaries are participants involving an amount that exceeds $120,000, including purchases of goods or services by or from the related person or entities in which the related person has a material interest, indebtedness and guarantees of indebtedness, subject to certain exceptions set forth in Item 404 of Regulation S-K under the Securities Act.</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policy, the related person in question or, in the case of transactions with a holder of more than 5% of any class the Company’s voting securities, an officer with knowledge of a proposed transaction, must present information regarding the proposed related person transaction to the Company’s Audit Committee (or, where review by the Company’s Audit Committee would be inappropriate, to another independent body of the Board of Directors) for review. To identify related person transactions in advance, the Company will rely on information supplied by its executive officers, Directors and certain significant stockholders. In considering a related person transaction, the Company’s Audit Committee will take into account the relevant available facts and circumstances, which may include, but are not limited to:</w:t>
      </w:r>
    </w:p>
    <w:p>
      <w:pPr>
        <w:spacing w:after="0" w:line="187"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costs, and benefits to the Company;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the related person’s interest in the transaction;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and terms of the transaction;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recommendation with respect to the proposed related person transaction;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is on terms comparable to those that could be obtained in an arm’s length transaction.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Audit Committee will approve only those transactions that it determines are fair to us and in the Company’s best interests.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shares of our Common Stock as of May 15, 2026, by:</w:t>
      </w:r>
    </w:p>
    <w:p>
      <w:pPr>
        <w:spacing w:after="0" w:line="225"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 the beneficial owner of more than 5% of the outstanding shares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 60 days after that date through (a) the exercise of any option, warrant or right; (b) the conversion of a security; (c) the power to revoke a trust, discretionary account or similar arrangement; or (d)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are deemed outstanding, while such shares are not deemed outstanding for purposes of computing percentage ownership of any other person.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table is based upon information supplied by officers, Directors and principal stockholders and Schedules 13G or 13D filed with the SEC. Unless otherwise indicated in the footnotes to this table and subject to community property laws where applicable, we believe that all persons named in the table have sole voting and investment power with respect to all shares of our Common Stock beneficially owned by them. Applicable percentages are based on 145,819,663 shares of Common Stock outstanding as of May 15, 2026, adjusted as required by rules promulgated by the SEC.</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0" w:type="dxa"/>
            <w:vAlign w:val="bottom"/>
          </w:tcPr>
          <w:p>
            <w:pPr>
              <w:spacing w:after="0"/>
              <w:rPr>
                <w:sz w:val="1"/>
                <w:szCs w:val="1"/>
                <w:color w:val="auto"/>
              </w:rPr>
            </w:pPr>
          </w:p>
        </w:tc>
      </w:tr>
      <w:tr>
        <w:trPr>
          <w:trHeight w:val="216"/>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r>
              <w:rPr>
                <w:rFonts w:ascii="Times New Roman" w:cs="Times New Roman" w:eastAsia="Times New Roman" w:hAnsi="Times New Roman"/>
                <w:sz w:val="29"/>
                <w:szCs w:val="29"/>
                <w:b w:val="1"/>
                <w:bCs w:val="1"/>
                <w:color w:val="auto"/>
                <w:vertAlign w:val="superscript"/>
              </w:rPr>
              <w:t>(1)</w:t>
            </w: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0" w:type="dxa"/>
            <w:vAlign w:val="bottom"/>
          </w:tcPr>
          <w:p>
            <w:pPr>
              <w:spacing w:after="0"/>
              <w:rPr>
                <w:sz w:val="1"/>
                <w:szCs w:val="1"/>
                <w:color w:val="auto"/>
              </w:rPr>
            </w:pPr>
          </w:p>
        </w:tc>
      </w:tr>
      <w:tr>
        <w:trPr>
          <w:trHeight w:val="245"/>
        </w:trPr>
        <w:tc>
          <w:tcPr>
            <w:tcW w:w="5260" w:type="dxa"/>
            <w:vAlign w:val="bottom"/>
            <w:gridSpan w:val="2"/>
            <w:vMerge w:val="continue"/>
          </w:tcPr>
          <w:p>
            <w:pPr>
              <w:spacing w:after="0"/>
              <w:rPr>
                <w:sz w:val="21"/>
                <w:szCs w:val="21"/>
                <w:color w:val="auto"/>
              </w:rPr>
            </w:pPr>
          </w:p>
        </w:tc>
        <w:tc>
          <w:tcPr>
            <w:tcW w:w="3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0" w:type="dxa"/>
            <w:vAlign w:val="bottom"/>
          </w:tcPr>
          <w:p>
            <w:pPr>
              <w:spacing w:after="0"/>
              <w:rPr>
                <w:sz w:val="1"/>
                <w:szCs w:val="1"/>
                <w:color w:val="auto"/>
              </w:rPr>
            </w:pPr>
          </w:p>
        </w:tc>
      </w:tr>
      <w:tr>
        <w:trPr>
          <w:trHeight w:val="216"/>
        </w:trPr>
        <w:tc>
          <w:tcPr>
            <w:tcW w:w="52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5% or Greater Stockholders:</w:t>
            </w:r>
          </w:p>
        </w:tc>
        <w:tc>
          <w:tcPr>
            <w:tcW w:w="3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40" w:type="dxa"/>
            <w:vAlign w:val="bottom"/>
            <w:shd w:val="clear" w:color="auto" w:fill="CCEEFF"/>
          </w:tcPr>
          <w:p>
            <w:pPr>
              <w:spacing w:after="0"/>
              <w:rPr>
                <w:sz w:val="22"/>
                <w:szCs w:val="22"/>
                <w:color w:val="auto"/>
              </w:rPr>
            </w:pPr>
          </w:p>
        </w:tc>
        <w:tc>
          <w:tcPr>
            <w:tcW w:w="5120" w:type="dxa"/>
            <w:vAlign w:val="bottom"/>
            <w:shd w:val="clear" w:color="auto" w:fill="CCEEFF"/>
          </w:tcPr>
          <w:p>
            <w:pPr>
              <w:ind w:left="40"/>
              <w:spacing w:after="0" w:line="256" w:lineRule="exact"/>
              <w:rPr>
                <w:sz w:val="20"/>
                <w:szCs w:val="20"/>
                <w:color w:val="auto"/>
              </w:rPr>
            </w:pPr>
            <w:r>
              <w:rPr>
                <w:rFonts w:ascii="Times New Roman" w:cs="Times New Roman" w:eastAsia="Times New Roman" w:hAnsi="Times New Roman"/>
                <w:sz w:val="18"/>
                <w:szCs w:val="18"/>
                <w:color w:val="auto"/>
              </w:rPr>
              <w:t>Ecosystem Integrity Fund II, L.P.</w:t>
            </w:r>
            <w:r>
              <w:rPr>
                <w:rFonts w:ascii="Times New Roman" w:cs="Times New Roman" w:eastAsia="Times New Roman" w:hAnsi="Times New Roman"/>
                <w:sz w:val="29"/>
                <w:szCs w:val="29"/>
                <w:color w:val="auto"/>
                <w:vertAlign w:val="superscript"/>
              </w:rPr>
              <w:t>(2)</w:t>
            </w:r>
          </w:p>
        </w:tc>
        <w:tc>
          <w:tcPr>
            <w:tcW w:w="47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8,399,653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5120" w:type="dxa"/>
            <w:vAlign w:val="bottom"/>
          </w:tcPr>
          <w:p>
            <w:pPr>
              <w:ind w:left="40"/>
              <w:spacing w:after="0" w:line="256" w:lineRule="exact"/>
              <w:rPr>
                <w:sz w:val="20"/>
                <w:szCs w:val="20"/>
                <w:color w:val="auto"/>
              </w:rPr>
            </w:pPr>
            <w:r>
              <w:rPr>
                <w:rFonts w:ascii="Times New Roman" w:cs="Times New Roman" w:eastAsia="Times New Roman" w:hAnsi="Times New Roman"/>
                <w:sz w:val="18"/>
                <w:szCs w:val="18"/>
                <w:color w:val="auto"/>
              </w:rPr>
              <w:t>Thurman J. (T.J.) Rodgers</w:t>
            </w:r>
            <w:r>
              <w:rPr>
                <w:rFonts w:ascii="Times New Roman" w:cs="Times New Roman" w:eastAsia="Times New Roman" w:hAnsi="Times New Roman"/>
                <w:sz w:val="29"/>
                <w:szCs w:val="29"/>
                <w:color w:val="auto"/>
                <w:vertAlign w:val="superscript"/>
              </w:rPr>
              <w:t>(3)</w:t>
            </w:r>
          </w:p>
        </w:tc>
        <w:tc>
          <w:tcPr>
            <w:tcW w:w="47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52,224,701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57"/>
        </w:trPr>
        <w:tc>
          <w:tcPr>
            <w:tcW w:w="140" w:type="dxa"/>
            <w:vAlign w:val="bottom"/>
            <w:shd w:val="clear" w:color="auto" w:fill="CCEEFF"/>
          </w:tcPr>
          <w:p>
            <w:pPr>
              <w:spacing w:after="0"/>
              <w:rPr>
                <w:sz w:val="22"/>
                <w:szCs w:val="22"/>
                <w:color w:val="auto"/>
              </w:rPr>
            </w:pPr>
          </w:p>
        </w:tc>
        <w:tc>
          <w:tcPr>
            <w:tcW w:w="5120" w:type="dxa"/>
            <w:vAlign w:val="bottom"/>
            <w:shd w:val="clear" w:color="auto" w:fill="CCEEFF"/>
          </w:tcPr>
          <w:p>
            <w:pPr>
              <w:ind w:left="40"/>
              <w:spacing w:after="0" w:line="256" w:lineRule="exact"/>
              <w:rPr>
                <w:sz w:val="20"/>
                <w:szCs w:val="20"/>
                <w:color w:val="auto"/>
              </w:rPr>
            </w:pPr>
            <w:r>
              <w:rPr>
                <w:rFonts w:ascii="Times New Roman" w:cs="Times New Roman" w:eastAsia="Times New Roman" w:hAnsi="Times New Roman"/>
                <w:sz w:val="18"/>
                <w:szCs w:val="18"/>
                <w:color w:val="auto"/>
              </w:rPr>
              <w:t>Chicken Parm Pizza LLC</w:t>
            </w:r>
            <w:r>
              <w:rPr>
                <w:rFonts w:ascii="Times New Roman" w:cs="Times New Roman" w:eastAsia="Times New Roman" w:hAnsi="Times New Roman"/>
                <w:sz w:val="29"/>
                <w:szCs w:val="29"/>
                <w:color w:val="auto"/>
                <w:vertAlign w:val="superscript"/>
              </w:rPr>
              <w:t>(4)</w:t>
            </w:r>
          </w:p>
        </w:tc>
        <w:tc>
          <w:tcPr>
            <w:tcW w:w="47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17,857,902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56"/>
        </w:trPr>
        <w:tc>
          <w:tcPr>
            <w:tcW w:w="140" w:type="dxa"/>
            <w:vAlign w:val="bottom"/>
          </w:tcPr>
          <w:p>
            <w:pPr>
              <w:spacing w:after="0"/>
              <w:rPr>
                <w:sz w:val="22"/>
                <w:szCs w:val="22"/>
                <w:color w:val="auto"/>
              </w:rPr>
            </w:pPr>
          </w:p>
        </w:tc>
        <w:tc>
          <w:tcPr>
            <w:tcW w:w="5120" w:type="dxa"/>
            <w:vAlign w:val="bottom"/>
          </w:tcPr>
          <w:p>
            <w:pPr>
              <w:ind w:left="40"/>
              <w:spacing w:after="0" w:line="256" w:lineRule="exact"/>
              <w:rPr>
                <w:sz w:val="20"/>
                <w:szCs w:val="20"/>
                <w:color w:val="auto"/>
              </w:rPr>
            </w:pPr>
            <w:r>
              <w:rPr>
                <w:rFonts w:ascii="Times New Roman" w:cs="Times New Roman" w:eastAsia="Times New Roman" w:hAnsi="Times New Roman"/>
                <w:sz w:val="18"/>
                <w:szCs w:val="18"/>
                <w:color w:val="auto"/>
              </w:rPr>
              <w:t>Entities affiliated with Alyeska Investment Group, L.P.</w:t>
            </w:r>
            <w:r>
              <w:rPr>
                <w:rFonts w:ascii="Times New Roman" w:cs="Times New Roman" w:eastAsia="Times New Roman" w:hAnsi="Times New Roman"/>
                <w:sz w:val="29"/>
                <w:szCs w:val="29"/>
                <w:color w:val="auto"/>
                <w:vertAlign w:val="superscript"/>
              </w:rPr>
              <w:t>(5)</w:t>
            </w:r>
          </w:p>
        </w:tc>
        <w:tc>
          <w:tcPr>
            <w:tcW w:w="47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11,695,906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57"/>
        </w:trPr>
        <w:tc>
          <w:tcPr>
            <w:tcW w:w="140" w:type="dxa"/>
            <w:vAlign w:val="bottom"/>
            <w:shd w:val="clear" w:color="auto" w:fill="CCEEFF"/>
          </w:tcPr>
          <w:p>
            <w:pPr>
              <w:spacing w:after="0"/>
              <w:rPr>
                <w:sz w:val="22"/>
                <w:szCs w:val="22"/>
                <w:color w:val="auto"/>
              </w:rPr>
            </w:pPr>
          </w:p>
        </w:tc>
        <w:tc>
          <w:tcPr>
            <w:tcW w:w="5120" w:type="dxa"/>
            <w:vAlign w:val="bottom"/>
            <w:shd w:val="clear" w:color="auto" w:fill="CCEEFF"/>
          </w:tcPr>
          <w:p>
            <w:pPr>
              <w:ind w:left="40"/>
              <w:spacing w:after="0" w:line="256" w:lineRule="exact"/>
              <w:rPr>
                <w:sz w:val="20"/>
                <w:szCs w:val="20"/>
                <w:color w:val="auto"/>
              </w:rPr>
            </w:pPr>
            <w:r>
              <w:rPr>
                <w:rFonts w:ascii="Times New Roman" w:cs="Times New Roman" w:eastAsia="Times New Roman" w:hAnsi="Times New Roman"/>
                <w:sz w:val="18"/>
                <w:szCs w:val="18"/>
                <w:color w:val="auto"/>
              </w:rPr>
              <w:t>Entities affiliated with Kline Hill</w:t>
            </w:r>
            <w:r>
              <w:rPr>
                <w:rFonts w:ascii="Times New Roman" w:cs="Times New Roman" w:eastAsia="Times New Roman" w:hAnsi="Times New Roman"/>
                <w:sz w:val="29"/>
                <w:szCs w:val="29"/>
                <w:color w:val="auto"/>
                <w:vertAlign w:val="superscript"/>
              </w:rPr>
              <w:t>(6)</w:t>
            </w:r>
          </w:p>
        </w:tc>
        <w:tc>
          <w:tcPr>
            <w:tcW w:w="47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7,299,695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56"/>
        </w:trPr>
        <w:tc>
          <w:tcPr>
            <w:tcW w:w="140" w:type="dxa"/>
            <w:vAlign w:val="bottom"/>
          </w:tcPr>
          <w:p>
            <w:pPr>
              <w:spacing w:after="0"/>
              <w:rPr>
                <w:sz w:val="22"/>
                <w:szCs w:val="22"/>
                <w:color w:val="auto"/>
              </w:rPr>
            </w:pPr>
          </w:p>
        </w:tc>
        <w:tc>
          <w:tcPr>
            <w:tcW w:w="5120" w:type="dxa"/>
            <w:vAlign w:val="bottom"/>
          </w:tcPr>
          <w:p>
            <w:pPr>
              <w:ind w:left="40"/>
              <w:spacing w:after="0" w:line="256" w:lineRule="exact"/>
              <w:rPr>
                <w:sz w:val="20"/>
                <w:szCs w:val="20"/>
                <w:color w:val="auto"/>
              </w:rPr>
            </w:pPr>
            <w:r>
              <w:rPr>
                <w:rFonts w:ascii="Times New Roman" w:cs="Times New Roman" w:eastAsia="Times New Roman" w:hAnsi="Times New Roman"/>
                <w:sz w:val="18"/>
                <w:szCs w:val="18"/>
                <w:color w:val="auto"/>
              </w:rPr>
              <w:t>Entities affiliated with Carlyle Group</w:t>
            </w:r>
            <w:r>
              <w:rPr>
                <w:rFonts w:ascii="Times New Roman" w:cs="Times New Roman" w:eastAsia="Times New Roman" w:hAnsi="Times New Roman"/>
                <w:sz w:val="29"/>
                <w:szCs w:val="29"/>
                <w:color w:val="auto"/>
                <w:vertAlign w:val="superscript"/>
              </w:rPr>
              <w:t>(7)</w:t>
            </w:r>
          </w:p>
        </w:tc>
        <w:tc>
          <w:tcPr>
            <w:tcW w:w="47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7,211,351</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Officers and Incumbent Directors and Director Nominees:</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40" w:type="dxa"/>
            <w:vAlign w:val="bottom"/>
          </w:tcPr>
          <w:p>
            <w:pPr>
              <w:spacing w:after="0"/>
              <w:rPr>
                <w:sz w:val="22"/>
                <w:szCs w:val="22"/>
                <w:color w:val="auto"/>
              </w:rPr>
            </w:pPr>
          </w:p>
        </w:tc>
        <w:tc>
          <w:tcPr>
            <w:tcW w:w="5120" w:type="dxa"/>
            <w:vAlign w:val="bottom"/>
          </w:tcPr>
          <w:p>
            <w:pPr>
              <w:ind w:left="40"/>
              <w:spacing w:after="0" w:line="256" w:lineRule="exact"/>
              <w:rPr>
                <w:sz w:val="20"/>
                <w:szCs w:val="20"/>
                <w:color w:val="auto"/>
              </w:rPr>
            </w:pPr>
            <w:r>
              <w:rPr>
                <w:rFonts w:ascii="Times New Roman" w:cs="Times New Roman" w:eastAsia="Times New Roman" w:hAnsi="Times New Roman"/>
                <w:sz w:val="18"/>
                <w:szCs w:val="18"/>
                <w:color w:val="auto"/>
              </w:rPr>
              <w:t>Thurman J.(T.J.) Rodgers</w:t>
            </w:r>
            <w:r>
              <w:rPr>
                <w:rFonts w:ascii="Times New Roman" w:cs="Times New Roman" w:eastAsia="Times New Roman" w:hAnsi="Times New Roman"/>
                <w:sz w:val="29"/>
                <w:szCs w:val="29"/>
                <w:color w:val="auto"/>
                <w:vertAlign w:val="superscript"/>
              </w:rPr>
              <w:t>(3)</w:t>
            </w:r>
          </w:p>
        </w:tc>
        <w:tc>
          <w:tcPr>
            <w:tcW w:w="47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52,224,701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57"/>
        </w:trPr>
        <w:tc>
          <w:tcPr>
            <w:tcW w:w="140" w:type="dxa"/>
            <w:vAlign w:val="bottom"/>
            <w:shd w:val="clear" w:color="auto" w:fill="CCEEFF"/>
          </w:tcPr>
          <w:p>
            <w:pPr>
              <w:spacing w:after="0"/>
              <w:rPr>
                <w:sz w:val="22"/>
                <w:szCs w:val="22"/>
                <w:color w:val="auto"/>
              </w:rPr>
            </w:pPr>
          </w:p>
        </w:tc>
        <w:tc>
          <w:tcPr>
            <w:tcW w:w="5120" w:type="dxa"/>
            <w:vAlign w:val="bottom"/>
            <w:shd w:val="clear" w:color="auto" w:fill="CCEEFF"/>
          </w:tcPr>
          <w:p>
            <w:pPr>
              <w:ind w:left="40"/>
              <w:spacing w:after="0" w:line="256" w:lineRule="exact"/>
              <w:rPr>
                <w:sz w:val="20"/>
                <w:szCs w:val="20"/>
                <w:color w:val="auto"/>
              </w:rPr>
            </w:pPr>
            <w:r>
              <w:rPr>
                <w:rFonts w:ascii="Times New Roman" w:cs="Times New Roman" w:eastAsia="Times New Roman" w:hAnsi="Times New Roman"/>
                <w:sz w:val="18"/>
                <w:szCs w:val="18"/>
                <w:color w:val="auto"/>
              </w:rPr>
              <w:t>William J. Anderson</w:t>
            </w:r>
            <w:r>
              <w:rPr>
                <w:rFonts w:ascii="Times New Roman" w:cs="Times New Roman" w:eastAsia="Times New Roman" w:hAnsi="Times New Roman"/>
                <w:sz w:val="29"/>
                <w:szCs w:val="29"/>
                <w:color w:val="auto"/>
                <w:vertAlign w:val="superscript"/>
              </w:rPr>
              <w:t>(8)</w:t>
            </w:r>
          </w:p>
        </w:tc>
        <w:tc>
          <w:tcPr>
            <w:tcW w:w="47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2,953,083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56"/>
        </w:trPr>
        <w:tc>
          <w:tcPr>
            <w:tcW w:w="140" w:type="dxa"/>
            <w:vAlign w:val="bottom"/>
          </w:tcPr>
          <w:p>
            <w:pPr>
              <w:spacing w:after="0"/>
              <w:rPr>
                <w:sz w:val="22"/>
                <w:szCs w:val="22"/>
                <w:color w:val="auto"/>
              </w:rPr>
            </w:pPr>
          </w:p>
        </w:tc>
        <w:tc>
          <w:tcPr>
            <w:tcW w:w="5120" w:type="dxa"/>
            <w:vAlign w:val="bottom"/>
          </w:tcPr>
          <w:p>
            <w:pPr>
              <w:ind w:left="40"/>
              <w:spacing w:after="0" w:line="256" w:lineRule="exact"/>
              <w:rPr>
                <w:sz w:val="20"/>
                <w:szCs w:val="20"/>
                <w:color w:val="auto"/>
              </w:rPr>
            </w:pPr>
            <w:r>
              <w:rPr>
                <w:rFonts w:ascii="Times New Roman" w:cs="Times New Roman" w:eastAsia="Times New Roman" w:hAnsi="Times New Roman"/>
                <w:sz w:val="18"/>
                <w:szCs w:val="18"/>
                <w:color w:val="auto"/>
              </w:rPr>
              <w:t>Antonio R. Alvarez</w:t>
            </w:r>
            <w:r>
              <w:rPr>
                <w:rFonts w:ascii="Times New Roman" w:cs="Times New Roman" w:eastAsia="Times New Roman" w:hAnsi="Times New Roman"/>
                <w:sz w:val="29"/>
                <w:szCs w:val="29"/>
                <w:color w:val="auto"/>
                <w:vertAlign w:val="superscript"/>
              </w:rPr>
              <w:t>(9)</w:t>
            </w:r>
          </w:p>
        </w:tc>
        <w:tc>
          <w:tcPr>
            <w:tcW w:w="47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201,029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40" w:type="dxa"/>
            <w:vAlign w:val="bottom"/>
            <w:shd w:val="clear" w:color="auto" w:fill="CCEEFF"/>
          </w:tcPr>
          <w:p>
            <w:pPr>
              <w:spacing w:after="0"/>
              <w:rPr>
                <w:sz w:val="22"/>
                <w:szCs w:val="22"/>
                <w:color w:val="auto"/>
              </w:rPr>
            </w:pPr>
          </w:p>
        </w:tc>
        <w:tc>
          <w:tcPr>
            <w:tcW w:w="5120" w:type="dxa"/>
            <w:vAlign w:val="bottom"/>
            <w:shd w:val="clear" w:color="auto" w:fill="CCEEFF"/>
          </w:tcPr>
          <w:p>
            <w:pPr>
              <w:ind w:left="40"/>
              <w:spacing w:after="0" w:line="256" w:lineRule="exact"/>
              <w:rPr>
                <w:sz w:val="20"/>
                <w:szCs w:val="20"/>
                <w:color w:val="auto"/>
              </w:rPr>
            </w:pPr>
            <w:r>
              <w:rPr>
                <w:rFonts w:ascii="Times New Roman" w:cs="Times New Roman" w:eastAsia="Times New Roman" w:hAnsi="Times New Roman"/>
                <w:sz w:val="18"/>
                <w:szCs w:val="18"/>
                <w:color w:val="auto"/>
              </w:rPr>
              <w:t>Daniel Foley</w:t>
            </w:r>
            <w:r>
              <w:rPr>
                <w:rFonts w:ascii="Times New Roman" w:cs="Times New Roman" w:eastAsia="Times New Roman" w:hAnsi="Times New Roman"/>
                <w:sz w:val="29"/>
                <w:szCs w:val="29"/>
                <w:color w:val="auto"/>
                <w:vertAlign w:val="superscript"/>
              </w:rPr>
              <w:t>(10)</w:t>
            </w:r>
          </w:p>
        </w:tc>
        <w:tc>
          <w:tcPr>
            <w:tcW w:w="47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77,441</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140" w:type="dxa"/>
            <w:vAlign w:val="bottom"/>
          </w:tcPr>
          <w:p>
            <w:pPr>
              <w:spacing w:after="0"/>
              <w:rPr>
                <w:sz w:val="22"/>
                <w:szCs w:val="22"/>
                <w:color w:val="auto"/>
              </w:rPr>
            </w:pPr>
          </w:p>
        </w:tc>
        <w:tc>
          <w:tcPr>
            <w:tcW w:w="5120" w:type="dxa"/>
            <w:vAlign w:val="bottom"/>
          </w:tcPr>
          <w:p>
            <w:pPr>
              <w:ind w:left="40"/>
              <w:spacing w:after="0" w:line="256" w:lineRule="exact"/>
              <w:rPr>
                <w:sz w:val="20"/>
                <w:szCs w:val="20"/>
                <w:color w:val="auto"/>
              </w:rPr>
            </w:pPr>
            <w:r>
              <w:rPr>
                <w:rFonts w:ascii="Times New Roman" w:cs="Times New Roman" w:eastAsia="Times New Roman" w:hAnsi="Times New Roman"/>
                <w:sz w:val="18"/>
                <w:szCs w:val="18"/>
                <w:color w:val="auto"/>
              </w:rPr>
              <w:t>Devin Whatley</w:t>
            </w:r>
            <w:r>
              <w:rPr>
                <w:rFonts w:ascii="Times New Roman" w:cs="Times New Roman" w:eastAsia="Times New Roman" w:hAnsi="Times New Roman"/>
                <w:sz w:val="29"/>
                <w:szCs w:val="29"/>
                <w:color w:val="auto"/>
                <w:vertAlign w:val="superscript"/>
              </w:rPr>
              <w:t>(2)</w:t>
            </w:r>
          </w:p>
        </w:tc>
        <w:tc>
          <w:tcPr>
            <w:tcW w:w="47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8,591,602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57"/>
        </w:trPr>
        <w:tc>
          <w:tcPr>
            <w:tcW w:w="140" w:type="dxa"/>
            <w:vAlign w:val="bottom"/>
            <w:shd w:val="clear" w:color="auto" w:fill="CCEEFF"/>
          </w:tcPr>
          <w:p>
            <w:pPr>
              <w:spacing w:after="0"/>
              <w:rPr>
                <w:sz w:val="22"/>
                <w:szCs w:val="22"/>
                <w:color w:val="auto"/>
              </w:rPr>
            </w:pPr>
          </w:p>
        </w:tc>
        <w:tc>
          <w:tcPr>
            <w:tcW w:w="5120" w:type="dxa"/>
            <w:vAlign w:val="bottom"/>
            <w:shd w:val="clear" w:color="auto" w:fill="CCEEFF"/>
          </w:tcPr>
          <w:p>
            <w:pPr>
              <w:ind w:left="40"/>
              <w:spacing w:after="0" w:line="256" w:lineRule="exact"/>
              <w:rPr>
                <w:sz w:val="20"/>
                <w:szCs w:val="20"/>
                <w:color w:val="auto"/>
              </w:rPr>
            </w:pPr>
            <w:r>
              <w:rPr>
                <w:rFonts w:ascii="Times New Roman" w:cs="Times New Roman" w:eastAsia="Times New Roman" w:hAnsi="Times New Roman"/>
                <w:sz w:val="18"/>
                <w:szCs w:val="18"/>
                <w:color w:val="auto"/>
              </w:rPr>
              <w:t>Tidjane Thiam</w:t>
            </w:r>
            <w:r>
              <w:rPr>
                <w:rFonts w:ascii="Times New Roman" w:cs="Times New Roman" w:eastAsia="Times New Roman" w:hAnsi="Times New Roman"/>
                <w:sz w:val="29"/>
                <w:szCs w:val="29"/>
                <w:color w:val="auto"/>
                <w:vertAlign w:val="superscript"/>
              </w:rPr>
              <w:t>(11)</w:t>
            </w:r>
          </w:p>
        </w:tc>
        <w:tc>
          <w:tcPr>
            <w:tcW w:w="47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292,825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140" w:type="dxa"/>
            <w:vAlign w:val="bottom"/>
          </w:tcPr>
          <w:p>
            <w:pPr>
              <w:spacing w:after="0"/>
              <w:rPr>
                <w:sz w:val="22"/>
                <w:szCs w:val="22"/>
                <w:color w:val="auto"/>
              </w:rPr>
            </w:pPr>
          </w:p>
        </w:tc>
        <w:tc>
          <w:tcPr>
            <w:tcW w:w="5120" w:type="dxa"/>
            <w:vAlign w:val="bottom"/>
          </w:tcPr>
          <w:p>
            <w:pPr>
              <w:ind w:left="40"/>
              <w:spacing w:after="0" w:line="256" w:lineRule="exact"/>
              <w:rPr>
                <w:sz w:val="20"/>
                <w:szCs w:val="20"/>
                <w:color w:val="auto"/>
              </w:rPr>
            </w:pPr>
            <w:r>
              <w:rPr>
                <w:rFonts w:ascii="Times New Roman" w:cs="Times New Roman" w:eastAsia="Times New Roman" w:hAnsi="Times New Roman"/>
                <w:sz w:val="18"/>
                <w:szCs w:val="18"/>
                <w:color w:val="auto"/>
              </w:rPr>
              <w:t>Adam Gishen</w:t>
            </w:r>
            <w:r>
              <w:rPr>
                <w:rFonts w:ascii="Times New Roman" w:cs="Times New Roman" w:eastAsia="Times New Roman" w:hAnsi="Times New Roman"/>
                <w:sz w:val="29"/>
                <w:szCs w:val="29"/>
                <w:color w:val="auto"/>
                <w:vertAlign w:val="superscript"/>
              </w:rPr>
              <w:t>(12)</w:t>
            </w:r>
          </w:p>
        </w:tc>
        <w:tc>
          <w:tcPr>
            <w:tcW w:w="47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864,686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40" w:type="dxa"/>
            <w:vAlign w:val="bottom"/>
            <w:shd w:val="clear" w:color="auto" w:fill="CCEEFF"/>
          </w:tcPr>
          <w:p>
            <w:pPr>
              <w:spacing w:after="0"/>
              <w:rPr>
                <w:sz w:val="22"/>
                <w:szCs w:val="22"/>
                <w:color w:val="auto"/>
              </w:rPr>
            </w:pPr>
          </w:p>
        </w:tc>
        <w:tc>
          <w:tcPr>
            <w:tcW w:w="5120" w:type="dxa"/>
            <w:vAlign w:val="bottom"/>
            <w:shd w:val="clear" w:color="auto" w:fill="CCEEFF"/>
          </w:tcPr>
          <w:p>
            <w:pPr>
              <w:ind w:left="40"/>
              <w:spacing w:after="0" w:line="256" w:lineRule="exact"/>
              <w:rPr>
                <w:sz w:val="20"/>
                <w:szCs w:val="20"/>
                <w:color w:val="auto"/>
              </w:rPr>
            </w:pPr>
            <w:r>
              <w:rPr>
                <w:rFonts w:ascii="Times New Roman" w:cs="Times New Roman" w:eastAsia="Times New Roman" w:hAnsi="Times New Roman"/>
                <w:sz w:val="18"/>
                <w:szCs w:val="18"/>
                <w:color w:val="auto"/>
              </w:rPr>
              <w:t>Ronald Pasek</w:t>
            </w:r>
            <w:r>
              <w:rPr>
                <w:rFonts w:ascii="Times New Roman" w:cs="Times New Roman" w:eastAsia="Times New Roman" w:hAnsi="Times New Roman"/>
                <w:sz w:val="29"/>
                <w:szCs w:val="29"/>
                <w:color w:val="auto"/>
                <w:vertAlign w:val="superscript"/>
              </w:rPr>
              <w:t>(13)</w:t>
            </w:r>
          </w:p>
        </w:tc>
        <w:tc>
          <w:tcPr>
            <w:tcW w:w="47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225,459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5120" w:type="dxa"/>
            <w:vAlign w:val="bottom"/>
          </w:tcPr>
          <w:p>
            <w:pPr>
              <w:ind w:left="40"/>
              <w:spacing w:after="0" w:line="256" w:lineRule="exact"/>
              <w:rPr>
                <w:sz w:val="20"/>
                <w:szCs w:val="20"/>
                <w:color w:val="auto"/>
              </w:rPr>
            </w:pPr>
            <w:r>
              <w:rPr>
                <w:rFonts w:ascii="Times New Roman" w:cs="Times New Roman" w:eastAsia="Times New Roman" w:hAnsi="Times New Roman"/>
                <w:sz w:val="18"/>
                <w:szCs w:val="18"/>
                <w:color w:val="auto"/>
              </w:rPr>
              <w:t>Chris Lundell</w:t>
            </w:r>
            <w:r>
              <w:rPr>
                <w:rFonts w:ascii="Times New Roman" w:cs="Times New Roman" w:eastAsia="Times New Roman" w:hAnsi="Times New Roman"/>
                <w:sz w:val="29"/>
                <w:szCs w:val="29"/>
                <w:color w:val="auto"/>
                <w:vertAlign w:val="superscript"/>
              </w:rPr>
              <w:t>(14)</w:t>
            </w:r>
          </w:p>
        </w:tc>
        <w:tc>
          <w:tcPr>
            <w:tcW w:w="47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396,714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140" w:type="dxa"/>
            <w:vAlign w:val="bottom"/>
            <w:shd w:val="clear" w:color="auto" w:fill="CCEEFF"/>
          </w:tcPr>
          <w:p>
            <w:pPr>
              <w:spacing w:after="0"/>
              <w:rPr>
                <w:sz w:val="22"/>
                <w:szCs w:val="22"/>
                <w:color w:val="auto"/>
              </w:rPr>
            </w:pPr>
          </w:p>
        </w:tc>
        <w:tc>
          <w:tcPr>
            <w:tcW w:w="5120" w:type="dxa"/>
            <w:vAlign w:val="bottom"/>
            <w:shd w:val="clear" w:color="auto" w:fill="CCEEFF"/>
          </w:tcPr>
          <w:p>
            <w:pPr>
              <w:ind w:left="40"/>
              <w:spacing w:after="0" w:line="256" w:lineRule="exact"/>
              <w:rPr>
                <w:sz w:val="20"/>
                <w:szCs w:val="20"/>
                <w:color w:val="auto"/>
              </w:rPr>
            </w:pPr>
            <w:r>
              <w:rPr>
                <w:rFonts w:ascii="Times New Roman" w:cs="Times New Roman" w:eastAsia="Times New Roman" w:hAnsi="Times New Roman"/>
                <w:sz w:val="18"/>
                <w:szCs w:val="18"/>
                <w:color w:val="auto"/>
              </w:rPr>
              <w:t>Lothar Maier</w:t>
            </w:r>
            <w:r>
              <w:rPr>
                <w:rFonts w:ascii="Times New Roman" w:cs="Times New Roman" w:eastAsia="Times New Roman" w:hAnsi="Times New Roman"/>
                <w:sz w:val="29"/>
                <w:szCs w:val="29"/>
                <w:color w:val="auto"/>
                <w:vertAlign w:val="superscript"/>
              </w:rPr>
              <w:t>(15)</w:t>
            </w:r>
          </w:p>
        </w:tc>
        <w:tc>
          <w:tcPr>
            <w:tcW w:w="47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243,169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140" w:type="dxa"/>
            <w:vAlign w:val="bottom"/>
          </w:tcPr>
          <w:p>
            <w:pPr>
              <w:spacing w:after="0"/>
              <w:rPr>
                <w:sz w:val="22"/>
                <w:szCs w:val="22"/>
                <w:color w:val="auto"/>
              </w:rPr>
            </w:pPr>
          </w:p>
        </w:tc>
        <w:tc>
          <w:tcPr>
            <w:tcW w:w="5120" w:type="dxa"/>
            <w:vAlign w:val="bottom"/>
          </w:tcPr>
          <w:p>
            <w:pPr>
              <w:ind w:left="40"/>
              <w:spacing w:after="0" w:line="256" w:lineRule="exact"/>
              <w:rPr>
                <w:sz w:val="20"/>
                <w:szCs w:val="20"/>
                <w:color w:val="auto"/>
              </w:rPr>
            </w:pPr>
            <w:r>
              <w:rPr>
                <w:rFonts w:ascii="Times New Roman" w:cs="Times New Roman" w:eastAsia="Times New Roman" w:hAnsi="Times New Roman"/>
                <w:sz w:val="18"/>
                <w:szCs w:val="18"/>
                <w:color w:val="auto"/>
              </w:rPr>
              <w:t>J. Daniel McCranie</w:t>
            </w:r>
            <w:r>
              <w:rPr>
                <w:rFonts w:ascii="Times New Roman" w:cs="Times New Roman" w:eastAsia="Times New Roman" w:hAnsi="Times New Roman"/>
                <w:sz w:val="29"/>
                <w:szCs w:val="29"/>
                <w:color w:val="auto"/>
                <w:vertAlign w:val="superscript"/>
              </w:rPr>
              <w:t>(16)</w:t>
            </w:r>
          </w:p>
        </w:tc>
        <w:tc>
          <w:tcPr>
            <w:tcW w:w="47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1,681,765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5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Jamie Haenggi</w:t>
            </w:r>
          </w:p>
        </w:tc>
        <w:tc>
          <w:tcPr>
            <w:tcW w:w="47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Bernard Gutmann</w:t>
            </w:r>
          </w:p>
        </w:tc>
        <w:tc>
          <w:tcPr>
            <w:tcW w:w="47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140" w:type="dxa"/>
            <w:vAlign w:val="bottom"/>
            <w:shd w:val="clear" w:color="auto" w:fill="CCEEFF"/>
          </w:tcPr>
          <w:p>
            <w:pPr>
              <w:spacing w:after="0"/>
              <w:rPr>
                <w:sz w:val="22"/>
                <w:szCs w:val="22"/>
                <w:color w:val="auto"/>
              </w:rPr>
            </w:pPr>
          </w:p>
        </w:tc>
        <w:tc>
          <w:tcPr>
            <w:tcW w:w="5120" w:type="dxa"/>
            <w:vAlign w:val="bottom"/>
            <w:shd w:val="clear" w:color="auto" w:fill="CCEEFF"/>
          </w:tcPr>
          <w:p>
            <w:pPr>
              <w:ind w:left="40"/>
              <w:spacing w:after="0" w:line="256" w:lineRule="exact"/>
              <w:rPr>
                <w:sz w:val="20"/>
                <w:szCs w:val="20"/>
                <w:color w:val="auto"/>
              </w:rPr>
            </w:pPr>
            <w:r>
              <w:rPr>
                <w:rFonts w:ascii="Times New Roman" w:cs="Times New Roman" w:eastAsia="Times New Roman" w:hAnsi="Times New Roman"/>
                <w:sz w:val="18"/>
                <w:szCs w:val="18"/>
                <w:color w:val="auto"/>
              </w:rPr>
              <w:t>Jeanne Nguyen</w:t>
            </w:r>
            <w:r>
              <w:rPr>
                <w:rFonts w:ascii="Times New Roman" w:cs="Times New Roman" w:eastAsia="Times New Roman" w:hAnsi="Times New Roman"/>
                <w:sz w:val="29"/>
                <w:szCs w:val="29"/>
                <w:color w:val="auto"/>
                <w:vertAlign w:val="superscript"/>
              </w:rPr>
              <w:t>(16)</w:t>
            </w:r>
          </w:p>
        </w:tc>
        <w:tc>
          <w:tcPr>
            <w:tcW w:w="47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114,012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 Directors and executive officers as a group (14 persons)</w:t>
            </w:r>
          </w:p>
        </w:tc>
        <w:tc>
          <w:tcPr>
            <w:tcW w:w="47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67,866,486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414"/>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than one percent.</w:t>
            </w: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14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jc w:val="right"/>
              <w:ind w:right="273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03" w:name="page104"/>
    <w:bookmarkEnd w:id="103"/>
    <w:p>
      <w:pPr>
        <w:ind w:left="380" w:right="20" w:hanging="372"/>
        <w:spacing w:after="0" w:line="282" w:lineRule="auto"/>
        <w:tabs>
          <w:tab w:leader="none" w:pos="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directors and executive officers of the Company listed in the table is c/o SunPower Inc., 1403 N. Research Way, Orem, UT 84097.</w:t>
      </w:r>
    </w:p>
    <w:p>
      <w:pPr>
        <w:spacing w:after="0" w:line="16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5,832,054 shares held by Ecosystem Integrity Fund II, L.P., of which Mr. Devin Whatley is the managing member of the general partner,</w:t>
      </w:r>
    </w:p>
    <w:p>
      <w:pPr>
        <w:spacing w:after="0" w:line="27" w:lineRule="exact"/>
        <w:rPr>
          <w:rFonts w:ascii="Times New Roman" w:cs="Times New Roman" w:eastAsia="Times New Roman" w:hAnsi="Times New Roman"/>
          <w:sz w:val="18"/>
          <w:szCs w:val="18"/>
          <w:color w:val="auto"/>
        </w:rPr>
      </w:pPr>
    </w:p>
    <w:p>
      <w:pPr>
        <w:jc w:val="both"/>
        <w:ind w:left="400" w:hanging="1"/>
        <w:spacing w:after="0" w:line="253" w:lineRule="auto"/>
        <w:tabs>
          <w:tab w:leader="none" w:pos="67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198,346 shares held by EIF CS SPV LLC, and (iii) 2,369,253 shares issuable pursuant to warrants exercisable within 60 days of May 15, 2026. Mr. Whatley serves as a director of the Company. The business address of each of Ecosystem Integrity Fund II, L.P., EIF CS SPV LLC and Mr. Whatley is 20 Richelle Court, Lafayette, California 94549. In the case of Mr. Whatley, also includes (i) 103,825 shares of common stock issuable upon settlement of restricted stock units, and (ii) 88,124 shares issuable pursuant to stock options exercisable within 60 days of May 15, 2026.</w:t>
      </w:r>
    </w:p>
    <w:p>
      <w:pPr>
        <w:spacing w:after="0" w:line="188"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485,562 shares held by Rodgers Capital, LLC, (ii) 8,842 shares held by Thurman J. Rodgers, (iii) 21,590,490 shares held by the Rodgers Massey Revocable Living Trust, (iv) 1,838,235 shares held by the Rodgers Massey Freedom and Free Markets Charitable Trust, (v) 463,589 shares held by the T.J. Rodgers 2012 Irrevocable Trust dtd 12/26/12, (vi) 463,589 shares held by the Valeta Massey 2012 Irrevocable Trust dtd 12/26/12, (vii) 724,416 shares issuable pursuant to warrants exercisable within 60 days of May 15, 2026, and (viii) 116,601 shares issuable pursuant to stock options and restricted stock units exercisable or settleable within 60 days of May 15, 2026. Additionally, the number of shares reflected in the table above includes shares issuable upon conversion of the following convertible notes: (a) the Rodgers Massey Revocable Living Trust holds $18,000,000 principal amount of 12% Notes convertible into 10,714,285 shares of common stock, (b) the Rodgers Massey Revocable Living Trust and the Rodgers Massey Freedom and Free Markets Charitable Trust hold an aggregate of $8,000,000 principal amount of 7% Notes convertible into a total of 4,678,362 shares of common stock, (c) the Rodgers Massey Revocable Living Trust holds $5,000,000 principal amount of 12% Notes issued in July 2025 that are convertible into 2,793,296 shares of common stock, (d) the Rodgers Massey Freedom and Free Markets Charitable Trust holds an additional $2,000,000 principal amount of 12% Notes issued in November 2025 that are convertible into 1,253,918 shares of common stock, (e) the Rodgers Massey Freedom and Free Markets Charitable Trust holds an additional $3,300,000 principal amount of 12% Notes issued in January 2026 that are convertible into 1,783,783 shares of common stock; (f) the Rodgers Massey Freedom and Free Markets Charitable Trust holds $1,000,000 principal amount of the 10% Notes that are convertible into 884,955 shares of common stock; and (g) the Rodgers Massey Revocable Living Trust holds $5,000,000 principal amount of the 10% Notes that are convertible into 4,424,778 shares of common stock.</w:t>
      </w:r>
    </w:p>
    <w:p>
      <w:pPr>
        <w:spacing w:after="0" w:line="19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9,008,345 shares of common stock and 8,849,557 shares of common stock issuable upon conversion of 10.0% Notes held by the Chick Parm Pizza LLC. The business address of Chicken Parm Pizza LLC is 1750 West 11400 South, Suite 110, South Jordan, Utah 84095.</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58" w:lineRule="auto"/>
        <w:tabs>
          <w:tab w:leader="none" w:pos="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common stock issuable upon conversion of the 7% Notes. Alyeska Investment Group, L.P., the investment manager of Alyeska Master Fund, L.P. (“Alyeska”), has voting and investment control of the shares held by Alyeska. Anand Parekh is the Chief Executive Officer of Alyeska Investment Group, L.P. and may be deemed to be the beneficial owner of such shares. The registered address of Alyeska Master Fund, L.P. is c/o Maples Corporate Services Limited, P.O. Box 309, Ugland House, South Church Street George Town, Grand Cayman, KY1-1104, Cayman Islands. Alyeska Investment Group, L.P. is located at 77 W. Wacker, Suite 700, Chicago, IL 60601.</w:t>
      </w:r>
    </w:p>
    <w:p>
      <w:pPr>
        <w:spacing w:after="0" w:line="183"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obtained from a Schedule 13G filed by KHP Fund GP LLC (“KHP Fund GP”) on February 5, 2025. Includes (i) an aggregate of 2,383,534 shares of common stock held by Kline Hill Partners Fund LP (“KHP LP”), Kline Hill Partners IV SPV LLC (“KHP IV SPV”) and Kline Hill Partners Opportunity IV SPV LLC (“KHP Opportunity IV SPV”), (ii) an aggregate of 4,745,675 shares of common stock issuable upon the conversion of the outstanding convertible promissory notes held by KHP LP, KHP IV SPV and KHP Opportunity IV SPV and (iii) an aggregate of 170,486 shares of common stock issuable upon the exercise of warrants held by KHP LP, KHP IV SPV and KHP Opportunity IV SPV. KHP Fund GP is the general partner of KHP LP and may be deemed to share voting, investment and dispositive power with respect to these securities. Kline Hill Partners Fund IV LP (“KHP IV LP”) is the sole member of KHP IV SPV and may be deemed to share voting, investment and dispositive power with respect to these securities. KHP Fund IV GP is the general partner of KHP IV LP and may be deemed to share voting, investment and dispositive power with respect to these securities. KHP Opportunity IV LP is the sole member of KHP Opportunity IV SPV and may be deemed to share voting, investment and dispositive power with respect to these securities. KHP Fund IV GP is the general partner of KHP Opportunity IV LP and may be deemed to share voting, investment and dispositive power with respect to these securities. Michael Bego and Jared Barlow are the managing members of KHP Fund GP and KPH Fund IV GP and may be deemed to share voting, investment and dispositive power with respect to these securities. Other than those securities reported herein as being held directly by such securityholder, each of them disclaims any such beneficial ownership of such securities, except to the extent of their respective pecuniary interest. The business address for Kline Hill is 325 Greenwich Ave., 3rd Floor, Greenwich, CT 06830.</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4" w:name="page105"/>
    <w:bookmarkEnd w:id="104"/>
    <w:p>
      <w:pPr>
        <w:jc w:val="both"/>
        <w:ind w:left="380" w:hanging="372"/>
        <w:spacing w:after="0" w:line="252" w:lineRule="auto"/>
        <w:tabs>
          <w:tab w:leader="none" w:pos="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obtained from a Schedule 13G, as amended, filed by the Carlyle Group Inc. (“Carlyle”) and its affiliates on November 13, 2025. Includes (i) 1,258,970 shares of common stock held of record by CRSEF Solis Holdings, L.L.C. and (ii) 5,952,381 shares of common stock issuable upon the conversion of the 12% Notes held of record by CRSEF Solis Holdings, L.L.C. The Carlyle Group Inc., which is a publicly traded entity listed on Nasdaq, is the sole shareholder of Carlyle Holdings I GP Inc., which is the sole member of Carlyle Holdings I GP Sub L.L.C., which is the general partner of Carlyle Holdings I L.P., which, with respect to the securities managed by CRSEF Lux GP S.a r.l., is the managing member of CG Subsidiary Holdings L.L.C., which is the managing member of TC Group, L.L.C., which is the general partner of TC Group Sub L.P., which is the sole shareholder of CRSEF Lux GP S.a r.l., which is a general partner of Carlyle CRSEF Solis Aggregator, S.C.Sp. The Carlyle Group Inc. is also the sole member of Carlyle Holdings II GP L.L.C., which is the managing member of Carlyle Holdings II L.L.C., which, with respect to the securities managed by CRSEF Managing GP, L.P., is the managing member of CG Subsidiary Holdings L.L.C., which is the general partner of TC Group Cayman Investment Holdings, L.P., which is the general partner of TC Group Cayman Investment Holdings Sub L.P., which is the sole member of CRSEF GP, L.L.C., which is the general partner of CRSEF Managing GP, L.P., which is also a general partner of Carlyle CRSEF Solis Aggregator, S.C.Sp. Carlyle CRSEF Solis Aggregator, S.C.Sp. is the managing member of CRSEF Solis Holdings, L.L.C. Accordingly, each of the entities named above may be deemed to share beneficial ownership of the securities held of record by CRSEF Solis Holdings, L.L.C. Each of them disclaims any such beneficial ownership of such securities. The principal business office address for each of TC Group Cayman Investment Holdings, L.P. and TC Group Cayman Investment Holdings Sub L.P. is c/o Walkers Corporate Limited, 190 Elgin Avenue, George Town, Grand Cayman KY1-9008. The principal business office address for CRSEF Lux GP S.a r.l. is c/o The Carlyle Group, 2, avenue Charles de Gaulle, L-1653 Luxembourg, Luxembourg. The principal business office address for Carlyle CRSEF Solis Aggregator, S.C.Sp. is 9, rue de Bitbourg, L-1273 Luxembourg. The principal business office address for each of the remaining Reporting Persons is c/o The Carlyle Group Inc., 1001 Pennsylvania Avenue NW, Suite 220 South, Washington, DC 20004-2505.</w:t>
      </w:r>
    </w:p>
    <w:p>
      <w:pPr>
        <w:spacing w:after="0" w:line="190"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405,090 shares of common stock, (ii) 671,738 shares of common stock issued or issuable upon settlement of restricted stock units, (iii) 1,735,068 shares issuable pursuant to stock options exercisable within 60 days of May 15, 2026, and (iv) 141,187 shares issuable pursuant to warrants exercisable within 60 days of May 15, 2026.</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106,577 shares of common stock issued or issuable upon settlement of restricted stock units and (ii) 94,452 shares issuable pursuant to stock options exercisable within 60 days of May 15, 2026.</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77,441 shares of common stock.</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80,245 shares of common stock and 106,011 shares of common stock issued or issuable upon settlement of restricted stock units, (ii) 12,117 shares issuable pursuant to warrants exercisable within 60 days of May 15, 2026, and (iii) 94,452 shares issuable pursuant to stock options exercisable within 60 days of May 15, 2026.</w:t>
      </w:r>
    </w:p>
    <w:p>
      <w:pPr>
        <w:spacing w:after="0" w:line="17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174,515 shares of common stock and 110,656 shares of common stock issued or issuable upon settlement of restricted stock units, (ii) 480,000 shares issuable pursuant to warrants exercisable within 60 days of May 15, 2026, and (iii) 99,515 shares issuable pursuant to stock options exercisable within 60 days of May 15, 2026.</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112,022 shares of common stock issued or issuable upon settlement of restricted stock units and (ii) 113,437 shares issuable pursuant to stock options exercisable within 60 days of May 15, 2026.</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103,825 shares of common stock issued or issuable upon settlement of restricted stock units and (ii) 292,889 shares issuable pursuant to stock options exercisable within 60 days of May 15, 2026.</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243,169 shares of common stock issued or issuable upon settlement of restricted stock units.</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438,596 shares of common stock issuable upon conversion of $750,000 principal amount of 7% Notes held by the Dan and Kathy McCranie 2000 Revocable Trust, and (ii) 1,243,169 shares of common stock issued or issuable upon settlement of restricted stock units. Mr. McCranie serves as trustee of the Dan and Kathy McCranie 2000 Revocable Trust. Mr. McCranie disclaims any beneficial ownership of the reported shares other than to the extent of any pecuniary interest therein.</w:t>
      </w:r>
    </w:p>
    <w:p>
      <w:pPr>
        <w:spacing w:after="0" w:line="17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114,012 shares of common stock issued or issuable upon settlement of restricted stock units.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relates to the possible resale from time to time by the Selling Securityholder or its permitted transferees of up to 22,381,878 shares of common stock comprising the Commitment Shares and shares of common stock that may be issued by us to the Selling Securityholder upon conversion of the Promissory Note that was issued by us to the Selling Securityholder under the SEPA. For additional information relating to the Commitment Shares, the Promissory Note and the SEPA, see “THE OFFERING - The Standby Equity Purchase Agreement” in this prospectus.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registering the 22,381,878 shares of common stock comprising the Commitment Shares and shares of common stock that may be issued by us to the Selling Securityholder upon conversion of the Promissory Note pursuant to the provisions of the January 2026 YA RRA we entered into with Yorkville on January 27, 2026 in order to permit the Selling Securityholder to offer the shares for resale from time to time. Except for the transactions contemplated by the SEPA, the Promissory Note, the YA Debenture, the YA Debenture Purchase Agreement, the January 2026 YA RRA, the March 2026 RRA and the YA Letter or as otherwise disclosed in this prospectus, Yorkville has not had any material relationship with us within the past three years. As used in this prospectus, the term “Selling Securityholder” means YA II PN, Ltd.</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Selling Securityholder may not convert the Promissory Note or the YA Debenture for shares of common stock representing more than the 19.99% Exchange Cap limitation unless stockholder approval to exceed the Exchange Cap is obtained in accordance with Nasdaq rules. In addition, the Selling Securityholder may not convert the Promissory Note for shares of common stock if it would result in the Selling Securityholder beneficially owning more than 4.99% of the then-outstanding shares of our common stock.</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table below presents information regarding the Selling Securityholder and the shares of common stock that it may offer from time to time under this prospectus. This table is prepared based on information supplied to us by the Selling Securityholder, and reflects holdings as of May 15, 2026. The number of shares in the column “Maximum Number of Shares of Common Stock to be Offered Pursuant to this Prospectus” represents all of the shares of common stock that the Selling Securityholder may offer under this prospectus. The Selling Securityholder may sell some, all or none of its shares in this offering. We do not know how long the Selling Securityholder will hold the shares before selling them, and we currently have no agreements, arrangements or understandings with the Selling Securityholder regarding the sale of any of the shares.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13d-3(d) promulgated by the SEC under the Exchange Act, and includes shares of common stock with respect to which the Selling Securityholder has voting and investment power. The percentage of shares of common stock beneficially owned by the Selling Securityholder prior to the offering shown in the table below is based on an aggregate of 145,819,663 shares of our common stock outstanding on May 15, 2026. Because Yorkville may elect to convert the Promissory Note and the YA Debenture for shares of our common stock at its option and at varying prices, the actual number of shares of our common stock that we may issue to Yorkville under the Promissory Note and the YA Debenture may be fewer than the number of shares being offered for resale under this prospectus, or may be greater than the number of shares being offered for resale under this prospectus, in which case we may be obligated to file an additional registration statement or registration statements to register the resale of such additional shares. The fourth column assumes the sale of all of the shares offered by the Selling Securityholder pursuant to this prospectus.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6" w:name="page107"/>
    <w:bookmarkEnd w:id="106"/>
    <w:p>
      <w:pPr>
        <w:ind w:left="340"/>
        <w:spacing w:after="0"/>
        <w:rPr>
          <w:sz w:val="20"/>
          <w:szCs w:val="20"/>
          <w:color w:val="auto"/>
        </w:rPr>
      </w:pPr>
      <w:r>
        <w:rPr>
          <w:rFonts w:ascii="Times New Roman" w:cs="Times New Roman" w:eastAsia="Times New Roman" w:hAnsi="Times New Roman"/>
          <w:sz w:val="18"/>
          <w:szCs w:val="18"/>
          <w:color w:val="auto"/>
        </w:rPr>
        <w:t>Please see the section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further information regarding the stockholders’ method of distributing these shares.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Number of Shares of</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w w:val="97"/>
              </w:rPr>
              <w:t>Stock</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to be Offered</w:t>
            </w: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 Shares of</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Owned Prior to</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0" w:type="dxa"/>
            <w:vAlign w:val="bottom"/>
          </w:tcPr>
          <w:p>
            <w:pPr>
              <w:spacing w:after="0"/>
              <w:rPr>
                <w:sz w:val="1"/>
                <w:szCs w:val="1"/>
                <w:color w:val="auto"/>
              </w:rPr>
            </w:pPr>
          </w:p>
        </w:tc>
      </w:tr>
      <w:tr>
        <w:trPr>
          <w:trHeight w:val="245"/>
        </w:trPr>
        <w:tc>
          <w:tcPr>
            <w:tcW w:w="4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Owned After Offering</w:t>
            </w:r>
          </w:p>
        </w:tc>
        <w:tc>
          <w:tcPr>
            <w:tcW w:w="0" w:type="dxa"/>
            <w:vAlign w:val="bottom"/>
          </w:tcPr>
          <w:p>
            <w:pPr>
              <w:spacing w:after="0"/>
              <w:rPr>
                <w:sz w:val="1"/>
                <w:szCs w:val="1"/>
                <w:color w:val="auto"/>
              </w:rPr>
            </w:pPr>
          </w:p>
        </w:tc>
      </w:tr>
      <w:tr>
        <w:trPr>
          <w:trHeight w:val="26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380" w:type="dxa"/>
            <w:vAlign w:val="bottom"/>
            <w:tcBorders>
              <w:top w:val="single" w:sz="8" w:color="auto"/>
            </w:tcBorders>
            <w:gridSpan w:val="2"/>
          </w:tcPr>
          <w:p>
            <w:pPr>
              <w:ind w:left="160"/>
              <w:spacing w:after="0" w:line="256" w:lineRule="exact"/>
              <w:rPr>
                <w:sz w:val="20"/>
                <w:szCs w:val="20"/>
                <w:color w:val="auto"/>
              </w:rPr>
            </w:pPr>
            <w:r>
              <w:rPr>
                <w:rFonts w:ascii="Times New Roman" w:cs="Times New Roman" w:eastAsia="Times New Roman" w:hAnsi="Times New Roman"/>
                <w:sz w:val="18"/>
                <w:szCs w:val="18"/>
                <w:b w:val="1"/>
                <w:bCs w:val="1"/>
                <w:color w:val="auto"/>
              </w:rPr>
              <w:t>Number</w:t>
            </w:r>
            <w:r>
              <w:rPr>
                <w:rFonts w:ascii="Times New Roman" w:cs="Times New Roman" w:eastAsia="Times New Roman" w:hAnsi="Times New Roman"/>
                <w:sz w:val="29"/>
                <w:szCs w:val="29"/>
                <w:b w:val="1"/>
                <w:bCs w:val="1"/>
                <w:color w:val="auto"/>
                <w:vertAlign w:val="superscript"/>
              </w:rPr>
              <w:t>(1)</w:t>
            </w:r>
          </w:p>
        </w:tc>
        <w:tc>
          <w:tcPr>
            <w:tcW w:w="1000" w:type="dxa"/>
            <w:vAlign w:val="bottom"/>
            <w:tcBorders>
              <w:top w:val="single" w:sz="8" w:color="auto"/>
            </w:tcBorders>
          </w:tcPr>
          <w:p>
            <w:pPr>
              <w:ind w:left="180"/>
              <w:spacing w:after="0" w:line="256" w:lineRule="exact"/>
              <w:rPr>
                <w:sz w:val="20"/>
                <w:szCs w:val="20"/>
                <w:color w:val="auto"/>
              </w:rPr>
            </w:pPr>
            <w:r>
              <w:rPr>
                <w:rFonts w:ascii="Times New Roman" w:cs="Times New Roman" w:eastAsia="Times New Roman" w:hAnsi="Times New Roman"/>
                <w:sz w:val="18"/>
                <w:szCs w:val="18"/>
                <w:b w:val="1"/>
                <w:bCs w:val="1"/>
                <w:color w:val="auto"/>
                <w:w w:val="98"/>
              </w:rPr>
              <w:t>Percent</w:t>
            </w:r>
            <w:r>
              <w:rPr>
                <w:rFonts w:ascii="Times New Roman" w:cs="Times New Roman" w:eastAsia="Times New Roman" w:hAnsi="Times New Roman"/>
                <w:sz w:val="29"/>
                <w:szCs w:val="29"/>
                <w:b w:val="1"/>
                <w:bCs w:val="1"/>
                <w:color w:val="auto"/>
                <w:w w:val="98"/>
                <w:vertAlign w:val="superscript"/>
              </w:rPr>
              <w:t>(2)</w:t>
            </w:r>
          </w:p>
        </w:tc>
        <w:tc>
          <w:tcPr>
            <w:tcW w:w="14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Prospectus (3)</w:t>
            </w:r>
          </w:p>
        </w:tc>
        <w:tc>
          <w:tcPr>
            <w:tcW w:w="1320" w:type="dxa"/>
            <w:vAlign w:val="bottom"/>
            <w:tcBorders>
              <w:top w:val="single" w:sz="8" w:color="auto"/>
            </w:tcBorders>
            <w:gridSpan w:val="2"/>
          </w:tcPr>
          <w:p>
            <w:pPr>
              <w:ind w:left="140"/>
              <w:spacing w:after="0" w:line="256" w:lineRule="exact"/>
              <w:rPr>
                <w:sz w:val="20"/>
                <w:szCs w:val="20"/>
                <w:color w:val="auto"/>
              </w:rPr>
            </w:pPr>
            <w:r>
              <w:rPr>
                <w:rFonts w:ascii="Times New Roman" w:cs="Times New Roman" w:eastAsia="Times New Roman" w:hAnsi="Times New Roman"/>
                <w:sz w:val="18"/>
                <w:szCs w:val="18"/>
                <w:b w:val="1"/>
                <w:bCs w:val="1"/>
                <w:color w:val="auto"/>
              </w:rPr>
              <w:t>Number</w:t>
            </w:r>
            <w:r>
              <w:rPr>
                <w:rFonts w:ascii="Times New Roman" w:cs="Times New Roman" w:eastAsia="Times New Roman" w:hAnsi="Times New Roman"/>
                <w:sz w:val="29"/>
                <w:szCs w:val="29"/>
                <w:b w:val="1"/>
                <w:bCs w:val="1"/>
                <w:color w:val="auto"/>
                <w:vertAlign w:val="superscript"/>
              </w:rPr>
              <w:t>(4)</w:t>
            </w:r>
          </w:p>
        </w:tc>
        <w:tc>
          <w:tcPr>
            <w:tcW w:w="1120" w:type="dxa"/>
            <w:vAlign w:val="bottom"/>
            <w:tcBorders>
              <w:top w:val="single" w:sz="8" w:color="auto"/>
            </w:tcBorders>
          </w:tcPr>
          <w:p>
            <w:pPr>
              <w:jc w:val="right"/>
              <w:ind w:right="90"/>
              <w:spacing w:after="0" w:line="256" w:lineRule="exact"/>
              <w:rPr>
                <w:sz w:val="20"/>
                <w:szCs w:val="20"/>
                <w:color w:val="auto"/>
              </w:rPr>
            </w:pPr>
            <w:r>
              <w:rPr>
                <w:rFonts w:ascii="Times New Roman" w:cs="Times New Roman" w:eastAsia="Times New Roman" w:hAnsi="Times New Roman"/>
                <w:sz w:val="18"/>
                <w:szCs w:val="18"/>
                <w:b w:val="1"/>
                <w:bCs w:val="1"/>
                <w:color w:val="auto"/>
              </w:rPr>
              <w:t>Percent</w:t>
            </w:r>
            <w:r>
              <w:rPr>
                <w:rFonts w:ascii="Times New Roman" w:cs="Times New Roman" w:eastAsia="Times New Roman" w:hAnsi="Times New Roman"/>
                <w:sz w:val="29"/>
                <w:szCs w:val="29"/>
                <w:b w:val="1"/>
                <w:bCs w:val="1"/>
                <w:color w:val="auto"/>
                <w:vertAlign w:val="superscript"/>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YA II PN, Ltd. (5)</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22,381,878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the outstanding shares of our common stock.</w:t>
      </w:r>
    </w:p>
    <w:p>
      <w:pPr>
        <w:spacing w:after="0" w:line="225" w:lineRule="exact"/>
        <w:rPr>
          <w:sz w:val="20"/>
          <w:szCs w:val="20"/>
          <w:color w:val="auto"/>
        </w:rPr>
      </w:pPr>
    </w:p>
    <w:p>
      <w:pPr>
        <w:jc w:val="both"/>
        <w:ind w:left="340" w:hanging="332"/>
        <w:spacing w:after="0" w:line="252"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175,000 Commitment Shares issued pursuant to the SEPA. On January 27, 2026, we issued the Promissory Note to Yorkville in the aggregate principal amount of $1.9 million. Additionally, on March 6, 2026, we issued the YA Debenture in the aggregate principal amount of $10 million, of which we subsequently prepaid $5 million. As the conversion price per share of common stock to be used upon conversion of the Promissory Note and the YA Debenture fluctuates based on the market prices of our common stock, it is not possible for us to predict the actual number of shares of common stock we will issue pursuant to the conversion of the Promissory Note and the YA Debenture at any one time or in total. In accordance with Rule 13d-3(d) under the Exchange Act, we have excluded from the number of shares beneficially owned prior to the offering all of the shares that Yorkville may be required to purchase under the SEPA because the issuance of such shares is solely at our discretion and is subject to conditions contained in the SEPA, the satisfaction of which are entirely outside of Yorkville’s control, including the registration statement that includes this prospectus becoming and remaining effective. Furthermore, the purchases of common stock are subject to certain agreed upon maximum amount limitations set forth in the SEPA. Also, the SEPA prohibits us from issuing and selling any shares of our common stock to Yorkville, and Yorkville may not convert the Promissory Note or the YA Debenture for shares of common stock, to the extent such shares, when aggregated with all other shares of our common stock then beneficially owned by Yorkville, would result in Yorkville and its affiliates beneficially owning more than 4.99% of the then-outstanding shares of our common stock. The 4.99% beneficial ownership limitation may not be amended or waived under the Promissory Note, the SEPA, or the YA Debenture.</w:t>
      </w:r>
    </w:p>
    <w:p>
      <w:pPr>
        <w:spacing w:after="0" w:line="19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145,819,663 shares of our common stock outstanding as of May 15, 2026.</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shares being registered on behalf of the Selling Securityholder pursuant to this registration statement, which may be less than the total number of shares held by the Selling Securityholder.</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shares being offered pursuant to this prospectus.</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decisions for YA II PN, Ltd. are made by Mr. Mark Angelo. The business address of YA II PN, Ltd. is 1012 Springfield Avenue, Mountainside, NJ 07092.</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summary of certain provisions of SunPower’s securities does not purport to be complete and is subject to the Certificate of Incorporation, the Bylaws and the provisions of the DGCL.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our Certificate of Incorporation authorizes the issuance of 1,010,000,000 shares, consisting of 1,000,000,000 shares of common stock, $0.0001 par value per share, and 10,000,000 shares of preferred stock, $0.0001 par value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As of May 15, 2026, there were 145,819,663 shares of common stock issued and outstanding and no preferred shares of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Power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the holders of common stock possess all voting power for the election of SunPower’s directors and all other matters requiring stockholder action. Holders of common stock are entitled to one vote per share on matters to be voted on by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Holders of common stock are entitled to receive such dividends, if any, as may be declared from time to time by SunPower’s Board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event of SunPower’s voluntary or involuntary liquidation, dissolution, distribution of assets or winding-up, the holders of common stock will be entitled to receive an equal amount per share of all of SunPower’s assets of whatever kind available for distribution to stockholders, after the rights of the holders of preferred stock have been satisfied.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holders of common stock have no preemptive rights or other subscription rights and there are no sinking fund or redemption provisions applicable to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SunPower’s Board has one class of directors and each director generally serves for a term of one year. Unless required by applicable law at the time of election, there is no cumulative voting with respect to the election of directors, with the result that the holders of more than 50% of the shares voted for the election of directors can elect all of the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SunPower’s Board has authority to issue shares of preferred stock in one or more series, to fix for each such series such voting powers, designations, preferences, qualifications, limitations or restrictions thereof, including dividend rights, conversion rights, redemption privileges and liquidation preferences for the issue of such series all to the fullest extent permitted by the DGCL. The issuance of preferred stock could have the effect of decreasing the trading price of the common stock, restricting dividends on SunPower’s capital stock, diluting the voting power of common stock, impairing the liquidation rights of SunPower’s capital stock, or delaying or preventing a change in control of SunPower.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SAFE Agreements and Related Common Stock Issued or Issuable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31, 2024, we entered into the First SAFE with the Purchaser in connection with the Purchaser investing $1.5 million in the Company. On February 15, 2024, we entered into the Second SAFE with the Purchaser in connection with the Purchaser investing $3.5 million in the Company. On April 21, 2024, we entered into an amendment for each of our First SAFE and Second SAFE to convert the invested amounts into 4,166,667 and 9,722,222 shares of our common stock, respectively.</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May 13, 2024, we entered into the Third SAFE with the Purchaser in connection with the Purchaser’s investment of $1,000,000. The Third SAFE was converted and exchanged into $1.0 principal amount of the 10.0% Notes.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8, 2026, the Company entered into a Simple Agreement for Future Equity (the “April 2026 SAFE”) with a trust affiliated with Thurman J. Rodgers (the “Purchaser”) in connection with the Purchaser investing $5.0 million in the Company. The April 2026 SAFE was converted and exchanged into $5.0 principal amount of the 10.0% Notes.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Thurman J. Rodgers is a trustee of the Purchaser, the Executive Chairman of the SunPower Board, and the Chief Executive Officer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Purchase Agreements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July 2023, FACT and Legacy Complete Solaria entered into Forward Purchase Agreements with each of the FPA Sellers. Pursuant to the terms of the original Forward Purchase Agreements, the FPA Sellers could purchase through a broker in the open market, from holders of Shares other than the Company or affiliates thereof, the shares purchasable under the Forward Purchase Agreement (the “</w:t>
      </w:r>
      <w:r>
        <w:rPr>
          <w:rFonts w:ascii="Times New Roman" w:cs="Times New Roman" w:eastAsia="Times New Roman" w:hAnsi="Times New Roman"/>
          <w:sz w:val="18"/>
          <w:szCs w:val="18"/>
          <w:b w:val="1"/>
          <w:bCs w:val="1"/>
          <w:color w:val="auto"/>
        </w:rPr>
        <w:t>FPA Shares</w:t>
      </w:r>
      <w:r>
        <w:rPr>
          <w:rFonts w:ascii="Times New Roman" w:cs="Times New Roman" w:eastAsia="Times New Roman" w:hAnsi="Times New Roman"/>
          <w:sz w:val="18"/>
          <w:szCs w:val="18"/>
          <w:color w:val="auto"/>
        </w:rPr>
        <w:t>”). While the FPA Sellers had no obligation to purchase any Shares under the Forward Purchase Agreements, the aggregate total FPA Shares that could be purchased under the original Forward Purchase Agreements was no more than 6,720,000 in aggregate. The FPA Sellers could not beneficially own greater than 9.9% of issued and outstanding Shares following the Business Combination as per the Amended and Restated Business Combination Agreement.</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On December 18, 2023, the Company and the FPA Sellers entered into separate amendments to the Forward Purchase Agreements (the “</w:t>
      </w:r>
      <w:r>
        <w:rPr>
          <w:rFonts w:ascii="Times New Roman" w:cs="Times New Roman" w:eastAsia="Times New Roman" w:hAnsi="Times New Roman"/>
          <w:sz w:val="18"/>
          <w:szCs w:val="18"/>
          <w:b w:val="1"/>
          <w:bCs w:val="1"/>
          <w:color w:val="auto"/>
        </w:rPr>
        <w:t>FPA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Amendments</w:t>
      </w:r>
      <w:r>
        <w:rPr>
          <w:rFonts w:ascii="Times New Roman" w:cs="Times New Roman" w:eastAsia="Times New Roman" w:hAnsi="Times New Roman"/>
          <w:sz w:val="18"/>
          <w:szCs w:val="18"/>
          <w:color w:val="auto"/>
        </w:rPr>
        <w:t>”). The FPA Amendments lower the reset floor price of each Forward Purchase Agreement from $5.00 to $3.00 and allow the Company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raise up to $10.0 million of equity from existing stockholders without triggering certain anti-dilution provisions contained in the Forward Purchase Agreements;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w:t>
      </w:r>
    </w:p>
    <w:p>
      <w:pPr>
        <w:spacing w:after="0" w:line="1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7, 2024 and May 8, 2024, respectively, the Company entered into the Sandia Second Amendment and the Polar Second Amendment to the Forward Purchase Agreements. The Second Amendments lower the reset price of each Forward Purchase Agreement from $3.00 to $1.00 per share and amend the VWAP trigger event to mean an event that occurs if the VWAP price, for any 20 trading days during a 30 consecutive trading day-period, is below $1.00 per FPA Share.</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Subsequently, on June 14, 2024, the Company entered into the Sandia Third Amendment. The Sandia Third Amendment sets the reset price of each Forward Purchase Agreement to $1.00 per share and amends the VWAP trigger event to mean an event that occurs if the VWAP price (as defined in the Forward Purchase Agreement), for any 20 trading days during a 30 consecutive trading day-period, is below $1.00 per Share. In the event either Polar or Meteora amend their Forward Purchase Agreements to include different terms from the $1 reset price and VWAP trigger adjustment, or file a notice of a VWAP trigger event, as referenced herein, the Sandia Forward Purchase Agreement will be retroactively amended to reflect those improved terms and liquidity on the Sandia Forward Purchase Agreement, including any of the 1,050,000 shares that were sold upon execution of this document.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9" w:name="page110"/>
    <w:bookmarkEnd w:id="109"/>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17, 2024, the Company entered into the third amendment to the Polar Third Amendment, pursuant to which the Company and Polar agreed that most favored nation term of the Forward Purchase Agreement is applicable to all 2,450,000 shares subject to the Forward Purchase Agreement.</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July 15, 2025, SunPower and Meteora entered into an amendment to the Forward Purchase Agreement between Meteora and SunPower, and on July 16, 2025, SunPower and Sandia entered into an amendment to the Forward Purchase Agreement between Sandia and SunPower (collectively, the “</w:t>
      </w:r>
      <w:r>
        <w:rPr>
          <w:rFonts w:ascii="Times New Roman" w:cs="Times New Roman" w:eastAsia="Times New Roman" w:hAnsi="Times New Roman"/>
          <w:sz w:val="18"/>
          <w:szCs w:val="18"/>
          <w:b w:val="1"/>
          <w:bCs w:val="1"/>
          <w:color w:val="auto"/>
        </w:rPr>
        <w:t>Further FPA Amendments</w:t>
      </w:r>
      <w:r>
        <w:rPr>
          <w:rFonts w:ascii="Times New Roman" w:cs="Times New Roman" w:eastAsia="Times New Roman" w:hAnsi="Times New Roman"/>
          <w:sz w:val="18"/>
          <w:szCs w:val="18"/>
          <w:color w:val="auto"/>
        </w:rPr>
        <w:t>”). The Further FPA Amendments extend the valuation date to the earliest to occur of (a) July 17, 2026, (b) the date specified by the applicable Seller in a written notice to be delivered to the Company at such Seller’s discretion (which valuation date shall not be earlier than the day such notice is effective) after the occurrence of any of (w) a VWAP trigger event (x) a delisting event, (y) a registration failure or (z) unless otherwise specified therein, upon any additional termination event and (c) 90 days after delivery by SunPower of a written notice in the event that for any 20 trading days during a 30 consecutive trading day-period that occurs at least six months after the closing date of the transactions under the Amended and Restated Business Combination Agreement, dated as of May 26, 2023, among Freedom, the Company and the other parties thereto, the VWAP price is less than the then applicable reset price, provided that a registration statement was effective and available for the entire measurement period and remains continuously effective and available during the entire 90 day notice period.</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Further FPA Amendments further amend the definition of “Settlement Amount Adjustment” to provide that if the expected settlement amount determined by the VWAP price over the 15 scheduled trading days ending on but excluding the valuation date exceeds the settlement amount adjustment, then the settlement amount adjustment shall be deemed to be zero, and that if the settlement amount adjustment exceeds the settlement amount, then the settlement amount adjustment shall be paid, at SunPower’s option, in cash or shares of SunPower’s common stock.</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Further FPA Amendments also amend the definition of “Cash Settlement Payment Date” to provide that if the settlement adjustment amount exceeds the settlement amount, SunPower shall remit to the applicable seller the difference between (i) the settlement amount adjustment and (ii) the settlement amount. The Further FPA Amendments further provide that the settlement amount will be used solely as a calculation mechanism to determine any liability SunPower may owe to the Seller via the settlement amount adjustment, and notwithstanding anything to the contrary herein, the Seller shall not be required to remit the settlement amount to SunPower or return any portion of the prepayment amount.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Each whole Public Warrant and Merger Warrant entitles the registered holder to purchase one share of common stock at a price of $11.50 per share, subject to adjustment as discussed below. The Public Warrants will expire on July 18, 2028 at 5:00 p.m., Eastern Time or earlier upon redemption or liquidation. The Merger Warrants expire on July 18, 2028 at 5:00 p.m., Eastern Time or earlier upon redemption or liquidation. However, no Public Warrants or Merger Warrants will be exercisable for cash unless SunPower has an effective and current registration statement covering the shares of common stock issuable upon exercise of the Public Warrants and Merger Warrants and a current prospectus relating to such shares of common stock. Notwithstanding the foregoing, if a registration statement covering the shares of common stock issuable upon exercise of the Public Warrants is not effective within 60 days from the Closing, warrant holders may, until such time as there is an effective registration statement and during any period when it shall have failed to maintain an effective registration statement, exercise Public Warrants and Merger Warrants on a cashless basis pursuant to an available exemption from registration under the Securities Act.</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warrant agreements, no fractional warrants will be issued upon separation of the units and only whole warrants will trade. Upon the Closing, SunPower separated the units into shares of common stock and Public Warrants, and the Units stopped trading and were delisted from the New York Stock Exchange.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Private Warrants are identical to the Public Warrants underlying the Units except that (i) each Private Warrant is exercisable for one share of common stock at an exercise price of $11.50 per share, and (ii) such Private Warrants will be exercisable for cash (even if a registration statement covering the shares of common stock issuable upon exercise of such warrants is not effective) or on a cashless basis, at the holder’s option, and will not be redeemable by us, in each case so long as they are still held by the initial purchasers or their affiliates.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0" w:name="page111"/>
    <w:bookmarkEnd w:id="110"/>
    <w:p>
      <w:pPr>
        <w:ind w:left="340"/>
        <w:spacing w:after="0"/>
        <w:rPr>
          <w:sz w:val="20"/>
          <w:szCs w:val="20"/>
          <w:color w:val="auto"/>
        </w:rPr>
      </w:pPr>
      <w:r>
        <w:rPr>
          <w:rFonts w:ascii="Times New Roman" w:cs="Times New Roman" w:eastAsia="Times New Roman" w:hAnsi="Times New Roman"/>
          <w:sz w:val="18"/>
          <w:szCs w:val="18"/>
          <w:color w:val="auto"/>
        </w:rPr>
        <w:t>The Working Capital Warrants are identical to the Private Warrants.</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Once the warrants become exercisable, SunPower may redeem the outstanding warrants (except as described herein with respect to the Private Warrants and Working Capital Warrants):</w:t>
      </w:r>
    </w:p>
    <w:p>
      <w:pPr>
        <w:spacing w:after="0" w:line="162"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the number of shares determined by reference to the table set forth below based on the redemption date and the “fair market value” of common stock;</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Reference Value equals or exceeds $10.00 per share (as adjusted for share sub-divisions, share capitalizations, reorganizations, recapitalizations and the like);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Value is less than $18.00 per share (as adjusted for share sub-divisions, share capitalizations, reorganizations, recapitalizations and the like and as described above adjacent to the caption “Exercise Price”), the Private Warrants must also concurrently be called for redemption on the same terms as the outstanding public warrants, as described above.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right to exercise will be forfeited unless the Public Warrants are exercised prior to the date specified in the notice of redemption. On and after the redemption date, a record holder of a Public Warrant will have no further rights except to receive the redemption price for such holder’s warrant upon surrender of such warrant.</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established the last of the redemption criteria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Any such exercise would not be done on a “cashless” basis and would require the exercising warrant holder to pay the exercise price for each warrant being exercised. However, the price of the common stock may fall below the $18.00 redemption trigger price (as adjusted for share sub-divisions, share capitalizations, reorganizations, recapitalizations and the like and as described below) as well as the $11.50 (for whole shares) warrant exercise price after the redemption notice is issued.</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numbers in the table below represent the number of shares of common stock that a warrant holder will receive upon such cashless exercise in connection with a redemption by us pursuant to this redemption feature, based on the “fair market value” of shares of common stock on the corresponding redemption date (assuming holders elect to exercise their warrants and such warrants are not redeemed for $0.10 per warrant), determined for these purposes based on volume-weighted average price of shares of common stock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share prices set forth in the column headings of the table below will be adjusted as of any date on which the number of shares issuable upon exercise of a warrant or the exercise price of the warrant is adjusted as set forth below. If the number of shares issuable upon exercise of a warrant is adjusted, the adjusted share prices in the column headings will equal the share prices immediately prior to such adjustment, multiplied by a fraction, the numerator of which is the exercise price of the warrant after such adjustment and the denominator of which is the price of the warrant immediately prior to such adjustment. In such an event, the number of shares in the table below shall be adjusted by multiplying such share amounts by a fraction, the numerator of which is the number of shares deliverable upon exercise of a warrant immediately prior to such adjustment and the denominator of which is the number of shares deliverable upon exercise of a warrant as so adjusted.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45"/>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Redemption Date</w:t>
            </w:r>
          </w:p>
        </w:tc>
        <w:tc>
          <w:tcPr>
            <w:tcW w:w="8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Fair Market Value of Common Stock</w:t>
            </w:r>
          </w:p>
        </w:tc>
        <w:tc>
          <w:tcPr>
            <w:tcW w:w="7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80"/>
        </w:trPr>
        <w:tc>
          <w:tcPr>
            <w:tcW w:w="2280" w:type="dxa"/>
            <w:vAlign w:val="bottom"/>
            <w:gridSpan w:val="2"/>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(period to expiration of</w:t>
            </w: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5"/>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$10.00</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$11.00</w:t>
            </w:r>
          </w:p>
        </w:tc>
        <w:tc>
          <w:tcPr>
            <w:tcW w:w="24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$12.00</w:t>
            </w:r>
          </w:p>
        </w:tc>
        <w:tc>
          <w:tcPr>
            <w:tcW w:w="60" w:type="dxa"/>
            <w:vAlign w:val="bottom"/>
          </w:tcPr>
          <w:p>
            <w:pPr>
              <w:spacing w:after="0"/>
              <w:rPr>
                <w:sz w:val="21"/>
                <w:szCs w:val="21"/>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$13.00</w:t>
            </w:r>
          </w:p>
        </w:tc>
        <w:tc>
          <w:tcPr>
            <w:tcW w:w="220" w:type="dxa"/>
            <w:vAlign w:val="bottom"/>
          </w:tcPr>
          <w:p>
            <w:pPr>
              <w:spacing w:after="0"/>
              <w:rPr>
                <w:sz w:val="21"/>
                <w:szCs w:val="21"/>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$14.00</w:t>
            </w:r>
          </w:p>
        </w:tc>
        <w:tc>
          <w:tcPr>
            <w:tcW w:w="22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$15.00</w:t>
            </w:r>
          </w:p>
        </w:tc>
        <w:tc>
          <w:tcPr>
            <w:tcW w:w="22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$16.00</w:t>
            </w:r>
          </w:p>
        </w:tc>
        <w:tc>
          <w:tcPr>
            <w:tcW w:w="22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$17.00</w:t>
            </w:r>
          </w:p>
        </w:tc>
        <w:tc>
          <w:tcPr>
            <w:tcW w:w="220" w:type="dxa"/>
            <w:vAlign w:val="bottom"/>
          </w:tcPr>
          <w:p>
            <w:pPr>
              <w:spacing w:after="0"/>
              <w:rPr>
                <w:sz w:val="21"/>
                <w:szCs w:val="21"/>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$18.00</w:t>
            </w:r>
          </w:p>
        </w:tc>
      </w:tr>
      <w:tr>
        <w:trPr>
          <w:trHeight w:val="216"/>
        </w:trPr>
        <w:tc>
          <w:tcPr>
            <w:tcW w:w="2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60 months</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0.261</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0.281</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0.297</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0.311</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3"/>
              </w:rPr>
              <w:t>0.324</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0.337</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0.348</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0.358</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57 months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0.257</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0.277</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0.294</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0.310</w:t>
            </w:r>
          </w:p>
        </w:tc>
        <w:tc>
          <w:tcPr>
            <w:tcW w:w="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0.324</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0.337</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0.348</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0.358</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54 months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0.252</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0.272</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0.291</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0.307</w:t>
            </w:r>
          </w:p>
        </w:tc>
        <w:tc>
          <w:tcPr>
            <w:tcW w:w="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0.322</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0.335</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0.347</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0.357</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 months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0.246</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0.268</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0.287</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0.304</w:t>
            </w:r>
          </w:p>
        </w:tc>
        <w:tc>
          <w:tcPr>
            <w:tcW w:w="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0.320</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0.333</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0.346</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0.357</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48 months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0.241</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0.263</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0.283</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0.301</w:t>
            </w:r>
          </w:p>
        </w:tc>
        <w:tc>
          <w:tcPr>
            <w:tcW w:w="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0.317</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0.332</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0.344</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0.356</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45 months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0.235</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0.258</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0.279</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0.298</w:t>
            </w:r>
          </w:p>
        </w:tc>
        <w:tc>
          <w:tcPr>
            <w:tcW w:w="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0.315</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0.330</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0.343</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0.356</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42 months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0.228</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0.252</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0.274</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0.294</w:t>
            </w:r>
          </w:p>
        </w:tc>
        <w:tc>
          <w:tcPr>
            <w:tcW w:w="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0.312</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0.328</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0.342</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0.355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39 months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0.221</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0.246</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0.269</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0.290</w:t>
            </w:r>
          </w:p>
        </w:tc>
        <w:tc>
          <w:tcPr>
            <w:tcW w:w="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0.309</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0.325</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0.340</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0.354</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36 months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0.213</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0.239</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0.263</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0.285</w:t>
            </w:r>
          </w:p>
        </w:tc>
        <w:tc>
          <w:tcPr>
            <w:tcW w:w="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0.305</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0.323</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0.339</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0.353</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 months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0.205</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0.232</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0.257</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0.280</w:t>
            </w:r>
          </w:p>
        </w:tc>
        <w:tc>
          <w:tcPr>
            <w:tcW w:w="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0.301</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0.320</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0.337</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0.352</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30 months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0.196</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0.224</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0.250</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0.274</w:t>
            </w:r>
          </w:p>
        </w:tc>
        <w:tc>
          <w:tcPr>
            <w:tcW w:w="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0.297</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0.316</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0.335</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0.351</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27 months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0.185</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0.214</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0.242</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0.268</w:t>
            </w:r>
          </w:p>
        </w:tc>
        <w:tc>
          <w:tcPr>
            <w:tcW w:w="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0.291</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0.313</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0.332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24 months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0.173</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0.204</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0.233</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0.260</w:t>
            </w:r>
          </w:p>
        </w:tc>
        <w:tc>
          <w:tcPr>
            <w:tcW w:w="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0.285</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0.308</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0.329</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0.348</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 months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0.161</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0.193</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0.223</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0.252</w:t>
            </w:r>
          </w:p>
        </w:tc>
        <w:tc>
          <w:tcPr>
            <w:tcW w:w="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0.279</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0.304</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0.326</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0.347</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 months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0.146</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0.179</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0.211</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0.242</w:t>
            </w:r>
          </w:p>
        </w:tc>
        <w:tc>
          <w:tcPr>
            <w:tcW w:w="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0.271</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0.298</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0.322</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0.345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 months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0.130</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0.164</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0.197</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0.230</w:t>
            </w:r>
          </w:p>
        </w:tc>
        <w:tc>
          <w:tcPr>
            <w:tcW w:w="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0.262</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0.291</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0.317</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0.342</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12 months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0.111</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0.146</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0.181</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0.216</w:t>
            </w:r>
          </w:p>
        </w:tc>
        <w:tc>
          <w:tcPr>
            <w:tcW w:w="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0.250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0.282</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0.312</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0.339</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months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0.090</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0.125</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0.162</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0.199</w:t>
            </w:r>
          </w:p>
        </w:tc>
        <w:tc>
          <w:tcPr>
            <w:tcW w:w="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0.237</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0.272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0.305</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0.336</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 months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0.065</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0.099</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0.137</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0.178</w:t>
            </w:r>
          </w:p>
        </w:tc>
        <w:tc>
          <w:tcPr>
            <w:tcW w:w="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0.219</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0.259</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0.296</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0.331</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months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0.034</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0.065</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0.104</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0.150</w:t>
            </w:r>
          </w:p>
        </w:tc>
        <w:tc>
          <w:tcPr>
            <w:tcW w:w="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0.197</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0.243</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0.286</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0.326</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 months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0.042</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0.115</w:t>
            </w:r>
          </w:p>
        </w:tc>
        <w:tc>
          <w:tcPr>
            <w:tcW w:w="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0.179</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0.233</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0.281</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0.323</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0.361</w:t>
            </w: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our shares outstanding immediately after giving effect to such exercise.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Pursuant to the Warrant Agreement dated February 25, 2021 between us and our Transfer Agent (the “</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we agreed to register the shares issuable upon exercise of the Warrants following the Closing of the Business Combination.</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Freedom Acquisition I LLC, certain of our equity holders and certain of their respective affiliates, as applicable, and the other parties thereto, are party to an Amended and Restated Registration Rights Agreement, dated July 17, 2023 (the “</w:t>
      </w:r>
      <w:r>
        <w:rPr>
          <w:rFonts w:ascii="Times New Roman" w:cs="Times New Roman" w:eastAsia="Times New Roman" w:hAnsi="Times New Roman"/>
          <w:sz w:val="18"/>
          <w:szCs w:val="18"/>
          <w:b w:val="1"/>
          <w:bCs w:val="1"/>
          <w:color w:val="auto"/>
        </w:rPr>
        <w:t>A&amp;R Registration Rights Agreement</w:t>
      </w:r>
      <w:r>
        <w:rPr>
          <w:rFonts w:ascii="Times New Roman" w:cs="Times New Roman" w:eastAsia="Times New Roman" w:hAnsi="Times New Roman"/>
          <w:sz w:val="18"/>
          <w:szCs w:val="18"/>
          <w:color w:val="auto"/>
        </w:rPr>
        <w:t>”), pursuant to which we granted customary registration rights to the parties thereto, including to register for resale, pursuant to Rule 415 under the Securities Act, certain of our securities held by the parties thereto.</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Sponsor and certain payees under certain of our outstanding indebtedness are entitled to certain registration rights relating to the Working Capital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 under Forward Purchase Agreements and PIPE Subscription Agreements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the Forward Purchase Agreements, dated July 13, 2023, between the Company and the FPA Sellers, within 30 days after receipt of a written request from an FPA Seller, we are required to file a registration statement with the SEC registering the resale of all shares held by the applicable FPA Seller and to cause such registration statement to be declared effective. No FPA Seller has requested a registration statement to date under their Forward Purchase Agreements. The FPA Sellers are also parties to Subscription Agreements dated July 13, 2023 with FACT that provided registration rights with respect to the subscribed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Under Ayna Warrant</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Pursuant to the warrant to purchase up to 6,000,000 shares of common stock (the “</w:t>
      </w:r>
      <w:r>
        <w:rPr>
          <w:rFonts w:ascii="Times New Roman" w:cs="Times New Roman" w:eastAsia="Times New Roman" w:hAnsi="Times New Roman"/>
          <w:sz w:val="18"/>
          <w:szCs w:val="18"/>
          <w:b w:val="1"/>
          <w:bCs w:val="1"/>
          <w:color w:val="auto"/>
        </w:rPr>
        <w:t>Ayna Warrant</w:t>
      </w:r>
      <w:r>
        <w:rPr>
          <w:rFonts w:ascii="Times New Roman" w:cs="Times New Roman" w:eastAsia="Times New Roman" w:hAnsi="Times New Roman"/>
          <w:sz w:val="18"/>
          <w:szCs w:val="18"/>
          <w:color w:val="auto"/>
        </w:rPr>
        <w:t>”) issued to Ayna.AI LLC (“</w:t>
      </w:r>
      <w:r>
        <w:rPr>
          <w:rFonts w:ascii="Times New Roman" w:cs="Times New Roman" w:eastAsia="Times New Roman" w:hAnsi="Times New Roman"/>
          <w:sz w:val="18"/>
          <w:szCs w:val="18"/>
          <w:b w:val="1"/>
          <w:bCs w:val="1"/>
          <w:color w:val="auto"/>
        </w:rPr>
        <w:t>Ayna</w:t>
      </w:r>
      <w:r>
        <w:rPr>
          <w:rFonts w:ascii="Times New Roman" w:cs="Times New Roman" w:eastAsia="Times New Roman" w:hAnsi="Times New Roman"/>
          <w:sz w:val="18"/>
          <w:szCs w:val="18"/>
          <w:color w:val="auto"/>
        </w:rPr>
        <w:t>”) on June 17, 2024, Ayna has piggy-back registration rights if we propose to register any of our common stock under the Securities Act in connection with a public offering of such securities solely for cash. Additionally, Ayna has Form S-3 demand registration rights if the Ayna Warrant has been exercised in full, we are eligible to use Form S-3, and Ayna requests that we file a Form S-3 registration statement with respect to all of the shares of common stock then held by Ayna. We filed such Form S-3 registration statement on December 30,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Under Exchange Agreement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Exchange Agreement, we agreed to file a registration statement with respect to resale of 1,500,000 shares of common stock issued to Kline Hill and with respect to the shares of common stock issuable upon conversion of 12.00% Notes due 2029 issued to Kline Hill and Carlyle. We filed such Form S-3 registration statement with respect to the securities held by Kline Hill on December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White Lion Transaction Registration Rights Agreement</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On July 16, 2024, we entered into the White Lion Purchase Agreement with White Lion (the “</w:t>
      </w:r>
      <w:r>
        <w:rPr>
          <w:rFonts w:ascii="Times New Roman" w:cs="Times New Roman" w:eastAsia="Times New Roman" w:hAnsi="Times New Roman"/>
          <w:sz w:val="18"/>
          <w:szCs w:val="18"/>
          <w:b w:val="1"/>
          <w:bCs w:val="1"/>
          <w:color w:val="auto"/>
        </w:rPr>
        <w:t>White Lion Purchase Agreement</w:t>
      </w:r>
      <w:r>
        <w:rPr>
          <w:rFonts w:ascii="Times New Roman" w:cs="Times New Roman" w:eastAsia="Times New Roman" w:hAnsi="Times New Roman"/>
          <w:sz w:val="18"/>
          <w:szCs w:val="18"/>
          <w:color w:val="auto"/>
        </w:rPr>
        <w:t>”). In connection with the White Lion Purchase Agreement, we entered into a registration rights agreement with White Lion providing for the resale of the shares purchased by White Lion under the White Lion Purchase Agreement. We completed the initial filing of such registration statement on July 24,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Yorkville Registration Rights Agreements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27, 2026, we entered into the SEPA with Yorkville. In connection with the SEPA, we entered into the RRA with Yorkville providing for the resale of the shares purchased by Yorkville under the SEPA and the Commitment Shares and the Conversion Shares being registered hereby. On March 6, 2026, we entered into the March 2026 YA RRA with Yorkville providing for the resale of the shares of our common stock issuable upon the exercise of the YA Debenture.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Under Note Purchase Agreements for 7.00% Notes due 2029</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note purchase agreements entered into by SunPower and certain purchasers of the 7.00% Notes require SunPower to file a registration statement with the SEC to register the resale of the maximum number of shares of common stock issuable upon conversion of the 7.00% Notes due 2029 and to use commercially reasonable efforts to have such registration statement declared effective as soon as practicable after filing.</w:t>
      </w:r>
    </w:p>
    <w:p>
      <w:pPr>
        <w:spacing w:after="0" w:line="1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Registration Rights Under Note Purchase Agreements for 10.00% Convertible Senior Secured Notes due 2029; Registration Rights Under Exchange Agreements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note purchase agreements entered into by SunPower and certain purchasers of the 10.00% Notes require SunPower to file a registration statement with the SEC to register the resale of the maximum number of shares of common stock issuable upon conversion of the 10% Notes and to use commercially reasonable efforts to have such registration statement declared effective as soon as practicable after filing. Additionally, the exchange agreements entered into by SunPower and certain holders of its 7.00% Notes require SunPower to file a registration statement with the SEC to register the resale of the common stock issued pursuant to the exchange agreements and to use commercially reasonable efforts to have such registration statement declared effective as soon as practicable after filing.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under Membership Interest Purchase Agreements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Membership Interest Purchase Agreement that we entered into on September 21, 2025 with the Company, Chicken Parm Pizza LLC and Sunder Energy LLC provides that we are required to file an initial registration statement on Form S-1 with the SEC with respect to the shares of our common stock issued and issuable as consideration for the acquisition of Sunder Energy on or before the six month anniversary of the closing date of the transactions under such Membership Interest Purchase Agreement.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Membership Interest Purchase Agreement that we entered into on November 21, 2025 with Ambia Holdings, Inc. and Ambia Energy, LLC provides that we are required to file an initial registration statement on Form S-1 with the SEC with respect to the shares of our common stock issued and issuable as consideration for the acquisition of Ambia Energy within 10 calendar days after we file an amendment to our Current Report on Form 8-K to file the financial statements required to be filed by SunPower pursuant to Item 9.01(a)(3) of Current Report Form 8-K in respect of the transactions contemplated by the Ambia Membership Interest Purchase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Among other things, the Governing Documents:</w:t>
      </w:r>
    </w:p>
    <w:p>
      <w:pPr>
        <w:spacing w:after="0" w:line="225" w:lineRule="exact"/>
        <w:rPr>
          <w:sz w:val="20"/>
          <w:szCs w:val="20"/>
          <w:color w:val="auto"/>
        </w:rPr>
      </w:pPr>
    </w:p>
    <w:p>
      <w:pPr>
        <w:ind w:left="66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to issue up to 10,000,000 shares of preferred stock, with any rights, preferences and privileges as they may designate, including the right to approve an acquisition or other change of control;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our Board;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SunPower’s stockholders may be called by the chairperson of our Board, the chief executive officer or by our Board pursuant to a resolution adopted by a majority of the total number of authorized directors;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amendment of any of these provisions would require approval by the holders of at least 66 2/3% of all of the then-outstanding capital stock entitled to vote generally in the election of directors. The combination of these provisions will make it more difficult for the existing stockholders to replace our Board as well as for another party to obtain control of SunPower by replacing our Board. Because the our Board has the power to retain and discharge its officers, these provisions could also make it more difficult for existing stockholders or another party to effect a change in management. In addition, the authorization of undesignated preferred stock makes it possible for our Board to issue preferred stock with voting or other rights or preferences that could impede the success of any attempt to change our control.</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and its policies and to discourage coercive takeover practices and inadequate takeover bids. These provisions are also designed to reduce SunPower’s vulnerability to hostile takeovers and to discourage certain tactics that may be used in proxy fights. However, such provisions could have the effect of discouraging others from making tender offers for SunPower’s shares and may have the effect of delaying changes in our control or management. As a consequence, these provisions may also inhibit fluctuations in the market price of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Law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SunPower opted out of Section 203 of the DGCL. However, the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76" w:lineRule="exact"/>
        <w:rPr>
          <w:sz w:val="20"/>
          <w:szCs w:val="20"/>
          <w:color w:val="auto"/>
        </w:rPr>
      </w:pPr>
    </w:p>
    <w:p>
      <w:pPr>
        <w:ind w:left="66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our Board approved either the business combination or the transaction which resulted in the stockholder becoming an interested stockholder;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4" w:name="page115"/>
    <w:bookmarkEnd w:id="114"/>
    <w:p>
      <w:pPr>
        <w:jc w:val="both"/>
        <w:ind w:left="660" w:hanging="328"/>
        <w:spacing w:after="0" w:line="261"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interested stockholder owned at least 85% of our voting stock outstanding upon consummation of the transaction,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consummation of the transaction, the business combination is approved by our Board and authorized at an annual or special meeting of stockholders, and not by written consent, by the affirmative vote of at least 66 2/3% of the outstanding voting stock which is not owned by the interested stockholder.</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An interested stockholder is a person who, together with its affiliates and associates, owns or, within three years prior to the determination of interested stockholder status, did own 20% or more of our outstanding voting stock. These provisions may encourage companies interested in acquiring SunPower to negotiate in advance with our Board because the stockholder approval requirement would be avoided if the board of directors approves either the business combination or the transaction which results in the stockholder becoming an interested stockholder. These provisions also may have the effect of preventing changes in the SunPower Board and may make it more difficult to accomplish transactions which stockholders may otherwise deem to be in their best interests.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sole and exclusive forum for the following types of actions or proceedings under Delaware statutory or common law:</w:t>
      </w:r>
    </w:p>
    <w:p>
      <w:pPr>
        <w:spacing w:after="0" w:line="180"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SunPower’s behalf;</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claim of breach of a fiduciary duty owed by any of SunPower’s directors, officers, or other employees to SunPower or our stockholders;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claim against SunPower or any of our directors, officers or other employees arising out of or pursuant to any provision of the DGCL, the Certificate of Incorporation or the Bylaws;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to interpret, apply, enforce or determine the validity of the Certificate of Incorporation or the Bylaws (including any right, obligation, or remedy thereunder);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 to which the DGCL confers jurisdiction to the Court of Chancery of the State of Delaware;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claim against SunPower or any of our directors, officers, or other employees that is governed by the internal affairs doctrine, in all cases to the fullest extent permitted by law and subject to the court’s having personal jurisdiction over the indispensable parties named as defendants.</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choice of forum provision would not apply to suits brought to enforce a duty or liability created by the Exchange Act or any other claim for which the federal courts have exclusive jurisdiction, or the Securities Act. The Certificate of Incorporation further provides that, unless SunPower consents in writing to the selection of an alternative forum, to the fullest extent permitted by law, the federal district courts of the United States of America will be the exclusive forum for resolving any complaint asserting a cause of action arising under the Securities Act. However,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As noted above, the Certificate of Incorporation provides that the federal district courts of the United States will be the exclusive forum for the resolution of any complaint asserting a cause of action under the Securities Act. Due to the concurrent jurisdiction for federal and state courts created by Section 22 of the Securities Act over all suits brought to enforce any duty or liability created by the Securities Act or the rules and regulations thereunder, there is uncertainty as to whether a court would enforce the exclusive form provision. Additionally, the Certificate of Incorporation provides that any person or entity holding, owning or otherwise acquiring any interest in any of our securities shall be deemed to have notice of and consented to these provisions. Investors also cannot waive compliance with the federal securities laws and the rules and regulations thereunder.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Continental Stock Transfer &amp; Trust Company is the transfer agent for common stock and the warrant agent for the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Common Stock and 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and Public Warrants are listed on Nasdaq under the symbols “SPWR” and “SPWRW,”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discussion is a summary of certain material U.S. federal income tax considerations generally applicable to the ownership and disposition of our common stock and the exercise, disposition and lapse of our Warrants. The common stock and the Warrants are referred to collectively herein as our securities. All prospective holders of our securities should consult their tax advisors with respect to the U.S. federal, state, local and non-U.S. tax consequences of the ownership and disposition of our securities.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discussion is not a complete analysis of all potential U.S. federal income tax consequences relating to the ownership and disposition of our securities. This summary is based upon current provisions of the Code, existing U.S. Treasury Regulations promulgated thereunder, published administrative pronouncements and rulings of the U.S. Internal Revenue Service (the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ownership or disposition of our securities.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non-income U.S.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or real estate investment trusts, persons that have a “functional currency” other than the U.S. dollar, tax-qualified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S corporations, and certain former U.S. citizens or long-term residents.</w:t>
      </w:r>
    </w:p>
    <w:p>
      <w:pPr>
        <w:spacing w:after="0" w:line="1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generally will depend upon the status of the partner and the activities of the partnership. Such partners and partnerships should consult their tax advisors regarding the tax consequences of the ownership and disposition of our securities.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our securities (other than a partnership or an entity or arrangement treated as a partnership for U.S. federal income tax purposes) that is, for U.S. federal income tax purposes:</w:t>
      </w:r>
    </w:p>
    <w:p>
      <w:pPr>
        <w:spacing w:after="0" w:line="162"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Holder” is a beneficial owner of our securities that is neither a U.S. Holder nor a partnership or an entity or arrangement treated as a partnership for U.S. federal income tax purposes.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Tax Considerations Applicable to U.S. 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If we pay distributions or make constructive distributions (other than certain distributions of our stock or rights to acquire our stock) to U.S. Holders of shares of our common stock, such distributions generally will constitute dividends for U.S. federal income tax purposes to the extent paid or deemed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 </w:t>
      </w:r>
      <w:r>
        <w:rPr>
          <w:rFonts w:ascii="Times New Roman" w:cs="Times New Roman" w:eastAsia="Times New Roman" w:hAnsi="Times New Roman"/>
          <w:sz w:val="18"/>
          <w:szCs w:val="18"/>
          <w:i w:val="1"/>
          <w:iCs w:val="1"/>
          <w:color w:val="auto"/>
        </w:rPr>
        <w:t>- Tax Considerations Applicable to U.S. Holders - Gain or Loss on Sale, Taxable Exchange or Other Taxable Disposition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below.</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Dividends we pay to a U.S. Holder that is a taxable corporation generally will qualify for the dividends received deduction if the requisite holding period is satisfied. Provided certain holding period requirements are met, dividends we pay to a non-corporate U.S. Holder generally will constitute “qualified dividends” that under current law will be subject to tax at long-term capital gains rates.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Common Stock</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 U.S. Holder generally will recognize gain or loss on the sale, taxable exchange or other taxable disposition of our common stock. Any such gain or loss will be capital gain or loss, and will be long-term capital gain or loss if the U.S. Holder’s holding period for the common stock disposed of exceeds one year at the time of disposition. The amount of gain or loss recognized generally will be equal to the difference between (1) the sum of the amount of cash and the fair market value of any property received in such disposition and (2) the U.S. Holder’s adjusted tax basis in its common stock disposed of. A U.S. Holder’s adjusted tax basis in its common stock generally will equal the U.S. Holder’s acquisition cost for such common stock (or, in the case of common stock received upon exercise of a Warrant, the U.S. Holder’s initial basis for such common stock, as discussed below), less any prior distributions treated as a return of capital. Long-term capital gains recognized by non-corporate U.S. Holders generally are eligible under current law for reduced rates of tax. If the U.S. Holder’s holding period for the common stock disposed of is one year or less at the time of disposition, any gain on a taxable disposition of our common stock would be subject to short-term capital gain treatment and would be taxed at ordinary income tax rates. The deductibility of capital losses is subject to limitations.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of a Warrant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Except as discussed below with respect to the cashless exercise of a Warrant, a U.S. Holder generally will not recognize taxable gain or loss upon the exercise of a Warrant for cash. The U.S. Holder’s initial tax basis in the shares of our common stock received upon exercise of the Warrant generally will be an amount equal to the sum of the U.S. Holder’s acquisition cost of the Warrant and the exercise price of such Warrant. It is unclear whether a U.S. Holder’s holding period for the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certain circumstances, the Warrants may be exercised on a cashless basis. The U.S. federal income tax treatment of an exercise of a warrant on a cashless basis is not clear, and could differ from the consequences described above. It is possible that a cashless exercise could be a taxable event, a non-realization event, or a tax-free recapitalization. U.S. holders are urged to consult their tax advisors as to the consequences of an exercise of a Warrant on a cashless basis, including with respect to their holding period and tax basis in the common stock received upon exercise of the Warrant.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Expiration of a Warrant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Upon a sale, exchange (other than by exercise), redemption, or expiration of a Warrant, a U.S. Holder will recognize taxable gain or loss in an amount equal to the difference between (1) the amount realized upon such disposition and (2) the U.S. Holder’s adjusted tax basis in the Warrant. A U.S. Holder’s adjusted tax basis in its Warrants generally will equal the U.S. Holder’s acquisition cost of the Warrant, increased by the amount of any constructive distributions included in income by such U.S. Holder (as described below under “</w:t>
      </w:r>
      <w:r>
        <w:rPr>
          <w:rFonts w:ascii="Times New Roman" w:cs="Times New Roman" w:eastAsia="Times New Roman" w:hAnsi="Times New Roman"/>
          <w:sz w:val="18"/>
          <w:szCs w:val="18"/>
          <w:i w:val="1"/>
          <w:iCs w:val="1"/>
          <w:color w:val="auto"/>
        </w:rPr>
        <w:t>Tax Considerations Applicable to U.S. Holders - Possible Constructive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 Such gain or loss generally will be treated as long-term capital gain or loss if the Warrant is held by the U.S. Holder for more than one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time of such disposition or expiration.</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 Warrant expires unexercised, a U.S. Holder generally will recognize a capital loss equal to such holder’s adjusted tax basis in the Warrant. Any such loss generally will be a capital loss and will be long-term capital loss if the Warrant is held for more than one year. The deductibility of capital losses is subject to certain limitations.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common stock for which the Warrant may be exercised or to the exercise price of the Warrant in certain events, as discussed in the section of this prospectus captioned “</w:t>
      </w:r>
      <w:r>
        <w:rPr>
          <w:rFonts w:ascii="Times New Roman" w:cs="Times New Roman" w:eastAsia="Times New Roman" w:hAnsi="Times New Roman"/>
          <w:sz w:val="18"/>
          <w:szCs w:val="18"/>
          <w:i w:val="1"/>
          <w:iCs w:val="1"/>
          <w:color w:val="auto"/>
        </w:rPr>
        <w:t>Description of Capital Stock - Warrants</w:t>
      </w:r>
      <w:r>
        <w:rPr>
          <w:rFonts w:ascii="Times New Roman" w:cs="Times New Roman" w:eastAsia="Times New Roman" w:hAnsi="Times New Roman"/>
          <w:sz w:val="18"/>
          <w:szCs w:val="18"/>
          <w:color w:val="auto"/>
        </w:rPr>
        <w:t>.” An adjustment which has the effect of preventing dilution generally should not be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common stock that would be obtained upon exercise or an adjustment to the exercise price of the Warrant) as a result of a distribution of cash to the holders of shares of our common stock that is taxable to such holders as a distribution. Such constructive distribution would be subject to tax as described above under “</w:t>
      </w:r>
      <w:r>
        <w:rPr>
          <w:rFonts w:ascii="Times New Roman" w:cs="Times New Roman" w:eastAsia="Times New Roman" w:hAnsi="Times New Roman"/>
          <w:sz w:val="18"/>
          <w:szCs w:val="18"/>
          <w:i w:val="1"/>
          <w:iCs w:val="1"/>
          <w:color w:val="auto"/>
        </w:rPr>
        <w:t>Tax Considerations Applicable to U.S. Holders - Taxation of Distributions</w:t>
      </w:r>
      <w:r>
        <w:rPr>
          <w:rFonts w:ascii="Times New Roman" w:cs="Times New Roman" w:eastAsia="Times New Roman" w:hAnsi="Times New Roman"/>
          <w:sz w:val="18"/>
          <w:szCs w:val="18"/>
          <w:color w:val="auto"/>
        </w:rPr>
        <w:t>” in the same manner as if such U.S. Holder received a cash distribution from us on common stock equal to the fair market value of such increased interest.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general, information reporting requirements may apply to distributions paid to a U.S. Holder and to the proceeds of the sale or other disposition of our securities,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such U.S. Holder is subject to backup withholding (and such notification has not been withdrawn). 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Taxpayers should consult their tax advisors regarding their qualification for an exemption from backup withholding and the procedures for obtaining such an exemption.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Considerations Applicable to Non-U.S. 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In general, any distributions (including constructive distributions) we make to a non-U.S. Holder of shares on our common stock, to the extent paid or deemed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 </w:t>
      </w:r>
      <w:r>
        <w:rPr>
          <w:rFonts w:ascii="Times New Roman" w:cs="Times New Roman" w:eastAsia="Times New Roman" w:hAnsi="Times New Roman"/>
          <w:sz w:val="18"/>
          <w:szCs w:val="18"/>
          <w:i w:val="1"/>
          <w:iCs w:val="1"/>
          <w:color w:val="auto"/>
        </w:rPr>
        <w:t>- Tax Considerations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Applicable to Non-U.S. Holders - Possible Constructive Distributions</w:t>
      </w:r>
      <w:r>
        <w:rPr>
          <w:rFonts w:ascii="Times New Roman" w:cs="Times New Roman" w:eastAsia="Times New Roman" w:hAnsi="Times New Roman"/>
          <w:sz w:val="18"/>
          <w:szCs w:val="18"/>
          <w:color w:val="auto"/>
        </w:rPr>
        <w:t>”), it is possible that this tax would be withheld from any amount owed to a non-U.S.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w:t>
      </w:r>
      <w:r>
        <w:rPr>
          <w:rFonts w:ascii="Times New Roman" w:cs="Times New Roman" w:eastAsia="Times New Roman" w:hAnsi="Times New Roman"/>
          <w:sz w:val="18"/>
          <w:szCs w:val="18"/>
          <w:i w:val="1"/>
          <w:iCs w:val="1"/>
          <w:color w:val="auto"/>
        </w:rPr>
        <w:t>-Tax Considerations Applicable to Non-U.S. Holders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Gain on Sale, Exchange or Other Taxable Disposition of Common Stock and Warrants</w:t>
      </w:r>
      <w:r>
        <w:rPr>
          <w:rFonts w:ascii="Times New Roman" w:cs="Times New Roman" w:eastAsia="Times New Roman" w:hAnsi="Times New Roman"/>
          <w:sz w:val="18"/>
          <w:szCs w:val="18"/>
          <w:color w:val="auto"/>
        </w:rPr>
        <w:t>” below. In addition, if we determine that we are likely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as a “United States real property holding corporation” (see the section entitled “-</w:t>
      </w:r>
      <w:r>
        <w:rPr>
          <w:rFonts w:ascii="Times New Roman" w:cs="Times New Roman" w:eastAsia="Times New Roman" w:hAnsi="Times New Roman"/>
          <w:sz w:val="18"/>
          <w:szCs w:val="18"/>
          <w:i w:val="1"/>
          <w:iCs w:val="1"/>
          <w:color w:val="auto"/>
        </w:rPr>
        <w:t>Tax Considerations Applicable to Non-U.S. Holders - Gain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 Exchange or Other Taxable Disposition of Common Stock and Warrants</w:t>
      </w:r>
      <w:r>
        <w:rPr>
          <w:rFonts w:ascii="Times New Roman" w:cs="Times New Roman" w:eastAsia="Times New Roman" w:hAnsi="Times New Roman"/>
          <w:sz w:val="18"/>
          <w:szCs w:val="18"/>
          <w:color w:val="auto"/>
        </w:rPr>
        <w:t>” below), we will withhold 15% of any distribution that exceeds our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accumulated earnings and profits.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8" w:name="page119"/>
    <w:bookmarkEnd w:id="118"/>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(and, if a tax treaty applies, are attributable to a U.S. permanent establishment or fixed base maintained by the non-U.S. Holder) generally will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of a Warrant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U.S. federal income tax treatment of a non-U.S. Holder’s exercise of a Warrant generally will correspond to the U.S. federal income tax treatment of the exercise of a Warrant by a U.S. Holder, as described under “ </w:t>
      </w:r>
      <w:r>
        <w:rPr>
          <w:rFonts w:ascii="Times New Roman" w:cs="Times New Roman" w:eastAsia="Times New Roman" w:hAnsi="Times New Roman"/>
          <w:sz w:val="18"/>
          <w:szCs w:val="18"/>
          <w:i w:val="1"/>
          <w:iCs w:val="1"/>
          <w:color w:val="auto"/>
        </w:rPr>
        <w:t>- Tax Considerations Applicable to U.S. Holders - Exercise of a Warrant</w:t>
      </w:r>
      <w:r>
        <w:rPr>
          <w:rFonts w:ascii="Times New Roman" w:cs="Times New Roman" w:eastAsia="Times New Roman" w:hAnsi="Times New Roman"/>
          <w:sz w:val="18"/>
          <w:szCs w:val="18"/>
          <w:color w:val="auto"/>
        </w:rPr>
        <w:t xml:space="preserve">” above, although to the extent a cashless exercise results in a taxable exchange, the tax consequences to the non-U.S. Holder would be the same as those described below in “ </w:t>
      </w:r>
      <w:r>
        <w:rPr>
          <w:rFonts w:ascii="Times New Roman" w:cs="Times New Roman" w:eastAsia="Times New Roman" w:hAnsi="Times New Roman"/>
          <w:sz w:val="18"/>
          <w:szCs w:val="18"/>
          <w:i w:val="1"/>
          <w:iCs w:val="1"/>
          <w:color w:val="auto"/>
        </w:rPr>
        <w:t>- Tax Considerations Applicable to Non-U.S. Holders - Gain on Sale, Exchange or Other Taxable Disposition of Common Stock and Warrants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Exchange or Other Taxable Disposition of Common Stock and Warrants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common stock or Warrants or an expiration or redemption of our Warrants, unless:</w:t>
      </w:r>
    </w:p>
    <w:p>
      <w:pPr>
        <w:spacing w:after="0" w:line="162" w:lineRule="exact"/>
        <w:rPr>
          <w:sz w:val="20"/>
          <w:szCs w:val="20"/>
          <w:color w:val="auto"/>
        </w:rPr>
      </w:pPr>
    </w:p>
    <w:p>
      <w:pPr>
        <w:ind w:left="66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disposition and certain other conditions are met;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common stock or Warrants and, in the case where shares of our common stock are regularly traded on an established securities market, (i) the non-U.S. Holder has owned, actually or constructively, more than 5% of our common stock at any time within the relevant period or (ii) provided that our Warrants are regularly traded on an established securities market, the non-U.S. Holder has owned, actually or constructively, more than 5% of our Warrants at any time within the within the relevant period. It is unclear how a non-U.S. Holder’s ownership of Warrants will affect the determination of whether the non-U.S. Holder owns more than 5% of our common stock. In addition, special rules may apply in the case of a disposition of warrants if our common stock is considered to be regularly traded, but our Warrants are not considered to be regularly traded. There can be no assurance that our common stock or Warrants will or will not be treated as regularly traded on an established securities market for this purpose.</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generally will be subject to a flat 30% U.S. federal income tax. Non-U.S. Holders are urged to consult their tax advisors regarding possible eligibility for benefits under income tax treaties.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the third bullet point above applies to a non-U.S. Holder and applicable exceptions are not available, gain recognized by such holder on the sale, exchange or other disposition of our common stock or Warrants, as applicable, will be subject to tax at generally applicable U.S. federal income tax rates. In addition, a buyer of our common stock or Warrants may be required to withhold U.S.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common stock for which the Warrant may be exercised or to the exercise price of the Warrant in certain events, as discussed in the section of this prospectus captioned “</w:t>
      </w:r>
      <w:r>
        <w:rPr>
          <w:rFonts w:ascii="Times New Roman" w:cs="Times New Roman" w:eastAsia="Times New Roman" w:hAnsi="Times New Roman"/>
          <w:sz w:val="18"/>
          <w:szCs w:val="18"/>
          <w:i w:val="1"/>
          <w:iCs w:val="1"/>
          <w:color w:val="auto"/>
        </w:rPr>
        <w:t>Description of Capital Stock - Warrants</w:t>
      </w:r>
      <w:r>
        <w:rPr>
          <w:rFonts w:ascii="Times New Roman" w:cs="Times New Roman" w:eastAsia="Times New Roman" w:hAnsi="Times New Roman"/>
          <w:sz w:val="18"/>
          <w:szCs w:val="18"/>
          <w:color w:val="auto"/>
        </w:rPr>
        <w:t>.” An adjustment that has the effect of preventing dilution generally should not be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common stock that would be obtained upon exercise or an adjustment to the exercise price of the Warrant) as a result of a distribution of cash to the holders of shares of our common stock that is taxable to such holders as a distribution. A non-U.S. Holder would be subject to U.S. federal income tax withholding as described above under “</w:t>
      </w:r>
      <w:r>
        <w:rPr>
          <w:rFonts w:ascii="Times New Roman" w:cs="Times New Roman" w:eastAsia="Times New Roman" w:hAnsi="Times New Roman"/>
          <w:sz w:val="18"/>
          <w:szCs w:val="18"/>
          <w:i w:val="1"/>
          <w:iCs w:val="1"/>
          <w:color w:val="auto"/>
        </w:rPr>
        <w:t>Tax Considerations Applicable to Non-U.S. Holders - Taxation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Distributions</w:t>
      </w:r>
      <w:r>
        <w:rPr>
          <w:rFonts w:ascii="Times New Roman" w:cs="Times New Roman" w:eastAsia="Times New Roman" w:hAnsi="Times New Roman"/>
          <w:sz w:val="18"/>
          <w:szCs w:val="18"/>
          <w:color w:val="auto"/>
        </w:rPr>
        <w:t>” under that section in the same manner as if such non-U.S. Holder received a cash distribution from us on common stock equal to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value of such increased interest.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Account Tax Compliance Act</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Sections 1471 through 1474 of the Code (commonly referred to as the “</w:t>
      </w:r>
      <w:r>
        <w:rPr>
          <w:rFonts w:ascii="Times New Roman" w:cs="Times New Roman" w:eastAsia="Times New Roman" w:hAnsi="Times New Roman"/>
          <w:sz w:val="18"/>
          <w:szCs w:val="18"/>
          <w:b w:val="1"/>
          <w:bCs w:val="1"/>
          <w:color w:val="auto"/>
        </w:rPr>
        <w:t>Foreign Account Tax Compliance 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and Treasury Regulations and administrative guidance promulgated thereunder impose a U.S. federal withholding tax of 30% on certain payments paid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these requirements. The withholding tax described above will not apply if the foreign financial institution or non-financial foreign entity otherwise qualifies for an exemption from the rules.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FATCA withholding currently applies to payments of dividends. The U.S. Treasury Department has released proposed regulations which, if finalized in their present form, would eliminate the federal withholding tax of 30% applicable to the gross proceeds of a disposition of our securities.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of distributions and the proceeds from a sale or other disposition of our securities.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shares of common stock offered by this prospectus are being offered by the Selling Securityholder. The shares may be sold or distributed from time to time by the Selling Securityholder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shares of our common stock offered by this prospectus could be effected in one or more of the following methods:</w:t>
      </w:r>
    </w:p>
    <w:p>
      <w:pPr>
        <w:spacing w:after="0" w:line="180"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brokers’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cross or block trades;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dealers, or underwriters who may act solely as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into an existing market for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ways not involving market makers or established business markets, including direct sales to purchasers or sales effected through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Yorkville is an “underwriter” within the meaning of Section 2(a)(11) of the Securities Act only with respect to Pre-Paid Advances under the SEPA. Yorkville is not an “underwriter” within the meaning of Section 2(a)(11) of the Securities Act with respect to the shares of common stock issued upon conversion of the Promissory Note.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Except as set forth above, we know of no existing arrangements between the Selling Securityholder and any other stockholder, broker, dealer, underwriter or agent relating to the sale or distribution of the shares of our common stock offered by this prospectus.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Brokers, dealers, underwriters or agents participating in the distribution of the shares of our common stock offered by this prospectus may receive compensation in the form of commissions, discounts, or concessions from the purchasers, for whom the broker-dealers may act as agent, of the shares sold by Yorkville through this prospectus. The compensation paid to any such particular broker-dealer by any such purchasers of shares of our common stock sold by Yorkville may be less than or in excess of customary commissions. Neither we nor Yorkville can presently estimate the amount of compensation that any agent will receive from any purchasers of shares of our common stock sold by Yorkville.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Yorkville, including with respect to any compensation paid or payable by Yorkville to any brokers, dealers, underwriters or agents that participate in the distribution of such shares by Yorkville, and any other related information required to be disclosed under the Securities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1" w:name="page122"/>
    <w:bookmarkEnd w:id="121"/>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will pay the expenses incident to the registration under the Securities Act of the offer and sale of the shares of our common stock covered by this prospectus by Yorkville.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consideration for Yorkville’s commitment to purchase shares of common stock at our direction upon the terms and subject to the conditions set forth in the SEPA, we issued the Commitment Shares as a commitment fee. In accordance with FINRA Rule 5110, the Commitment Shares are deemed to be underwriting compensation in connection with sales of our shares of common stock by Yorkville to the public. In addition, we paid Yorkville a structuring and due diligence fee of $50,000 in cash.</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We also agreed to pay Northland Capital Markets (“</w:t>
      </w:r>
      <w:r>
        <w:rPr>
          <w:rFonts w:ascii="Times New Roman" w:cs="Times New Roman" w:eastAsia="Times New Roman" w:hAnsi="Times New Roman"/>
          <w:sz w:val="18"/>
          <w:szCs w:val="18"/>
          <w:b w:val="1"/>
          <w:bCs w:val="1"/>
          <w:color w:val="auto"/>
        </w:rPr>
        <w:t>Northland</w:t>
      </w:r>
      <w:r>
        <w:rPr>
          <w:rFonts w:ascii="Times New Roman" w:cs="Times New Roman" w:eastAsia="Times New Roman" w:hAnsi="Times New Roman"/>
          <w:sz w:val="18"/>
          <w:szCs w:val="18"/>
          <w:color w:val="auto"/>
        </w:rPr>
        <w:t>”) a cash fee of 5.0% based upon the aggregate gross proceeds received from the sales of common stock that we elect to make to Yorkville pursuant to the SEPA. We also agreed to reimburse Northland for its reasonable and documented out-of-pocket costs and expenses in connection with the offering in the amount of up to $25,000.</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also have agreed to indemnify Yorkville, Northland and certain other persons against certain liabilities in connection with the offering of shares of our common stock offered hereby, including liabilities arising under the Securities Act or, if such indemnity is unavailable, to contribute amounts required to be paid in respect of such liabilities. Yorkville has agreed to indemnify us against liabilities under the Securities Act that may arise from certain written information furnished to us by Yorkville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estimate that the total expenses for the offering will be approximately $276,000.</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Yorkville has represented to us that at no time prior to the date of the SEPA has Yorkville, its sole member, any of their respective officers, or any entity managed or controlled by Yorkville or its sole member, engaged in or effected, in any manner whatsoever, directly or indirectly, for its own account or for the account of any of its affiliates, any short sale (as such term is defined in Rule 200 of Regulation SHO of the Exchange Act) of our common stock or any hedging transaction, which establishes a net short position with respect to our common stock. Yorkville has agreed that during the term of the SEPA, none of Yorkville, its sole member, any of their respective officers, or any entity managed or controlled by Yorkville or its sole member, will enter into or effect, directly or indirectly, any of the foregoing transactions for its own account or for the account of any other such person or entity.</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advised Yorkville that it is required to comply with Regulation M promulgated under the Exchange Act. With certain exceptions, Regulation M precludes Yorkville,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offering will terminate on the date that all shares of our common stock offered by this prospectus have been sold by the Selling Securityholder.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currently listed on The Nasdaq Global Market under the symbol “SPWR”.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Arnold &amp; Porter Kaye Scholer LLP, New York, New York.</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SunPower Inc. (the “Company”) as of December 28, 2025 and December 29, 2024 and for the fiscal years then ended included in this Prospectus and in the Registration Statement have been so included in reliance 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financial statements of Sunder Energy LLC as of and for the years ended December 31, 2024 and 2023 included in this prospectus and in the Registration Statement have been so included in reliance on the report of BDO USA, P.C., independent auditors, given on the authority of said firm as experts in auditing and accounting. The report on the financial statements contains an explanatory paragraph regarding Sunder Energy LLC’s ability to continue as a going concern.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Ambia Energy, LLC as of and for the fiscal year ended December 31, 2024 included in this prospectus and in the Registration Statement have been so included in reliance upon the report of Tanner LLP, given on the authority of said firm as experts in accounting and auditing.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have filed with the SEC a registration statement on Form S-1 under the Securities Act, with respect to the securities being offered by this prospectus. This prospectus, which constitutes part of the registration statement, does not contain all of the information in the registration statement and its exhibits. For further information with respect to SunPower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You can read our SEC filings, including the registration statement,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Exchange Act, and we file reports, proxy statements and other information with the SEC. These reports, proxy statements and other information will be available for review at the SEC’s website at www.sec.gov. We also maintain a website at https://www.sunpower.com/, at which you may access these materials free of charge as soon as reasonably practicable after they are electronically filed with, or furnished to, the SEC. The information contained in, or that can be accessed through, our website is not part of this prospectus.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7080" w:type="dxa"/>
            <w:vAlign w:val="bottom"/>
            <w:gridSpan w:val="11"/>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00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440" w:type="dxa"/>
            <w:vAlign w:val="bottom"/>
            <w:gridSpan w:val="10"/>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w w:val="99"/>
              </w:rPr>
              <w:t>SUNPOWER INC.</w:t>
            </w:r>
          </w:p>
        </w:tc>
        <w:tc>
          <w:tcPr>
            <w:tcW w:w="1000" w:type="dxa"/>
            <w:vAlign w:val="bottom"/>
          </w:tcPr>
          <w:p>
            <w:pPr>
              <w:spacing w:after="0"/>
              <w:rPr>
                <w:sz w:val="24"/>
                <w:szCs w:val="24"/>
                <w:color w:val="auto"/>
              </w:rPr>
            </w:pPr>
          </w:p>
        </w:tc>
      </w:tr>
      <w:tr>
        <w:trPr>
          <w:trHeight w:val="439"/>
        </w:trPr>
        <w:tc>
          <w:tcPr>
            <w:tcW w:w="316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102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Consolidated Financial Statements</w:t>
            </w:r>
          </w:p>
        </w:tc>
        <w:tc>
          <w:tcPr>
            <w:tcW w:w="100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102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Balance Sheets as of March 29, 2026 and December 28, 2025</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16"/>
        </w:trPr>
        <w:tc>
          <w:tcPr>
            <w:tcW w:w="316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and Comprehensive Income (Loss) as of March 28, 2026 and March 30, 2025</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16"/>
        </w:trPr>
        <w:tc>
          <w:tcPr>
            <w:tcW w:w="316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Stockholders’ Deficit</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216"/>
        </w:trPr>
        <w:tc>
          <w:tcPr>
            <w:tcW w:w="316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as of March 28, 2026 and March 30, 2025</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216"/>
        </w:trPr>
        <w:tc>
          <w:tcPr>
            <w:tcW w:w="316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F-8</w:t>
            </w:r>
          </w:p>
        </w:tc>
      </w:tr>
      <w:tr>
        <w:trPr>
          <w:trHeight w:val="216"/>
        </w:trPr>
        <w:tc>
          <w:tcPr>
            <w:tcW w:w="316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216"/>
        </w:trPr>
        <w:tc>
          <w:tcPr>
            <w:tcW w:w="102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00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102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i w:val="1"/>
                <w:iCs w:val="1"/>
                <w:color w:val="0000EE"/>
              </w:rPr>
              <w:t>(PCAOB ID 243)</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F-50</w:t>
            </w:r>
          </w:p>
        </w:tc>
      </w:tr>
      <w:tr>
        <w:trPr>
          <w:trHeight w:val="216"/>
        </w:trPr>
        <w:tc>
          <w:tcPr>
            <w:tcW w:w="316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28, 2025 and December 29, 2024</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F-51</w:t>
            </w:r>
          </w:p>
        </w:tc>
      </w:tr>
      <w:tr>
        <w:trPr>
          <w:trHeight w:val="216"/>
        </w:trPr>
        <w:tc>
          <w:tcPr>
            <w:tcW w:w="316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Loss for the Fiscal Years Ended December 28, 2025 and December 29, 2024</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F-52</w:t>
            </w:r>
          </w:p>
        </w:tc>
      </w:tr>
      <w:tr>
        <w:trPr>
          <w:trHeight w:val="216"/>
        </w:trPr>
        <w:tc>
          <w:tcPr>
            <w:tcW w:w="316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Deficit for the Fiscal Years Ended December 28, 2025 and December 29, 2024</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F-53</w:t>
            </w:r>
          </w:p>
        </w:tc>
      </w:tr>
      <w:tr>
        <w:trPr>
          <w:trHeight w:val="216"/>
        </w:trPr>
        <w:tc>
          <w:tcPr>
            <w:tcW w:w="316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for the Fiscal Years Ended December 28, 2025 and December 29, 2024</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F-54</w:t>
            </w:r>
          </w:p>
        </w:tc>
      </w:tr>
      <w:tr>
        <w:trPr>
          <w:trHeight w:val="216"/>
        </w:trPr>
        <w:tc>
          <w:tcPr>
            <w:tcW w:w="316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F-55</w:t>
            </w:r>
          </w:p>
        </w:tc>
      </w:tr>
      <w:tr>
        <w:trPr>
          <w:trHeight w:val="655"/>
        </w:trPr>
        <w:tc>
          <w:tcPr>
            <w:tcW w:w="3160" w:type="dxa"/>
            <w:vAlign w:val="bottom"/>
            <w:tcBorders>
              <w:top w:val="single" w:sz="8" w:color="0000EE"/>
              <w:bottom w:val="single" w:sz="8" w:color="auto"/>
            </w:tcBorders>
          </w:tcPr>
          <w:p>
            <w:pPr>
              <w:spacing w:after="0"/>
              <w:rPr>
                <w:sz w:val="24"/>
                <w:szCs w:val="24"/>
                <w:color w:val="auto"/>
              </w:rPr>
            </w:pPr>
          </w:p>
        </w:tc>
        <w:tc>
          <w:tcPr>
            <w:tcW w:w="164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5020" w:type="dxa"/>
            <w:vAlign w:val="bottom"/>
            <w:tcBorders>
              <w:top w:val="single" w:sz="8" w:color="CCEEFF"/>
              <w:bottom w:val="single" w:sz="8" w:color="auto"/>
            </w:tcBorders>
            <w:gridSpan w:val="9"/>
          </w:tcPr>
          <w:p>
            <w:pPr>
              <w:jc w:val="center"/>
              <w:ind w:right="4220"/>
              <w:spacing w:after="0"/>
              <w:rPr>
                <w:sz w:val="20"/>
                <w:szCs w:val="20"/>
                <w:color w:val="auto"/>
              </w:rPr>
            </w:pPr>
            <w:r>
              <w:rPr>
                <w:rFonts w:ascii="Times New Roman" w:cs="Times New Roman" w:eastAsia="Times New Roman" w:hAnsi="Times New Roman"/>
                <w:sz w:val="18"/>
                <w:szCs w:val="18"/>
                <w:color w:val="auto"/>
                <w:w w:val="95"/>
              </w:rPr>
              <w:t>F-1</w:t>
            </w:r>
          </w:p>
        </w:tc>
        <w:tc>
          <w:tcPr>
            <w:tcW w:w="10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580" w:type="dxa"/>
            <w:vAlign w:val="bottom"/>
            <w:gridSpan w:val="8"/>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9"/>
              </w:rPr>
              <w:t>SUNDER ENERGY LLC</w:t>
            </w:r>
          </w:p>
        </w:tc>
        <w:tc>
          <w:tcPr>
            <w:tcW w:w="1000" w:type="dxa"/>
            <w:vAlign w:val="bottom"/>
          </w:tcPr>
          <w:p>
            <w:pPr>
              <w:spacing w:after="0"/>
              <w:rPr>
                <w:sz w:val="20"/>
                <w:szCs w:val="20"/>
                <w:color w:val="auto"/>
              </w:rPr>
            </w:pPr>
          </w:p>
        </w:tc>
      </w:tr>
      <w:tr>
        <w:trPr>
          <w:trHeight w:val="459"/>
        </w:trPr>
        <w:tc>
          <w:tcPr>
            <w:tcW w:w="216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27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0"/>
        </w:trPr>
        <w:tc>
          <w:tcPr>
            <w:tcW w:w="102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Sunder Energy LLC (For the Years ended December 31, 2024 and 2023)</w:t>
            </w:r>
          </w:p>
        </w:tc>
        <w:tc>
          <w:tcPr>
            <w:tcW w:w="1000" w:type="dxa"/>
            <w:vAlign w:val="bottom"/>
            <w:shd w:val="clear" w:color="auto" w:fill="CCEEFF"/>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10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Independent Auditor’s Report</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F-113</w:t>
            </w:r>
          </w:p>
        </w:tc>
      </w:tr>
      <w:tr>
        <w:trPr>
          <w:trHeight w:val="216"/>
        </w:trPr>
        <w:tc>
          <w:tcPr>
            <w:tcW w:w="216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Balance Sheets as of December 31, 2024 and 2023</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F-115</w:t>
            </w:r>
          </w:p>
        </w:tc>
      </w:tr>
      <w:tr>
        <w:trPr>
          <w:trHeight w:val="216"/>
        </w:trPr>
        <w:tc>
          <w:tcPr>
            <w:tcW w:w="21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Operations for the years ended December 31, 2024 and 2023</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F-116</w:t>
            </w:r>
          </w:p>
        </w:tc>
      </w:tr>
      <w:tr>
        <w:trPr>
          <w:trHeight w:val="216"/>
        </w:trPr>
        <w:tc>
          <w:tcPr>
            <w:tcW w:w="21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Changes in Member’s Deficit for the years ended December 31, 2024 and 2023</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F-117</w:t>
            </w:r>
          </w:p>
        </w:tc>
      </w:tr>
      <w:tr>
        <w:trPr>
          <w:trHeight w:val="216"/>
        </w:trPr>
        <w:tc>
          <w:tcPr>
            <w:tcW w:w="21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 for the years ended December 31, 2024 and 2023</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F-118</w:t>
            </w:r>
          </w:p>
        </w:tc>
      </w:tr>
      <w:tr>
        <w:trPr>
          <w:trHeight w:val="216"/>
        </w:trPr>
        <w:tc>
          <w:tcPr>
            <w:tcW w:w="21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F-119</w:t>
            </w:r>
          </w:p>
        </w:tc>
      </w:tr>
      <w:tr>
        <w:trPr>
          <w:trHeight w:val="216"/>
        </w:trPr>
        <w:tc>
          <w:tcPr>
            <w:tcW w:w="216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4"/>
        </w:trPr>
        <w:tc>
          <w:tcPr>
            <w:tcW w:w="10240" w:type="dxa"/>
            <w:vAlign w:val="bottom"/>
            <w:gridSpan w:val="11"/>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Unaudited Financial Statements of Sunder Energy LLC (as of June 30, 2025 and December 31, 2024 and the six months ended June</w:t>
            </w:r>
          </w:p>
        </w:tc>
        <w:tc>
          <w:tcPr>
            <w:tcW w:w="1000" w:type="dxa"/>
            <w:vAlign w:val="bottom"/>
            <w:shd w:val="clear" w:color="auto" w:fill="CCEEFF"/>
          </w:tcPr>
          <w:p>
            <w:pPr>
              <w:spacing w:after="0"/>
              <w:rPr>
                <w:sz w:val="16"/>
                <w:szCs w:val="16"/>
                <w:color w:val="auto"/>
              </w:rPr>
            </w:pPr>
          </w:p>
        </w:tc>
      </w:tr>
      <w:tr>
        <w:trPr>
          <w:trHeight w:val="238"/>
        </w:trPr>
        <w:tc>
          <w:tcPr>
            <w:tcW w:w="10240" w:type="dxa"/>
            <w:vAlign w:val="bottom"/>
            <w:gridSpan w:val="11"/>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30, 2025 and 2024)</w:t>
            </w:r>
          </w:p>
        </w:tc>
        <w:tc>
          <w:tcPr>
            <w:tcW w:w="1000" w:type="dxa"/>
            <w:vAlign w:val="bottom"/>
            <w:shd w:val="clear" w:color="auto" w:fill="CCEEFF"/>
          </w:tcPr>
          <w:p>
            <w:pPr>
              <w:spacing w:after="0"/>
              <w:rPr>
                <w:sz w:val="20"/>
                <w:szCs w:val="20"/>
                <w:color w:val="auto"/>
              </w:rPr>
            </w:pPr>
          </w:p>
        </w:tc>
      </w:tr>
      <w:tr>
        <w:trPr>
          <w:trHeight w:val="216"/>
        </w:trPr>
        <w:tc>
          <w:tcPr>
            <w:tcW w:w="2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10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Balance Sheets as of June 30, 2025 (Unaudited) and December 31, 2024</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F-133</w:t>
            </w:r>
          </w:p>
        </w:tc>
      </w:tr>
      <w:tr>
        <w:trPr>
          <w:trHeight w:val="216"/>
        </w:trPr>
        <w:tc>
          <w:tcPr>
            <w:tcW w:w="21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Statements of Operations for the six months ended June 30, 2025 and June 30, 2024</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F-134</w:t>
            </w:r>
          </w:p>
        </w:tc>
      </w:tr>
      <w:tr>
        <w:trPr>
          <w:trHeight w:val="216"/>
        </w:trPr>
        <w:tc>
          <w:tcPr>
            <w:tcW w:w="21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Statements of Changes in Member’s Deficit for the six months ended June 30, 2025 and 2024</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F-135</w:t>
            </w:r>
          </w:p>
        </w:tc>
      </w:tr>
      <w:tr>
        <w:trPr>
          <w:trHeight w:val="216"/>
        </w:trPr>
        <w:tc>
          <w:tcPr>
            <w:tcW w:w="21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Statements of Cash Flows for the six months ended June 30, 2025</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F-136</w:t>
            </w:r>
          </w:p>
        </w:tc>
      </w:tr>
      <w:tr>
        <w:trPr>
          <w:trHeight w:val="216"/>
        </w:trPr>
        <w:tc>
          <w:tcPr>
            <w:tcW w:w="21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F-137</w:t>
            </w:r>
          </w:p>
        </w:tc>
      </w:tr>
      <w:tr>
        <w:trPr>
          <w:trHeight w:val="655"/>
        </w:trPr>
        <w:tc>
          <w:tcPr>
            <w:tcW w:w="216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0000EE"/>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156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780" w:type="dxa"/>
            <w:vAlign w:val="bottom"/>
            <w:tcBorders>
              <w:top w:val="single" w:sz="8" w:color="CCEEFF"/>
              <w:bottom w:val="single" w:sz="8" w:color="auto"/>
            </w:tcBorders>
            <w:gridSpan w:val="5"/>
          </w:tcPr>
          <w:p>
            <w:pPr>
              <w:jc w:val="center"/>
              <w:ind w:right="4460"/>
              <w:spacing w:after="0"/>
              <w:rPr>
                <w:sz w:val="20"/>
                <w:szCs w:val="20"/>
                <w:color w:val="auto"/>
              </w:rPr>
            </w:pPr>
            <w:r>
              <w:rPr>
                <w:rFonts w:ascii="Times New Roman" w:cs="Times New Roman" w:eastAsia="Times New Roman" w:hAnsi="Times New Roman"/>
                <w:sz w:val="18"/>
                <w:szCs w:val="18"/>
                <w:color w:val="auto"/>
                <w:w w:val="95"/>
              </w:rPr>
              <w:t>F-2</w:t>
            </w:r>
          </w:p>
        </w:tc>
        <w:tc>
          <w:tcPr>
            <w:tcW w:w="10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AMBIA ENERGY, LLC</w:t>
            </w:r>
          </w:p>
        </w:tc>
        <w:tc>
          <w:tcPr>
            <w:tcW w:w="1000" w:type="dxa"/>
            <w:vAlign w:val="bottom"/>
          </w:tcPr>
          <w:p>
            <w:pPr>
              <w:spacing w:after="0"/>
              <w:rPr>
                <w:sz w:val="20"/>
                <w:szCs w:val="20"/>
                <w:color w:val="auto"/>
              </w:rPr>
            </w:pPr>
          </w:p>
        </w:tc>
      </w:tr>
      <w:tr>
        <w:trPr>
          <w:trHeight w:val="459"/>
        </w:trPr>
        <w:tc>
          <w:tcPr>
            <w:tcW w:w="216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8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0"/>
        </w:trPr>
        <w:tc>
          <w:tcPr>
            <w:tcW w:w="102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Ambia Energy, LLC (For the Year ended December 31, 2024)</w:t>
            </w:r>
          </w:p>
        </w:tc>
        <w:tc>
          <w:tcPr>
            <w:tcW w:w="1000" w:type="dxa"/>
            <w:vAlign w:val="bottom"/>
            <w:shd w:val="clear" w:color="auto" w:fill="CCEEFF"/>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1024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Independent Auditor’s Report</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F-148</w:t>
            </w:r>
          </w:p>
        </w:tc>
      </w:tr>
      <w:tr>
        <w:trPr>
          <w:trHeight w:val="216"/>
        </w:trPr>
        <w:tc>
          <w:tcPr>
            <w:tcW w:w="216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Balance Sheets as of December 31, 2024</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F-150</w:t>
            </w:r>
          </w:p>
        </w:tc>
      </w:tr>
      <w:tr>
        <w:trPr>
          <w:trHeight w:val="216"/>
        </w:trPr>
        <w:tc>
          <w:tcPr>
            <w:tcW w:w="21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 of Operations and Member’s Deficit for the year ended December 31, 2024</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F-151</w:t>
            </w:r>
          </w:p>
        </w:tc>
      </w:tr>
      <w:tr>
        <w:trPr>
          <w:trHeight w:val="216"/>
        </w:trPr>
        <w:tc>
          <w:tcPr>
            <w:tcW w:w="21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 of Cash Flows for the year ended December 31, 2024</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F-152</w:t>
            </w:r>
          </w:p>
        </w:tc>
      </w:tr>
      <w:tr>
        <w:trPr>
          <w:trHeight w:val="216"/>
        </w:trPr>
        <w:tc>
          <w:tcPr>
            <w:tcW w:w="21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F-153</w:t>
            </w:r>
          </w:p>
        </w:tc>
      </w:tr>
      <w:tr>
        <w:trPr>
          <w:trHeight w:val="216"/>
        </w:trPr>
        <w:tc>
          <w:tcPr>
            <w:tcW w:w="216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4"/>
        </w:trPr>
        <w:tc>
          <w:tcPr>
            <w:tcW w:w="10240" w:type="dxa"/>
            <w:vAlign w:val="bottom"/>
            <w:gridSpan w:val="10"/>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Unaudited Financial Statements of Ambia Energy, LLC (as of September 30, 2025 and December 31, 2024 and for the Nine Months</w:t>
            </w:r>
          </w:p>
        </w:tc>
        <w:tc>
          <w:tcPr>
            <w:tcW w:w="1000" w:type="dxa"/>
            <w:vAlign w:val="bottom"/>
            <w:shd w:val="clear" w:color="auto" w:fill="CCEEFF"/>
          </w:tcPr>
          <w:p>
            <w:pPr>
              <w:spacing w:after="0"/>
              <w:rPr>
                <w:sz w:val="16"/>
                <w:szCs w:val="16"/>
                <w:color w:val="auto"/>
              </w:rPr>
            </w:pPr>
          </w:p>
        </w:tc>
      </w:tr>
      <w:tr>
        <w:trPr>
          <w:trHeight w:val="238"/>
        </w:trPr>
        <w:tc>
          <w:tcPr>
            <w:tcW w:w="10240" w:type="dxa"/>
            <w:vAlign w:val="bottom"/>
            <w:gridSpan w:val="10"/>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Ended September 30, 2025 and 2024)</w:t>
            </w:r>
          </w:p>
        </w:tc>
        <w:tc>
          <w:tcPr>
            <w:tcW w:w="1000" w:type="dxa"/>
            <w:vAlign w:val="bottom"/>
            <w:shd w:val="clear" w:color="auto" w:fill="CCEEFF"/>
          </w:tcPr>
          <w:p>
            <w:pPr>
              <w:spacing w:after="0"/>
              <w:rPr>
                <w:sz w:val="20"/>
                <w:szCs w:val="20"/>
                <w:color w:val="auto"/>
              </w:rPr>
            </w:pPr>
          </w:p>
        </w:tc>
      </w:tr>
      <w:tr>
        <w:trPr>
          <w:trHeight w:val="216"/>
        </w:trPr>
        <w:tc>
          <w:tcPr>
            <w:tcW w:w="2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1024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Balance Sheets as of September 30, 2025 (Unaudited) and December 31, 2024</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F-163</w:t>
            </w:r>
          </w:p>
        </w:tc>
      </w:tr>
      <w:tr>
        <w:trPr>
          <w:trHeight w:val="216"/>
        </w:trPr>
        <w:tc>
          <w:tcPr>
            <w:tcW w:w="21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Statements of Operations and Member’s Deficit for the nine months ended September 30, 2025 and 2024</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F-164</w:t>
            </w:r>
          </w:p>
        </w:tc>
      </w:tr>
      <w:tr>
        <w:trPr>
          <w:trHeight w:val="216"/>
        </w:trPr>
        <w:tc>
          <w:tcPr>
            <w:tcW w:w="21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Statements of Cash Flows for the nine months ended September 30, 2025 and 2024</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F-165</w:t>
            </w:r>
          </w:p>
        </w:tc>
      </w:tr>
      <w:tr>
        <w:trPr>
          <w:trHeight w:val="216"/>
        </w:trPr>
        <w:tc>
          <w:tcPr>
            <w:tcW w:w="21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F-166</w:t>
            </w:r>
          </w:p>
        </w:tc>
      </w:tr>
      <w:tr>
        <w:trPr>
          <w:trHeight w:val="216"/>
        </w:trPr>
        <w:tc>
          <w:tcPr>
            <w:tcW w:w="21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216"/>
        </w:trPr>
        <w:tc>
          <w:tcPr>
            <w:tcW w:w="102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pro forma combined financial statements of SunPower Inc., Sunder Energy, LLC and A</w:t>
            </w:r>
            <w:r>
              <w:rPr>
                <w:rFonts w:ascii="Times New Roman" w:cs="Times New Roman" w:eastAsia="Times New Roman" w:hAnsi="Times New Roman"/>
                <w:sz w:val="18"/>
                <w:szCs w:val="18"/>
                <w:color w:val="auto"/>
              </w:rPr>
              <w:t>mbia</w:t>
            </w:r>
            <w:r>
              <w:rPr>
                <w:rFonts w:ascii="Times New Roman" w:cs="Times New Roman" w:eastAsia="Times New Roman" w:hAnsi="Times New Roman"/>
                <w:sz w:val="18"/>
                <w:szCs w:val="18"/>
                <w:b w:val="1"/>
                <w:bCs w:val="1"/>
                <w:color w:val="auto"/>
              </w:rPr>
              <w:t xml:space="preserve"> Energy, LLC.</w:t>
            </w:r>
          </w:p>
        </w:tc>
        <w:tc>
          <w:tcPr>
            <w:tcW w:w="1000" w:type="dxa"/>
            <w:vAlign w:val="bottom"/>
            <w:shd w:val="clear" w:color="auto" w:fill="CCEEFF"/>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1024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Pro Forma Combined Statement Of Operations For The Year Ended December 28, 2025</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F-177</w:t>
            </w:r>
          </w:p>
        </w:tc>
      </w:tr>
      <w:tr>
        <w:trPr>
          <w:trHeight w:val="216"/>
        </w:trPr>
        <w:tc>
          <w:tcPr>
            <w:tcW w:w="21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Pro Forma Combined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F-178</w:t>
            </w:r>
          </w:p>
        </w:tc>
      </w:tr>
      <w:tr>
        <w:trPr>
          <w:trHeight w:val="655"/>
        </w:trPr>
        <w:tc>
          <w:tcPr>
            <w:tcW w:w="216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0000EE"/>
              <w:bottom w:val="single" w:sz="8" w:color="auto"/>
            </w:tcBorders>
          </w:tcPr>
          <w:p>
            <w:pPr>
              <w:spacing w:after="0"/>
              <w:rPr>
                <w:sz w:val="24"/>
                <w:szCs w:val="24"/>
                <w:color w:val="auto"/>
              </w:rPr>
            </w:pPr>
          </w:p>
        </w:tc>
        <w:tc>
          <w:tcPr>
            <w:tcW w:w="16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5620" w:type="dxa"/>
            <w:vAlign w:val="bottom"/>
            <w:tcBorders>
              <w:top w:val="single" w:sz="8" w:color="CCEEFF"/>
              <w:bottom w:val="single" w:sz="8" w:color="auto"/>
            </w:tcBorders>
            <w:gridSpan w:val="6"/>
          </w:tcPr>
          <w:p>
            <w:pPr>
              <w:ind w:left="880"/>
              <w:spacing w:after="0"/>
              <w:rPr>
                <w:sz w:val="20"/>
                <w:szCs w:val="20"/>
                <w:color w:val="auto"/>
              </w:rPr>
            </w:pPr>
            <w:r>
              <w:rPr>
                <w:rFonts w:ascii="Times New Roman" w:cs="Times New Roman" w:eastAsia="Times New Roman" w:hAnsi="Times New Roman"/>
                <w:sz w:val="18"/>
                <w:szCs w:val="18"/>
                <w:color w:val="auto"/>
              </w:rPr>
              <w:t>F-3</w:t>
            </w:r>
          </w:p>
        </w:tc>
        <w:tc>
          <w:tcPr>
            <w:tcW w:w="10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SUNPOWER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share and per share amounts</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9,488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Trade accounts receivable, net of allowance for credit losses of $5,206 and $5,206 as of March 29, 2026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December 28, 2025, respectively</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80,585</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81,946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4,098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27,852</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16,913</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112,851</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1,134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3,841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4,557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5,325</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51,816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50,814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75,607</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62,630</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1,624</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262,086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241,187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28,348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26,240</w:t>
            </w:r>
          </w:p>
        </w:tc>
        <w:tc>
          <w:tcPr>
            <w:tcW w:w="0" w:type="dxa"/>
            <w:vAlign w:val="bottom"/>
          </w:tcPr>
          <w:p>
            <w:pPr>
              <w:spacing w:after="0"/>
              <w:rPr>
                <w:sz w:val="1"/>
                <w:szCs w:val="1"/>
                <w:color w:val="auto"/>
              </w:rPr>
            </w:pPr>
          </w:p>
        </w:tc>
      </w:tr>
      <w:tr>
        <w:trPr>
          <w:trHeight w:val="256"/>
        </w:trPr>
        <w:tc>
          <w:tcPr>
            <w:tcW w:w="8680" w:type="dxa"/>
            <w:vAlign w:val="bottom"/>
            <w:shd w:val="clear" w:color="auto" w:fill="CCEEFF"/>
          </w:tcPr>
          <w:p>
            <w:pPr>
              <w:ind w:left="340"/>
              <w:spacing w:after="0" w:line="256" w:lineRule="exact"/>
              <w:rPr>
                <w:sz w:val="20"/>
                <w:szCs w:val="20"/>
                <w:color w:val="auto"/>
              </w:rPr>
            </w:pPr>
            <w:r>
              <w:rPr>
                <w:rFonts w:ascii="Times New Roman" w:cs="Times New Roman" w:eastAsia="Times New Roman" w:hAnsi="Times New Roman"/>
                <w:sz w:val="18"/>
                <w:szCs w:val="18"/>
                <w:color w:val="auto"/>
              </w:rPr>
              <w:t xml:space="preserve">Accrued expenses and other current liabilities </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70,006</w:t>
            </w:r>
          </w:p>
        </w:tc>
        <w:tc>
          <w:tcPr>
            <w:tcW w:w="24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56,977</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debt with related parties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21,500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21,500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Short-term debt with third parties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13,736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notes payable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2,786</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consideration, current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17,102</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16,879</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consideration, current with related party</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12,634</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20,336</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SAFE Agreement with related party</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579</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Forward purchase agreement liabilities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5,107</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171,798</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154,638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provision, noncurrent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3,746</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 noncurrent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794</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and derivative liabilities, net of current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99,860</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120,159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and derivative liabilities with related parties, net of current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31,921</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35,130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1,693</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consideration, noncurrent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3,165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consideration, noncurrent with related party</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7,503</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323,539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331,331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Authorized 1,000,000,000 shares as of March 29, 2026, and December 28,</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2025; issued and outstanding 120,347,463 and 111,334,959 shares as of March 29, 2026, and December 28, 2025,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389,849</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366,408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(451,483)</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(456,733)</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(90,144</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262,086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241,187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340" w:hanging="332"/>
        <w:spacing w:after="0" w:line="391" w:lineRule="auto"/>
        <w:tabs>
          <w:tab w:leader="none" w:pos="340" w:val="left"/>
        </w:tabs>
        <w:numPr>
          <w:ilvl w:val="0"/>
          <w:numId w:val="6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Includes accrued interest due to related parties of $2.2 million and $2.6 million as of March 29, 2026, and December 28, 2025, respectively. Includes investor financing deposit with related party of $5.4 million and $2.0 million as of March 29, 2026, and December 28, 2025, respectively.</w:t>
      </w:r>
    </w:p>
    <w:p>
      <w:pPr>
        <w:ind w:left="1660"/>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758"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SUNPOWER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share and per share amounts</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72,793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78,413</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(1)</w:t>
            </w:r>
          </w:p>
        </w:tc>
        <w:tc>
          <w:tcPr>
            <w:tcW w:w="120" w:type="dxa"/>
            <w:vAlign w:val="bottom"/>
          </w:tcPr>
          <w:p>
            <w:pPr>
              <w:spacing w:after="0"/>
              <w:rPr>
                <w:sz w:val="24"/>
                <w:szCs w:val="24"/>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28,106</w:t>
            </w:r>
          </w:p>
        </w:tc>
        <w:tc>
          <w:tcPr>
            <w:tcW w:w="140" w:type="dxa"/>
            <w:vAlign w:val="bottom"/>
          </w:tcPr>
          <w:p>
            <w:pPr>
              <w:spacing w:after="0"/>
              <w:rPr>
                <w:sz w:val="24"/>
                <w:szCs w:val="24"/>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51,037</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27,376</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commissions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28,564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4,993</w:t>
            </w: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30,325</w:t>
            </w:r>
          </w:p>
        </w:tc>
        <w:tc>
          <w:tcPr>
            <w:tcW w:w="1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14,896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63,882</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31,102</w:t>
            </w:r>
          </w:p>
        </w:tc>
        <w:tc>
          <w:tcPr>
            <w:tcW w:w="10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0"/>
        </w:trPr>
        <w:tc>
          <w:tcPr>
            <w:tcW w:w="86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 xml:space="preserve">Interest expense </w:t>
            </w:r>
            <w:r>
              <w:rPr>
                <w:rFonts w:ascii="Times New Roman" w:cs="Times New Roman" w:eastAsia="Times New Roman" w:hAnsi="Times New Roman"/>
                <w:sz w:val="26"/>
                <w:szCs w:val="26"/>
                <w:color w:val="auto"/>
                <w:vertAlign w:val="superscript"/>
              </w:rPr>
              <w:t>(2)</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(6,924)</w:t>
            </w:r>
          </w:p>
        </w:tc>
        <w:tc>
          <w:tcPr>
            <w:tcW w:w="14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(6,041)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7"/>
        </w:trPr>
        <w:tc>
          <w:tcPr>
            <w:tcW w:w="86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Other non-operating income, net </w:t>
            </w:r>
            <w:r>
              <w:rPr>
                <w:rFonts w:ascii="Times New Roman" w:cs="Times New Roman" w:eastAsia="Times New Roman" w:hAnsi="Times New Roman"/>
                <w:sz w:val="29"/>
                <w:szCs w:val="29"/>
                <w:color w:val="auto"/>
                <w:vertAlign w:val="superscript"/>
              </w:rPr>
              <w:t>(3)</w:t>
            </w:r>
          </w:p>
        </w:tc>
        <w:tc>
          <w:tcPr>
            <w:tcW w:w="120" w:type="dxa"/>
            <w:vAlign w:val="bottom"/>
          </w:tcPr>
          <w:p>
            <w:pPr>
              <w:spacing w:after="0"/>
              <w:rPr>
                <w:sz w:val="24"/>
                <w:szCs w:val="24"/>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30,761</w:t>
            </w:r>
          </w:p>
        </w:tc>
        <w:tc>
          <w:tcPr>
            <w:tcW w:w="140" w:type="dxa"/>
            <w:vAlign w:val="bottom"/>
          </w:tcPr>
          <w:p>
            <w:pPr>
              <w:spacing w:after="0"/>
              <w:rPr>
                <w:sz w:val="24"/>
                <w:szCs w:val="24"/>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14,576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income, net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Income from operations before income taxes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4,642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4,812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5,250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4,812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(net of tax)</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5,250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to compute net income per share attributable to common stockholders</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124,279,055</w:t>
            </w:r>
          </w:p>
        </w:tc>
        <w:tc>
          <w:tcPr>
            <w:tcW w:w="14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80,209,585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163,787,402</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112,302,063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Cost of revenue with SameDay Solar, a related party, was $0.5 million and $0.2 million in the thirteen weeks ended March 29, 2026 and March 30, 2025, respectively. Refer to </w:t>
      </w:r>
      <w:r>
        <w:rPr>
          <w:rFonts w:ascii="Times New Roman" w:cs="Times New Roman" w:eastAsia="Times New Roman" w:hAnsi="Times New Roman"/>
          <w:sz w:val="18"/>
          <w:szCs w:val="18"/>
          <w:b w:val="1"/>
          <w:bCs w:val="1"/>
          <w:color w:val="auto"/>
        </w:rPr>
        <w:t>Note 17 – Related Party Transactions</w:t>
      </w:r>
      <w:r>
        <w:rPr>
          <w:rFonts w:ascii="Times New Roman" w:cs="Times New Roman" w:eastAsia="Times New Roman" w:hAnsi="Times New Roman"/>
          <w:sz w:val="18"/>
          <w:szCs w:val="18"/>
          <w:color w:val="auto"/>
        </w:rPr>
        <w:t xml:space="preserve"> for details.</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related party interest expense and amortization of debt issuance costs of $2.3 million and $1.4 million in the thirteen weeks ended March 29, 2026 and March 30, 2025, respectively.</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Includes the following related party transactions </w:t>
      </w:r>
      <w:r>
        <w:rPr>
          <w:rFonts w:ascii="Times New Roman" w:cs="Times New Roman" w:eastAsia="Times New Roman" w:hAnsi="Times New Roman"/>
          <w:sz w:val="18"/>
          <w:szCs w:val="18"/>
          <w:i w:val="1"/>
          <w:iCs w:val="1"/>
          <w:color w:val="auto"/>
        </w:rPr>
        <w:t>(in millions)</w:t>
      </w:r>
      <w:r>
        <w:rPr>
          <w:rFonts w:ascii="Times New Roman" w:cs="Times New Roman" w:eastAsia="Times New Roman" w:hAnsi="Times New Roman"/>
          <w:sz w:val="18"/>
          <w:szCs w:val="18"/>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94"/>
        </w:trPr>
        <w:tc>
          <w:tcPr>
            <w:tcW w:w="86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30,</w:t>
            </w:r>
          </w:p>
        </w:tc>
        <w:tc>
          <w:tcPr>
            <w:tcW w:w="100" w:type="dxa"/>
            <w:vAlign w:val="bottom"/>
          </w:tcPr>
          <w:p>
            <w:pPr>
              <w:spacing w:after="0"/>
              <w:rPr>
                <w:sz w:val="16"/>
                <w:szCs w:val="16"/>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remeasurement of derivative liabilities (</w:t>
            </w:r>
            <w:r>
              <w:rPr>
                <w:rFonts w:ascii="Times New Roman" w:cs="Times New Roman" w:eastAsia="Times New Roman" w:hAnsi="Times New Roman"/>
                <w:sz w:val="18"/>
                <w:szCs w:val="18"/>
                <w:b w:val="1"/>
                <w:bCs w:val="1"/>
                <w:color w:val="auto"/>
              </w:rPr>
              <w:t>Note 9 – Borrowings and Derivative Liabilities</w:t>
            </w: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Gain due to change in fair value of forward purchase agreements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SUNPOWER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number of shares</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220" w:type="dxa"/>
            <w:vAlign w:val="bottom"/>
            <w:tcBorders>
              <w:bottom w:val="single" w:sz="8" w:color="auto"/>
            </w:tcBorders>
            <w:gridSpan w:val="10"/>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Thirteen Weeks Ended March 29, 2026</w:t>
            </w: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gridSpan w:val="4"/>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8"/>
                <w:szCs w:val="18"/>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2"/>
        </w:trPr>
        <w:tc>
          <w:tcPr>
            <w:tcW w:w="40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vMerge w:val="continue"/>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90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0" w:type="dxa"/>
            <w:vAlign w:val="bottom"/>
          </w:tcPr>
          <w:p>
            <w:pPr>
              <w:spacing w:after="0"/>
              <w:rPr>
                <w:sz w:val="1"/>
                <w:szCs w:val="1"/>
                <w:color w:val="auto"/>
              </w:rPr>
            </w:pPr>
          </w:p>
        </w:tc>
      </w:tr>
      <w:tr>
        <w:trPr>
          <w:trHeight w:val="216"/>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28, 2025</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111,334,959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366,408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(456,733)</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165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(90,144)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Conversion of 7.0% senior unsecured convertible</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for shares of common stock</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1,608,769</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2,646</w:t>
            </w:r>
          </w:p>
        </w:tc>
        <w:tc>
          <w:tcPr>
            <w:tcW w:w="0" w:type="dxa"/>
            <w:vAlign w:val="bottom"/>
          </w:tcPr>
          <w:p>
            <w:pPr>
              <w:spacing w:after="0"/>
              <w:rPr>
                <w:sz w:val="1"/>
                <w:szCs w:val="1"/>
                <w:color w:val="auto"/>
              </w:rPr>
            </w:pPr>
          </w:p>
        </w:tc>
      </w:tr>
      <w:tr>
        <w:trPr>
          <w:trHeight w:val="198"/>
        </w:trPr>
        <w:tc>
          <w:tcPr>
            <w:tcW w:w="4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as consideration for</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businesses</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1,805,705</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3,333</w:t>
            </w:r>
          </w:p>
        </w:tc>
        <w:tc>
          <w:tcPr>
            <w:tcW w:w="0" w:type="dxa"/>
            <w:vAlign w:val="bottom"/>
          </w:tcPr>
          <w:p>
            <w:pPr>
              <w:spacing w:after="0"/>
              <w:rPr>
                <w:sz w:val="1"/>
                <w:szCs w:val="1"/>
                <w:color w:val="auto"/>
              </w:rPr>
            </w:pPr>
          </w:p>
        </w:tc>
      </w:tr>
      <w:tr>
        <w:trPr>
          <w:trHeight w:val="198"/>
        </w:trPr>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Non-cash issuance of shares of common stock for</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commitment fees, capitalized as debt issuance</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175,000</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863,030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4,560,000</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6,991</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1,605</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Sunder deferred consideration</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8,533</w:t>
            </w:r>
          </w:p>
        </w:tc>
        <w:tc>
          <w:tcPr>
            <w:tcW w:w="0" w:type="dxa"/>
            <w:vAlign w:val="bottom"/>
          </w:tcPr>
          <w:p>
            <w:pPr>
              <w:spacing w:after="0"/>
              <w:rPr>
                <w:sz w:val="1"/>
                <w:szCs w:val="1"/>
                <w:color w:val="auto"/>
              </w:rPr>
            </w:pPr>
          </w:p>
        </w:tc>
      </w:tr>
      <w:tr>
        <w:trPr>
          <w:trHeight w:val="24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5,250</w:t>
            </w:r>
          </w:p>
        </w:tc>
        <w:tc>
          <w:tcPr>
            <w:tcW w:w="90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5,250</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March 29, 2026</w:t>
            </w:r>
          </w:p>
        </w:tc>
        <w:tc>
          <w:tcPr>
            <w:tcW w:w="10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120,347,463</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389,849</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(451,483</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tcPr>
          <w:p>
            <w:pPr>
              <w:jc w:val="right"/>
              <w:ind w:right="73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6"/>
              </w:rPr>
              <w:t>165</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(61,453</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9"/>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w w:val="98"/>
              </w:rPr>
              <w:t>Thirteen Weeks Ended March 30, 2025</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gridSpan w:val="4"/>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8"/>
                <w:szCs w:val="18"/>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tcBorders>
              <w:bottom w:val="single" w:sz="8" w:color="auto"/>
            </w:tcBorders>
            <w:gridSpan w:val="4"/>
            <w:vMerge w:val="continue"/>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6"/>
        </w:trPr>
        <w:tc>
          <w:tcPr>
            <w:tcW w:w="4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90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0" w:type="dxa"/>
            <w:vAlign w:val="bottom"/>
          </w:tcPr>
          <w:p>
            <w:pPr>
              <w:spacing w:after="0"/>
              <w:rPr>
                <w:sz w:val="1"/>
                <w:szCs w:val="1"/>
                <w:color w:val="auto"/>
              </w:rPr>
            </w:pPr>
          </w:p>
        </w:tc>
      </w:tr>
      <w:tr>
        <w:trPr>
          <w:trHeight w:val="216"/>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29, 2024</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73,784,645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313,661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(411,379)</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165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(97,539)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43,793</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192,398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common stock warrants</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4,812</w:t>
            </w:r>
          </w:p>
        </w:tc>
        <w:tc>
          <w:tcPr>
            <w:tcW w:w="90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4,812</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30, 2025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80,020,836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314,247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(406,567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(92,141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SUNPOWER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number of shares</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94"/>
        </w:trPr>
        <w:tc>
          <w:tcPr>
            <w:tcW w:w="86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301"/>
              <w:spacing w:after="0" w:line="194"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30,</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4,812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from operations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1,605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3,609</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1,583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1,087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SAFE Agreement – related party</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w:t>
            </w:r>
          </w:p>
        </w:tc>
      </w:tr>
      <w:tr>
        <w:trPr>
          <w:trHeight w:val="257"/>
        </w:trPr>
        <w:tc>
          <w:tcPr>
            <w:tcW w:w="86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Change in fair value of forward purchase agreement liabilities </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1,142</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57"/>
        </w:trPr>
        <w:tc>
          <w:tcPr>
            <w:tcW w:w="86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Change in fair value of derivative liabilities </w:t>
            </w:r>
            <w:r>
              <w:rPr>
                <w:rFonts w:ascii="Times New Roman" w:cs="Times New Roman" w:eastAsia="Times New Roman" w:hAnsi="Times New Roman"/>
                <w:sz w:val="29"/>
                <w:szCs w:val="29"/>
                <w:color w:val="auto"/>
                <w:vertAlign w:val="superscript"/>
              </w:rPr>
              <w:t>(2)</w:t>
            </w:r>
          </w:p>
        </w:tc>
        <w:tc>
          <w:tcPr>
            <w:tcW w:w="120" w:type="dxa"/>
            <w:vAlign w:val="bottom"/>
          </w:tcPr>
          <w:p>
            <w:pPr>
              <w:spacing w:after="0"/>
              <w:rPr>
                <w:sz w:val="22"/>
                <w:szCs w:val="22"/>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(26,608)</w:t>
            </w:r>
          </w:p>
        </w:tc>
        <w:tc>
          <w:tcPr>
            <w:tcW w:w="12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(15,127)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1,092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deferred consideration</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(2,943)</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deferred consideration with related party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(2,307)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debt obligations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6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Amortization of debt issuance costs </w:t>
            </w:r>
            <w:r>
              <w:rPr>
                <w:rFonts w:ascii="Times New Roman" w:cs="Times New Roman" w:eastAsia="Times New Roman" w:hAnsi="Times New Roman"/>
                <w:sz w:val="29"/>
                <w:szCs w:val="29"/>
                <w:color w:val="auto"/>
                <w:vertAlign w:val="superscript"/>
              </w:rPr>
              <w:t>(3)</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3,674</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3,655</w:t>
            </w:r>
          </w:p>
        </w:tc>
      </w:tr>
      <w:tr>
        <w:trPr>
          <w:trHeight w:val="257"/>
        </w:trPr>
        <w:tc>
          <w:tcPr>
            <w:tcW w:w="86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Non-cash expense (income) </w:t>
            </w:r>
            <w:r>
              <w:rPr>
                <w:rFonts w:ascii="Times New Roman" w:cs="Times New Roman" w:eastAsia="Times New Roman" w:hAnsi="Times New Roman"/>
                <w:sz w:val="29"/>
                <w:szCs w:val="29"/>
                <w:color w:val="auto"/>
                <w:vertAlign w:val="superscript"/>
              </w:rPr>
              <w:t>(4)</w:t>
            </w:r>
          </w:p>
        </w:tc>
        <w:tc>
          <w:tcPr>
            <w:tcW w:w="120" w:type="dxa"/>
            <w:vAlign w:val="bottom"/>
          </w:tcPr>
          <w:p>
            <w:pPr>
              <w:spacing w:after="0"/>
              <w:rPr>
                <w:sz w:val="22"/>
                <w:szCs w:val="22"/>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 of business acquisitions: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5,003</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11,386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(11,279)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(10,909)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(1,756)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6,896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9,702</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(5,525)</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(12,940)</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3,064</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(25,656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(2,627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acquisition, net of cash acquired</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convertible notes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10,710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convertible notes due to related parties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payments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Principal repayment of notes payable</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(1,078)</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6,991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warrant for common stock</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Investor financing deposit</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(2,836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(2,825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13,458</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7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10,622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14,394</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5,263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1,388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and investing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convertible note in exchange for investor deposit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7% unsecured notes for shares of common stock</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2,646</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as partial consideration for acquisition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3,333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consideration recognized for acquisition of Cobalt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6,331</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Cobalt acquisition accounted for as Goodwill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consideration reclassified to Additional paid-in capital</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8,533</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bl>
    <w:p>
      <w:pPr>
        <w:spacing w:after="0" w:line="69" w:lineRule="exact"/>
        <w:rPr>
          <w:sz w:val="20"/>
          <w:szCs w:val="20"/>
          <w:color w:val="auto"/>
        </w:rPr>
      </w:pPr>
    </w:p>
    <w:p>
      <w:pPr>
        <w:ind w:left="340" w:hanging="332"/>
        <w:spacing w:after="0"/>
        <w:tabs>
          <w:tab w:leader="none" w:pos="340" w:val="left"/>
        </w:tabs>
        <w:numPr>
          <w:ilvl w:val="0"/>
          <w:numId w:val="7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related party income of $0.1 million in the thirteen weeks ended March 30, 2025.</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7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related party gain on remeasurement of $7.5 million and $3.7 million in the thirteen weeks ended March 29, 2026 and March 30, 2025, respectively.</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7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related party amortization expense of $0.9 million and $0.7 million in the thirteen weeks ended March 29, 2026 and March 30, 2025, respectively.</w:t>
      </w:r>
    </w:p>
    <w:p>
      <w:pPr>
        <w:sectPr>
          <w:pgSz w:w="11900" w:h="16838" w:orient="portrait"/>
          <w:cols w:equalWidth="0" w:num="1">
            <w:col w:w="11240"/>
          </w:cols>
          <w:pgMar w:left="320" w:top="684" w:right="339" w:bottom="0" w:gutter="0" w:footer="0" w:header="0"/>
        </w:sectPr>
      </w:pPr>
    </w:p>
    <w:bookmarkStart w:id="130" w:name="page131"/>
    <w:bookmarkEnd w:id="130"/>
    <w:p>
      <w:pPr>
        <w:ind w:left="340" w:hanging="332"/>
        <w:spacing w:after="0"/>
        <w:tabs>
          <w:tab w:leader="none" w:pos="340" w:val="left"/>
        </w:tabs>
        <w:numPr>
          <w:ilvl w:val="0"/>
          <w:numId w:val="7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related party non-cash income of $0.1 million in the thirteen weeks ended March 30, 2025.</w:t>
      </w:r>
    </w:p>
    <w:p>
      <w:pPr>
        <w:spacing w:after="0" w:line="196"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 w:right="1440"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SUNPOWER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SunPower Inc. (“SunPower” or the “Company”) is the rebranded name of Complete Solaria, Inc. (“Complete Solaria”). The rebranding was effective April 22, 2025 and the Company’s legal name change became effective on October 16, 2025. References to the Company and SunPower include the same entity under its previous name of Complete Solaria. The Company is headquartered in Orem, Utah.</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was originally incorporated in Delaware under the name Complete Solaria, Inc. and is a residential solar installer that offers storage and home energy solutions to customers in North America. The Company was formed through Complete Solar Holding Corporation’s acquisition of The Solaria Corporation (“Solaria”).</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Complete Solar, Inc. (“Complete Solar”) was incorporated in Delaware on February 22, 2010. Through February 2022, the Company operated as Complete Solar, Inc., a single legal entity. In February 2022, Complete Solar implemented a holding company reorganization (the “Reorganization”) in which the Company created and incorporated Complete Solar Holding Corporation (“Complete Solar Holdings”). As a result of the Reorganization, Complete Solar Holdings became the successor entity to Complete Solar, Inc. Complete Solaria, Inc. (“Complete Solaria”) was formed in November 2022 through the merger of Complete Solar Holding Corporation, a Delaware corporation (“Complete Solar”), and The Solaria Corporation, a Delaware corporation (such entity, “Solaria,” and such transaction, the “Business Combination”).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on a 52-to-53-week fiscal year that ends on the Sunday closest to December 31. The Company’s first fiscal quarters for 2026 and 2025 in this report on Form 10-Q ended on March 29, 2026 (“Q1 2026”) and March 30, 2025 (“Q1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the fiscal year ended December 28, 2025, the Company completed the acquisitions of Sunder Energy, LLC (“Sunder”) and Ambia Energy LLC (“Ambia”). On February 2, 2026, the Company completed the acquisition of Cobalt Power Systems, Inc. (“Cobalt”). Each of these acquisitions was accounted for as a business combination in accordance with Accounting Standards Codification (“ASC”) 805,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xml:space="preserve"> Refer to </w:t>
      </w:r>
      <w:r>
        <w:rPr>
          <w:rFonts w:ascii="Times New Roman" w:cs="Times New Roman" w:eastAsia="Times New Roman" w:hAnsi="Times New Roman"/>
          <w:sz w:val="18"/>
          <w:szCs w:val="18"/>
          <w:b w:val="1"/>
          <w:bCs w:val="1"/>
          <w:color w:val="auto"/>
        </w:rPr>
        <w:t>Note 3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Business Combinations </w:t>
      </w:r>
      <w:r>
        <w:rPr>
          <w:rFonts w:ascii="Times New Roman" w:cs="Times New Roman" w:eastAsia="Times New Roman" w:hAnsi="Times New Roman"/>
          <w:sz w:val="18"/>
          <w:szCs w:val="18"/>
          <w:color w:val="auto"/>
        </w:rPr>
        <w:t>for details of these transactions.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operating loss was $19.2 million in the thirteen weeks ended March 29, 2026. As of March 29, 2026, the Company had an accumulated deficit of $451.5 million, current debt of $38.0 million, and cash and cash equivalents, excluding restricted cash, of $9.5 million. The Company anticipates that operating losses and negative operating cash flows will continue in the near term.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actively pursuing plans to mitigate these conditions, including obtaining additional capital resources through equity or debt financing and leveraging support from significant stockholders when necessary. The Company has financed its operations primarily through sales of equity securities, private placements, debt, issuance of convertible notes and other debt instruments, other financing instruments, cash from operations, and proceeds from the Mergers.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did not file its Quarterly Report on Form 10-Q for the quarter ended September 28, 2025 or the amendment required to the Current Report originally filed on September 26, 2025, relating to the Sunder acquisition, within the timeframe required by the SEC. As a result, the Company is not currently eligible to use a registration statement on Form S-3 that would allow it to continuously incorporate by reference its SEC reports into a registration statement, to use “shelf” registration statements to conduct offerings, or to use the at-the-market offering facility until approximately one year from the date that the Company has regained and maintained status as a current filer. Aside from a “shelf” registration, the Company has alternative financing options and may seek additional liquidity through the use of a Form S-1 registration statement and or private placements.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2" w:name="page133"/>
    <w:bookmarkEnd w:id="132"/>
    <w:p>
      <w:pPr>
        <w:jc w:val="both"/>
        <w:spacing w:after="0" w:line="256" w:lineRule="auto"/>
        <w:rPr>
          <w:sz w:val="20"/>
          <w:szCs w:val="20"/>
          <w:color w:val="auto"/>
        </w:rPr>
      </w:pPr>
      <w:r>
        <w:rPr>
          <w:rFonts w:ascii="Times New Roman" w:cs="Times New Roman" w:eastAsia="Times New Roman" w:hAnsi="Times New Roman"/>
          <w:sz w:val="18"/>
          <w:szCs w:val="18"/>
          <w:color w:val="auto"/>
        </w:rPr>
        <w:t>If the Company is not able to secure adequate additional funding when needed, the Company will need to reevaluate its operating plan and may be forced to make reductions in spending, extend payment terms with suppliers, liquidate assets where possible, or suspend or curtail planned programs or cease operations entirely. These actions could materially impact the Company’s business, results of operations and future prospects. While the Company has been able to raise multiple rounds of financing, there can be no assurance that in the event the Company requires additional financing, such financing will be available on terms that are favorable, or at all. Failure to generate sufficient cash flows from operations, raise additional capital or reduce certain discretionary spending would have a material adverse effect on the Company’s ability to achieve its intended business objectives.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Therefore, there is substantial doubt about the Company’s ability to continue as a going concern within one year after the date that the unaudited condensed consolidated financial statements are issued. The accompanying unaudited condensed consolidated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interim unaudited condensed consolidated financial statements include the accounts of the Company and its wholly-owned subsidiaries. All material intercompany balances and transactions have been eliminated in consolidation.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are unaudited and have been prepared by the Company in accordance with U.S. generally accepted accounting principles (“U.S. GAAP”) for interim financial information and in accordance with the rules and regulations of the Securities and Exchange Commission (the “SEC”). Accordingly, these interim unaudited condensed consolidated financial statements do not include all the information and disclosures required by U.S. GAAP for complete financial statements.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opinion of management, these interim unaudited condensed consolidated financial statements reflect all adjustments, consisting of normal recurring adjustments, necessary to present fairly the Company’s financial position as of March 29, 2026, and the results of operations for the thirteen weeks ended March 29, 2026 and March 30, 2025. These interim unaudited condensed consolidated financial statements and related notes should be read in conjunction with the audited consolidated financial statements and related notes for the fiscal year ended December 28, 2025, included in the Company’s Annual Report on Form 10-K filed with the SEC on April 14, 2026. The results of operations for interim periods are not necessarily indicative of the results to be expected for the full year or any other future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restricted cash</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 reconciles cash, cash equivalents, and restricted cash reported in its unaudited condensed consolidated balance sheets that aggregate to the beginning and ending balances shown in the Company’s unaudited condensed consolidated statements of cash flows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4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4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00" w:type="dxa"/>
            <w:vAlign w:val="bottom"/>
          </w:tcPr>
          <w:p>
            <w:pPr>
              <w:spacing w:after="0"/>
              <w:rPr>
                <w:sz w:val="16"/>
                <w:szCs w:val="16"/>
                <w:color w:val="auto"/>
              </w:rPr>
            </w:pPr>
          </w:p>
        </w:tc>
      </w:tr>
      <w:tr>
        <w:trPr>
          <w:trHeight w:val="245"/>
        </w:trPr>
        <w:tc>
          <w:tcPr>
            <w:tcW w:w="4440" w:type="dxa"/>
            <w:vAlign w:val="bottom"/>
            <w:tcBorders>
              <w:bottom w:val="single" w:sz="8" w:color="CCEEFF"/>
            </w:tcBorders>
          </w:tcPr>
          <w:p>
            <w:pPr>
              <w:spacing w:after="0"/>
              <w:rPr>
                <w:sz w:val="21"/>
                <w:szCs w:val="21"/>
                <w:color w:val="auto"/>
              </w:rPr>
            </w:pPr>
          </w:p>
        </w:tc>
        <w:tc>
          <w:tcPr>
            <w:tcW w:w="42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100" w:type="dxa"/>
            <w:vAlign w:val="bottom"/>
            <w:shd w:val="clear" w:color="auto" w:fill="CCEEFF"/>
          </w:tcPr>
          <w:p>
            <w:pPr>
              <w:spacing w:after="0"/>
              <w:rPr>
                <w:sz w:val="18"/>
                <w:szCs w:val="18"/>
                <w:color w:val="auto"/>
              </w:rPr>
            </w:pPr>
          </w:p>
        </w:tc>
      </w:tr>
      <w:tr>
        <w:trPr>
          <w:trHeight w:val="237"/>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3,841</w:t>
            </w:r>
          </w:p>
        </w:tc>
      </w:tr>
      <w:tr>
        <w:trPr>
          <w:trHeight w:val="223"/>
        </w:trPr>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4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4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2"/>
          </w:tcPr>
          <w:p>
            <w:pPr>
              <w:jc w:val="right"/>
              <w:ind w:right="2976"/>
              <w:spacing w:after="0"/>
              <w:rPr>
                <w:sz w:val="20"/>
                <w:szCs w:val="20"/>
                <w:color w:val="auto"/>
              </w:rPr>
            </w:pPr>
            <w:r>
              <w:rPr>
                <w:rFonts w:ascii="Times New Roman" w:cs="Times New Roman" w:eastAsia="Times New Roman" w:hAnsi="Times New Roman"/>
                <w:sz w:val="18"/>
                <w:szCs w:val="18"/>
                <w:color w:val="auto"/>
              </w:rPr>
              <w:t>F-9</w:t>
            </w: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preparation of interim unaudited condensed consolidated financial statements requires management to make estimates and assumptions that affect reported amounts.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606 –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when control of the promised products and services is transferred to the customer and its performance obligations are satisfied. The Company’s performance obligation in its Residential Solar Installation and New Homes Business segments is to design and install a fully functioning solar energy system. The design, delivery of system components, installation, and services facilitating interconnection to the power grid are accounted for as a single performance obligation.</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is recognized in the amount of consideration the Company expects to be entitled to receive, net of customer incentives such as discounts or rebates, and variable consideration is estimated at each reporting date to the extent it is probable that a significant reversal will not occur. Amounts invoiced and collected in advance of performance are recorded as deferred revenue. The Company’s contracts do not contain significant financing components.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Residential Solar Installation and New Homes Business cash and financing arrangements, revenue is generally recognized over time beginning when the system is fully installed, as this is when the customer obtains control of the asset. Revenue is recognized using an input method based on direct installation costs. For New Homes Business lease arrangements, revenue is recognized at a point in time upon customer acceptance of the completed system.</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Dealer segment, the Company earns revenue from contracts for solar installations performed by third-party installers. The Company acts as an agent in these arrangements and recognizes revenue on a net basis at the point in time when substantial completion is achieved. The Company does not provide warranty services related to Dealer contracts. During the thirteen week period ended March 29, 2026, the Company amended customer contracts and under the amended contractual terms, the point at which control transfers to the customer changed from permission to operate (“PTO”) to substantial completion of the installation. As a result, the Company recognized incremental revenue of $12.4 million in the thirteen week period ended March 29, 2026, related to the contract modifications.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Incremental costs of obtaining customer contracts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29, 2026 and December 28, 2025, deferred commissions were $8.1 million and $5.6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Estimated credit losses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summarizes the allowance for credit loss activity as of and for the periods ended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07"/>
        </w:trPr>
        <w:tc>
          <w:tcPr>
            <w:tcW w:w="49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00" w:type="dxa"/>
            <w:vAlign w:val="bottom"/>
          </w:tcPr>
          <w:p>
            <w:pPr>
              <w:spacing w:after="0"/>
              <w:rPr>
                <w:sz w:val="18"/>
                <w:szCs w:val="18"/>
                <w:color w:val="auto"/>
              </w:rPr>
            </w:pPr>
          </w:p>
        </w:tc>
      </w:tr>
      <w:tr>
        <w:trPr>
          <w:trHeight w:val="245"/>
        </w:trPr>
        <w:tc>
          <w:tcPr>
            <w:tcW w:w="4920" w:type="dxa"/>
            <w:vAlign w:val="bottom"/>
            <w:tcBorders>
              <w:bottom w:val="single" w:sz="8" w:color="CCEEFF"/>
            </w:tcBorders>
          </w:tcPr>
          <w:p>
            <w:pPr>
              <w:spacing w:after="0"/>
              <w:rPr>
                <w:sz w:val="21"/>
                <w:szCs w:val="21"/>
                <w:color w:val="auto"/>
              </w:rPr>
            </w:pPr>
          </w:p>
        </w:tc>
        <w:tc>
          <w:tcPr>
            <w:tcW w:w="37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7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Provision charged to earnings</w:t>
            </w: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(1,087)</w:t>
            </w:r>
          </w:p>
        </w:tc>
      </w:tr>
      <w:tr>
        <w:trPr>
          <w:trHeight w:val="24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written off, net of recoveries and other adjustments</w:t>
            </w:r>
          </w:p>
        </w:tc>
        <w:tc>
          <w:tcPr>
            <w:tcW w:w="3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313</w:t>
            </w:r>
          </w:p>
        </w:tc>
      </w:tr>
      <w:tr>
        <w:trPr>
          <w:trHeight w:val="210"/>
        </w:trPr>
        <w:tc>
          <w:tcPr>
            <w:tcW w:w="49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at end of period</w:t>
            </w:r>
          </w:p>
        </w:tc>
        <w:tc>
          <w:tcPr>
            <w:tcW w:w="37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(5,206</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(2,475</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9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9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jc w:val="right"/>
              <w:ind w:right="2916"/>
              <w:spacing w:after="0"/>
              <w:rPr>
                <w:sz w:val="20"/>
                <w:szCs w:val="20"/>
                <w:color w:val="auto"/>
              </w:rPr>
            </w:pPr>
            <w:r>
              <w:rPr>
                <w:rFonts w:ascii="Times New Roman" w:cs="Times New Roman" w:eastAsia="Times New Roman" w:hAnsi="Times New Roman"/>
                <w:sz w:val="18"/>
                <w:szCs w:val="18"/>
                <w:color w:val="auto"/>
              </w:rPr>
              <w:t>F-10</w:t>
            </w: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Adopted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March 2024, the FASB issued ASU 2024-02 </w:t>
      </w:r>
      <w:r>
        <w:rPr>
          <w:rFonts w:ascii="Times New Roman" w:cs="Times New Roman" w:eastAsia="Times New Roman" w:hAnsi="Times New Roman"/>
          <w:sz w:val="18"/>
          <w:szCs w:val="18"/>
          <w:i w:val="1"/>
          <w:iCs w:val="1"/>
          <w:color w:val="auto"/>
        </w:rPr>
        <w:t>“Codification Improvements-Amendments to Remove References to the Concepts Statements”</w:t>
      </w:r>
      <w:r>
        <w:rPr>
          <w:rFonts w:ascii="Times New Roman" w:cs="Times New Roman" w:eastAsia="Times New Roman" w:hAnsi="Times New Roman"/>
          <w:sz w:val="18"/>
          <w:szCs w:val="18"/>
          <w:color w:val="auto"/>
        </w:rPr>
        <w:t>, which removes various references to concepts statements from the FASB Accounting Standards Codification. This ASU is effective for the Company beginning in the first quarter of fiscal year 2026, with early adoption permitted. The Company adopted the guidance in the period ended March 29, 2026 and the adoption did not have a material impact on the Company’s unaudited condensed consolidated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2024-04, “</w:t>
      </w:r>
      <w:r>
        <w:rPr>
          <w:rFonts w:ascii="Times New Roman" w:cs="Times New Roman" w:eastAsia="Times New Roman" w:hAnsi="Times New Roman"/>
          <w:sz w:val="18"/>
          <w:szCs w:val="18"/>
          <w:i w:val="1"/>
          <w:iCs w:val="1"/>
          <w:color w:val="auto"/>
        </w:rPr>
        <w:t>Debt-Debt with Conversion and Other Options (Subtopic 470-20) (“ASU 2024-04”)”</w:t>
      </w:r>
      <w:r>
        <w:rPr>
          <w:rFonts w:ascii="Times New Roman" w:cs="Times New Roman" w:eastAsia="Times New Roman" w:hAnsi="Times New Roman"/>
          <w:sz w:val="18"/>
          <w:szCs w:val="18"/>
          <w:color w:val="auto"/>
        </w:rPr>
        <w:t>. The guidance in ASU 2024-04 clarifies the requirements related to accounting for the settlement of a debt instrument as an induced conversion. The standard is effective for fiscal years beginning after December 15, 2025, and interim periods within fiscal years beginning after December 15, 2025, with early adoption permitted as of the beginning of a reporting period if the entity has also adopted ASU 2020-06 for that period. The Company adopted the guidance effective December 29, 2025 and the adoption did not have a material impact on the Company’s unaudited condensed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Disaggregation of Income Statement Expenses”, </w:t>
      </w:r>
      <w:r>
        <w:rPr>
          <w:rFonts w:ascii="Times New Roman" w:cs="Times New Roman" w:eastAsia="Times New Roman" w:hAnsi="Times New Roman"/>
          <w:sz w:val="18"/>
          <w:szCs w:val="18"/>
          <w:color w:val="auto"/>
        </w:rPr>
        <w:t>which requires the disaggregation of certain expenses in the notes of the financial statements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provide enhanced transparency into the expense captions presented on the face of the income statement. The FASB subsequently issued ASU 2025-01 </w:t>
      </w:r>
      <w:r>
        <w:rPr>
          <w:rFonts w:ascii="Times New Roman" w:cs="Times New Roman" w:eastAsia="Times New Roman" w:hAnsi="Times New Roman"/>
          <w:sz w:val="18"/>
          <w:szCs w:val="18"/>
          <w:i w:val="1"/>
          <w:iCs w:val="1"/>
          <w:color w:val="auto"/>
        </w:rPr>
        <w:t>“Income Statement-Reporting Comprehensive Income-Expense Disaggregation Disclosures (Subtopic 220-40): Clarifying the Effective Date”</w:t>
      </w:r>
      <w:r>
        <w:rPr>
          <w:rFonts w:ascii="Times New Roman" w:cs="Times New Roman" w:eastAsia="Times New Roman" w:hAnsi="Times New Roman"/>
          <w:sz w:val="18"/>
          <w:szCs w:val="18"/>
          <w:color w:val="auto"/>
        </w:rPr>
        <w: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amends the effective date of ASU 2024-03 to clarify that all public business entities are required to adopt the guidance in ASU 2024-03 in annual reporting periods beginning after December 15, 2026, and interim periods within annual reporting periods beginning after December 15, 2027. Early adoption of ASU 2024-03 is permitted. The Company is assessing the impact of adopting this guidance on its consolidated financial statements.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“Targeted improvements to the Accounting for Internal-Use Software”</w:t>
      </w:r>
      <w:r>
        <w:rPr>
          <w:rFonts w:ascii="Times New Roman" w:cs="Times New Roman" w:eastAsia="Times New Roman" w:hAnsi="Times New Roman"/>
          <w:sz w:val="18"/>
          <w:szCs w:val="18"/>
          <w:color w:val="auto"/>
        </w:rPr>
        <w:t xml:space="preserve"> which is an update to remove all references to prescriptive and sequential software development stages (referred to as “project stages”). This ASU is effective for all entities for annual reporting periods beginning after December 15, 2027, and interim reporting periods within those annual reporting periods. Early adoption is permitted as of the beginning of an annual reporting period. The Company is currently evaluating the impact that the adoption of ASU 2025-06 may have on its consolidated financial statements.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Narrow Scope Improvements”</w:t>
      </w:r>
      <w:r>
        <w:rPr>
          <w:rFonts w:ascii="Times New Roman" w:cs="Times New Roman" w:eastAsia="Times New Roman" w:hAnsi="Times New Roman"/>
          <w:sz w:val="18"/>
          <w:szCs w:val="18"/>
          <w:color w:val="auto"/>
        </w:rPr>
        <w:t xml:space="preserve"> which amends and clarifies interim reporting and disclosure requirements including additional guidance on what disclosures should be provided in interim reporting periods. This amendment also includes a disclosure principle that requires entities to disclose events since the end of the last annual reporting period that have a material impact on the entity. This ASU is effective for interim reporting periods within annual reporting periods beginning after December 15, 2027 for public companies. This ASU may be applied prospectively or retrospectively to any or all periods presented in the Company’s consolidated financial statements. Early adoption of this ASU is permitted. The Company is currently evaluating the impact that the adoption of this ASU may have on its consolidated financial statements.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which makes changes to the Accounting Standards Codification that clarify, correct errors or make minor improvements and make ASCs easier to understand and apply. The amendments in this ASU are effective for all entities for annual reporting periods beginning after December 15, 2026, and interim reporting periods within those annual reporting periods. This ASU may be adopted prospectively or retrospectively, except as to the clarification of the calculation of earnings per share when a loss from continuing operations exists which must be adopted retrospectively. All other codification improvements may be adopted prospectively or retrospectively. Early adoption is permitted. The Company is currently evaluating the impact that the adoption of this ASU may have on its consolidated financial statements.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(3) Business Combinations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Cobalt Power Systems, Inc.</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30, 2026, the Company entered into a Share Purchase Agreement (the “Share Purchase Agreement”) with Cobalt and Cobalt’s stockholders (the “Cobalt Stockholders”). The Company, Cobalt and the Cobalt Stockholders completed the closing under the Share Purchase Agreement (the “Cobalt Closing”) on February 2, 2026. At the Cobalt Closing, the Company acquired all of the outstanding stock of Cobalt from the Cobalt Stockholders for: (a) 1.8 million shares (the “Closing Consideration Shares”) of the Company’s common stock and (b) an agreement to issue an additional $3.33 million of shares of the Company’s common stock on each of the 12-month and 18-month anniversaries of the Cobalt Closing (“Post-Closing Consideration Shares). Additionally, the Company agreed to issue up to $2.0 million of restricted stock units to those Cobalt employees who continue their employment with the Company following the Cobalt Closing, and 850,000 restricted stock units will be issued as inducement grants to certain Cobalt key employees. Based on the analysis of the payments made or to be made in connection with the acquisition of Cobalt under ASC 805, the Company concluded that the $2.0 million of restricted stock units is considered compensation and, therefore, this amount has been excluded from the business combination consideration. Cobalt designs and installs solar systems for residential and commercial clients.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Total consideration for Cobalt was $9.66 million, which consists of $3.33 million paid at the Cobalt Closing and Post-Closing Consideration Shares valued at $6.33 million. The $3.33 million fair value of the shares of common stock issued at the Cobalt Closing was derived based on the Company’s closing stock price in a 5-day volume-weighted average price (“VWAP”) immediately preceding the Cobalt Closing to determine the number of shares issued. The Post-Closing Consideration Shares are treated as a liability for financial reporting purposes and are reported within Deferred consideration, current and deferred consideration, noncurrent within the Company’s unaudited condensed consolidated balance sheet, and were valued using a Monte Carlo simulation model to capture the variability in the number and value of shares issuable at the 12- and 18-month post-closing dates. Under the terms of the agreement, the deferred obligation represents a fixed dollar amount that will be settled in a variable number of shares determined based on the 5-day VWAP immediately prior to each issuance date, resulting in an inverse relationship between share price and shares issued. The model incorporates key assumptions, including a starting VWAP of $1.69, a risk-free rate of 3.53%, expected volatility of 85.5% derived from peer company analysis and historical data, and a 1.5-year simulation horizon. For each simulated stock price path, the model calculates the resulting share issuances and corresponding payment values, discounts those amounts to present value, and averages the outcomes across simulations to estimate fair value, resulting in a concluded value of approximately $6.33 million as of the valuation date. The total consideration is summarized as follows </w:t>
      </w:r>
      <w:r>
        <w:rPr>
          <w:rFonts w:ascii="Times New Roman" w:cs="Times New Roman" w:eastAsia="Times New Roman" w:hAnsi="Times New Roman"/>
          <w:sz w:val="18"/>
          <w:szCs w:val="18"/>
          <w:i w:val="1"/>
          <w:i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shares of the Company’s common stock issued at Cobalt Closing (classified within Additional paid-in capital)</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3,333</w:t>
            </w: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Cobalt Consideration Shares (Classified within Deferred consideration, current and noncurrent)</w:t>
            </w:r>
          </w:p>
        </w:tc>
        <w:tc>
          <w:tcPr>
            <w:tcW w:w="4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6,331</w:t>
            </w:r>
          </w:p>
        </w:tc>
      </w:tr>
      <w:tr>
        <w:trPr>
          <w:trHeight w:val="223"/>
        </w:trPr>
        <w:tc>
          <w:tcPr>
            <w:tcW w:w="10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total consideration</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provisional fair values of assets acquired and liabilities assumed were based upon the facts and circumstances existing at the Cobalt Closing. The purchase price accounting remains open for the valuation of intangibles, certain liabilities and allocation of goodwill. The Company elected the practical expedient within ASC 805-20-30-27 through 805-20-30-30 to recognize and measure contract liabilities in accordance with ASC 606 as if it had originated the acquired contract. Thus, the amount of any contract liabilities immediately prior to the acquisition will be the comparable amounts recognized in the determination of assets acquired and liabilities assumed by the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provisional fair values of identifiable assets acquired and liabilities assumed are identified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w w:val="96"/>
              </w:rPr>
              <w:t>Provisional</w:t>
            </w:r>
          </w:p>
        </w:tc>
      </w:tr>
      <w:tr>
        <w:trPr>
          <w:trHeight w:val="216"/>
        </w:trPr>
        <w:tc>
          <w:tcPr>
            <w:tcW w:w="52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fair values</w:t>
            </w:r>
          </w:p>
        </w:tc>
      </w:tr>
      <w:tr>
        <w:trPr>
          <w:trHeight w:val="216"/>
        </w:trPr>
        <w:tc>
          <w:tcPr>
            <w:tcW w:w="52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52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Cobalt</w:t>
            </w:r>
          </w:p>
        </w:tc>
      </w:tr>
      <w:tr>
        <w:trPr>
          <w:trHeight w:val="245"/>
        </w:trPr>
        <w:tc>
          <w:tcPr>
            <w:tcW w:w="520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Closing</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48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553</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3,642</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1,739</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485</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3,871</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1,277</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(3,864)</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debt with third parties</w:t>
            </w: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(2,706)</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(5,238)</w:t>
            </w:r>
          </w:p>
        </w:tc>
      </w:tr>
      <w:tr>
        <w:trPr>
          <w:trHeight w:val="24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4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r>
      <w:tr>
        <w:trPr>
          <w:trHeight w:val="210"/>
        </w:trPr>
        <w:tc>
          <w:tcPr>
            <w:tcW w:w="520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Fair value of the excess of liabilities assumed over assets acquired</w:t>
            </w:r>
          </w:p>
        </w:tc>
        <w:tc>
          <w:tcPr>
            <w:tcW w:w="48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(3,313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common stock issued</w:t>
            </w: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shd w:val="clear" w:color="auto" w:fill="CCEEFF"/>
          </w:tcPr>
          <w:p>
            <w:pPr>
              <w:spacing w:after="0"/>
              <w:rPr>
                <w:sz w:val="18"/>
                <w:szCs w:val="18"/>
                <w:color w:val="auto"/>
              </w:rPr>
            </w:pPr>
          </w:p>
        </w:tc>
      </w:tr>
      <w:tr>
        <w:trPr>
          <w:trHeight w:val="23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Deferred Cobalt Consideration Shares</w:t>
            </w: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6,331</w:t>
            </w:r>
          </w:p>
        </w:tc>
      </w:tr>
      <w:tr>
        <w:trPr>
          <w:trHeight w:val="236"/>
        </w:trPr>
        <w:tc>
          <w:tcPr>
            <w:tcW w:w="5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Consideration transferred</w:t>
            </w:r>
          </w:p>
        </w:tc>
        <w:tc>
          <w:tcPr>
            <w:tcW w:w="48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recognized</w:t>
            </w:r>
          </w:p>
        </w:tc>
        <w:tc>
          <w:tcPr>
            <w:tcW w:w="48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12,977</w:t>
            </w:r>
          </w:p>
        </w:tc>
        <w:tc>
          <w:tcPr>
            <w:tcW w:w="100" w:type="dxa"/>
            <w:vAlign w:val="bottom"/>
          </w:tcPr>
          <w:p>
            <w:pPr>
              <w:spacing w:after="0"/>
              <w:rPr>
                <w:sz w:val="20"/>
                <w:szCs w:val="20"/>
                <w:color w:val="auto"/>
              </w:rPr>
            </w:pPr>
          </w:p>
        </w:tc>
      </w:tr>
      <w:tr>
        <w:trPr>
          <w:trHeight w:val="21"/>
        </w:trPr>
        <w:tc>
          <w:tcPr>
            <w:tcW w:w="52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52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gridSpan w:val="2"/>
          </w:tcPr>
          <w:p>
            <w:pPr>
              <w:jc w:val="right"/>
              <w:ind w:right="4230"/>
              <w:spacing w:after="0"/>
              <w:rPr>
                <w:sz w:val="20"/>
                <w:szCs w:val="20"/>
                <w:color w:val="auto"/>
              </w:rPr>
            </w:pPr>
            <w:r>
              <w:rPr>
                <w:rFonts w:ascii="Times New Roman" w:cs="Times New Roman" w:eastAsia="Times New Roman" w:hAnsi="Times New Roman"/>
                <w:sz w:val="18"/>
                <w:szCs w:val="18"/>
                <w:color w:val="auto"/>
              </w:rPr>
              <w:t>F-12</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487"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As of the date of acquisition, the intangible assets acquired and estimated useful lives were as follows:</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Provisional</w:t>
            </w:r>
          </w:p>
        </w:tc>
      </w:tr>
      <w:tr>
        <w:trPr>
          <w:trHeight w:val="216"/>
        </w:trPr>
        <w:tc>
          <w:tcPr>
            <w:tcW w:w="8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values</w:t>
            </w:r>
          </w:p>
        </w:tc>
      </w:tr>
      <w:tr>
        <w:trPr>
          <w:trHeight w:val="216"/>
        </w:trPr>
        <w:tc>
          <w:tcPr>
            <w:tcW w:w="866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8"/>
                <w:szCs w:val="18"/>
                <w:color w:val="auto"/>
              </w:rPr>
            </w:pP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 of the</w:t>
            </w:r>
          </w:p>
        </w:tc>
      </w:tr>
      <w:tr>
        <w:trPr>
          <w:trHeight w:val="245"/>
        </w:trPr>
        <w:tc>
          <w:tcPr>
            <w:tcW w:w="8660" w:type="dxa"/>
            <w:vAlign w:val="bottom"/>
          </w:tcPr>
          <w:p>
            <w:pPr>
              <w:spacing w:after="0"/>
              <w:rPr>
                <w:sz w:val="21"/>
                <w:szCs w:val="21"/>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Cobalt Closing</w:t>
            </w:r>
          </w:p>
        </w:tc>
      </w:tr>
      <w:tr>
        <w:trPr>
          <w:trHeight w:val="216"/>
        </w:trPr>
        <w:tc>
          <w:tcPr>
            <w:tcW w:w="8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(Backlog)</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 months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Trade name – Cobalt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 years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8"/>
                <w:szCs w:val="18"/>
                <w:color w:val="auto"/>
              </w:rPr>
            </w:pPr>
          </w:p>
        </w:tc>
      </w:tr>
      <w:tr>
        <w:trPr>
          <w:trHeight w:val="249"/>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lease intangible asset – favorable lease</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6 years</w:t>
            </w:r>
          </w:p>
        </w:tc>
        <w:tc>
          <w:tcPr>
            <w:tcW w:w="10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771</w:t>
            </w:r>
          </w:p>
        </w:tc>
      </w:tr>
      <w:tr>
        <w:trPr>
          <w:trHeight w:val="210"/>
        </w:trPr>
        <w:tc>
          <w:tcPr>
            <w:tcW w:w="86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3,871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8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the backlog was estimated using the excess earnings method, an income-based approach, under which value is determined based on the present value of the cash flows attributable specifically to the backlog after deducting appropriate returns for contributory assets. Projected revenues were based on the contractual backlog existing as of the valuation date, and operating expenses were estimated as a percentage of revenue, with an adjustment to exclude sales and marketing expenses. Based on management’s estimates, substantially all sales and marketing efforts relate to acquiring new customers and are not required to fulfill the existing backlog. Contributory asset charges were applied for the use of working capital, fixed assets, assembled workforce, and trademarks.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trade name’s fair value was estimated using the relief-from-royalty method, which measures the present value of avoided royalty payments. The valuation considered qualitative factors such as Cobalt’s long operating history since 2003, strong reputation for affordable and reliable solar solutions, and established market presence with over 2,400 installations. It assumed the trade name supports all revenues and applied a 1.0% royalty rate based on profit-split analysis and market data. The trade name was assigned a 10-year useful life, reflecting expected continued use and brand support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building lease was estimated using an income approach, specifically a discounted cash flow model, reflecting the present value of the difference between contractual rent and estimated market rent over the remaining lease term. Key assumptions include a market rent derived from comparable properties, a 2.0% annual rental growth rate, and an 8.50% discount rate consistent with market participant return expectations and leasehold-specific risks.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not deductible for tax purposes.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Cobalt contributed $5.0 million and $0.3 million in revenue and income before income taxes from operations, respectively, for the period from the acquisition date to March 29,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Sunder Energy LLC</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September 21, 2025, a subsidiary of the Company entered into a Membership Interest Purchase Agreement (“Sunder MIPA”) with Sunder Energy LLC (“Sunder”) and the seller, Chicken Parm Pizza LLC (“CPP”), the sole member of Sunder. On September 24, 2025 (“Sunder Closing”), the Company completed the acquisition of the membership interests of Sunder for an aggregate consideration of $57.8 million (“Sunder Acquisition”). Per the terms of the Sunder MIPA, the Company acquired all of the outstanding membership interest of Sunder for (1) $20.7 million in cash, subject to certain working capital and other adjustments; (2) a promissory note to the Member in the principal amount of $20.0 million (“Seller Note”); and (3) 10.0 million shares of the Company’s common stock (valued at the closing share price on September 24, 2025, of $1.71 per share), consisting of (i) 3.3 million shares of the Company’s common stock issued at the Sunder Closing and (ii) subject to approval of such issuances by the Company’s stockholders, (x) 3.3 million shares of the Company’s common stock to be issued on the 12-month anniversary of the Sunder Closing and (y) 3.3 million shares of the Company’s common stock to be issued on the 18-month anniversary of the Sunder Closing (“Deferred Sunder Consideration Shares”). In lieu of issuing the Deferred Sunder Consideration Shares, the Company, in its sole discretion, may elect to pay the Member a cash payment equal to the number of Deferred Sunder Consideration Shares otherwise issuable by the Company multiplied by the volume-weighted average price of the Company’s common stock as quoted on Nasdaq for the 30-trading day period ending two business days prior to the date on which the applicable Deferred Sunder Consideration Shares are otherwise issuable (“Cash in Lieu Amount”). If the Company elects to pay the Cash in Lieu Amount, 50% of the Cash in Lieu Amount will be paid on the three-month anniversary of the date on which the applicable Deferred Sunder Consideration Shares are otherwise issuable, with the remaining 50% of the Cash in Lieu Amount payable on the six-month anniversary of the date on which the applicable Deferred Sunder Consideration Shares are otherwise issuable. The shares of the Company’s common stock issued and expected to be issued were valued at aggregate of $17.1 million at the Sunder Closing. The common stock issued at the Sunder Closing was valued at $5.7 million and accounted for within Additional paid-in-capital on the Company’s consolidated balance sheet.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7" w:name="page138"/>
    <w:bookmarkEnd w:id="137"/>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On April 23, 2026, the Company and CPP entered into an amended and restated Seller Note that, following certain payoffs under the prior Seller Note, has an amended principal amount of $7.0 million (the “A&amp;R Seller Note”). Refer to </w:t>
      </w:r>
      <w:r>
        <w:rPr>
          <w:rFonts w:ascii="Times New Roman" w:cs="Times New Roman" w:eastAsia="Times New Roman" w:hAnsi="Times New Roman"/>
          <w:sz w:val="18"/>
          <w:szCs w:val="18"/>
          <w:b w:val="1"/>
          <w:bCs w:val="1"/>
          <w:color w:val="auto"/>
        </w:rPr>
        <w:t>Note 18 – Subsequent Events</w:t>
      </w:r>
      <w:r>
        <w:rPr>
          <w:rFonts w:ascii="Times New Roman" w:cs="Times New Roman" w:eastAsia="Times New Roman" w:hAnsi="Times New Roman"/>
          <w:sz w:val="18"/>
          <w:szCs w:val="18"/>
          <w:color w:val="auto"/>
        </w:rPr>
        <w:t xml:space="preserve"> for details.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March 25, 2026, the Company’s stockholders approved the issuance of the Deferred Sunder Consideration Shares, and the Company’s option to pay the Cash in Lieu Amount expired. Accordingly, the value of the Deferred Sunder Consideration Shares became fixed on that date. The fair value of the 6.7 million Deferred Sunder Consideration Shares was $8.5 million as of March 25, 2026. Under ASC 815-40,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 all of the substantive contingencies have been resolved and only remaining condition is the passage of time, the obligation met the criteria for equity classification. As such, the Company reclassified the Deferred Sunder Consideration Shares obligation from liability to equity as of March 29, 2026. Pursuant to an Amendment and Agreement dated as of March 5, 2026 between CPP and the Company, the Company agreed to issue all of the Deferred Sunder Consideration Shares following receipt of approval by the Company’s stockholders, and the Deferred Sunder Consideration Shares were subsequently issued on April 8, 2026. Refer to </w:t>
      </w:r>
      <w:r>
        <w:rPr>
          <w:rFonts w:ascii="Times New Roman" w:cs="Times New Roman" w:eastAsia="Times New Roman" w:hAnsi="Times New Roman"/>
          <w:sz w:val="18"/>
          <w:szCs w:val="18"/>
          <w:b w:val="1"/>
          <w:bCs w:val="1"/>
          <w:color w:val="auto"/>
        </w:rPr>
        <w:t>Note 18 – Subsequent Events</w:t>
      </w:r>
      <w:r>
        <w:rPr>
          <w:rFonts w:ascii="Times New Roman" w:cs="Times New Roman" w:eastAsia="Times New Roman" w:hAnsi="Times New Roman"/>
          <w:sz w:val="18"/>
          <w:szCs w:val="18"/>
          <w:color w:val="auto"/>
        </w:rPr>
        <w:t xml:space="preserve"> for details.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concluded that since the sellers joined the Company and represent members of management, they have a level of influence that is not insignificant; therefore, they are related parties to the Company.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Sunder is a solar sales company. The Company acquired Sunder as a strategic acquisition to expand its overall market share and its penetration into more U.S. states. The financial results of Sunder have been included in the Company’s consolidated financial statements since its date of acquisition.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consideration initially paid and remaining payable as of the date of the Sunder Closing is summarized below </w:t>
            </w:r>
            <w:r>
              <w:rPr>
                <w:rFonts w:ascii="Times New Roman" w:cs="Times New Roman" w:eastAsia="Times New Roman" w:hAnsi="Times New Roman"/>
                <w:sz w:val="18"/>
                <w:szCs w:val="18"/>
                <w:i w:val="1"/>
                <w:iCs w:val="1"/>
                <w:color w:val="auto"/>
              </w:rPr>
              <w:t>(in thousands):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10020" w:type="dxa"/>
            <w:vAlign w:val="bottom"/>
          </w:tcPr>
          <w:p>
            <w:pPr>
              <w:spacing w:after="0"/>
              <w:rPr>
                <w:sz w:val="24"/>
                <w:szCs w:val="24"/>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Paid at Sunder Closing</w:t>
            </w: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20,689</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Seller note</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3.3 million shares of the Company’s common stock</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5,700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Payable subsequent to Sunder Closing</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Sunder Consideration Shares (fair value of 6.7 million shares of the Company’s common stock at Sunder Closing)</w:t>
            </w:r>
          </w:p>
        </w:tc>
        <w:tc>
          <w:tcPr>
            <w:tcW w:w="3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11,400</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Fair value of total consideration at Sunder Closing</w:t>
            </w:r>
          </w:p>
        </w:tc>
        <w:tc>
          <w:tcPr>
            <w:tcW w:w="3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57,789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financed a portion of the transaction through the issuance of $22.0 million of 7.0% senior unsecured convertible notes (the “September 2025 Notes”) and Seller Note in the original principal amount of $20.0 million, which has been amended by the A&amp;R Seller Note in the principal amount of $7.0 million subsequent to March 29, 2026. Refer to </w:t>
      </w:r>
      <w:r>
        <w:rPr>
          <w:rFonts w:ascii="Times New Roman" w:cs="Times New Roman" w:eastAsia="Times New Roman" w:hAnsi="Times New Roman"/>
          <w:sz w:val="18"/>
          <w:szCs w:val="18"/>
          <w:b w:val="1"/>
          <w:bCs w:val="1"/>
          <w:color w:val="auto"/>
        </w:rPr>
        <w:t>Note 9 – Borrowings and Derivative Liabilities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Note 18 – Subsequent Events</w:t>
      </w:r>
      <w:r>
        <w:rPr>
          <w:rFonts w:ascii="Times New Roman" w:cs="Times New Roman" w:eastAsia="Times New Roman" w:hAnsi="Times New Roman"/>
          <w:sz w:val="18"/>
          <w:szCs w:val="18"/>
          <w:color w:val="auto"/>
        </w:rPr>
        <w:t xml:space="preserve"> for details regarding these obligations.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provisional fair values of assets acquired and liabilities assumed were based upon a preliminary valuation, and the Company’s estimates and assumptions have been revised during the measurement period to refine the fair values of the assets acquired and liabilities assumed based upon the facts and circumstances existing at the date of acquisition which resulted in the measurement period adjustments noted below. The purchase price accounting remains open for the components of working capital, identification and valuation of intangibles and allocation of goodwill. The Company has elected the practical expedient within ASC 805-20-30-27 through 805-20-30-30 to recognize and measure contract liabilities in accordance with ASC 606 as if it had originated the acquired contract. Thus, the amount of any contract liabilities immediately prior to the acquisition will be the comparable amounts recognized in the determination of assets acquired and liabilities assumed by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8" w:name="page139"/>
    <w:bookmarkEnd w:id="138"/>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provisional fair value of identifiable assets acquired and liabilities assumed. No measurement period adjustments were recorded in the thirteen week period ended March 29,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6"/>
              </w:rPr>
              <w:t>Provisional</w:t>
            </w:r>
          </w:p>
        </w:tc>
        <w:tc>
          <w:tcPr>
            <w:tcW w:w="0" w:type="dxa"/>
            <w:vAlign w:val="bottom"/>
          </w:tcPr>
          <w:p>
            <w:pPr>
              <w:spacing w:after="0"/>
              <w:rPr>
                <w:sz w:val="1"/>
                <w:szCs w:val="1"/>
                <w:color w:val="auto"/>
              </w:rPr>
            </w:pPr>
          </w:p>
        </w:tc>
      </w:tr>
      <w:tr>
        <w:trPr>
          <w:trHeight w:val="245"/>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fair values</w:t>
            </w:r>
          </w:p>
        </w:tc>
        <w:tc>
          <w:tcPr>
            <w:tcW w:w="0" w:type="dxa"/>
            <w:vAlign w:val="bottom"/>
          </w:tcPr>
          <w:p>
            <w:pPr>
              <w:spacing w:after="0"/>
              <w:rPr>
                <w:sz w:val="1"/>
                <w:szCs w:val="1"/>
                <w:color w:val="auto"/>
              </w:rPr>
            </w:pPr>
          </w:p>
        </w:tc>
      </w:tr>
      <w:tr>
        <w:trPr>
          <w:trHeight w:val="216"/>
        </w:trPr>
        <w:tc>
          <w:tcPr>
            <w:tcW w:w="8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14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(11,673)</w:t>
            </w: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(3,850)</w:t>
            </w:r>
          </w:p>
        </w:tc>
        <w:tc>
          <w:tcPr>
            <w:tcW w:w="0" w:type="dxa"/>
            <w:vAlign w:val="bottom"/>
          </w:tcPr>
          <w:p>
            <w:pPr>
              <w:spacing w:after="0"/>
              <w:rPr>
                <w:sz w:val="1"/>
                <w:szCs w:val="1"/>
                <w:color w:val="auto"/>
              </w:rPr>
            </w:pPr>
          </w:p>
        </w:tc>
      </w:tr>
      <w:tr>
        <w:trPr>
          <w:trHeight w:val="237"/>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16"/>
        </w:trPr>
        <w:tc>
          <w:tcPr>
            <w:tcW w:w="81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net assets acquired</w:t>
            </w:r>
          </w:p>
        </w:tc>
        <w:tc>
          <w:tcPr>
            <w:tcW w:w="1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Consideration transferred</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57,789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recognized</w:t>
            </w: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Intangible assets acquired and estimated useful lives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1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100" w:type="dxa"/>
            <w:vAlign w:val="bottom"/>
          </w:tcPr>
          <w:p>
            <w:pPr>
              <w:spacing w:after="0"/>
              <w:rPr>
                <w:sz w:val="24"/>
                <w:szCs w:val="24"/>
                <w:color w:val="auto"/>
              </w:rPr>
            </w:pP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Provisional</w:t>
            </w:r>
          </w:p>
        </w:tc>
        <w:tc>
          <w:tcPr>
            <w:tcW w:w="0" w:type="dxa"/>
            <w:vAlign w:val="bottom"/>
          </w:tcPr>
          <w:p>
            <w:pPr>
              <w:spacing w:after="0"/>
              <w:rPr>
                <w:sz w:val="1"/>
                <w:szCs w:val="1"/>
                <w:color w:val="auto"/>
              </w:rPr>
            </w:pPr>
          </w:p>
        </w:tc>
      </w:tr>
      <w:tr>
        <w:trPr>
          <w:trHeight w:val="245"/>
        </w:trPr>
        <w:tc>
          <w:tcPr>
            <w:tcW w:w="8100" w:type="dxa"/>
            <w:vAlign w:val="bottom"/>
          </w:tcPr>
          <w:p>
            <w:pPr>
              <w:spacing w:after="0"/>
              <w:rPr>
                <w:sz w:val="21"/>
                <w:szCs w:val="21"/>
                <w:color w:val="auto"/>
              </w:rPr>
            </w:pP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fair values</w:t>
            </w:r>
          </w:p>
        </w:tc>
        <w:tc>
          <w:tcPr>
            <w:tcW w:w="0" w:type="dxa"/>
            <w:vAlign w:val="bottom"/>
          </w:tcPr>
          <w:p>
            <w:pPr>
              <w:spacing w:after="0"/>
              <w:rPr>
                <w:sz w:val="1"/>
                <w:szCs w:val="1"/>
                <w:color w:val="auto"/>
              </w:rPr>
            </w:pPr>
          </w:p>
        </w:tc>
      </w:tr>
      <w:tr>
        <w:trPr>
          <w:trHeight w:val="216"/>
        </w:trPr>
        <w:tc>
          <w:tcPr>
            <w:tcW w:w="8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Trademark - Sunder</w:t>
            </w: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10 years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 - Sunder</w:t>
            </w:r>
          </w:p>
        </w:tc>
        <w:tc>
          <w:tcPr>
            <w:tcW w:w="17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2 years</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1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37,500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customer relationships was estimated using the excess earnings method. The assumptions used included revenue, included all business enterprise valuation sales, reduced by a 5% attrition rate based on historical customer turnover, with operating expenses estimated as a percentage of sales and no sales-and-marketing adjustment since such efforts do not directly support existing customers. Contributory asset charges were applied for the use of working capital, fixed assets, workforce, trademarks, and internal-use software, and cash flows were projected over the period in which customer relationships were expected to produce meaningful benefit, with the economic life extending until those cash flows became minimal.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the trademark was estimated using the relief-from-royalty method. This approach measures the value of the asset based on the hypothetical royalties the Company would avoid paying if it had to license the trademark from a third party. The assumptions used to value the trademark included projected sales based upon the business enterprise valuation considered attributable to the trademark, a royalty rate of 1.0% supported by a profit-split analysis and benchmarking against comparable licensing arrangements in the solar and broader energy industries and a useful economic life of 10 years consistent with management’s expectations for continued use and the anticipated longevity of the brand’s market relevance.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9" w:name="page140"/>
    <w:bookmarkEnd w:id="139"/>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Sunder’s developed technology was estimated using the cost approach, which measures value based on the cost to reproduce or replace the existing software in its current state. The analysis considered the historical direct development costs, including Sunder’s ongoing investment in labor, design, coding, and testing efforts required to build the technology. In addition to direct costs, the valuation incorporated opportunity costs, which reflect the portion of the software expected to be added, modified, or removed over time based on management’s estimates of ongoing development needs. Together, these inputs approximate the current replacement cost of the technology, adjusted for necessary updates and functional improvements.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tax deductible.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Ambia Energy LLC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21, 2025, the Company entered into a Membership Interest Purchase Agreement (the “Ambia MIPA”) with Ambia and Ambia Holdings, Inc., a Delaware corporation and the sole member of Ambia (“Ambia Holdings”) to acquire Ambia (the “Ambia Acquisition”). Ambia was the sole operating entity within Ambia Holdings. Ambia is a residential solar energy system installer and operates in various markets throughout the United States.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Ambia and Ambia Holdings completed the closing under the Ambia MIPA on November 21, 2025 (the “Ambia Closing”). At the Ambia Closing, the Company acquired all of the outstanding membership interests of Ambia from Ambia Holdings for: (a) 10,243,924 shares of common stock of the Company (the “Ambia Closing Consideration Shares”), issued at the Ambia Closing to Ambia Holdings; and (b) an agreement to issue an additional 9.375 million of shares of the Company’s common stock on each of the six-month anniversary of the Ambia Closing and the 12-month anniversary of the Ambia Closing (collectively such additional shares of common stock, the “Deferred Ambia Consideration Shares”). The issuance of the Deferred Ambia Consideration Shares is subject to approval by the Company’s stockholders following the Ambia Closing. On March 25, 2026, the Company’s stockholders approved the issuance of the Deferred Ambia Consideration Shares.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actual number of Deferred Ambia Consideration Shares issuable by the Company on the six- and 12-month anniversaries of the Ambia Closing will be determined based on the 20-day trailing volume-weighted average price of the Company’s common stock after market close on the business day immediately prior to the issuance date of the applicable shares (the “VWAP Value”); provided that the VWAP Value for the calculation of the actual number of Deferred Ambia Consideration Shares issuable by the Company will not be more than $2.8102 per share or less than $1.4988 per share. Additionally, the number of Deferred Ambia Consideration Shares issuable by the Company is subject to adjustment pursuant to customary working capital and balance sheet adjustment terms and subject to offset for certain indemnifiable damages in accordance with the Ambia MIPA.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initial fair value of the deferred consideration shares at the Ambia Closing was $16.9 million. The Company’s closing share price for its common stock of $1.61 on November 21, 2025 was used to fair value the shares issued at the Ambia Closing. The total consideration is summarized as follows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10,243,924 shares of the Company’s common stock issued at Ambia Closing</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16,493</w:t>
            </w:r>
          </w:p>
        </w:tc>
      </w:tr>
      <w:tr>
        <w:trPr>
          <w:trHeight w:val="23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Ambia Consideration Shares</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16,879</w:t>
            </w:r>
          </w:p>
        </w:tc>
      </w:tr>
      <w:tr>
        <w:trPr>
          <w:trHeight w:val="223"/>
        </w:trPr>
        <w:tc>
          <w:tcPr>
            <w:tcW w:w="10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total consideration</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provisional fair values of assets acquired and liabilities assumed were based upon the facts and circumstances existing at the date of acquisition. The purchase price accounting remains open for the valuation of the customer relationship and allocation of goodwill. The Company elected the practical expedient within ASC 805-20-30-27 through 805-20-30-30 to recognize and measure contract liabilities in accordance with ASC 606 as if it had originated the acquired contract. Thus, the amount of any contract liabilities immediately prior to the acquisition will be the comparable amounts recognized in the determination of assets acquired and liabilities assumed by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0" w:name="page141"/>
    <w:bookmarkEnd w:id="140"/>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There have been no measurement period adjustments since the Ambia Closing. The provisional fair values of identifiable assets acquired and liabilities assumed are identified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6"/>
              </w:rPr>
              <w:t>Provisional</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fair values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 of the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Ambia</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Closing</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 - unbilled receivables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(2,702)</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Fair value of net assets acquired</w:t>
            </w:r>
          </w:p>
        </w:tc>
        <w:tc>
          <w:tcPr>
            <w:tcW w:w="12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2,564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common stock issued</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Deferred Ambia Consideration Shares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16,879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Consideration transferred</w:t>
            </w: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Goodwill recognized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 of the Ambia Closing, the intangible assets acquired and estimated useful lives were as follows:</w:t>
            </w: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6"/>
              </w:rPr>
              <w:t>Provisional</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Fair values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 of the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Ambia</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Closing</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(Backlog)</w:t>
            </w:r>
          </w:p>
        </w:tc>
        <w:tc>
          <w:tcPr>
            <w:tcW w:w="1240" w:type="dxa"/>
            <w:vAlign w:val="bottom"/>
            <w:shd w:val="clear" w:color="auto" w:fill="CCEE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2"/>
              </w:rPr>
              <w:t xml:space="preserve">1 year </w:t>
            </w:r>
            <w:r>
              <w:rPr>
                <w:rFonts w:ascii="Times New Roman" w:cs="Times New Roman" w:eastAsia="Times New Roman" w:hAnsi="Times New Roman"/>
                <w:sz w:val="29"/>
                <w:szCs w:val="29"/>
                <w:color w:val="auto"/>
                <w:w w:val="92"/>
                <w:vertAlign w:val="superscript"/>
              </w:rPr>
              <w:t>(1)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Trademarks - Ambia</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1 year</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Useful life is based upon customer consumption, expected to occur within one year.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Trademarks were derived using the relief from royalty method based upon the following key assumptions; (i) all sales based upon the business enterprise value; (ii) a royalty rate of 1% based upon profit split analysis and comparable licensing royalty agreements; and (iii) an economic life of the Ambia name through the end of 2026, wherein the Ambia name will only be used in certain small markets and that all sales, marketing and branding will be done under the SunPower brand name in relatively short order.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Customer relationships (backlog) was derived using the excess earnings method based upon the following key assumptions: (i) backlog meets the appropriate contractual criteria; (ii) sales were based upon the backlog of sales; (iii) expenses were based upon a percentage of sales with an adjustment for sales and marketing expenses, upon which management estimates that 100% of Ambia’s sales and marketing expenses are directed at acquiring new customers and are not required to support the backlog; (iv) charges were taken for the use of working capital, fixed assets, workforce and trademarks; and (v) the economic life of the backlog is to the end of fiscal 2026 based upon management’s estimate of average deal length.</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tax deductible.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financial information represents the consolidated financial statements of the Company for the thirteen week periods presented, as if Sunder and Ambia were acquired on January 1, 2024 and Cobalt was acquired on December 30, 2024.</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unaudited pro forma combined financial information does not give effect to any cost savings, operating synergies or revenue synergies that may result from the acquisitions. The pro forma results do not necessarily reflect the actual results of operations of the combined business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Unaudited</w:t>
            </w:r>
          </w:p>
        </w:tc>
      </w:tr>
      <w:tr>
        <w:trPr>
          <w:trHeight w:val="194"/>
        </w:trPr>
        <w:tc>
          <w:tcPr>
            <w:tcW w:w="86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340" w:type="dxa"/>
            <w:vAlign w:val="bottom"/>
            <w:tcBorders>
              <w:top w:val="single" w:sz="8" w:color="auto"/>
            </w:tcBorders>
            <w:gridSpan w:val="4"/>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7"/>
              </w:rPr>
              <w:t>Thirteen Weeks</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1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00" w:type="dxa"/>
            <w:vAlign w:val="bottom"/>
          </w:tcPr>
          <w:p>
            <w:pPr>
              <w:spacing w:after="0"/>
              <w:rPr>
                <w:sz w:val="18"/>
                <w:szCs w:val="18"/>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114,579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101,190</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income from operations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1,725</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Recognition and Contract Balances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the table below for the Company’s revenue recognized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8"/>
          <w:szCs w:val="18"/>
          <w:b w:val="1"/>
          <w:bCs w:val="1"/>
          <w:color w:val="auto"/>
        </w:rPr>
        <w:t>Thirteen Weeks</w:t>
      </w:r>
    </w:p>
    <w:p>
      <w:pPr>
        <w:spacing w:after="0" w:line="31"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8"/>
          <w:szCs w:val="18"/>
          <w:b w:val="1"/>
          <w:bCs w:val="1"/>
          <w:color w:val="auto"/>
        </w:rPr>
        <w:t>Ended</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Residential Solar Installation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Revenue recognized over time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Residential Solar Installation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46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Homes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Revenue recognized over time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Revenue recognized at a point in time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New Homes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Revenue recognized at a point in time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Dealer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70"/>
              <w:spacing w:after="0" w:line="201"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20" w:type="dxa"/>
            <w:vAlign w:val="bottom"/>
          </w:tcPr>
          <w:p>
            <w:pPr>
              <w:spacing w:after="0"/>
              <w:rPr>
                <w:sz w:val="17"/>
                <w:szCs w:val="17"/>
                <w:color w:val="auto"/>
              </w:rPr>
            </w:pPr>
          </w:p>
        </w:tc>
      </w:tr>
      <w:tr>
        <w:trPr>
          <w:trHeight w:val="245"/>
        </w:trPr>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r>
      <w:tr>
        <w:trPr>
          <w:trHeight w:val="453"/>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31,537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36,504</w:t>
            </w:r>
          </w:p>
        </w:tc>
      </w:tr>
      <w:tr>
        <w:trPr>
          <w:trHeight w:val="223"/>
        </w:trPr>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2"/>
              </w:rPr>
              <w:t>31,537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36,504</w:t>
            </w:r>
          </w:p>
        </w:tc>
      </w:tr>
      <w:tr>
        <w:trPr>
          <w:trHeight w:val="643"/>
        </w:trPr>
        <w:tc>
          <w:tcPr>
            <w:tcW w:w="120" w:type="dxa"/>
            <w:vAlign w:val="bottom"/>
          </w:tcPr>
          <w:p>
            <w:pPr>
              <w:spacing w:after="0"/>
              <w:rPr>
                <w:sz w:val="24"/>
                <w:szCs w:val="24"/>
                <w:color w:val="auto"/>
              </w:rPr>
            </w:pPr>
          </w:p>
        </w:tc>
        <w:tc>
          <w:tcPr>
            <w:tcW w:w="12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10,106</w:t>
            </w:r>
          </w:p>
        </w:tc>
        <w:tc>
          <w:tcPr>
            <w:tcW w:w="14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15,466</w:t>
            </w:r>
          </w:p>
        </w:tc>
      </w:tr>
      <w:tr>
        <w:trPr>
          <w:trHeight w:val="241"/>
        </w:trPr>
        <w:tc>
          <w:tcPr>
            <w:tcW w:w="120" w:type="dxa"/>
            <w:vAlign w:val="bottom"/>
          </w:tcPr>
          <w:p>
            <w:pPr>
              <w:spacing w:after="0"/>
              <w:rPr>
                <w:sz w:val="20"/>
                <w:szCs w:val="20"/>
                <w:color w:val="auto"/>
              </w:rPr>
            </w:pPr>
          </w:p>
        </w:tc>
        <w:tc>
          <w:tcPr>
            <w:tcW w:w="12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4,523</w:t>
            </w: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26,443</w:t>
            </w:r>
          </w:p>
        </w:tc>
      </w:tr>
      <w:tr>
        <w:trPr>
          <w:trHeight w:val="223"/>
        </w:trPr>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2"/>
              </w:rPr>
              <w:t>14,629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41,909</w:t>
            </w:r>
          </w:p>
        </w:tc>
        <w:tc>
          <w:tcPr>
            <w:tcW w:w="20" w:type="dxa"/>
            <w:vAlign w:val="bottom"/>
            <w:tcBorders>
              <w:top w:val="single" w:sz="8" w:color="auto"/>
            </w:tcBorders>
          </w:tcPr>
          <w:p>
            <w:pPr>
              <w:spacing w:after="0"/>
              <w:rPr>
                <w:sz w:val="19"/>
                <w:szCs w:val="19"/>
                <w:color w:val="auto"/>
              </w:rPr>
            </w:pPr>
          </w:p>
        </w:tc>
      </w:tr>
      <w:tr>
        <w:trPr>
          <w:trHeight w:val="669"/>
        </w:trPr>
        <w:tc>
          <w:tcPr>
            <w:tcW w:w="120" w:type="dxa"/>
            <w:vAlign w:val="bottom"/>
          </w:tcPr>
          <w:p>
            <w:pPr>
              <w:spacing w:after="0"/>
              <w:rPr>
                <w:sz w:val="24"/>
                <w:szCs w:val="24"/>
                <w:color w:val="auto"/>
              </w:rPr>
            </w:pPr>
          </w:p>
        </w:tc>
        <w:tc>
          <w:tcPr>
            <w:tcW w:w="12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26,627</w:t>
            </w:r>
          </w:p>
        </w:tc>
        <w:tc>
          <w:tcPr>
            <w:tcW w:w="14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2"/>
              </w:rPr>
              <w:t>26,627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2"/>
              </w:rPr>
              <w:t>72,793</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78,413</w:t>
            </w:r>
          </w:p>
        </w:tc>
        <w:tc>
          <w:tcPr>
            <w:tcW w:w="20" w:type="dxa"/>
            <w:vAlign w:val="bottom"/>
            <w:tcBorders>
              <w:bottom w:val="single" w:sz="8" w:color="auto"/>
            </w:tcBorders>
          </w:tcPr>
          <w:p>
            <w:pPr>
              <w:spacing w:after="0"/>
              <w:rPr>
                <w:sz w:val="19"/>
                <w:szCs w:val="19"/>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960" w:space="720"/>
            <w:col w:w="2560"/>
          </w:cols>
          <w:pgMar w:left="320" w:top="684"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88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 recognized over time</w:t>
            </w:r>
          </w:p>
        </w:tc>
        <w:tc>
          <w:tcPr>
            <w:tcW w:w="3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41,642</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51,970</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recognized at a point in time</w:t>
            </w:r>
          </w:p>
        </w:tc>
        <w:tc>
          <w:tcPr>
            <w:tcW w:w="3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31,151</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26,443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revenue was generated in the United States.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Contract liabilities consist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Contract liabilities, current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Contract liabilities, noncurrent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contract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28,</w:t>
            </w:r>
          </w:p>
        </w:tc>
      </w:tr>
      <w:tr>
        <w:trPr>
          <w:trHeight w:val="245"/>
        </w:trPr>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427"/>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12,634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20,336</w:t>
            </w:r>
          </w:p>
        </w:tc>
      </w:tr>
      <w:tr>
        <w:trPr>
          <w:trHeight w:val="241"/>
        </w:trPr>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794</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23"/>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21,130</w:t>
            </w: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684" w:right="339" w:bottom="1440" w:gutter="0" w:footer="0" w:header="0"/>
        </w:sect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Revenue recognized in the current period from contract liabilities as of December 28, 2025 was $18.5 million in the thirteen week period ended March 29,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sets forth the Company’s financial assets and liabilities that are measured at fair value on a recurring basis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As of March 29, 2026</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0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1,134</w:t>
            </w:r>
          </w:p>
        </w:tc>
      </w:tr>
      <w:tr>
        <w:trPr>
          <w:trHeight w:val="251"/>
        </w:trPr>
        <w:tc>
          <w:tcPr>
            <w:tcW w:w="49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1,134</w:t>
            </w:r>
          </w:p>
        </w:tc>
        <w:tc>
          <w:tcPr>
            <w:tcW w:w="26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ind w:left="76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1,134</w:t>
            </w:r>
          </w:p>
        </w:tc>
        <w:tc>
          <w:tcPr>
            <w:tcW w:w="100" w:type="dxa"/>
            <w:vAlign w:val="bottom"/>
            <w:tcBorders>
              <w:top w:val="single" w:sz="8" w:color="CCEEFF"/>
              <w:bottom w:val="single" w:sz="8" w:color="CCEEFF"/>
            </w:tcBorders>
          </w:tcPr>
          <w:p>
            <w:pPr>
              <w:spacing w:after="0"/>
              <w:rPr>
                <w:sz w:val="21"/>
                <w:szCs w:val="2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49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July 2024 Notes derivative liability </w:t>
            </w:r>
            <w:r>
              <w:rPr>
                <w:rFonts w:ascii="Times New Roman" w:cs="Times New Roman" w:eastAsia="Times New Roman" w:hAnsi="Times New Roman"/>
                <w:sz w:val="29"/>
                <w:szCs w:val="29"/>
                <w:color w:val="auto"/>
                <w:vertAlign w:val="superscript"/>
              </w:rPr>
              <w:t>(1)</w:t>
            </w:r>
          </w:p>
        </w:tc>
        <w:tc>
          <w:tcPr>
            <w:tcW w:w="12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14,042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14,042</w:t>
            </w:r>
          </w:p>
        </w:tc>
      </w:tr>
      <w:tr>
        <w:trPr>
          <w:trHeight w:val="256"/>
        </w:trPr>
        <w:tc>
          <w:tcPr>
            <w:tcW w:w="49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July 2024 Notes derivative liability – related parties </w:t>
            </w:r>
            <w:r>
              <w:rPr>
                <w:rFonts w:ascii="Times New Roman" w:cs="Times New Roman" w:eastAsia="Times New Roman" w:hAnsi="Times New Roman"/>
                <w:sz w:val="29"/>
                <w:szCs w:val="29"/>
                <w:color w:val="auto"/>
                <w:vertAlign w:val="superscript"/>
              </w:rPr>
              <w:t>(1)</w:t>
            </w: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9,036</w:t>
            </w: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9,036</w:t>
            </w:r>
          </w:p>
        </w:tc>
      </w:tr>
      <w:tr>
        <w:trPr>
          <w:trHeight w:val="257"/>
        </w:trPr>
        <w:tc>
          <w:tcPr>
            <w:tcW w:w="49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September 2024 Notes derivative liability </w:t>
            </w:r>
            <w:r>
              <w:rPr>
                <w:rFonts w:ascii="Times New Roman" w:cs="Times New Roman" w:eastAsia="Times New Roman" w:hAnsi="Times New Roman"/>
                <w:sz w:val="29"/>
                <w:szCs w:val="29"/>
                <w:color w:val="auto"/>
                <w:vertAlign w:val="superscript"/>
              </w:rPr>
              <w:t>(1)</w:t>
            </w: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26,351</w:t>
            </w:r>
          </w:p>
        </w:tc>
        <w:tc>
          <w:tcPr>
            <w:tcW w:w="22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26,351</w:t>
            </w:r>
          </w:p>
        </w:tc>
      </w:tr>
      <w:tr>
        <w:trPr>
          <w:trHeight w:val="256"/>
        </w:trPr>
        <w:tc>
          <w:tcPr>
            <w:tcW w:w="49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September 2024 Notes derivative liability – related parties </w:t>
            </w:r>
            <w:r>
              <w:rPr>
                <w:rFonts w:ascii="Times New Roman" w:cs="Times New Roman" w:eastAsia="Times New Roman" w:hAnsi="Times New Roman"/>
                <w:sz w:val="29"/>
                <w:szCs w:val="29"/>
                <w:color w:val="auto"/>
                <w:vertAlign w:val="superscript"/>
              </w:rPr>
              <w:t>(1)</w:t>
            </w: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4,286</w:t>
            </w: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4,286</w:t>
            </w:r>
          </w:p>
        </w:tc>
      </w:tr>
      <w:tr>
        <w:trPr>
          <w:trHeight w:val="257"/>
        </w:trPr>
        <w:tc>
          <w:tcPr>
            <w:tcW w:w="49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July 2025 Note derivative liability– related party </w:t>
            </w:r>
            <w:r>
              <w:rPr>
                <w:rFonts w:ascii="Times New Roman" w:cs="Times New Roman" w:eastAsia="Times New Roman" w:hAnsi="Times New Roman"/>
                <w:sz w:val="29"/>
                <w:szCs w:val="29"/>
                <w:color w:val="auto"/>
                <w:vertAlign w:val="superscript"/>
              </w:rPr>
              <w:t>(1)</w:t>
            </w: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2,239</w:t>
            </w:r>
          </w:p>
        </w:tc>
        <w:tc>
          <w:tcPr>
            <w:tcW w:w="22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2,239</w:t>
            </w:r>
          </w:p>
        </w:tc>
      </w:tr>
      <w:tr>
        <w:trPr>
          <w:trHeight w:val="256"/>
        </w:trPr>
        <w:tc>
          <w:tcPr>
            <w:tcW w:w="49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September 2025 Notes derivative liability </w:t>
            </w:r>
            <w:r>
              <w:rPr>
                <w:rFonts w:ascii="Times New Roman" w:cs="Times New Roman" w:eastAsia="Times New Roman" w:hAnsi="Times New Roman"/>
                <w:sz w:val="29"/>
                <w:szCs w:val="29"/>
                <w:color w:val="auto"/>
                <w:vertAlign w:val="superscript"/>
              </w:rPr>
              <w:t>(1)</w:t>
            </w: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10,825</w:t>
            </w: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10,825</w:t>
            </w:r>
          </w:p>
        </w:tc>
      </w:tr>
      <w:tr>
        <w:trPr>
          <w:trHeight w:val="257"/>
        </w:trPr>
        <w:tc>
          <w:tcPr>
            <w:tcW w:w="49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November 2025 Note derivative liability – related party </w:t>
            </w:r>
            <w:r>
              <w:rPr>
                <w:rFonts w:ascii="Times New Roman" w:cs="Times New Roman" w:eastAsia="Times New Roman" w:hAnsi="Times New Roman"/>
                <w:sz w:val="29"/>
                <w:szCs w:val="29"/>
                <w:color w:val="auto"/>
                <w:vertAlign w:val="superscript"/>
              </w:rPr>
              <w:t>(1)</w:t>
            </w: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1,069</w:t>
            </w:r>
          </w:p>
        </w:tc>
        <w:tc>
          <w:tcPr>
            <w:tcW w:w="22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1,069</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2026 Note derivative liability – related party</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1,467</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$1.9 Million Note</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1,530</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2026 Bridge Note</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9,500</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Forward purchase agreement liabilities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5,107</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 Agreement with related party</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1,504</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warrants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2,070</w:t>
            </w:r>
          </w:p>
        </w:tc>
        <w:tc>
          <w:tcPr>
            <w:tcW w:w="18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2,070</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Cobalt Consideration Shares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6,331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6,331</w:t>
            </w:r>
          </w:p>
        </w:tc>
      </w:tr>
      <w:tr>
        <w:trPr>
          <w:trHeight w:val="23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Deferred Ambia Consideration Shares</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13,936</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13,936</w:t>
            </w:r>
          </w:p>
        </w:tc>
      </w:tr>
      <w:tr>
        <w:trPr>
          <w:trHeight w:val="223"/>
        </w:trPr>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9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F-19</w:t>
            </w: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type w:val="continuous"/>
        </w:sectPr>
      </w:pPr>
    </w:p>
    <w:bookmarkStart w:id="143" w:name="page144"/>
    <w:bookmarkEnd w:id="1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As of December 28, 2025</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3,841</w:t>
            </w:r>
          </w:p>
        </w:tc>
        <w:tc>
          <w:tcPr>
            <w:tcW w:w="80" w:type="dxa"/>
            <w:vAlign w:val="bottom"/>
            <w:shd w:val="clear" w:color="auto" w:fill="CCEEFF"/>
          </w:tcPr>
          <w:p>
            <w:pPr>
              <w:spacing w:after="0"/>
              <w:rPr>
                <w:sz w:val="21"/>
                <w:szCs w:val="21"/>
                <w:color w:val="auto"/>
              </w:rPr>
            </w:pPr>
          </w:p>
        </w:tc>
      </w:tr>
      <w:tr>
        <w:trPr>
          <w:trHeight w:val="251"/>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3,841</w:t>
            </w:r>
          </w:p>
        </w:tc>
        <w:tc>
          <w:tcPr>
            <w:tcW w:w="26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ind w:left="7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3,841</w:t>
            </w:r>
          </w:p>
        </w:tc>
        <w:tc>
          <w:tcPr>
            <w:tcW w:w="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7"/>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July 2024 Notes derivative liability </w:t>
            </w:r>
            <w:r>
              <w:rPr>
                <w:rFonts w:ascii="Times New Roman" w:cs="Times New Roman" w:eastAsia="Times New Roman" w:hAnsi="Times New Roman"/>
                <w:sz w:val="29"/>
                <w:szCs w:val="29"/>
                <w:color w:val="auto"/>
                <w:vertAlign w:val="superscript"/>
              </w:rPr>
              <w:t>(1)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19,604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19,604</w:t>
            </w:r>
          </w:p>
        </w:tc>
      </w:tr>
      <w:tr>
        <w:trPr>
          <w:trHeight w:val="256"/>
        </w:trPr>
        <w:tc>
          <w:tcPr>
            <w:tcW w:w="5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July 2024 Notes derivative liability – related parties </w:t>
            </w:r>
            <w:r>
              <w:rPr>
                <w:rFonts w:ascii="Times New Roman" w:cs="Times New Roman" w:eastAsia="Times New Roman" w:hAnsi="Times New Roman"/>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12,615</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12,615</w:t>
            </w:r>
          </w:p>
        </w:tc>
      </w:tr>
      <w:tr>
        <w:trPr>
          <w:trHeight w:val="257"/>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September 2024 Notes derivative liability </w:t>
            </w:r>
            <w:r>
              <w:rPr>
                <w:rFonts w:ascii="Times New Roman" w:cs="Times New Roman" w:eastAsia="Times New Roman" w:hAnsi="Times New Roman"/>
                <w:sz w:val="29"/>
                <w:szCs w:val="29"/>
                <w:color w:val="auto"/>
                <w:vertAlign w:val="superscript"/>
              </w:rPr>
              <w:t>(1)</w:t>
            </w:r>
          </w:p>
        </w:tc>
        <w:tc>
          <w:tcPr>
            <w:tcW w:w="18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37,930</w:t>
            </w:r>
          </w:p>
        </w:tc>
        <w:tc>
          <w:tcPr>
            <w:tcW w:w="220" w:type="dxa"/>
            <w:vAlign w:val="bottom"/>
          </w:tcPr>
          <w:p>
            <w:pPr>
              <w:spacing w:after="0"/>
              <w:rPr>
                <w:sz w:val="22"/>
                <w:szCs w:val="22"/>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37,930</w:t>
            </w:r>
          </w:p>
        </w:tc>
      </w:tr>
      <w:tr>
        <w:trPr>
          <w:trHeight w:val="257"/>
        </w:trPr>
        <w:tc>
          <w:tcPr>
            <w:tcW w:w="5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September 2024 Notes derivative liability – related parties </w:t>
            </w:r>
            <w:r>
              <w:rPr>
                <w:rFonts w:ascii="Times New Roman" w:cs="Times New Roman" w:eastAsia="Times New Roman" w:hAnsi="Times New Roman"/>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5,870</w:t>
            </w:r>
          </w:p>
        </w:tc>
        <w:tc>
          <w:tcPr>
            <w:tcW w:w="2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5,870</w:t>
            </w:r>
          </w:p>
        </w:tc>
        <w:tc>
          <w:tcPr>
            <w:tcW w:w="80" w:type="dxa"/>
            <w:vAlign w:val="bottom"/>
            <w:shd w:val="clear" w:color="auto" w:fill="CCEEFF"/>
          </w:tcPr>
          <w:p>
            <w:pPr>
              <w:spacing w:after="0"/>
              <w:rPr>
                <w:sz w:val="22"/>
                <w:szCs w:val="22"/>
                <w:color w:val="auto"/>
              </w:rPr>
            </w:pPr>
          </w:p>
        </w:tc>
      </w:tr>
      <w:tr>
        <w:trPr>
          <w:trHeight w:val="257"/>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July 2025 Note derivative liability– related party </w:t>
            </w:r>
            <w:r>
              <w:rPr>
                <w:rFonts w:ascii="Times New Roman" w:cs="Times New Roman" w:eastAsia="Times New Roman" w:hAnsi="Times New Roman"/>
                <w:sz w:val="29"/>
                <w:szCs w:val="29"/>
                <w:color w:val="auto"/>
                <w:vertAlign w:val="superscript"/>
              </w:rPr>
              <w:t>(1)</w:t>
            </w:r>
          </w:p>
        </w:tc>
        <w:tc>
          <w:tcPr>
            <w:tcW w:w="18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3,246</w:t>
            </w:r>
          </w:p>
        </w:tc>
        <w:tc>
          <w:tcPr>
            <w:tcW w:w="22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3,246</w:t>
            </w:r>
          </w:p>
        </w:tc>
        <w:tc>
          <w:tcPr>
            <w:tcW w:w="80" w:type="dxa"/>
            <w:vAlign w:val="bottom"/>
          </w:tcPr>
          <w:p>
            <w:pPr>
              <w:spacing w:after="0"/>
              <w:rPr>
                <w:sz w:val="22"/>
                <w:szCs w:val="22"/>
                <w:color w:val="auto"/>
              </w:rPr>
            </w:pPr>
          </w:p>
        </w:tc>
      </w:tr>
      <w:tr>
        <w:trPr>
          <w:trHeight w:val="257"/>
        </w:trPr>
        <w:tc>
          <w:tcPr>
            <w:tcW w:w="5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September 2025 Notes derivative liability </w:t>
            </w:r>
            <w:r>
              <w:rPr>
                <w:rFonts w:ascii="Times New Roman" w:cs="Times New Roman" w:eastAsia="Times New Roman" w:hAnsi="Times New Roman"/>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14,756</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14,756</w:t>
            </w:r>
          </w:p>
        </w:tc>
      </w:tr>
      <w:tr>
        <w:trPr>
          <w:trHeight w:val="256"/>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November 2025 Note derivative liability – related party </w:t>
            </w:r>
            <w:r>
              <w:rPr>
                <w:rFonts w:ascii="Times New Roman" w:cs="Times New Roman" w:eastAsia="Times New Roman" w:hAnsi="Times New Roman"/>
                <w:sz w:val="29"/>
                <w:szCs w:val="29"/>
                <w:color w:val="auto"/>
                <w:vertAlign w:val="superscript"/>
              </w:rPr>
              <w:t>(1)</w:t>
            </w:r>
          </w:p>
        </w:tc>
        <w:tc>
          <w:tcPr>
            <w:tcW w:w="18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1,488</w:t>
            </w:r>
          </w:p>
        </w:tc>
        <w:tc>
          <w:tcPr>
            <w:tcW w:w="22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1,488</w:t>
            </w:r>
          </w:p>
        </w:tc>
        <w:tc>
          <w:tcPr>
            <w:tcW w:w="80" w:type="dxa"/>
            <w:vAlign w:val="bottom"/>
          </w:tcPr>
          <w:p>
            <w:pPr>
              <w:spacing w:after="0"/>
              <w:rPr>
                <w:sz w:val="22"/>
                <w:szCs w:val="22"/>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purchase agreement liabilities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3,965</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SAFE Agreement with related party</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535</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535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1,692</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warrants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2,475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2,475</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Deferred Sunder Consideration Shares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10,840</w:t>
            </w:r>
          </w:p>
        </w:tc>
        <w:tc>
          <w:tcPr>
            <w:tcW w:w="16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10,840</w:t>
            </w: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Ambia Consideration Shares</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16,879</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16,879</w:t>
            </w: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13,315</w:t>
            </w: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ind w:left="7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118,774</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132,089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10" w:lineRule="auto"/>
        <w:tabs>
          <w:tab w:leader="none" w:pos="340" w:val="left"/>
        </w:tabs>
        <w:numPr>
          <w:ilvl w:val="0"/>
          <w:numId w:val="7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The derivative liabilities are associated with the Company’s outstanding senior unsecured convertible notes with stated interest rates of 7.0% (the “September 2024 Notes” and “September 2025 Notes”) and 12.0% (the “July 2024 Notes”, “July 2025 Note”, “November 2025 Note” and “January 2026 Note”) all of which are defined in </w:t>
      </w:r>
      <w:r>
        <w:rPr>
          <w:rFonts w:ascii="Times New Roman" w:cs="Times New Roman" w:eastAsia="Times New Roman" w:hAnsi="Times New Roman"/>
          <w:sz w:val="18"/>
          <w:szCs w:val="18"/>
          <w:b w:val="1"/>
          <w:bCs w:val="1"/>
          <w:color w:val="auto"/>
        </w:rPr>
        <w:t>Note 9 – Borrowings and Derivative Liabilities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color w:val="auto"/>
        </w:rPr>
        <w:t>The reconciliation of liabilities by class and categorized within Level 3 under the fair value hierarchy is as follows for the thirteen week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March 29, 2026 and March 30, 2025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920" w:type="dxa"/>
            <w:vAlign w:val="bottom"/>
            <w:tcBorders>
              <w:bottom w:val="single" w:sz="8" w:color="auto"/>
            </w:tcBorders>
            <w:gridSpan w:val="17"/>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Thirteen Weeks Ended March 29, 2026</w:t>
            </w: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4"/>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Convertible</w:t>
            </w:r>
          </w:p>
        </w:tc>
        <w:tc>
          <w:tcPr>
            <w:tcW w:w="980" w:type="dxa"/>
            <w:vAlign w:val="bottom"/>
            <w:gridSpan w:val="5"/>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Forward</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Deferred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Derivative</w:t>
            </w:r>
          </w:p>
        </w:tc>
        <w:tc>
          <w:tcPr>
            <w:tcW w:w="11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debt at fair</w:t>
            </w:r>
          </w:p>
        </w:tc>
        <w:tc>
          <w:tcPr>
            <w:tcW w:w="9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purchase</w:t>
            </w:r>
          </w:p>
        </w:tc>
        <w:tc>
          <w:tcPr>
            <w:tcW w:w="120" w:type="dxa"/>
            <w:vAlign w:val="bottom"/>
          </w:tcPr>
          <w:p>
            <w:pPr>
              <w:spacing w:after="0"/>
              <w:rPr>
                <w:sz w:val="18"/>
                <w:szCs w:val="18"/>
                <w:color w:val="auto"/>
              </w:rPr>
            </w:pPr>
          </w:p>
        </w:tc>
        <w:tc>
          <w:tcPr>
            <w:tcW w:w="940" w:type="dxa"/>
            <w:vAlign w:val="bottom"/>
            <w:gridSpan w:val="4"/>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SAFE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100" w:type="dxa"/>
            <w:vAlign w:val="bottom"/>
          </w:tcPr>
          <w:p>
            <w:pPr>
              <w:spacing w:after="0"/>
              <w:rPr>
                <w:sz w:val="18"/>
                <w:szCs w:val="18"/>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liabilities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9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agreements</w:t>
            </w:r>
          </w:p>
        </w:tc>
        <w:tc>
          <w:tcPr>
            <w:tcW w:w="10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w w:val="97"/>
              </w:rPr>
              <w:t>Agreements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4"/>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w w:val="97"/>
              </w:rPr>
              <w:t>liabilities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28, 2025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3,965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10,710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19,338</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(1,883)</w:t>
            </w:r>
          </w:p>
        </w:tc>
        <w:tc>
          <w:tcPr>
            <w:tcW w:w="0" w:type="dxa"/>
            <w:vAlign w:val="bottom"/>
          </w:tcPr>
          <w:p>
            <w:pPr>
              <w:spacing w:after="0"/>
              <w:rPr>
                <w:sz w:val="1"/>
                <w:szCs w:val="1"/>
                <w:color w:val="auto"/>
              </w:rPr>
            </w:pPr>
          </w:p>
        </w:tc>
      </w:tr>
      <w:tr>
        <w:trPr>
          <w:trHeight w:val="198"/>
        </w:trPr>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(gain) loss recognized within Other non-</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income, net in the consolidated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statement of operations</w:t>
            </w:r>
          </w:p>
        </w:tc>
        <w:tc>
          <w:tcPr>
            <w:tcW w:w="10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(26,608)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1,142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(2,943)</w:t>
            </w:r>
          </w:p>
        </w:tc>
        <w:tc>
          <w:tcPr>
            <w:tcW w:w="12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(28,255)</w:t>
            </w:r>
          </w:p>
        </w:tc>
        <w:tc>
          <w:tcPr>
            <w:tcW w:w="0" w:type="dxa"/>
            <w:vAlign w:val="bottom"/>
          </w:tcPr>
          <w:p>
            <w:pPr>
              <w:spacing w:after="0"/>
              <w:rPr>
                <w:sz w:val="1"/>
                <w:szCs w:val="1"/>
                <w:color w:val="auto"/>
              </w:rPr>
            </w:pPr>
          </w:p>
        </w:tc>
      </w:tr>
      <w:tr>
        <w:trPr>
          <w:trHeight w:val="27"/>
        </w:trPr>
        <w:tc>
          <w:tcPr>
            <w:tcW w:w="3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29, 2026</w:t>
            </w: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Borders>
              <w:right w:val="single" w:sz="8" w:color="auto"/>
            </w:tcBorders>
            <w:gridSpan w:val="2"/>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69,315</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11,030</w:t>
            </w:r>
          </w:p>
        </w:tc>
        <w:tc>
          <w:tcPr>
            <w:tcW w:w="2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5,107</w:t>
            </w: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3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4"/>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1,676</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20,267</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107,974</w:t>
            </w:r>
          </w:p>
        </w:tc>
        <w:tc>
          <w:tcPr>
            <w:tcW w:w="0" w:type="dxa"/>
            <w:vAlign w:val="bottom"/>
          </w:tcPr>
          <w:p>
            <w:pPr>
              <w:spacing w:after="0"/>
              <w:rPr>
                <w:sz w:val="1"/>
                <w:szCs w:val="1"/>
                <w:color w:val="auto"/>
              </w:rPr>
            </w:pPr>
          </w:p>
        </w:tc>
      </w:tr>
      <w:tr>
        <w:trPr>
          <w:trHeight w:val="21"/>
        </w:trPr>
        <w:tc>
          <w:tcPr>
            <w:tcW w:w="3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17"/>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Thirteen Weeks Ended March 30, 2025</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5"/>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Forward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100" w:type="dxa"/>
            <w:vAlign w:val="bottom"/>
          </w:tcPr>
          <w:p>
            <w:pPr>
              <w:spacing w:after="0"/>
              <w:rPr>
                <w:sz w:val="18"/>
                <w:szCs w:val="18"/>
                <w:color w:val="auto"/>
              </w:rPr>
            </w:pPr>
          </w:p>
        </w:tc>
        <w:tc>
          <w:tcPr>
            <w:tcW w:w="118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purchase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SAFE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liabilities</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agreements</w:t>
            </w:r>
          </w:p>
        </w:tc>
        <w:tc>
          <w:tcPr>
            <w:tcW w:w="100" w:type="dxa"/>
            <w:vAlign w:val="bottom"/>
          </w:tcPr>
          <w:p>
            <w:pPr>
              <w:spacing w:after="0"/>
              <w:rPr>
                <w:sz w:val="21"/>
                <w:szCs w:val="21"/>
                <w:color w:val="auto"/>
              </w:rPr>
            </w:pPr>
          </w:p>
        </w:tc>
        <w:tc>
          <w:tcPr>
            <w:tcW w:w="114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Agreements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29, 2024</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97,122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right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48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Net (gain) loss recognized within Other non-operating</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4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income, net in the consolidated statement of operations</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(15,127)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488</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(14,887)</w:t>
            </w:r>
          </w:p>
        </w:tc>
        <w:tc>
          <w:tcPr>
            <w:tcW w:w="0" w:type="dxa"/>
            <w:vAlign w:val="bottom"/>
          </w:tcPr>
          <w:p>
            <w:pPr>
              <w:spacing w:after="0"/>
              <w:rPr>
                <w:sz w:val="1"/>
                <w:szCs w:val="1"/>
                <w:color w:val="auto"/>
              </w:rPr>
            </w:pPr>
          </w:p>
        </w:tc>
      </w:tr>
      <w:tr>
        <w:trPr>
          <w:trHeight w:val="223"/>
        </w:trPr>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30, 2025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right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Subsequent to issuance, changes in the fair value of the derivative liabilities, liability classified warrants, forward purchase agreements and SAFEs are recorded within Other non-operating income, net in the Company’s unaudited condensed consolidated statements of operations and comprehensive income.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liabilities</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recognized derivative liabilities arising from the conversion features of its senior unsecured convertible notes issued (refer to </w:t>
      </w:r>
      <w:r>
        <w:rPr>
          <w:rFonts w:ascii="Times New Roman" w:cs="Times New Roman" w:eastAsia="Times New Roman" w:hAnsi="Times New Roman"/>
          <w:sz w:val="18"/>
          <w:szCs w:val="18"/>
          <w:b w:val="1"/>
          <w:bCs w:val="1"/>
          <w:color w:val="auto"/>
        </w:rPr>
        <w:t>Note 9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Borrowings and Derivative Liabilities</w:t>
      </w:r>
      <w:r>
        <w:rPr>
          <w:rFonts w:ascii="Times New Roman" w:cs="Times New Roman" w:eastAsia="Times New Roman" w:hAnsi="Times New Roman"/>
          <w:sz w:val="18"/>
          <w:szCs w:val="18"/>
          <w:color w:val="auto"/>
        </w:rPr>
        <w:t>). Derivative liabilities are measured at fair value in accordance with ASC 820,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of each respective derivative liability is measured using a Monte Carlo simulation that incorporates a binomial lattice model. Significant inputs to the binomial lattice model include the terms of the senior unsecured convertible notes (including the interest rate, conversion rate and conversion price), the underlying price of the Company’s common stock, risk-free rate and volatility. Certain of these inputs are unobservable. Thus, these derivative liabilities are classified within Level 3 of the fair value hierarchy. The binomial lattice model produces an estimated fair value based on changes in the price of the underlying shares of the Company’s common stock over successive periods of time. As a result of these interrelationships and inherent unobservable assumptions, the fair value of a derivative liability is subject to significant measurement uncertainty, and alternative reasonable assumptions could have produced materially different results as of March 29, 2026 and December 28, 2025.</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color w:val="auto"/>
        </w:rPr>
        <w:t>The assumptions used to value the derivative liabilities as of March 29, 2026 were as follows:</w:t>
      </w:r>
    </w:p>
    <w:p>
      <w:pPr>
        <w:spacing w:after="0" w:line="221" w:lineRule="exact"/>
        <w:rPr>
          <w:sz w:val="20"/>
          <w:szCs w:val="20"/>
          <w:color w:val="auto"/>
        </w:rPr>
      </w:pPr>
    </w:p>
    <w:tbl>
      <w:tblPr>
        <w:tblLayout w:type="fixed"/>
        <w:tblInd w:w="312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7.0% Senior Unsecured</w:t>
            </w:r>
          </w:p>
        </w:tc>
      </w:tr>
      <w:tr>
        <w:trPr>
          <w:trHeight w:val="245"/>
        </w:trPr>
        <w:tc>
          <w:tcPr>
            <w:tcW w:w="90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12.0% Senior Unsecured Convertible Notes</w:t>
            </w:r>
          </w:p>
        </w:tc>
        <w:tc>
          <w:tcPr>
            <w:tcW w:w="8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Convertible Notes</w:t>
            </w:r>
          </w:p>
        </w:tc>
      </w:tr>
      <w:tr>
        <w:trPr>
          <w:trHeight w:val="203"/>
        </w:trPr>
        <w:tc>
          <w:tcPr>
            <w:tcW w:w="900" w:type="dxa"/>
            <w:vAlign w:val="bottom"/>
          </w:tcPr>
          <w:p>
            <w:pPr>
              <w:jc w:val="center"/>
              <w:ind w:left="110"/>
              <w:spacing w:after="0" w:line="202" w:lineRule="exact"/>
              <w:rPr>
                <w:sz w:val="20"/>
                <w:szCs w:val="20"/>
                <w:color w:val="auto"/>
              </w:rPr>
            </w:pPr>
            <w:r>
              <w:rPr>
                <w:rFonts w:ascii="Times New Roman" w:cs="Times New Roman" w:eastAsia="Times New Roman" w:hAnsi="Times New Roman"/>
                <w:sz w:val="18"/>
                <w:szCs w:val="18"/>
                <w:b w:val="1"/>
                <w:bCs w:val="1"/>
                <w:color w:val="auto"/>
              </w:rPr>
              <w:t>July</w:t>
            </w:r>
          </w:p>
        </w:tc>
        <w:tc>
          <w:tcPr>
            <w:tcW w:w="1600" w:type="dxa"/>
            <w:vAlign w:val="bottom"/>
          </w:tcPr>
          <w:p>
            <w:pPr>
              <w:ind w:left="820"/>
              <w:spacing w:after="0" w:line="202" w:lineRule="exact"/>
              <w:rPr>
                <w:sz w:val="20"/>
                <w:szCs w:val="20"/>
                <w:color w:val="auto"/>
              </w:rPr>
            </w:pPr>
            <w:r>
              <w:rPr>
                <w:rFonts w:ascii="Times New Roman" w:cs="Times New Roman" w:eastAsia="Times New Roman" w:hAnsi="Times New Roman"/>
                <w:sz w:val="18"/>
                <w:szCs w:val="18"/>
                <w:b w:val="1"/>
                <w:bCs w:val="1"/>
                <w:color w:val="auto"/>
              </w:rPr>
              <w:t>July</w:t>
            </w:r>
          </w:p>
        </w:tc>
        <w:tc>
          <w:tcPr>
            <w:tcW w:w="1820" w:type="dxa"/>
            <w:vAlign w:val="bottom"/>
          </w:tcPr>
          <w:p>
            <w:pPr>
              <w:ind w:left="400"/>
              <w:spacing w:after="0" w:line="202" w:lineRule="exact"/>
              <w:rPr>
                <w:sz w:val="20"/>
                <w:szCs w:val="20"/>
                <w:color w:val="auto"/>
              </w:rPr>
            </w:pPr>
            <w:r>
              <w:rPr>
                <w:rFonts w:ascii="Times New Roman" w:cs="Times New Roman" w:eastAsia="Times New Roman" w:hAnsi="Times New Roman"/>
                <w:sz w:val="18"/>
                <w:szCs w:val="18"/>
                <w:b w:val="1"/>
                <w:bCs w:val="1"/>
                <w:color w:val="auto"/>
              </w:rPr>
              <w:t>November</w:t>
            </w:r>
          </w:p>
        </w:tc>
        <w:tc>
          <w:tcPr>
            <w:tcW w:w="1160" w:type="dxa"/>
            <w:vAlign w:val="bottom"/>
            <w:gridSpan w:val="2"/>
          </w:tcPr>
          <w:p>
            <w:pPr>
              <w:jc w:val="center"/>
              <w:ind w:right="4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January</w:t>
            </w:r>
          </w:p>
        </w:tc>
        <w:tc>
          <w:tcPr>
            <w:tcW w:w="124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240" w:type="dxa"/>
            <w:vAlign w:val="bottom"/>
          </w:tcPr>
          <w:p>
            <w:pPr>
              <w:jc w:val="center"/>
              <w:ind w:left="30"/>
              <w:spacing w:after="0" w:line="202" w:lineRule="exact"/>
              <w:rPr>
                <w:sz w:val="20"/>
                <w:szCs w:val="20"/>
                <w:color w:val="auto"/>
              </w:rPr>
            </w:pPr>
            <w:r>
              <w:rPr>
                <w:rFonts w:ascii="Times New Roman" w:cs="Times New Roman" w:eastAsia="Times New Roman" w:hAnsi="Times New Roman"/>
                <w:sz w:val="18"/>
                <w:szCs w:val="18"/>
                <w:b w:val="1"/>
                <w:bCs w:val="1"/>
                <w:color w:val="auto"/>
              </w:rPr>
              <w:t>September</w:t>
            </w:r>
          </w:p>
        </w:tc>
      </w:tr>
      <w:tr>
        <w:trPr>
          <w:trHeight w:val="216"/>
        </w:trPr>
        <w:tc>
          <w:tcPr>
            <w:tcW w:w="90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80" w:type="dxa"/>
            <w:vAlign w:val="bottom"/>
          </w:tcPr>
          <w:p>
            <w:pPr>
              <w:spacing w:after="0"/>
              <w:rPr>
                <w:sz w:val="18"/>
                <w:szCs w:val="18"/>
                <w:color w:val="auto"/>
              </w:rPr>
            </w:pPr>
          </w:p>
        </w:tc>
        <w:tc>
          <w:tcPr>
            <w:tcW w:w="12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70"/>
        </w:trPr>
        <w:tc>
          <w:tcPr>
            <w:tcW w:w="900" w:type="dxa"/>
            <w:vAlign w:val="bottom"/>
          </w:tcPr>
          <w:p>
            <w:pPr>
              <w:jc w:val="center"/>
              <w:ind w:left="130"/>
              <w:spacing w:after="0" w:line="270" w:lineRule="exact"/>
              <w:rPr>
                <w:sz w:val="20"/>
                <w:szCs w:val="20"/>
                <w:color w:val="auto"/>
              </w:rPr>
            </w:pPr>
            <w:r>
              <w:rPr>
                <w:rFonts w:ascii="Times New Roman" w:cs="Times New Roman" w:eastAsia="Times New Roman" w:hAnsi="Times New Roman"/>
                <w:sz w:val="18"/>
                <w:szCs w:val="18"/>
                <w:b w:val="1"/>
                <w:bCs w:val="1"/>
                <w:color w:val="auto"/>
                <w:w w:val="91"/>
              </w:rPr>
              <w:t>Notes</w:t>
            </w:r>
            <w:r>
              <w:rPr>
                <w:rFonts w:ascii="Times New Roman" w:cs="Times New Roman" w:eastAsia="Times New Roman" w:hAnsi="Times New Roman"/>
                <w:sz w:val="29"/>
                <w:szCs w:val="29"/>
                <w:b w:val="1"/>
                <w:bCs w:val="1"/>
                <w:color w:val="auto"/>
                <w:w w:val="91"/>
                <w:vertAlign w:val="superscript"/>
              </w:rPr>
              <w:t>(1)</w:t>
            </w:r>
          </w:p>
        </w:tc>
        <w:tc>
          <w:tcPr>
            <w:tcW w:w="160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82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240" w:type="dxa"/>
            <w:vAlign w:val="bottom"/>
          </w:tcPr>
          <w:p>
            <w:pPr>
              <w:jc w:val="center"/>
              <w:ind w:right="70"/>
              <w:spacing w:after="0" w:line="270" w:lineRule="exact"/>
              <w:rPr>
                <w:sz w:val="20"/>
                <w:szCs w:val="20"/>
                <w:color w:val="auto"/>
              </w:rPr>
            </w:pPr>
            <w:r>
              <w:rPr>
                <w:rFonts w:ascii="Times New Roman" w:cs="Times New Roman" w:eastAsia="Times New Roman" w:hAnsi="Times New Roman"/>
                <w:sz w:val="18"/>
                <w:szCs w:val="18"/>
                <w:b w:val="1"/>
                <w:bCs w:val="1"/>
                <w:color w:val="auto"/>
                <w:w w:val="91"/>
              </w:rPr>
              <w:t>Notes</w:t>
            </w:r>
            <w:r>
              <w:rPr>
                <w:rFonts w:ascii="Times New Roman" w:cs="Times New Roman" w:eastAsia="Times New Roman" w:hAnsi="Times New Roman"/>
                <w:sz w:val="29"/>
                <w:szCs w:val="29"/>
                <w:b w:val="1"/>
                <w:bCs w:val="1"/>
                <w:color w:val="auto"/>
                <w:w w:val="91"/>
                <w:vertAlign w:val="superscript"/>
              </w:rPr>
              <w:t>(1)</w:t>
            </w:r>
          </w:p>
        </w:tc>
        <w:tc>
          <w:tcPr>
            <w:tcW w:w="1240" w:type="dxa"/>
            <w:vAlign w:val="bottom"/>
          </w:tcPr>
          <w:p>
            <w:pPr>
              <w:jc w:val="center"/>
              <w:ind w:left="30"/>
              <w:spacing w:after="0" w:line="270" w:lineRule="exact"/>
              <w:rPr>
                <w:sz w:val="20"/>
                <w:szCs w:val="20"/>
                <w:color w:val="auto"/>
              </w:rPr>
            </w:pPr>
            <w:r>
              <w:rPr>
                <w:rFonts w:ascii="Times New Roman" w:cs="Times New Roman" w:eastAsia="Times New Roman" w:hAnsi="Times New Roman"/>
                <w:sz w:val="18"/>
                <w:szCs w:val="18"/>
                <w:b w:val="1"/>
                <w:bCs w:val="1"/>
                <w:color w:val="auto"/>
                <w:w w:val="91"/>
              </w:rPr>
              <w:t>Notes</w:t>
            </w:r>
            <w:r>
              <w:rPr>
                <w:rFonts w:ascii="Times New Roman" w:cs="Times New Roman" w:eastAsia="Times New Roman" w:hAnsi="Times New Roman"/>
                <w:sz w:val="29"/>
                <w:szCs w:val="29"/>
                <w:b w:val="1"/>
                <w:bCs w:val="1"/>
                <w:color w:val="auto"/>
                <w:w w:val="91"/>
                <w:vertAlign w:val="superscript"/>
              </w:rPr>
              <w:t>(1)</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4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3"/>
        </w:trPr>
        <w:tc>
          <w:tcPr>
            <w:tcW w:w="24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Coupon rate</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12.0%</w:t>
            </w:r>
          </w:p>
        </w:tc>
        <w:tc>
          <w:tcPr>
            <w:tcW w:w="36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12.0%</w:t>
            </w:r>
          </w:p>
        </w:tc>
        <w:tc>
          <w:tcPr>
            <w:tcW w:w="34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12.0%</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12.0%</w:t>
            </w: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7.0%</w:t>
            </w: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7.0%</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Initial conversion rate</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595.24</w:t>
            </w:r>
          </w:p>
        </w:tc>
        <w:tc>
          <w:tcPr>
            <w:tcW w:w="3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558.66</w:t>
            </w:r>
          </w:p>
        </w:tc>
        <w:tc>
          <w:tcPr>
            <w:tcW w:w="3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626.96</w:t>
            </w:r>
          </w:p>
        </w:tc>
        <w:tc>
          <w:tcPr>
            <w:tcW w:w="3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540.54</w:t>
            </w:r>
          </w:p>
        </w:tc>
        <w:tc>
          <w:tcPr>
            <w:tcW w:w="3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467.84</w:t>
            </w: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467.84</w:t>
            </w: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conversion price</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1.68</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1.79</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1.60</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1.85</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2.14</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36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3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3.96%</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3.96%</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3.96%</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88.1%</w:t>
            </w:r>
          </w:p>
        </w:tc>
        <w:tc>
          <w:tcPr>
            <w:tcW w:w="3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88.8%</w:t>
            </w:r>
          </w:p>
        </w:tc>
        <w:tc>
          <w:tcPr>
            <w:tcW w:w="3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87.5%</w:t>
            </w:r>
          </w:p>
        </w:tc>
        <w:tc>
          <w:tcPr>
            <w:tcW w:w="3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89.2%</w:t>
            </w:r>
          </w:p>
        </w:tc>
        <w:tc>
          <w:tcPr>
            <w:tcW w:w="3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90.7%</w:t>
            </w:r>
          </w:p>
        </w:tc>
        <w:tc>
          <w:tcPr>
            <w:tcW w:w="3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90.7%</w:t>
            </w: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36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3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assumptions used to value the derivative liabilities as of December 28, 2025 were as follows:</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10"/>
        </w:trPr>
        <w:tc>
          <w:tcPr>
            <w:tcW w:w="4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7.0% Senior Unsecured</w:t>
            </w:r>
          </w:p>
        </w:tc>
      </w:tr>
      <w:tr>
        <w:trPr>
          <w:trHeight w:val="245"/>
        </w:trPr>
        <w:tc>
          <w:tcPr>
            <w:tcW w:w="4480" w:type="dxa"/>
            <w:vAlign w:val="bottom"/>
          </w:tcPr>
          <w:p>
            <w:pPr>
              <w:spacing w:after="0"/>
              <w:rPr>
                <w:sz w:val="21"/>
                <w:szCs w:val="21"/>
                <w:color w:val="auto"/>
              </w:rPr>
            </w:pPr>
          </w:p>
        </w:tc>
        <w:tc>
          <w:tcPr>
            <w:tcW w:w="3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12.0% Senior Unsecured Convertible Notes</w:t>
            </w:r>
          </w:p>
        </w:tc>
        <w:tc>
          <w:tcPr>
            <w:tcW w:w="280" w:type="dxa"/>
            <w:vAlign w:val="bottom"/>
          </w:tcPr>
          <w:p>
            <w:pPr>
              <w:spacing w:after="0"/>
              <w:rPr>
                <w:sz w:val="21"/>
                <w:szCs w:val="21"/>
                <w:color w:val="auto"/>
              </w:rPr>
            </w:pPr>
          </w:p>
        </w:tc>
        <w:tc>
          <w:tcPr>
            <w:tcW w:w="2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Convertible Notes</w:t>
            </w:r>
          </w:p>
        </w:tc>
      </w:tr>
      <w:tr>
        <w:trPr>
          <w:trHeight w:val="203"/>
        </w:trPr>
        <w:tc>
          <w:tcPr>
            <w:tcW w:w="4480" w:type="dxa"/>
            <w:vAlign w:val="bottom"/>
          </w:tcPr>
          <w:p>
            <w:pPr>
              <w:spacing w:after="0"/>
              <w:rPr>
                <w:sz w:val="17"/>
                <w:szCs w:val="17"/>
                <w:color w:val="auto"/>
              </w:rPr>
            </w:pPr>
          </w:p>
        </w:tc>
        <w:tc>
          <w:tcPr>
            <w:tcW w:w="1300" w:type="dxa"/>
            <w:vAlign w:val="bottom"/>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rPr>
              <w:t>July</w:t>
            </w:r>
          </w:p>
        </w:tc>
        <w:tc>
          <w:tcPr>
            <w:tcW w:w="1420" w:type="dxa"/>
            <w:vAlign w:val="bottom"/>
          </w:tcPr>
          <w:p>
            <w:pPr>
              <w:jc w:val="center"/>
              <w:ind w:right="130"/>
              <w:spacing w:after="0" w:line="202" w:lineRule="exact"/>
              <w:rPr>
                <w:sz w:val="20"/>
                <w:szCs w:val="20"/>
                <w:color w:val="auto"/>
              </w:rPr>
            </w:pPr>
            <w:r>
              <w:rPr>
                <w:rFonts w:ascii="Times New Roman" w:cs="Times New Roman" w:eastAsia="Times New Roman" w:hAnsi="Times New Roman"/>
                <w:sz w:val="18"/>
                <w:szCs w:val="18"/>
                <w:b w:val="1"/>
                <w:bCs w:val="1"/>
                <w:color w:val="auto"/>
                <w:w w:val="96"/>
              </w:rPr>
              <w:t>July</w:t>
            </w:r>
          </w:p>
        </w:tc>
        <w:tc>
          <w:tcPr>
            <w:tcW w:w="140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November</w:t>
            </w:r>
          </w:p>
        </w:tc>
        <w:tc>
          <w:tcPr>
            <w:tcW w:w="124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240" w:type="dxa"/>
            <w:vAlign w:val="bottom"/>
          </w:tcPr>
          <w:p>
            <w:pPr>
              <w:jc w:val="center"/>
              <w:ind w:left="30"/>
              <w:spacing w:after="0" w:line="202" w:lineRule="exact"/>
              <w:rPr>
                <w:sz w:val="20"/>
                <w:szCs w:val="20"/>
                <w:color w:val="auto"/>
              </w:rPr>
            </w:pPr>
            <w:r>
              <w:rPr>
                <w:rFonts w:ascii="Times New Roman" w:cs="Times New Roman" w:eastAsia="Times New Roman" w:hAnsi="Times New Roman"/>
                <w:sz w:val="18"/>
                <w:szCs w:val="18"/>
                <w:b w:val="1"/>
                <w:bCs w:val="1"/>
                <w:color w:val="auto"/>
              </w:rPr>
              <w:t>September</w:t>
            </w:r>
          </w:p>
        </w:tc>
      </w:tr>
      <w:tr>
        <w:trPr>
          <w:trHeight w:val="216"/>
        </w:trPr>
        <w:tc>
          <w:tcPr>
            <w:tcW w:w="5780" w:type="dxa"/>
            <w:vAlign w:val="bottom"/>
            <w:gridSpan w:val="2"/>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Pr>
          <w:p>
            <w:pPr>
              <w:spacing w:after="0"/>
              <w:rPr>
                <w:sz w:val="18"/>
                <w:szCs w:val="18"/>
                <w:color w:val="auto"/>
              </w:rPr>
            </w:pPr>
          </w:p>
        </w:tc>
        <w:tc>
          <w:tcPr>
            <w:tcW w:w="12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70"/>
        </w:trPr>
        <w:tc>
          <w:tcPr>
            <w:tcW w:w="4480" w:type="dxa"/>
            <w:vAlign w:val="bottom"/>
          </w:tcPr>
          <w:p>
            <w:pPr>
              <w:spacing w:after="0"/>
              <w:rPr>
                <w:sz w:val="23"/>
                <w:szCs w:val="23"/>
                <w:color w:val="auto"/>
              </w:rPr>
            </w:pPr>
          </w:p>
        </w:tc>
        <w:tc>
          <w:tcPr>
            <w:tcW w:w="1300" w:type="dxa"/>
            <w:vAlign w:val="bottom"/>
          </w:tcPr>
          <w:p>
            <w:pPr>
              <w:jc w:val="center"/>
              <w:ind w:right="110"/>
              <w:spacing w:after="0" w:line="270" w:lineRule="exact"/>
              <w:rPr>
                <w:sz w:val="20"/>
                <w:szCs w:val="20"/>
                <w:color w:val="auto"/>
              </w:rPr>
            </w:pPr>
            <w:r>
              <w:rPr>
                <w:rFonts w:ascii="Times New Roman" w:cs="Times New Roman" w:eastAsia="Times New Roman" w:hAnsi="Times New Roman"/>
                <w:sz w:val="18"/>
                <w:szCs w:val="18"/>
                <w:b w:val="1"/>
                <w:bCs w:val="1"/>
                <w:color w:val="auto"/>
                <w:w w:val="94"/>
              </w:rPr>
              <w:t>Notes</w:t>
            </w:r>
            <w:r>
              <w:rPr>
                <w:rFonts w:ascii="Times New Roman" w:cs="Times New Roman" w:eastAsia="Times New Roman" w:hAnsi="Times New Roman"/>
                <w:sz w:val="29"/>
                <w:szCs w:val="29"/>
                <w:b w:val="1"/>
                <w:bCs w:val="1"/>
                <w:color w:val="auto"/>
                <w:w w:val="94"/>
                <w:vertAlign w:val="superscript"/>
              </w:rPr>
              <w:t>(1)</w:t>
            </w:r>
          </w:p>
        </w:tc>
        <w:tc>
          <w:tcPr>
            <w:tcW w:w="14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240" w:type="dxa"/>
            <w:vAlign w:val="bottom"/>
          </w:tcPr>
          <w:p>
            <w:pPr>
              <w:jc w:val="center"/>
              <w:ind w:right="70"/>
              <w:spacing w:after="0" w:line="270" w:lineRule="exact"/>
              <w:rPr>
                <w:sz w:val="20"/>
                <w:szCs w:val="20"/>
                <w:color w:val="auto"/>
              </w:rPr>
            </w:pPr>
            <w:r>
              <w:rPr>
                <w:rFonts w:ascii="Times New Roman" w:cs="Times New Roman" w:eastAsia="Times New Roman" w:hAnsi="Times New Roman"/>
                <w:sz w:val="18"/>
                <w:szCs w:val="18"/>
                <w:b w:val="1"/>
                <w:bCs w:val="1"/>
                <w:color w:val="auto"/>
                <w:w w:val="91"/>
              </w:rPr>
              <w:t>Notes</w:t>
            </w:r>
            <w:r>
              <w:rPr>
                <w:rFonts w:ascii="Times New Roman" w:cs="Times New Roman" w:eastAsia="Times New Roman" w:hAnsi="Times New Roman"/>
                <w:sz w:val="29"/>
                <w:szCs w:val="29"/>
                <w:b w:val="1"/>
                <w:bCs w:val="1"/>
                <w:color w:val="auto"/>
                <w:w w:val="91"/>
                <w:vertAlign w:val="superscript"/>
              </w:rPr>
              <w:t>(1)</w:t>
            </w:r>
          </w:p>
        </w:tc>
        <w:tc>
          <w:tcPr>
            <w:tcW w:w="1240" w:type="dxa"/>
            <w:vAlign w:val="bottom"/>
          </w:tcPr>
          <w:p>
            <w:pPr>
              <w:jc w:val="center"/>
              <w:ind w:left="30"/>
              <w:spacing w:after="0" w:line="270" w:lineRule="exact"/>
              <w:rPr>
                <w:sz w:val="20"/>
                <w:szCs w:val="20"/>
                <w:color w:val="auto"/>
              </w:rPr>
            </w:pPr>
            <w:r>
              <w:rPr>
                <w:rFonts w:ascii="Times New Roman" w:cs="Times New Roman" w:eastAsia="Times New Roman" w:hAnsi="Times New Roman"/>
                <w:sz w:val="18"/>
                <w:szCs w:val="18"/>
                <w:b w:val="1"/>
                <w:bCs w:val="1"/>
                <w:color w:val="auto"/>
                <w:w w:val="91"/>
              </w:rPr>
              <w:t>Notes</w:t>
            </w:r>
            <w:r>
              <w:rPr>
                <w:rFonts w:ascii="Times New Roman" w:cs="Times New Roman" w:eastAsia="Times New Roman" w:hAnsi="Times New Roman"/>
                <w:sz w:val="29"/>
                <w:szCs w:val="29"/>
                <w:b w:val="1"/>
                <w:bCs w:val="1"/>
                <w:color w:val="auto"/>
                <w:w w:val="91"/>
                <w:vertAlign w:val="superscript"/>
              </w:rPr>
              <w:t>(1)</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0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3"/>
        </w:trPr>
        <w:tc>
          <w:tcPr>
            <w:tcW w:w="30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Coupon rate</w:t>
            </w:r>
          </w:p>
        </w:tc>
        <w:tc>
          <w:tcPr>
            <w:tcW w:w="1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12.0%</w:t>
            </w: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12.0%</w:t>
            </w: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12.0%</w:t>
            </w: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7.0%</w:t>
            </w: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7.0%</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Initial conversion rate</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595.24</w:t>
            </w:r>
          </w:p>
        </w:tc>
        <w:tc>
          <w:tcPr>
            <w:tcW w:w="3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558.66</w:t>
            </w:r>
          </w:p>
        </w:tc>
        <w:tc>
          <w:tcPr>
            <w:tcW w:w="3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626.96</w:t>
            </w:r>
          </w:p>
        </w:tc>
        <w:tc>
          <w:tcPr>
            <w:tcW w:w="3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467.84</w:t>
            </w: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467.84</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conversion price</w:t>
            </w:r>
          </w:p>
        </w:tc>
        <w:tc>
          <w:tcPr>
            <w:tcW w:w="1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1.68</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1.79</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1.60</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2.14</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1.62</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1.62</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1.62</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1.62</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3.58%</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82.2%</w:t>
            </w:r>
          </w:p>
        </w:tc>
        <w:tc>
          <w:tcPr>
            <w:tcW w:w="3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83.2%</w:t>
            </w:r>
          </w:p>
        </w:tc>
        <w:tc>
          <w:tcPr>
            <w:tcW w:w="3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81.3%</w:t>
            </w:r>
          </w:p>
        </w:tc>
        <w:tc>
          <w:tcPr>
            <w:tcW w:w="3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85.6%</w:t>
            </w:r>
          </w:p>
        </w:tc>
        <w:tc>
          <w:tcPr>
            <w:tcW w:w="3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85.6%</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98" w:lineRule="exact"/>
        <w:rPr>
          <w:sz w:val="20"/>
          <w:szCs w:val="20"/>
          <w:color w:val="auto"/>
        </w:rPr>
      </w:pPr>
    </w:p>
    <w:p>
      <w:pPr>
        <w:ind w:left="340" w:hanging="332"/>
        <w:spacing w:after="0" w:line="195" w:lineRule="auto"/>
        <w:tabs>
          <w:tab w:leader="none" w:pos="340" w:val="left"/>
        </w:tabs>
        <w:numPr>
          <w:ilvl w:val="0"/>
          <w:numId w:val="7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conversion option is derived based upon the above assumptions plus a make-whole provision which is based upon changes in the Company’s stock price and the conversion date.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$1.9 Million Note and March 2026 Bridge Note</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The Company elected the fair value option under ASC 825 for the $1.9 Million Note (as defined in </w:t>
      </w:r>
      <w:r>
        <w:rPr>
          <w:rFonts w:ascii="Times New Roman" w:cs="Times New Roman" w:eastAsia="Times New Roman" w:hAnsi="Times New Roman"/>
          <w:sz w:val="18"/>
          <w:szCs w:val="18"/>
          <w:b w:val="1"/>
          <w:bCs w:val="1"/>
          <w:color w:val="auto"/>
        </w:rPr>
        <w:t>Note 9 – Borrowings and Derivative Liabilities)</w:t>
      </w:r>
      <w:r>
        <w:rPr>
          <w:rFonts w:ascii="Times New Roman" w:cs="Times New Roman" w:eastAsia="Times New Roman" w:hAnsi="Times New Roman"/>
          <w:sz w:val="18"/>
          <w:szCs w:val="18"/>
          <w:color w:val="auto"/>
        </w:rPr>
        <w:t xml:space="preserve"> issued on January 27, 2026 in connection with the Standby Equity Purchase Agreement (as defined in </w:t>
      </w:r>
      <w:r>
        <w:rPr>
          <w:rFonts w:ascii="Times New Roman" w:cs="Times New Roman" w:eastAsia="Times New Roman" w:hAnsi="Times New Roman"/>
          <w:sz w:val="18"/>
          <w:szCs w:val="18"/>
          <w:b w:val="1"/>
          <w:bCs w:val="1"/>
          <w:color w:val="auto"/>
        </w:rPr>
        <w:t>Note 9 – Borrowings and Derivative Liabilities</w:t>
      </w:r>
      <w:r>
        <w:rPr>
          <w:rFonts w:ascii="Times New Roman" w:cs="Times New Roman" w:eastAsia="Times New Roman" w:hAnsi="Times New Roman"/>
          <w:sz w:val="18"/>
          <w:szCs w:val="18"/>
          <w:color w:val="auto"/>
        </w:rPr>
        <w:t xml:space="preserve">) and the March 2026 Bridge Note (as defined in </w:t>
      </w:r>
      <w:r>
        <w:rPr>
          <w:rFonts w:ascii="Times New Roman" w:cs="Times New Roman" w:eastAsia="Times New Roman" w:hAnsi="Times New Roman"/>
          <w:sz w:val="18"/>
          <w:szCs w:val="18"/>
          <w:b w:val="1"/>
          <w:bCs w:val="1"/>
          <w:color w:val="auto"/>
        </w:rPr>
        <w:t>Note 9 – Borrowings and Derivative Liabilities)</w:t>
      </w:r>
      <w:r>
        <w:rPr>
          <w:rFonts w:ascii="Times New Roman" w:cs="Times New Roman" w:eastAsia="Times New Roman" w:hAnsi="Times New Roman"/>
          <w:sz w:val="18"/>
          <w:szCs w:val="18"/>
          <w:color w:val="auto"/>
        </w:rPr>
        <w:t xml:space="preserve"> issued on March 6, 2026. The $1.9 Million Note and March 2026 Bridge Note were measured at fair value on a recurring basis and classified as a Level 3 liability due to the use of significant unobservable inputs.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estimated the fair value of each obligation using a Monte Carlo simulation model, which captures the economic characteristics of the instrument, including its variable conversion price feature that is dependent on future market prices of the Company’s common stock. The Company utilized a “Bond plus Option” approach, where the value of upside plus amortization was determined in a simulation and the value related to principal repayment was calculated as a single payment of principal at maturity. The Company simulated its stock price from the valuation date to maturity date, at a daily step.</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the $1.9 Million Note, on each of the simulated paths, the Company (i) tested for an amortization trigger as applicable; and (ii) assumed that the maturity date will not be extended. Once the payoffs for all simulation paths were determined according to above, they were discounted back to the valuation date at the risk-free rate in case the $1.9 Million Note would be converted and at credit risk-adjusted rate otherwise.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6" w:name="page147"/>
    <w:bookmarkEnd w:id="146"/>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the March 2026 Bridge Note, on each of the simulated paths, the Company determined the maximum payoff on each installment date based on conversion price. Once the payoffs for all simulation paths were determined according to above, they were discounted back to the valuation date at the risk-free rate in case the March 2026 Bridge Note would be converted and at credit risk-adjusted rate otherwise.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these obligations was each calculated as the average present value across all simulation paths plus present value of debt component. The model was calibrated to transaction proceeds by varying credit risk-adjusted rate in the model. The change in yields between the valuation dates was applied to the credit risk-adjusted rate to account for market changes. Thus, these obligations are classified within Level 3 of the fair value hierarchy as the fair values are based upon unobservable inputs.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key inputs for the simulation include stock price, simulation period and volatility of the Company’s common stock and were as follows as of March 29,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$1.9 Million</w:t>
            </w:r>
          </w:p>
        </w:tc>
        <w:tc>
          <w:tcPr>
            <w:tcW w:w="8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2026</w:t>
            </w:r>
          </w:p>
        </w:tc>
      </w:tr>
      <w:tr>
        <w:trPr>
          <w:trHeight w:val="245"/>
        </w:trPr>
        <w:tc>
          <w:tcPr>
            <w:tcW w:w="8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Note</w:t>
            </w:r>
          </w:p>
        </w:tc>
        <w:tc>
          <w:tcPr>
            <w:tcW w:w="8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Bridge Note</w:t>
            </w: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VWAP stock price</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5"/>
              </w:rPr>
              <w:t>1.24</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5"/>
              </w:rPr>
              <w:t>1.24</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Simulation period</w:t>
            </w:r>
          </w:p>
        </w:tc>
        <w:tc>
          <w:tcPr>
            <w:tcW w:w="80" w:type="dxa"/>
            <w:vAlign w:val="bottom"/>
          </w:tcPr>
          <w:p>
            <w:pPr>
              <w:spacing w:after="0"/>
              <w:rPr>
                <w:sz w:val="18"/>
                <w:szCs w:val="18"/>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0.83 years</w:t>
            </w:r>
          </w:p>
        </w:tc>
        <w:tc>
          <w:tcPr>
            <w:tcW w:w="80" w:type="dxa"/>
            <w:vAlign w:val="bottom"/>
          </w:tcPr>
          <w:p>
            <w:pPr>
              <w:spacing w:after="0"/>
              <w:rPr>
                <w:sz w:val="18"/>
                <w:szCs w:val="18"/>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0.94 years</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8"/>
              </w:rPr>
              <w:t>3.77%</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80" w:type="dxa"/>
            <w:vAlign w:val="bottom"/>
          </w:tcPr>
          <w:p>
            <w:pPr>
              <w:spacing w:after="0"/>
              <w:rPr>
                <w:sz w:val="18"/>
                <w:szCs w:val="18"/>
                <w:color w:val="auto"/>
              </w:rPr>
            </w:pPr>
          </w:p>
        </w:tc>
        <w:tc>
          <w:tcPr>
            <w:tcW w:w="13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81.4%</w:t>
            </w:r>
          </w:p>
        </w:tc>
        <w:tc>
          <w:tcPr>
            <w:tcW w:w="80" w:type="dxa"/>
            <w:vAlign w:val="bottom"/>
          </w:tcPr>
          <w:p>
            <w:pPr>
              <w:spacing w:after="0"/>
              <w:rPr>
                <w:sz w:val="18"/>
                <w:szCs w:val="18"/>
                <w:color w:val="auto"/>
              </w:rPr>
            </w:pPr>
          </w:p>
        </w:tc>
        <w:tc>
          <w:tcPr>
            <w:tcW w:w="11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w w:val="98"/>
              </w:rPr>
              <w:t>83.3%</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risk-adjusted rate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8"/>
              </w:rPr>
              <w:t>73.4%</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measurement reflects a probability-weighted assessment of settlement outcomes, including conversion into equity versus cash repayment scenarios, and captures the optionality inherent in the instrument. Changes in these assumptions, particularly stock price volatility, credit spread, and the likelihood of conversion, can result in significant fluctuations in the estimated fair value. Changes in fair value are recognized in operating results within “Other non-operating income, net,” in the Company’s unaudited condensed consolidated statements of operations and comprehensive income, and no separate interest expense is recorded, as the fair value measurement incorporates the economic cost of the financing.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public warrants are measured at fair value on a recurring basis. The public warrants were valued based on the closing price of the publicly traded instrument and therefore are considered a Level 1 instrument in the fair value hierarchy.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and working capital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valued the private placement and working capital warrants, based on a binomial lattice model, which included the following inputs: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07"/>
        </w:trPr>
        <w:tc>
          <w:tcPr>
            <w:tcW w:w="8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60" w:type="dxa"/>
            <w:vAlign w:val="bottom"/>
          </w:tcPr>
          <w:p>
            <w:pPr>
              <w:spacing w:after="0"/>
              <w:rPr>
                <w:sz w:val="18"/>
                <w:szCs w:val="18"/>
                <w:color w:val="auto"/>
              </w:rPr>
            </w:pPr>
          </w:p>
        </w:tc>
      </w:tr>
      <w:tr>
        <w:trPr>
          <w:trHeight w:val="245"/>
        </w:trPr>
        <w:tc>
          <w:tcPr>
            <w:tcW w:w="86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7"/>
              </w:rPr>
              <w:t>2.31 years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2.56 years</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268.3%</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expected term is the time period to the expiration date of the warrants. The risk-free rate is interpolated from the U.S. Constant Maturity Treasury curve for a term matching the corresponding remaining life. Volatility was calibrated based on the public warrants closing price as of the valuation date. As the private and working capital warrants have terms nearly identical to the publicly traded warrants, the volatility was calibrated until the model price equaled the public warrants closing price. These inherent unobservable assumptions are subject to significant measurement uncertainty, and alternative reasonable assumptions could have produced materially different results as of March 29, 2026 and December 28, 2025. Thus, the private placement and working capital warrant liabilities are classified within Level 3 of the fair value hierarchy.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38"/>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purchase agreement (“FPA”) liabilities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FPAs are measured at fair value on a recurring basis using a Monte Carlo simulation analysis based upon the following inputs: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3"/>
        </w:trPr>
        <w:tc>
          <w:tcPr>
            <w:tcW w:w="8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7"/>
        </w:trPr>
        <w:tc>
          <w:tcPr>
            <w:tcW w:w="8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60" w:type="dxa"/>
            <w:vAlign w:val="bottom"/>
          </w:tcPr>
          <w:p>
            <w:pPr>
              <w:spacing w:after="0"/>
              <w:rPr>
                <w:sz w:val="18"/>
                <w:szCs w:val="18"/>
                <w:color w:val="auto"/>
              </w:rPr>
            </w:pPr>
          </w:p>
        </w:tc>
      </w:tr>
      <w:tr>
        <w:trPr>
          <w:trHeight w:val="245"/>
        </w:trPr>
        <w:tc>
          <w:tcPr>
            <w:tcW w:w="86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VWAP stock price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5"/>
              </w:rPr>
              <w:t>1.24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5"/>
              </w:rPr>
              <w:t>1.66</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Simulation period</w:t>
            </w:r>
          </w:p>
        </w:tc>
        <w:tc>
          <w:tcPr>
            <w:tcW w:w="120" w:type="dxa"/>
            <w:vAlign w:val="bottom"/>
          </w:tcPr>
          <w:p>
            <w:pPr>
              <w:spacing w:after="0"/>
              <w:rPr>
                <w:sz w:val="18"/>
                <w:szCs w:val="18"/>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0.30 years</w:t>
            </w:r>
          </w:p>
        </w:tc>
        <w:tc>
          <w:tcPr>
            <w:tcW w:w="22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0.55 years</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3.73%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8"/>
              </w:rPr>
              <w:t>3.57%</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tcPr>
          <w:p>
            <w:pPr>
              <w:spacing w:after="0"/>
              <w:rPr>
                <w:sz w:val="20"/>
                <w:szCs w:val="20"/>
                <w:color w:val="auto"/>
              </w:rPr>
            </w:pPr>
          </w:p>
        </w:tc>
        <w:tc>
          <w:tcPr>
            <w:tcW w:w="12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58.0%</w:t>
            </w:r>
          </w:p>
        </w:tc>
        <w:tc>
          <w:tcPr>
            <w:tcW w:w="220" w:type="dxa"/>
            <w:vAlign w:val="bottom"/>
          </w:tcPr>
          <w:p>
            <w:pPr>
              <w:spacing w:after="0"/>
              <w:rPr>
                <w:sz w:val="20"/>
                <w:szCs w:val="20"/>
                <w:color w:val="auto"/>
              </w:rPr>
            </w:pPr>
          </w:p>
        </w:tc>
        <w:tc>
          <w:tcPr>
            <w:tcW w:w="10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8"/>
              </w:rPr>
              <w:t>77.3%</w:t>
            </w:r>
          </w:p>
        </w:tc>
      </w:tr>
    </w:tbl>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volume-weighted average price (“VWAP”) reflects management’s judgment regarding expected future trading activity and price behavior as an active forward market does not exist for the Company’s common stock. Reasonably possible alternative VWAP outcomes at the reporting date could have resulted in a materially different fair value. The risk-free rate is derived from the applicable tenor of the U.S. Treasury yield curve. Changes in the risk-free rate would alter the present value of the simulated settlement amounts and could significantly impact the fair value estimate. The expected volatility is determined based on the historical equity volatility of comparable companies over a period that matches the simulation period. Because expected volatility drives the dispersion of simulated price paths, reasonably higher or lower volatility assumptions could materially increase or decrease the estimated fair value. These inputs are interrelated, and changes in one may affect the others. As a result of these interrelationships and inherent unobservable assumptions, the fair value of FPAs is subject to significant measurement uncertainty, and alternative reasonable assumptions could have produced materially different results as of March 29, 2026 and December 28, 2025. Thus, FPAs are classified within Level 3 of the fair value hierarchy.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 agreement with related party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measured the fair value of its SAFE using a valuation technique that incorporates significant unobservable inputs and is therefore classified within Level 3 of the fair value hierarchy. The fair value of the SAFE is subject to estimation uncertainty because it depends on management’s judgments about future events that are not directly observable in active markets. Management assigned a 50% probability that the SAFE will convert into shares of the Company’s stock in connection with a qualifying financing or other specified event. If the SAFE does not convert, management expects cash repayment in fiscal 2026 or fiscal 2027, with a 50% probability assigned to each repayment year.</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SAFE valuation also considers assumptions such as discount rates implied by the Company’s convertible notes as of the valuation date, the timing and likelihood of financing or liquidity events, and, for the conversion path, the expected equity valuation and any applicable conversion economics (e.g., discounts or valuation caps). Settlement of the SAFE is contingent on future financing or liquidity events and the Company’s funding plans. Accordingly, the measurement requires judgment about the likelihood and timing of conversion versus repayment and, where relevant, assumptions about the Company’s equity value at conversion. Because these factors are not directly observable, reasonably possible alternative assumptions at the reporting date could produce a materially different fair value. Increasing the probability of conversion would generally increase the fair value if the conversion terms imply a beneficial outcome to the holder relative to repayment; decreasing that probability would place more weight on the repayment scenarios and could increase or decrease the fair value depending on the applicable discount rate and timing of cash flows. Within the non-conversion path, shifting probability weight toward repayment in fiscal year 2026 would generally increase fair value (lower discounting), while shifting weight toward fiscal 2027 would generally decrease fair value (greater discounting), holding other inputs constant. A higher discount rate would decrease the present value of expected cash flows (and thus fair value), while a lower rate would increase fair value. Higher expected equity values or more favorable conversion economics would increase the fair value under the conversion path; lower expected equity values or less favorable terms would decrease it. These inputs are interrelated and unobservable. Because the valuation depends on significant unobservable inputs—including a 50% probability of conversion to equity and an even allocation between fiscal years 2026 and 2027 of repayment if conversion does not occur—there is significant measurement uncertainty, and alternative reasonable assumptions at the reporting date could have resulted in a materially different fair value of the SAFE liability as of March 29, 2026 and December 28, 2025. Thus, the SAFE liability is classified within Level 3 of the fair value hierarchy.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i w:val="1"/>
          <w:iCs w:val="1"/>
          <w:color w:val="auto"/>
        </w:rPr>
        <w:t>Deferred Ambia Consideration Shares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Deferred Ambia consideration is classified within Level 3 of the fair value hierarchy.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estimated the fair value of the deferred consideration shares using a Turnbull–Wakeman closed-form approximation for arithmetic average-rate options, with Black-Scholes values used as an upper bound. The valuation as of March 29, 2026, was based on a stock price of $1.25 and key assumptions including expected volatility of approximately 52% to 72%, risk-free rates of approximately 3.74% to 3.76%, zero dividend yield, and defined averaging periods over the contractual terms. The resulting fair values reflect per-unit option values of approximately $0.26 to $0.38 corresponding to total estimated value of $13.9 million. The fair value of the deferred consideration shares as of December 28, 2025 of $16.9 million was estimated using the Company’s closing share price for its common stock of $1.61 at the Ambia Closing.</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actual number of Deferred Ambia Consideration Shares issuable by the Company on the six- and 12-month anniversaries of the Ambia Closing was determined based on the 20-day trailing volume-weighted average price of the Company’s common stock after market close on the business day immediately prior to the issuance date of the applicable shares (the “VWAP Value”); provided that the VWAP Value for the calculation of the actual number of Deferred Ambia Consideration Shares issuable by the Company will not be more than $2.8102 per share or less than $1.4988 per share. Additionally, the number of Deferred Ambia Consideration Shares issuable by the Company is subject to adjustment pursuant to customary working capital and balance sheet adjustment terms and subject to offset for certain indemnifiable damages in accordance with the Ambia MIPA.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liabilities not measured at fair value on a recurring basis: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senior unsecured convertible notes were fair valued using a binomial lattice model, which includes Level 3, unobservable inputs. The key inputs used are consistent with those used to fair value the derivative liabilities as discussed under </w:t>
      </w:r>
      <w:r>
        <w:rPr>
          <w:rFonts w:ascii="Times New Roman" w:cs="Times New Roman" w:eastAsia="Times New Roman" w:hAnsi="Times New Roman"/>
          <w:sz w:val="18"/>
          <w:szCs w:val="18"/>
          <w:i w:val="1"/>
          <w:iCs w:val="1"/>
          <w:color w:val="auto"/>
        </w:rPr>
        <w:t>Derivative Liabilities</w:t>
      </w:r>
      <w:r>
        <w:rPr>
          <w:rFonts w:ascii="Times New Roman" w:cs="Times New Roman" w:eastAsia="Times New Roman" w:hAnsi="Times New Roman"/>
          <w:sz w:val="18"/>
          <w:szCs w:val="18"/>
          <w:color w:val="auto"/>
        </w:rPr>
        <w:t xml:space="preserve"> above. The following tables set forth the Company’s financial liabilities that are not measured at fair value and are considered a Level 3 instrument in the fair value hierarchy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As of March 29, 2026</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3"/>
        </w:trPr>
        <w:tc>
          <w:tcPr>
            <w:tcW w:w="4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3"/>
          </w:tcPr>
          <w:p>
            <w:pPr>
              <w:jc w:val="center"/>
              <w:ind w:right="141"/>
              <w:spacing w:after="0" w:line="202" w:lineRule="exact"/>
              <w:rPr>
                <w:sz w:val="20"/>
                <w:szCs w:val="20"/>
                <w:color w:val="auto"/>
              </w:rPr>
            </w:pPr>
            <w:r>
              <w:rPr>
                <w:rFonts w:ascii="Times New Roman" w:cs="Times New Roman" w:eastAsia="Times New Roman" w:hAnsi="Times New Roman"/>
                <w:sz w:val="18"/>
                <w:szCs w:val="18"/>
                <w:b w:val="1"/>
                <w:bCs w:val="1"/>
                <w:color w:val="auto"/>
                <w:w w:val="98"/>
              </w:rPr>
              <w:t>Unamortized</w:t>
            </w:r>
          </w:p>
        </w:tc>
        <w:tc>
          <w:tcPr>
            <w:tcW w:w="120" w:type="dxa"/>
            <w:vAlign w:val="bottom"/>
          </w:tcPr>
          <w:p>
            <w:pPr>
              <w:spacing w:after="0"/>
              <w:rPr>
                <w:sz w:val="17"/>
                <w:szCs w:val="17"/>
                <w:color w:val="auto"/>
              </w:rPr>
            </w:pPr>
          </w:p>
        </w:tc>
        <w:tc>
          <w:tcPr>
            <w:tcW w:w="120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rPr>
              <w:t>Net</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9"/>
              </w:rPr>
              <w:t>debt</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carrying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8"/>
              </w:rPr>
              <w:t>discount</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and debt</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excluding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capitalized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7"/>
        </w:trPr>
        <w:tc>
          <w:tcPr>
            <w:tcW w:w="4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420"/>
              <w:spacing w:after="0" w:line="270" w:lineRule="exact"/>
              <w:rPr>
                <w:sz w:val="20"/>
                <w:szCs w:val="20"/>
                <w:color w:val="auto"/>
              </w:rPr>
            </w:pPr>
            <w:r>
              <w:rPr>
                <w:rFonts w:ascii="Times New Roman" w:cs="Times New Roman" w:eastAsia="Times New Roman" w:hAnsi="Times New Roman"/>
                <w:sz w:val="18"/>
                <w:szCs w:val="18"/>
                <w:b w:val="1"/>
                <w:bCs w:val="1"/>
                <w:color w:val="auto"/>
                <w:w w:val="95"/>
              </w:rPr>
              <w:t xml:space="preserve">amount </w:t>
            </w:r>
            <w:r>
              <w:rPr>
                <w:rFonts w:ascii="Times New Roman" w:cs="Times New Roman" w:eastAsia="Times New Roman" w:hAnsi="Times New Roman"/>
                <w:sz w:val="29"/>
                <w:szCs w:val="29"/>
                <w:b w:val="1"/>
                <w:bCs w:val="1"/>
                <w:color w:val="auto"/>
                <w:w w:val="95"/>
                <w:vertAlign w:val="superscript"/>
              </w:rPr>
              <w:t>(1)</w:t>
            </w:r>
          </w:p>
        </w:tc>
        <w:tc>
          <w:tcPr>
            <w:tcW w:w="160" w:type="dxa"/>
            <w:vAlign w:val="bottom"/>
          </w:tcPr>
          <w:p>
            <w:pPr>
              <w:spacing w:after="0"/>
              <w:rPr>
                <w:sz w:val="24"/>
                <w:szCs w:val="24"/>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7"/>
              </w:rPr>
              <w:t>costs</w:t>
            </w:r>
          </w:p>
        </w:tc>
        <w:tc>
          <w:tcPr>
            <w:tcW w:w="120" w:type="dxa"/>
            <w:vAlign w:val="bottom"/>
          </w:tcPr>
          <w:p>
            <w:pPr>
              <w:spacing w:after="0"/>
              <w:rPr>
                <w:sz w:val="24"/>
                <w:szCs w:val="24"/>
                <w:color w:val="auto"/>
              </w:rPr>
            </w:pPr>
          </w:p>
        </w:tc>
        <w:tc>
          <w:tcPr>
            <w:tcW w:w="1200" w:type="dxa"/>
            <w:vAlign w:val="bottom"/>
            <w:gridSpan w:val="2"/>
          </w:tcPr>
          <w:p>
            <w:pPr>
              <w:jc w:val="center"/>
              <w:ind w:right="320"/>
              <w:spacing w:after="0" w:line="270" w:lineRule="exact"/>
              <w:rPr>
                <w:sz w:val="20"/>
                <w:szCs w:val="20"/>
                <w:color w:val="auto"/>
              </w:rPr>
            </w:pPr>
            <w:r>
              <w:rPr>
                <w:rFonts w:ascii="Times New Roman" w:cs="Times New Roman" w:eastAsia="Times New Roman" w:hAnsi="Times New Roman"/>
                <w:sz w:val="18"/>
                <w:szCs w:val="18"/>
                <w:b w:val="1"/>
                <w:bCs w:val="1"/>
                <w:color w:val="auto"/>
                <w:w w:val="94"/>
              </w:rPr>
              <w:t xml:space="preserve">interest </w:t>
            </w:r>
            <w:r>
              <w:rPr>
                <w:rFonts w:ascii="Times New Roman" w:cs="Times New Roman" w:eastAsia="Times New Roman" w:hAnsi="Times New Roman"/>
                <w:sz w:val="29"/>
                <w:szCs w:val="29"/>
                <w:b w:val="1"/>
                <w:bCs w:val="1"/>
                <w:color w:val="auto"/>
                <w:w w:val="94"/>
                <w:vertAlign w:val="superscript"/>
              </w:rPr>
              <w:t>(1)</w:t>
            </w:r>
          </w:p>
        </w:tc>
        <w:tc>
          <w:tcPr>
            <w:tcW w:w="14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12.0% senior unsecured convertible notes</w:t>
            </w:r>
          </w:p>
        </w:tc>
        <w:tc>
          <w:tcPr>
            <w:tcW w:w="1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2024 Notes</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27,973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(5,655)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26,724</w:t>
            </w:r>
          </w:p>
        </w:tc>
      </w:tr>
      <w:tr>
        <w:trPr>
          <w:trHeight w:val="23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July 2024 Notes – related parties</w:t>
            </w: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18,000</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(10,054)</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7,946</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17,086</w:t>
            </w:r>
          </w:p>
        </w:tc>
      </w:tr>
      <w:tr>
        <w:trPr>
          <w:trHeight w:val="236"/>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July 2024 Notes</w:t>
            </w:r>
          </w:p>
        </w:tc>
        <w:tc>
          <w:tcPr>
            <w:tcW w:w="16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45,973</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43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July 2025 Note – related party</w:t>
            </w: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(3,481)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1,519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4,494</w:t>
            </w:r>
          </w:p>
        </w:tc>
        <w:tc>
          <w:tcPr>
            <w:tcW w:w="100" w:type="dxa"/>
            <w:vAlign w:val="bottom"/>
          </w:tcPr>
          <w:p>
            <w:pPr>
              <w:spacing w:after="0"/>
              <w:rPr>
                <w:sz w:val="17"/>
                <w:szCs w:val="17"/>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2025 Note – related party</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1,971</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January 2026 Note – related party</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3,300</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(2,262)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2,955</w:t>
            </w:r>
          </w:p>
        </w:tc>
      </w:tr>
      <w:tr>
        <w:trPr>
          <w:trHeight w:val="216"/>
        </w:trPr>
        <w:tc>
          <w:tcPr>
            <w:tcW w:w="43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7.0% senior unsecured convertible notes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2024 Notes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53,793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(37,851)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15,942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45,830</w:t>
            </w:r>
          </w:p>
        </w:tc>
      </w:tr>
      <w:tr>
        <w:trPr>
          <w:trHeight w:val="23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2024 Notes – related parties</w:t>
            </w: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8,750</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(5,946)</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2,804</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7,461</w:t>
            </w:r>
          </w:p>
        </w:tc>
      </w:tr>
      <w:tr>
        <w:trPr>
          <w:trHeight w:val="236"/>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September 2024 Notes</w:t>
            </w:r>
          </w:p>
        </w:tc>
        <w:tc>
          <w:tcPr>
            <w:tcW w:w="16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62,543</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43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September 2025 Notes</w:t>
            </w:r>
          </w:p>
        </w:tc>
        <w:tc>
          <w:tcPr>
            <w:tcW w:w="16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22,000</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(18,425</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3,575</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18,793</w:t>
            </w:r>
          </w:p>
        </w:tc>
        <w:tc>
          <w:tcPr>
            <w:tcW w:w="100" w:type="dxa"/>
            <w:vAlign w:val="bottom"/>
            <w:tcBorders>
              <w:bottom w:val="single" w:sz="8" w:color="CCEEFF"/>
            </w:tcBorders>
          </w:tcPr>
          <w:p>
            <w:pPr>
              <w:spacing w:after="0"/>
              <w:rPr>
                <w:sz w:val="18"/>
                <w:szCs w:val="18"/>
                <w:color w:val="auto"/>
              </w:rPr>
            </w:pPr>
          </w:p>
        </w:tc>
      </w:tr>
      <w:tr>
        <w:trPr>
          <w:trHeight w:val="223"/>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140,816</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(85,157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55,659</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125,314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F-25</w:t>
            </w: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6" w:right="339" w:bottom="1440" w:gutter="0" w:footer="0" w:header="0"/>
        </w:sectPr>
      </w:pPr>
    </w:p>
    <w:bookmarkStart w:id="149" w:name="page150"/>
    <w:bookmarkEnd w:id="1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As of December 28, 2025</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3"/>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3"/>
          </w:tcPr>
          <w:p>
            <w:pPr>
              <w:jc w:val="center"/>
              <w:ind w:right="141"/>
              <w:spacing w:after="0" w:line="202" w:lineRule="exact"/>
              <w:rPr>
                <w:sz w:val="20"/>
                <w:szCs w:val="20"/>
                <w:color w:val="auto"/>
              </w:rPr>
            </w:pPr>
            <w:r>
              <w:rPr>
                <w:rFonts w:ascii="Times New Roman" w:cs="Times New Roman" w:eastAsia="Times New Roman" w:hAnsi="Times New Roman"/>
                <w:sz w:val="18"/>
                <w:szCs w:val="18"/>
                <w:b w:val="1"/>
                <w:bCs w:val="1"/>
                <w:color w:val="auto"/>
                <w:w w:val="98"/>
              </w:rPr>
              <w:t>Unamortized</w:t>
            </w:r>
          </w:p>
        </w:tc>
        <w:tc>
          <w:tcPr>
            <w:tcW w:w="120" w:type="dxa"/>
            <w:vAlign w:val="bottom"/>
          </w:tcPr>
          <w:p>
            <w:pPr>
              <w:spacing w:after="0"/>
              <w:rPr>
                <w:sz w:val="17"/>
                <w:szCs w:val="17"/>
                <w:color w:val="auto"/>
              </w:rPr>
            </w:pPr>
          </w:p>
        </w:tc>
        <w:tc>
          <w:tcPr>
            <w:tcW w:w="120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rPr>
              <w:t>Net</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9"/>
              </w:rPr>
              <w:t>debt</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carrying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8"/>
              </w:rPr>
              <w:t>discount</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and debt</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excluding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capitalized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77"/>
        </w:trPr>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amount </w:t>
            </w:r>
            <w:r>
              <w:rPr>
                <w:rFonts w:ascii="Times New Roman" w:cs="Times New Roman" w:eastAsia="Times New Roman" w:hAnsi="Times New Roman"/>
                <w:sz w:val="29"/>
                <w:szCs w:val="29"/>
                <w:b w:val="1"/>
                <w:bCs w:val="1"/>
                <w:color w:val="auto"/>
                <w:vertAlign w:val="superscript"/>
              </w:rPr>
              <w:t>(1)</w:t>
            </w:r>
          </w:p>
        </w:tc>
        <w:tc>
          <w:tcPr>
            <w:tcW w:w="160" w:type="dxa"/>
            <w:vAlign w:val="bottom"/>
          </w:tcPr>
          <w:p>
            <w:pPr>
              <w:spacing w:after="0"/>
              <w:rPr>
                <w:sz w:val="24"/>
                <w:szCs w:val="24"/>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7"/>
              </w:rPr>
              <w:t>costs</w:t>
            </w:r>
          </w:p>
        </w:tc>
        <w:tc>
          <w:tcPr>
            <w:tcW w:w="120" w:type="dxa"/>
            <w:vAlign w:val="bottom"/>
          </w:tcPr>
          <w:p>
            <w:pPr>
              <w:spacing w:after="0"/>
              <w:rPr>
                <w:sz w:val="24"/>
                <w:szCs w:val="24"/>
                <w:color w:val="auto"/>
              </w:rPr>
            </w:pPr>
          </w:p>
        </w:tc>
        <w:tc>
          <w:tcPr>
            <w:tcW w:w="1200" w:type="dxa"/>
            <w:vAlign w:val="bottom"/>
            <w:gridSpan w:val="2"/>
          </w:tcPr>
          <w:p>
            <w:pPr>
              <w:jc w:val="center"/>
              <w:ind w:right="320"/>
              <w:spacing w:after="0" w:line="270" w:lineRule="exact"/>
              <w:rPr>
                <w:sz w:val="20"/>
                <w:szCs w:val="20"/>
                <w:color w:val="auto"/>
              </w:rPr>
            </w:pPr>
            <w:r>
              <w:rPr>
                <w:rFonts w:ascii="Times New Roman" w:cs="Times New Roman" w:eastAsia="Times New Roman" w:hAnsi="Times New Roman"/>
                <w:sz w:val="18"/>
                <w:szCs w:val="18"/>
                <w:b w:val="1"/>
                <w:bCs w:val="1"/>
                <w:color w:val="auto"/>
                <w:w w:val="94"/>
              </w:rPr>
              <w:t xml:space="preserve">interest </w:t>
            </w:r>
            <w:r>
              <w:rPr>
                <w:rFonts w:ascii="Times New Roman" w:cs="Times New Roman" w:eastAsia="Times New Roman" w:hAnsi="Times New Roman"/>
                <w:sz w:val="29"/>
                <w:szCs w:val="29"/>
                <w:b w:val="1"/>
                <w:bCs w:val="1"/>
                <w:color w:val="auto"/>
                <w:w w:val="94"/>
                <w:vertAlign w:val="superscript"/>
              </w:rPr>
              <w:t>(1)</w:t>
            </w:r>
          </w:p>
        </w:tc>
        <w:tc>
          <w:tcPr>
            <w:tcW w:w="140" w:type="dxa"/>
            <w:vAlign w:val="bottom"/>
          </w:tcPr>
          <w:p>
            <w:pPr>
              <w:spacing w:after="0"/>
              <w:rPr>
                <w:sz w:val="24"/>
                <w:szCs w:val="24"/>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12.0% senior unsecured convertible notes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2024 Notes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27,973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(5,832)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33,165</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July 2024 Notes – related parties</w:t>
            </w:r>
          </w:p>
        </w:tc>
        <w:tc>
          <w:tcPr>
            <w:tcW w:w="120" w:type="dxa"/>
            <w:vAlign w:val="bottom"/>
          </w:tcPr>
          <w:p>
            <w:pPr>
              <w:spacing w:after="0"/>
              <w:rPr>
                <w:sz w:val="20"/>
                <w:szCs w:val="20"/>
                <w:color w:val="auto"/>
              </w:rPr>
            </w:pPr>
          </w:p>
        </w:tc>
        <w:tc>
          <w:tcPr>
            <w:tcW w:w="12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18,000</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(10,369)</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7,631</w:t>
            </w:r>
          </w:p>
        </w:tc>
        <w:tc>
          <w:tcPr>
            <w:tcW w:w="14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21,204</w:t>
            </w: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July 2024 Notes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2"/>
              </w:rPr>
              <w:t>45,973</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54,369</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July 2025 Note – related party</w:t>
            </w:r>
          </w:p>
        </w:tc>
        <w:tc>
          <w:tcPr>
            <w:tcW w:w="120" w:type="dxa"/>
            <w:vAlign w:val="bottom"/>
          </w:tcPr>
          <w:p>
            <w:pPr>
              <w:spacing w:after="0"/>
              <w:rPr>
                <w:sz w:val="17"/>
                <w:szCs w:val="17"/>
                <w:color w:val="auto"/>
              </w:rPr>
            </w:pPr>
          </w:p>
        </w:tc>
        <w:tc>
          <w:tcPr>
            <w:tcW w:w="1000" w:type="dxa"/>
            <w:vAlign w:val="bottom"/>
          </w:tcPr>
          <w:p>
            <w:pPr>
              <w:ind w:left="600"/>
              <w:spacing w:after="0" w:line="203" w:lineRule="exact"/>
              <w:rPr>
                <w:sz w:val="20"/>
                <w:szCs w:val="20"/>
                <w:color w:val="auto"/>
              </w:rPr>
            </w:pPr>
            <w:r>
              <w:rPr>
                <w:rFonts w:ascii="Times New Roman" w:cs="Times New Roman" w:eastAsia="Times New Roman" w:hAnsi="Times New Roman"/>
                <w:sz w:val="18"/>
                <w:szCs w:val="18"/>
                <w:color w:val="auto"/>
                <w:w w:val="93"/>
              </w:rPr>
              <w:t>5,000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(3,557)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1,443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5,641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2025 Note – related party</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2,000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(1,509)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2,360</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7.0% senior unsecured convertible notes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2024 Notes</w:t>
            </w:r>
          </w:p>
        </w:tc>
        <w:tc>
          <w:tcPr>
            <w:tcW w:w="120" w:type="dxa"/>
            <w:vAlign w:val="bottom"/>
          </w:tcPr>
          <w:p>
            <w:pPr>
              <w:spacing w:after="0"/>
              <w:rPr>
                <w:sz w:val="18"/>
                <w:szCs w:val="18"/>
                <w:color w:val="auto"/>
              </w:rPr>
            </w:pPr>
          </w:p>
        </w:tc>
        <w:tc>
          <w:tcPr>
            <w:tcW w:w="12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56,543</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(42,211)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14,332</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59,425</w:t>
            </w: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2024 Notes – related parties</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8,750</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(6,404)</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2,346</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8,880</w:t>
            </w:r>
          </w:p>
        </w:tc>
        <w:tc>
          <w:tcPr>
            <w:tcW w:w="80" w:type="dxa"/>
            <w:vAlign w:val="bottom"/>
            <w:shd w:val="clear" w:color="auto" w:fill="CCEEFF"/>
          </w:tcPr>
          <w:p>
            <w:pPr>
              <w:spacing w:after="0"/>
              <w:rPr>
                <w:sz w:val="21"/>
                <w:szCs w:val="2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Subtotal September 2024 Notes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520"/>
              <w:spacing w:after="0" w:line="203" w:lineRule="exact"/>
              <w:rPr>
                <w:sz w:val="20"/>
                <w:szCs w:val="20"/>
                <w:color w:val="auto"/>
              </w:rPr>
            </w:pPr>
            <w:r>
              <w:rPr>
                <w:rFonts w:ascii="Times New Roman" w:cs="Times New Roman" w:eastAsia="Times New Roman" w:hAnsi="Times New Roman"/>
                <w:sz w:val="18"/>
                <w:szCs w:val="18"/>
                <w:color w:val="auto"/>
                <w:w w:val="92"/>
              </w:rPr>
              <w:t>65,293</w:t>
            </w:r>
          </w:p>
        </w:tc>
        <w:tc>
          <w:tcPr>
            <w:tcW w:w="2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(48,615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16,678</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68,305</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3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2025 Notes</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2"/>
              </w:rPr>
              <w:t>22,000</w:t>
            </w: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24,227</w:t>
            </w:r>
          </w:p>
        </w:tc>
        <w:tc>
          <w:tcPr>
            <w:tcW w:w="100" w:type="dxa"/>
            <w:vAlign w:val="bottom"/>
            <w:tcBorders>
              <w:bottom w:val="single" w:sz="8" w:color="CCEEFF"/>
            </w:tcBorders>
            <w:gridSpan w:val="2"/>
            <w:shd w:val="clear" w:color="auto" w:fill="CCEEFF"/>
          </w:tcPr>
          <w:p>
            <w:pPr>
              <w:spacing w:after="0"/>
              <w:rPr>
                <w:sz w:val="20"/>
                <w:szCs w:val="20"/>
                <w:color w:val="auto"/>
              </w:rPr>
            </w:pPr>
          </w:p>
        </w:tc>
      </w:tr>
      <w:tr>
        <w:trPr>
          <w:trHeight w:val="210"/>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ind w:left="420"/>
              <w:spacing w:after="0" w:line="203" w:lineRule="exact"/>
              <w:rPr>
                <w:sz w:val="20"/>
                <w:szCs w:val="20"/>
                <w:color w:val="auto"/>
              </w:rPr>
            </w:pPr>
            <w:r>
              <w:rPr>
                <w:rFonts w:ascii="Times New Roman" w:cs="Times New Roman" w:eastAsia="Times New Roman" w:hAnsi="Times New Roman"/>
                <w:sz w:val="18"/>
                <w:szCs w:val="18"/>
                <w:color w:val="auto"/>
                <w:w w:val="95"/>
              </w:rPr>
              <w:t>140,266</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(88,528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51,738</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154,902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7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Excludes capitalized interest (coupon interest, default interest and failure to file interest) of $9.6 million and $10.8 million as of March 29, 2026, and December 28, 2025, respectively, included in the July 2024 Notes.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Supplemental Balance Sheet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Prepaid expenses and other current assets consist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00" w:type="dxa"/>
            <w:vAlign w:val="bottom"/>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Costs to obtain contracts and costs to fulfill contracts </w:t>
            </w:r>
            <w:r>
              <w:rPr>
                <w:rFonts w:ascii="Times New Roman" w:cs="Times New Roman" w:eastAsia="Times New Roman" w:hAnsi="Times New Roman"/>
                <w:sz w:val="28"/>
                <w:szCs w:val="28"/>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17,161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7,361</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20"/>
                <w:szCs w:val="20"/>
                <w:color w:val="auto"/>
              </w:rPr>
            </w:pPr>
          </w:p>
        </w:tc>
        <w:tc>
          <w:tcPr>
            <w:tcW w:w="12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10,691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9,552</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2"/>
              </w:rPr>
              <w:t>27,852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7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Costs to obtain contracts and costs to fulfill contracts with customers are recognized within sales commissions and cost of revenues, respectively, when the related revenue is recognized.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Accrued expenses and other current liabilities consist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8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7"/>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00" w:type="dxa"/>
            <w:vAlign w:val="bottom"/>
            <w:gridSpan w:val="2"/>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legal settlements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9,500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9,500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rebates and credits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7,564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fees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4,868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4,868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 financing deposits with related parties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5,392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18"/>
                <w:szCs w:val="18"/>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Accrued interest </w:t>
            </w:r>
            <w:r>
              <w:rPr>
                <w:rFonts w:ascii="Times New Roman" w:cs="Times New Roman" w:eastAsia="Times New Roman" w:hAnsi="Times New Roman"/>
                <w:sz w:val="29"/>
                <w:szCs w:val="29"/>
                <w:color w:val="auto"/>
                <w:vertAlign w:val="superscript"/>
              </w:rPr>
              <w:t>(1)</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4,093</w:t>
            </w:r>
          </w:p>
        </w:tc>
        <w:tc>
          <w:tcPr>
            <w:tcW w:w="24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6,301</w:t>
            </w:r>
          </w:p>
        </w:tc>
        <w:tc>
          <w:tcPr>
            <w:tcW w:w="80" w:type="dxa"/>
            <w:vAlign w:val="bottom"/>
          </w:tcPr>
          <w:p>
            <w:pPr>
              <w:spacing w:after="0"/>
              <w:rPr>
                <w:sz w:val="22"/>
                <w:szCs w:val="22"/>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24,790</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19,194</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70,006</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56,977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7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accrued interest due to related parties of $2.2 million and $2.6 million as of March 29, 2026 and December 28, 2025,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Assets,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February 2, 2026, the Company completed the acquisition of Cobalt and assigned provisional goodwill of $9.3 million to the New Homes reportable segment.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as of March 29, 2026 and December 28, 2025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Residential</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Solar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Installation</w:t>
            </w:r>
          </w:p>
        </w:tc>
        <w:tc>
          <w:tcPr>
            <w:tcW w:w="10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New Homes</w:t>
            </w:r>
          </w:p>
        </w:tc>
        <w:tc>
          <w:tcPr>
            <w:tcW w:w="200" w:type="dxa"/>
            <w:vAlign w:val="bottom"/>
          </w:tcPr>
          <w:p>
            <w:pPr>
              <w:spacing w:after="0"/>
              <w:rPr>
                <w:sz w:val="21"/>
                <w:szCs w:val="21"/>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Dealer</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28, 2025</w:t>
            </w:r>
          </w:p>
        </w:tc>
        <w:tc>
          <w:tcPr>
            <w:tcW w:w="1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30,808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31,822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62,630</w:t>
            </w:r>
          </w:p>
        </w:tc>
        <w:tc>
          <w:tcPr>
            <w:tcW w:w="0" w:type="dxa"/>
            <w:vAlign w:val="bottom"/>
          </w:tcPr>
          <w:p>
            <w:pPr>
              <w:spacing w:after="0"/>
              <w:rPr>
                <w:sz w:val="1"/>
                <w:szCs w:val="1"/>
                <w:color w:val="auto"/>
              </w:rPr>
            </w:pPr>
          </w:p>
        </w:tc>
      </w:tr>
      <w:tr>
        <w:trPr>
          <w:trHeight w:val="237"/>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30,808</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3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Measurement period adjustments</w:t>
            </w: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acquired in business combinations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12,977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12,977</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29, 2026</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30,808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12,977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31,822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75,607</w:t>
            </w:r>
          </w:p>
        </w:tc>
        <w:tc>
          <w:tcPr>
            <w:tcW w:w="0" w:type="dxa"/>
            <w:vAlign w:val="bottom"/>
          </w:tcPr>
          <w:p>
            <w:pPr>
              <w:spacing w:after="0"/>
              <w:rPr>
                <w:sz w:val="1"/>
                <w:szCs w:val="1"/>
                <w:color w:val="auto"/>
              </w:rPr>
            </w:pPr>
          </w:p>
        </w:tc>
      </w:tr>
      <w:tr>
        <w:trPr>
          <w:trHeight w:val="229"/>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vMerge w:val="continue"/>
            <w:shd w:val="clear" w:color="auto" w:fill="CCEEFF"/>
          </w:tcPr>
          <w:p>
            <w:pPr>
              <w:spacing w:after="0"/>
              <w:rPr>
                <w:sz w:val="21"/>
                <w:szCs w:val="21"/>
                <w:color w:val="auto"/>
              </w:rPr>
            </w:pP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30,808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12,977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31,822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75,607</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F-27</w:t>
            </w: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51" w:name="page152"/>
    <w:bookmarkEnd w:id="1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 xml:space="preserve">The following tables present intangible assets with finite useful lives as of March 29, 2026 and December 28, 2025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5"/>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9"/>
                <w:szCs w:val="19"/>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Net Book</w:t>
            </w:r>
          </w:p>
        </w:tc>
      </w:tr>
      <w:tr>
        <w:trPr>
          <w:trHeight w:val="27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March 29, 2026</w:t>
            </w:r>
          </w:p>
        </w:tc>
        <w:tc>
          <w:tcPr>
            <w:tcW w:w="140" w:type="dxa"/>
            <w:vAlign w:val="bottom"/>
          </w:tcPr>
          <w:p>
            <w:pPr>
              <w:spacing w:after="0"/>
              <w:rPr>
                <w:sz w:val="24"/>
                <w:szCs w:val="24"/>
                <w:color w:val="auto"/>
              </w:rPr>
            </w:pPr>
          </w:p>
        </w:tc>
        <w:tc>
          <w:tcPr>
            <w:tcW w:w="1240" w:type="dxa"/>
            <w:vAlign w:val="bottom"/>
            <w:gridSpan w:val="2"/>
          </w:tcPr>
          <w:p>
            <w:pPr>
              <w:jc w:val="center"/>
              <w:ind w:right="380"/>
              <w:spacing w:after="0" w:line="270" w:lineRule="exact"/>
              <w:rPr>
                <w:sz w:val="20"/>
                <w:szCs w:val="20"/>
                <w:color w:val="auto"/>
              </w:rPr>
            </w:pPr>
            <w:r>
              <w:rPr>
                <w:rFonts w:ascii="Times New Roman" w:cs="Times New Roman" w:eastAsia="Times New Roman" w:hAnsi="Times New Roman"/>
                <w:sz w:val="18"/>
                <w:szCs w:val="18"/>
                <w:b w:val="1"/>
                <w:bCs w:val="1"/>
                <w:color w:val="auto"/>
                <w:w w:val="95"/>
              </w:rPr>
              <w:t>Amount</w:t>
            </w:r>
            <w:r>
              <w:rPr>
                <w:rFonts w:ascii="Times New Roman" w:cs="Times New Roman" w:eastAsia="Times New Roman" w:hAnsi="Times New Roman"/>
                <w:sz w:val="29"/>
                <w:szCs w:val="29"/>
                <w:b w:val="1"/>
                <w:bCs w:val="1"/>
                <w:color w:val="auto"/>
                <w:w w:val="95"/>
                <w:vertAlign w:val="superscript"/>
              </w:rPr>
              <w:t>(1)</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4"/>
                <w:szCs w:val="24"/>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related intangibles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35,100</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3"/>
              </w:rPr>
              <w:t>(4,948)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20,394</w:t>
            </w:r>
          </w:p>
        </w:tc>
        <w:tc>
          <w:tcPr>
            <w:tcW w:w="36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(2,351)</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18,043</w:t>
            </w:r>
          </w:p>
        </w:tc>
        <w:tc>
          <w:tcPr>
            <w:tcW w:w="8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5,300</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(2,450)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2,850</w:t>
            </w:r>
          </w:p>
        </w:tc>
        <w:tc>
          <w:tcPr>
            <w:tcW w:w="80" w:type="dxa"/>
            <w:vAlign w:val="bottom"/>
            <w:shd w:val="clear" w:color="auto" w:fill="CCEEFF"/>
          </w:tcPr>
          <w:p>
            <w:pPr>
              <w:spacing w:after="0"/>
              <w:rPr>
                <w:sz w:val="18"/>
                <w:szCs w:val="18"/>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intangible asset</w:t>
            </w: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771</w:t>
            </w:r>
          </w:p>
        </w:tc>
        <w:tc>
          <w:tcPr>
            <w:tcW w:w="360" w:type="dxa"/>
            <w:vAlign w:val="bottom"/>
          </w:tcPr>
          <w:p>
            <w:pPr>
              <w:spacing w:after="0"/>
              <w:rPr>
                <w:sz w:val="20"/>
                <w:szCs w:val="20"/>
                <w:color w:val="auto"/>
              </w:rPr>
            </w:pP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tcPr>
          <w:p>
            <w:pPr>
              <w:spacing w:after="0"/>
              <w:rPr>
                <w:sz w:val="20"/>
                <w:szCs w:val="20"/>
                <w:color w:val="auto"/>
              </w:rPr>
            </w:pPr>
          </w:p>
        </w:tc>
      </w:tr>
      <w:tr>
        <w:trPr>
          <w:trHeight w:val="223"/>
        </w:trPr>
        <w:tc>
          <w:tcPr>
            <w:tcW w:w="73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4"/>
              </w:rPr>
              <w:t>(9,749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0"/>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5"/>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9"/>
                <w:szCs w:val="19"/>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Net Book</w:t>
            </w:r>
          </w:p>
        </w:tc>
      </w:tr>
      <w:tr>
        <w:trPr>
          <w:trHeight w:val="27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28, 2025</w:t>
            </w:r>
          </w:p>
        </w:tc>
        <w:tc>
          <w:tcPr>
            <w:tcW w:w="140" w:type="dxa"/>
            <w:vAlign w:val="bottom"/>
          </w:tcPr>
          <w:p>
            <w:pPr>
              <w:spacing w:after="0"/>
              <w:rPr>
                <w:sz w:val="24"/>
                <w:szCs w:val="24"/>
                <w:color w:val="auto"/>
              </w:rPr>
            </w:pPr>
          </w:p>
        </w:tc>
        <w:tc>
          <w:tcPr>
            <w:tcW w:w="1240" w:type="dxa"/>
            <w:vAlign w:val="bottom"/>
            <w:gridSpan w:val="2"/>
          </w:tcPr>
          <w:p>
            <w:pPr>
              <w:jc w:val="center"/>
              <w:ind w:right="380"/>
              <w:spacing w:after="0" w:line="270" w:lineRule="exact"/>
              <w:rPr>
                <w:sz w:val="20"/>
                <w:szCs w:val="20"/>
                <w:color w:val="auto"/>
              </w:rPr>
            </w:pPr>
            <w:r>
              <w:rPr>
                <w:rFonts w:ascii="Times New Roman" w:cs="Times New Roman" w:eastAsia="Times New Roman" w:hAnsi="Times New Roman"/>
                <w:sz w:val="18"/>
                <w:szCs w:val="18"/>
                <w:b w:val="1"/>
                <w:bCs w:val="1"/>
                <w:color w:val="auto"/>
                <w:w w:val="95"/>
              </w:rPr>
              <w:t>Amount</w:t>
            </w:r>
            <w:r>
              <w:rPr>
                <w:rFonts w:ascii="Times New Roman" w:cs="Times New Roman" w:eastAsia="Times New Roman" w:hAnsi="Times New Roman"/>
                <w:sz w:val="29"/>
                <w:szCs w:val="29"/>
                <w:b w:val="1"/>
                <w:bCs w:val="1"/>
                <w:color w:val="auto"/>
                <w:w w:val="95"/>
                <w:vertAlign w:val="superscript"/>
              </w:rPr>
              <w:t>(1)</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4"/>
                <w:szCs w:val="24"/>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related intangibles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34,000</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3"/>
              </w:rPr>
              <w:t>(3,198)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18,394</w:t>
            </w:r>
          </w:p>
        </w:tc>
        <w:tc>
          <w:tcPr>
            <w:tcW w:w="36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(1,707)</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16,687</w:t>
            </w:r>
          </w:p>
        </w:tc>
        <w:tc>
          <w:tcPr>
            <w:tcW w:w="80" w:type="dxa"/>
            <w:vAlign w:val="bottom"/>
          </w:tcPr>
          <w:p>
            <w:pPr>
              <w:spacing w:after="0"/>
              <w:rPr>
                <w:sz w:val="18"/>
                <w:szCs w:val="18"/>
                <w:color w:val="auto"/>
              </w:rPr>
            </w:pPr>
          </w:p>
        </w:tc>
      </w:tr>
      <w:tr>
        <w:trPr>
          <w:trHeight w:val="25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5,300</w:t>
            </w:r>
          </w:p>
        </w:tc>
        <w:tc>
          <w:tcPr>
            <w:tcW w:w="3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(1,975)</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3,325</w:t>
            </w:r>
          </w:p>
        </w:tc>
        <w:tc>
          <w:tcPr>
            <w:tcW w:w="8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57,694</w:t>
            </w: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ind w:left="280"/>
              <w:spacing w:after="0" w:line="203" w:lineRule="exact"/>
              <w:rPr>
                <w:sz w:val="20"/>
                <w:szCs w:val="20"/>
                <w:color w:val="auto"/>
              </w:rPr>
            </w:pPr>
            <w:r>
              <w:rPr>
                <w:rFonts w:ascii="Times New Roman" w:cs="Times New Roman" w:eastAsia="Times New Roman" w:hAnsi="Times New Roman"/>
                <w:sz w:val="18"/>
                <w:szCs w:val="18"/>
                <w:color w:val="auto"/>
                <w:w w:val="94"/>
              </w:rPr>
              <w:t>(6,880</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50,814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Aggregate amortization expense for intangible assets was $2.9 million and $0.7 million in the thirteen week periods ended March 29, 2026 and March 30, 2025, respectively. Amortization expense for developed technology is classified in cost of revenues and all other amortization expense is classified in general and administrative expenses on the Company’s unaudited condensed consolidated statements of operations and comprehensive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SAFE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SAFE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13, 2024, the Company entered into a third SAFE (the “Third SAFE”) with the Rodgers Massey Freedom and Free Markets Charitable Trust (the “Purchaser”), in connection with the Purchaser investing $1.0 million in the Company. The Third SAFE is convertible into shares of the Company’s common stock upon the initial closing of a bona fide transaction or series of transactions with the principal purpose of raising capital, pursuant to which the Company issues and sells shares of its common stock in an Equity Financing, at a per share conversion price which is equal to 50% of the price per share of the Company’s common stock sold in the Equity Financing. If the Company consummates a change of control prior to the termination of the Third SAFE, the Purchaser will be automatically entitled to receive a portion of the proceeds of such liquidity event equal to $1.0 million, subject to certain adjustments as set forth in the Third SAFE. The Third SAFE is convertible into a maximum of 2,750,000 shares of the Company’s common stock, assuming a per share conversion price of $0.275, which is the product of (i) $0.55, the closing price of the Company’s common stock on May 13, 2024, multiplied by (ii) 50%. Given that the SAFE could be settled in cash or a variable number of shares, the Company has accounted for the instrument as a liability at its fair value.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SAFE liability represents the estimated fair value of the Company’s obligation to issue equity in the future. The fair value of the Third SAFE approximated $0.6 million and $0.5 million as of March 29, 2026 and December 28, 2025, respectively. Refer to </w:t>
      </w:r>
      <w:r>
        <w:rPr>
          <w:rFonts w:ascii="Times New Roman" w:cs="Times New Roman" w:eastAsia="Times New Roman" w:hAnsi="Times New Roman"/>
          <w:sz w:val="18"/>
          <w:szCs w:val="18"/>
          <w:b w:val="1"/>
          <w:bCs w:val="1"/>
          <w:color w:val="auto"/>
        </w:rPr>
        <w:t>Note 5 – Fair Value Measurements</w:t>
      </w:r>
      <w:r>
        <w:rPr>
          <w:rFonts w:ascii="Times New Roman" w:cs="Times New Roman" w:eastAsia="Times New Roman" w:hAnsi="Times New Roman"/>
          <w:sz w:val="18"/>
          <w:szCs w:val="18"/>
          <w:color w:val="auto"/>
        </w:rPr>
        <w:t xml:space="preserve"> for details.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On April 23, 2026, the SAFE was converted and exchanged into $1.0 million principal amount of the Company’s 10.0% convertible secured notes due 2029. Refer to </w:t>
      </w:r>
      <w:r>
        <w:rPr>
          <w:rFonts w:ascii="Times New Roman" w:cs="Times New Roman" w:eastAsia="Times New Roman" w:hAnsi="Times New Roman"/>
          <w:sz w:val="18"/>
          <w:szCs w:val="18"/>
          <w:b w:val="1"/>
          <w:bCs w:val="1"/>
          <w:color w:val="auto"/>
        </w:rPr>
        <w:t>Note 18 – Subsequent Events</w:t>
      </w:r>
      <w:r>
        <w:rPr>
          <w:rFonts w:ascii="Times New Roman" w:cs="Times New Roman" w:eastAsia="Times New Roman" w:hAnsi="Times New Roman"/>
          <w:sz w:val="18"/>
          <w:szCs w:val="18"/>
          <w:color w:val="auto"/>
        </w:rPr>
        <w:t xml:space="preserve"> for details.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Borrowings and Derivative Liabilities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Company’s borrowings and derivative liabilities consisted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Short-term debt (including current portion of long-term debt):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2026 Bridge Note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9,500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$1.9 Million Note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1,530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Cobalt Loan</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2,706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Short-term debt with third parties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13,736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68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short-term debt and current portion of long-term debt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16,522</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2,786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Short-term debt with related parties: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Seller Note – related party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with related party</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debt with related parties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12.0% senior unsecured convertible notes and related derivative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July 2024 Notes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31,911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32,969</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July 2024 Notes – related parties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7,946</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7,631</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 July 2024 Notes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July 2025 Note – related party</w:t>
            </w: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1,519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November 2025 Note – related party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January 2026 Note – related party</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1,038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July 2024 Notes derivative liability</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14,042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19,604</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July 2024 Notes derivative liability – related party</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9,036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12,615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Subtotal July 2024 Notes derivative liability</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23,078</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32,219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July 2025 Note derivative liability – related party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November 2025 Note derivative liability – related party</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1,069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2026 Note derivative liability – related party</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1,467</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12.0% senior unsecured convertible notes and derivative liabilities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70,784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79,487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7.0% senior unsecured convertible notes and derivative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2024 Notes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15,942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14,332</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 2024 Notes – related parties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2,804</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2,346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Subtotal September 2024 Notes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September 2025 Notes</w:t>
            </w: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3,575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 2024 Notes derivative liability</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26,351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37,930</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2024 Notes derivative liability – related parties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4,286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5,870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Subtotal September 2024 Notes derivative liability</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30,637</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43,800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2025 Notes derivative liability</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7.0% senior unsecured convertible notes and derivative liabilities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63,783</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78,588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notes payable and derivative liabilities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134,567</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158,075</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senior unsecured convertible notes payable and derivative liabilities, net of current portion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131,781</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155,289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Balance sheet classification of long-term debt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and derivative liabilities, net of current portion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99,860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120,159</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and derivative liabilities with related parties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31,921</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35,130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long-term debt including net of current portion</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131,781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2,786</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2,786</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long-term debt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134,567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F-29</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095"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Standby Equity Purchase Agreement and $1.9 Million Note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27, 2026 (the “Effective Date”), SunPower entered into a Standby Equity Purchase Agreement (the “SEPA”) with YA II PN, LTD., a Cayman Islands exempt limited company (“YA”). Pursuant to the SEPA, YA agreed to advance up to $20.0 million (the “Pre-Paid Advances”) to the Company in the form of convertible promissory notes (each “Promissory Note”), subject to the terms and conditions of the SEPA. Each Promissory Note bears interest at 0% per annum, which increases to 18% per annum upon the occurrence and continuance of an Event of Default (as defined in the Promissory Notes) for so long as such event remains uncured. Each tranche is funded at a 10% discount to its principal amount. The Promissory Notes are initially convertible into 540.5405 shares of the Company’s common stock per $1,000 principal amount, subject to adjustment.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SEPA also provides the Company the right, subject to certain conditions, to require YA to purchase up to $25.0 million of the Company’s common stock (“Commitment Amount”) through January 27, 2029.</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SEPA, the Company paid YA total fees of $0.4 million consisting of $0.05 million of cash and 175,000 shares of the Company’s common stock, with a fair value of $0.3 million, as a due diligence, structuring and commitment fee.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SEPA will automatically terminate on the earliest to occur of (i) January 27, 2029 or (ii) the date on which YA has purchased from the Company under the SEPA the Commitment Amount in full. The Company may terminate the SEPA at any time upon five trading days’ prior written notice to YA, provided that there are no outstanding advance notices under which the Company is yet to issue shares of its common stock, there are no amounts outstanding under the Promissory Notes, and provided that the Company has paid all amounts owed to YA pursuant to the SEPA. The Company and YA may also agree to terminate the SEPA by mutual written consent.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27, 2026, the first Pre-Paid Advance was disbursed. The gross amount of the borrowing under the Pre-Paid Advance was $1.9 million which was advanced under a Promissory Note (“$1.9 Million Note”), and the Company received net proceeds of $1.71 million after the contractual discount. The $1.9 Million Note matures on January 27, 2027, which may be extended at YA’s option. The Company’s rights for further Pre-Paid Advances under the SEPA terminated pursuant to the terms of the SEPA.</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elected the fair value option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for the $1.9 Million Note. Accordingly, the $1.9 Million Note is recorded at fair value upon issuance and are subsequently remeasured at fair value at each reporting date, with changes in fair value recognized in “non-operating Other non-operating income, net” in the Company’s unaudited condensed consolidated statements of operations and comprehensive income. As a result of this election, the original issue discount, transaction costs, and embedded conversion features are not separately accounted for and are instead reflected in the fair value of $1.9 Million Note. The $1.9 Million Note is classified as a Level 3 liability within the fair value hierarchy established by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due to the use of significant unobservable inputs in the valuation. Refer to </w:t>
      </w:r>
      <w:r>
        <w:rPr>
          <w:rFonts w:ascii="Times New Roman" w:cs="Times New Roman" w:eastAsia="Times New Roman" w:hAnsi="Times New Roman"/>
          <w:sz w:val="18"/>
          <w:szCs w:val="18"/>
          <w:b w:val="1"/>
          <w:bCs w:val="1"/>
          <w:color w:val="auto"/>
        </w:rPr>
        <w:t>Note 5 – Fair Value Measurements</w:t>
      </w:r>
      <w:r>
        <w:rPr>
          <w:rFonts w:ascii="Times New Roman" w:cs="Times New Roman" w:eastAsia="Times New Roman" w:hAnsi="Times New Roman"/>
          <w:sz w:val="18"/>
          <w:szCs w:val="18"/>
          <w:color w:val="auto"/>
        </w:rPr>
        <w:t xml:space="preserve"> for a description of the inputs and assumptions used in the valuation of the $1.9 Million Note.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initial amount of the $1.9 Million Note was recorded at its estimated fair value of $1.7 million on the issuance date. As of March 29, 2026, the $1.9 Million Note had a fair value of $1.5 million. The change in the fair value of the $1.9 Million Note was included in “Other non-operating income, net” within the unaudited condensed consolidated statement of operations and comprehensive income in the thirteen week period ended March 29,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i w:val="1"/>
          <w:iCs w:val="1"/>
          <w:color w:val="auto"/>
        </w:rPr>
        <w:t>March 2026 Bridge Note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6, 2026, the Company entered into a purchase agreement (“Purchase Agreement”) with YA pursuant to which the Company issued a convertible debenture in the principal amount of $10.0 million (the “March 2026 Bridge Note” and collectively with the $1.9 Million Note, the “Yorkville Notes”). The Company received net proceeds of $9.0 million at issuance, after deducting fees payable under the Purchase Agreement. The March 2026 Bridge Note matures on March 6, 2027, unless extended at YA’s option. The March 2026 Bridge Note bears interest at 0% per annum; however, upon the occurrence and continuance of an event of default, the interest rate increases to 18% per annum.</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elected the fair value option under ASC 825 for the March 2026 Bridge Note. As a result, the March 2026 Bridge Note is carried at fair value, with changes in fair value recognized in earnings within “non-operating Other non-operating income, net” in the Company’s unaudited condensed consolidated statements of operations and comprehensive income. As a result of this election, the original issue discount, transaction costs, and embedded conversion features are not separately accounted for and are instead reflected in the fair value of the March 2026 Bridge Note. The March 2026 Bridge Note is classified as a Level 3 liability within the fair value hierarchy established by ASC 820 due to the use of significant unobservable inputs in the valuation. See </w:t>
      </w:r>
      <w:r>
        <w:rPr>
          <w:rFonts w:ascii="Times New Roman" w:cs="Times New Roman" w:eastAsia="Times New Roman" w:hAnsi="Times New Roman"/>
          <w:sz w:val="18"/>
          <w:szCs w:val="18"/>
          <w:b w:val="1"/>
          <w:bCs w:val="1"/>
          <w:color w:val="auto"/>
        </w:rPr>
        <w:t>Note 5 – Fair Value Measurements</w:t>
      </w:r>
      <w:r>
        <w:rPr>
          <w:rFonts w:ascii="Times New Roman" w:cs="Times New Roman" w:eastAsia="Times New Roman" w:hAnsi="Times New Roman"/>
          <w:sz w:val="18"/>
          <w:szCs w:val="18"/>
          <w:color w:val="auto"/>
        </w:rPr>
        <w:t xml:space="preserve"> for additional information regarding the valuation of the March 2026 Bridge Note, including key assumptions and valuation methodologies.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initial amount of the March 2026 Bridge Note was recorded at its estimated fair value of $9.0 million on the issuance date. As of March 29, 2026, the March 2026 Bridge Note had a fair value of $9.5 million. The change in the fair value of the March 2026 Bridge Note was included in “Other non-operating income, net” within the Company’s unaudited condensed consolidated statement of operations and comprehensive income in the thirteen week period ended March 29, 2026.</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March 2026 Bridge Note required installment payments on May 6, 2026, June 6, 2026, July 6, 2026, August 6, 2026, and September 6, 2026 (each, an “Installment Date”). On each Installment Date, the Company was required to pay an amount equal to (i) $2.0 million of principal, (ii) a payment premium of $0.06 million, and (iii) any accrued and unpaid interest (collectively, the “Installment Amount”). The Company may satisfy each Installment Amount, at its option, (a) in cash, (b) by submitting an advance notice pursuant to the SEPA, or (c) through a combination of cash and such advance notice. On April 21, 2026, the Company and YA agreed to amend the Installment Dates in connection with a $5.0 million prepayment of the March 2026 Bridge Note. As amended, on each of May 5, 2026, June 5, 2026, July 5, 2026 and August 5, 2026, the Company is required to pay an amount equal to (i) $1.25 million of principal, (ii) a payment premium of $0.0375 million, and (iii) any accrued and unpaid interest. Refer to </w:t>
      </w:r>
      <w:r>
        <w:rPr>
          <w:rFonts w:ascii="Times New Roman" w:cs="Times New Roman" w:eastAsia="Times New Roman" w:hAnsi="Times New Roman"/>
          <w:sz w:val="18"/>
          <w:szCs w:val="18"/>
          <w:b w:val="1"/>
          <w:bCs w:val="1"/>
          <w:color w:val="auto"/>
        </w:rPr>
        <w:t>Note 18 – Subsequent Events</w:t>
      </w:r>
      <w:r>
        <w:rPr>
          <w:rFonts w:ascii="Times New Roman" w:cs="Times New Roman" w:eastAsia="Times New Roman" w:hAnsi="Times New Roman"/>
          <w:sz w:val="18"/>
          <w:szCs w:val="18"/>
          <w:color w:val="auto"/>
        </w:rPr>
        <w:t xml:space="preserve"> for details.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any time after issuance, YA may convert all or a portion of the outstanding principal balance into shares of the Company’s common stock at an adjusted fixed conversion price of $1.64 per share (the “Fixed Price”). In addition, any Installment Amount that remains unpaid following an Installment Date may be converted at a price equal to 95% of the volume weighted average price (“VWAP”) of the Company’s common stock during the five trading days immediately preceding the conversion date, subject to a minimum conversion price equal to the then-applicable floor price.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at its option, redeem all or a portion of the outstanding balance of the March 2026 Bridge Note (an “Optional Redemption”) upon written notice to YA, provided that the VWAP of the Company’s common stock at the time of such notice is less than the Fixed Price. The redemption price equals (i) the principal amount redeemed, (ii) a premium of 3% of such principal amount, and (iii) any accrued and unpaid interest; provided that the premium does not apply to Optional Redemptions completed on or prior to April 30,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Seller Note – related party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September 24, 2025, the Company issued a note payable to CPP (“Seller Note”) in connection with the Company’s acquisition of 100% of the membership interests in Sunder and concluded that the Seller Note is a related party obligation (see </w:t>
      </w:r>
      <w:r>
        <w:rPr>
          <w:rFonts w:ascii="Times New Roman" w:cs="Times New Roman" w:eastAsia="Times New Roman" w:hAnsi="Times New Roman"/>
          <w:sz w:val="18"/>
          <w:szCs w:val="18"/>
          <w:b w:val="1"/>
          <w:bCs w:val="1"/>
          <w:color w:val="auto"/>
        </w:rPr>
        <w:t>Note 3 – Business Combinations</w:t>
      </w:r>
      <w:r>
        <w:rPr>
          <w:rFonts w:ascii="Times New Roman" w:cs="Times New Roman" w:eastAsia="Times New Roman" w:hAnsi="Times New Roman"/>
          <w:sz w:val="18"/>
          <w:szCs w:val="18"/>
          <w:color w:val="auto"/>
        </w:rPr>
        <w:t>). The Seller Note has an original principal amount of $20.0 million. The Seller Note bears interest at 7.0% per annum, compounded at the end of each calendar quarter. Interest is due and payable concurrent with the payment of the principal balance. The maturity date of the Seller Note was initially the earlier of (i) May 15, 2026 and</w:t>
      </w:r>
    </w:p>
    <w:p>
      <w:pPr>
        <w:spacing w:after="0" w:line="3" w:lineRule="exact"/>
        <w:rPr>
          <w:sz w:val="20"/>
          <w:szCs w:val="20"/>
          <w:color w:val="auto"/>
        </w:rPr>
      </w:pPr>
    </w:p>
    <w:p>
      <w:pPr>
        <w:jc w:val="both"/>
        <w:ind w:firstLine="8"/>
        <w:spacing w:after="0" w:line="252" w:lineRule="auto"/>
        <w:tabs>
          <w:tab w:leader="none" w:pos="27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all amounts under the Seller Note otherwise become due and payable following an event of default. The Seller Note must also be repaid in the event of a change of control of the Company or the sale of all or substantially all of the consolidated assets of the Company and its subsidiaries. The Seller Note includes customary events of default, including: (a) the Company’s failure to pay the Seller Note when due, (b) the Company’s voluntary or involuntary bankruptcy, (c) the Company’s liquidation or dissolution, (d) a change of control of the Company, (e) the Company’s material breach of the covenants applicable to the Company under the Seller Note, subject to applicable cure periods, and (f) if any of the Company’s representations or warranties made in the Seller Note were untrue in any material respect when made. Management concluded that the carrying value of the Seller Note approximates its fair value due to the short-term nature of the obligation.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55" w:name="page156"/>
    <w:bookmarkEnd w:id="155"/>
    <w:p>
      <w:pPr>
        <w:jc w:val="both"/>
        <w:spacing w:after="0" w:line="253" w:lineRule="auto"/>
        <w:rPr>
          <w:sz w:val="20"/>
          <w:szCs w:val="20"/>
          <w:color w:val="auto"/>
        </w:rPr>
      </w:pPr>
      <w:r>
        <w:rPr>
          <w:rFonts w:ascii="Times New Roman" w:cs="Times New Roman" w:eastAsia="Times New Roman" w:hAnsi="Times New Roman"/>
          <w:sz w:val="18"/>
          <w:szCs w:val="18"/>
          <w:color w:val="auto"/>
        </w:rPr>
        <w:t>On March 5, 2026, the Company entered into an amendment of the Seller Note (“Amendment”) providing that if the terms of the SEPA would restrict repayment of the Seller Note on May 15, 2026, then the maturity date of the Seller Note will be extended to the earlier of (a) the date that is two business days following the date on which the Seller Note may be repaid pursuant to the restrictions set forth in the SEPA Debenture and (b) September 30, 2026 (or, if the registration statement required to be filed pursuant to the Registration Rights Agreement has not been declared effective prior to April 30, 2026, then the outside maturity date will extend to December 31, 2026). Additionally, the Company and CPP agreed that the interest rate applicable to the Seller Note will increase to 10.0% per annum if the principal amount of the Seller Note remains outstanding after May 15, 2026. As an inducement to CPP’s agreement to the foregoing, the Amendment also provides that, within two business days following approval by the Company’s stockholders of the issuance of shares under the Sunder MIPA in accordance with applicable Nasdaq rules, the Company will issue the remaining shares of common stock otherwise issuable to CPP pursuant to the Sunder MIPA. On April 8, 2026, the Company issued the remaining 6.7 million shares of the Company’s common stock due under the Seller Note.</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On April 23, 2026, the Company and CPP entered into the A&amp;R Seller Note with a revised principal amount of $7.0 million. Refer to </w:t>
      </w:r>
      <w:r>
        <w:rPr>
          <w:rFonts w:ascii="Times New Roman" w:cs="Times New Roman" w:eastAsia="Times New Roman" w:hAnsi="Times New Roman"/>
          <w:sz w:val="18"/>
          <w:szCs w:val="18"/>
          <w:b w:val="1"/>
          <w:bCs w:val="1"/>
          <w:color w:val="auto"/>
        </w:rPr>
        <w:t>Note 18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Subsequent Events </w:t>
      </w:r>
      <w:r>
        <w:rPr>
          <w:rFonts w:ascii="Times New Roman" w:cs="Times New Roman" w:eastAsia="Times New Roman" w:hAnsi="Times New Roman"/>
          <w:sz w:val="18"/>
          <w:szCs w:val="18"/>
          <w:color w:val="auto"/>
        </w:rPr>
        <w:t>for details.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recognized on this obligation was less than $0.4 million in the thirteen week period ended March 29,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with related party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 loan with a principal balance of $1.5 million owed to the Rodgers Revocable Trust, a related party. This loan has an annual interest rate equal to the greater of 7.75% or Prime plus 4.5%. There are no financial covenants.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recognized on this obligation was less than $0.1 million in each of the thirteen week periods ended March 29, 2026 and March 30,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Cobalt Loan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of Cobalt, the Company assumed a loan (“Cobalt Loan”). Cobalt originally entered into the loan on July 1, 2024, with Santa Cruz County Bank. The principal amount of the Cobalt Loan was $3.0 million and has a final maturity on June 5, 2034. The Cobalt Loan is secured by all of Cobalt’s business assets pursuant to a blanket lien as well as additional collateral, including limited guarantees secured with a third deed of trust on certain real estate properties and other assets of the former owners of Cobalt. The interest rate on the Cobalt loan is Prime plus 2.75%.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Cobalt Loan may be declared due and payable at the option of the holder upon an event of default and upon a qualifying change of control event.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12.0% Senior Unsecured Convertible Notes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July 2024 Notes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2024, the Company issued $46.0 million of senior unsecured convertible notes (“July 2024 Notes”) consisting of $28.0 million in cash proceeds. The remaining $18.0 million of the July 2024 Notes arose from an exchange of debt accounted for as a troubled debt restructuring (“Debt Exchange”). Refer to the Company’s Annual Report on Form 10-K for the fiscal year ended December 28, 2025 for details regarding $18.0 million of debt arising from the Debt Exchange.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proceeds of $28.0 million included $18.0 million from the Rodgers Revocable Trust, a related party and $10.0 million of the debt exchanged was issued to Carlyle, also a related party. Carlyle was no longer deemed a related party to the Company subsequent to March 30,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6" w:name="page157"/>
    <w:bookmarkEnd w:id="156"/>
    <w:p>
      <w:pPr>
        <w:jc w:val="both"/>
        <w:spacing w:after="0" w:line="256" w:lineRule="auto"/>
        <w:rPr>
          <w:sz w:val="20"/>
          <w:szCs w:val="20"/>
          <w:color w:val="auto"/>
        </w:rPr>
      </w:pPr>
      <w:r>
        <w:rPr>
          <w:rFonts w:ascii="Times New Roman" w:cs="Times New Roman" w:eastAsia="Times New Roman" w:hAnsi="Times New Roman"/>
          <w:sz w:val="18"/>
          <w:szCs w:val="18"/>
          <w:color w:val="auto"/>
        </w:rPr>
        <w:t>The July 2024 Notes bear interest at 12.0% per annum, and the principal is payable in full at maturity on July 1, 2029. The interest is payable in cash on January 1 and July 1 of each year, beginning on July 1, 2025. The interest rate increases by 3% in the event of default. The conversion rate of the July 2024 Notes is initially equal to 595.2381 shares of common stock per $1,000 of principal amount due under the July 2024 Notes. Holders of July 2024 Notes may convert at any time. The July 2024 Notes may be declared due and payable at the option of the holder upon an event of default and upon a qualifying change of control event. The conversion option was required to be bifurcated as a derivative liability, and the Company recorded a derivative liability of $28.7 million on the issuance date.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interest rate on the July 2024 Notes cash proceeds of $28.0 million approximates 45% as of March 29. 2026. Coupon interest, default interest and failure to file interest on the $18.0 million Debt Exchange were capitalized as part of the July 2024 Notes. Accordingly, the effective interest rate on the $18.0 million arising from the Debt Exchange is nil as of March 29, 2026.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carrying amount of the July 2024 Notes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00" w:type="dxa"/>
            <w:vAlign w:val="bottom"/>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July 2024 Notes principal amount </w:t>
            </w:r>
            <w:r>
              <w:rPr>
                <w:rFonts w:ascii="Times New Roman" w:cs="Times New Roman" w:eastAsia="Times New Roman" w:hAnsi="Times New Roman"/>
                <w:sz w:val="28"/>
                <w:szCs w:val="28"/>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55,566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56,801</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(15,709)</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(16,201)</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 of July 2024 Notes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hanging="332"/>
        <w:spacing w:after="0" w:line="195" w:lineRule="auto"/>
        <w:tabs>
          <w:tab w:leader="none" w:pos="340" w:val="left"/>
        </w:tabs>
        <w:numPr>
          <w:ilvl w:val="0"/>
          <w:numId w:val="7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capitalized coupon interest of $7.5 million and $8.6 million as of March 29, 2026 and December 28, 2025, respectively, and capitalized contingent interest of $2.0 million and $2.2 million as of March 29, 2026 and December 28, 2025, respectively.</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thirteen week periods ended March 29, 2026 and March 30, 2025, total interest expense was $1.3 million and $1.1 million, respectively, with coupon interest expense of $0.8 million in each period, and debt discount and issuance costs of $0.5 million and $0.3 million in the thirteen week periods ended March 29, 2026 and March 30, 2025, respectively. Of the coupon interest expense, related party interest expense was $0.5 million in each period. Related party amortization expense was $0.3 million and $0.2 million in the thirteen week periods ended March 29, 2026 and March 30, 2025,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July 2025 Note – related party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10, 2025, the Company issued a convertible promissory note (the “July 2025 Note”) to the Rodgers Revocable Trust, a related party, in exchange for $5.0 million of proceeds.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July 2025 Note is a general unsecured obligation of the Company and will mature on July 1, 2029, unless earlier converted, redeemed or repurchased. The July 2025 Note has an annual coupon interest rate of 12.0% which is payable semiannually in arrears on January 1 and July 1 of each year, beginning on January 1, 2026. The July 2025 Note is convertible at the option of the holder at any time prior to the payment of the principal amount of the July 2025 Note in full. Upon conversion of the July 2025 Note, the Company will satisfy its conversion obligation by delivering shares of the Company’s common stock and paying cash in respect of any fractional shares. The conversion rate of the July 2025 Note is initially equal to 558.6592 shares of common stock per $1,000 of principal amount due under the July 2025 Note. The conversion rate is subject to adjustment from time to time pursuant to the terms of the July 2025 Note. The conversion option related to the July 2025 Note was required to be bifurcated as a derivative liability. The Company recorded a derivative liability of $3.7 million with a corresponding offset to debt discount on the issuance date. The July 2025 Note has an effective interest rate of 62%.</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carrying amount of the July 2025 Note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00" w:type="dxa"/>
            <w:vAlign w:val="bottom"/>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2025 Note principal amount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8"/>
              </w:rPr>
              <w:t>5,000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120" w:type="dxa"/>
            <w:vAlign w:val="bottom"/>
          </w:tcPr>
          <w:p>
            <w:pPr>
              <w:spacing w:after="0"/>
              <w:rPr>
                <w:sz w:val="20"/>
                <w:szCs w:val="20"/>
                <w:color w:val="auto"/>
              </w:rPr>
            </w:pPr>
          </w:p>
        </w:tc>
        <w:tc>
          <w:tcPr>
            <w:tcW w:w="122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8"/>
              </w:rPr>
              <w:t>(3,481)</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(3,557)</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 of July 2025 Note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8"/>
              </w:rPr>
              <w:t>1,519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thirteen week period ended March 29, 2026, the total interest expense was $0.2 million with coupon interest expense $0.15 million and debt discount and issuance costs of less than $0.1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November 2025 Note – related party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20, 2025, the Company issued a convertible note (the “November 2025 Note”) to the Rodgers Massey Freedom and Free Markets Charitable Trust in exchange for $2.0 million of proceeds.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November 2025 Note is a general unsecured obligation of the Company and will mature on July 1, 2029, unless earlier converted, redeemed or repurchased. The November 2025 Note has an annual coupon interest rate of 12.0% which is payable semiannually in arrears on January 1 and July 1 of each year, beginning on January 1, 2026. The November 2025 Note is convertible at the option of the holder at any time prior to the payment of the principal amount of the November 2025 Note in full. The conversion rate of the November 2025 Note is initially equal to 626.9592 shares of the Company’s common stock per $1,000 principal amount due under the November 2025 Note. The conversion rate shall be subject to adjustment from time to time pursuant to the terms of the November 2025 Note. The Company may not redeem the November 2025 Note prior to July 5, 2026. The conversion option related to the November 2025 Note was required to be bifurcated as a derivative liability, and the Company recorded a derivative liability of $1.5 million on the issuance date with a corresponding offset to debt discount. The November 2025 Note has an effective interest rate of 71% as of March 29, 2025.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carrying amount of the November 2025 Note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8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00" w:type="dxa"/>
            <w:vAlign w:val="bottom"/>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2025 Note principal amount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(1,483)</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(1,509)</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 of November 2025 Note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thirteen week period ended March 29, 2026, the total interest expense was less than $0.1 million and each of coupon interest and amortization of debt discount and issuance costs were less than $0.1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January 2026 Note – related party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received a deposit of $2.0 million from the Rodgers Revocable Trust, a related party, in the fiscal year ended December 28, 2025. In January 2026, the Company received an additional $1.3 million in proceeds from the Rodgers Revocable Trust. On January 29, 2026, the Company issued a convertible promissory note in the original principal amount of $3.3 million (the “January 2026 Note”) with respect to the aggregate proceeds received.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58" w:name="page159"/>
    <w:bookmarkEnd w:id="158"/>
    <w:p>
      <w:pPr>
        <w:jc w:val="both"/>
        <w:spacing w:after="0" w:line="256" w:lineRule="auto"/>
        <w:rPr>
          <w:sz w:val="20"/>
          <w:szCs w:val="20"/>
          <w:color w:val="auto"/>
        </w:rPr>
      </w:pPr>
      <w:r>
        <w:rPr>
          <w:rFonts w:ascii="Times New Roman" w:cs="Times New Roman" w:eastAsia="Times New Roman" w:hAnsi="Times New Roman"/>
          <w:sz w:val="18"/>
          <w:szCs w:val="18"/>
          <w:color w:val="auto"/>
        </w:rPr>
        <w:t>The January 2026 Note bears an interest rate of 12.0% and is a general unsecured obligation of the Company. The January 2026 Note will mature on July 1, 2029, unless earlier converted, redeemed or repurchased. Interest on the January 2026 Note is payable semiannually in arrears on January1 and July 1 of each year, beginning on July 1, 2026. The January 2026 Note is convertible at the option of the holder at any time prior to the payment of the principal amount of the January 2026 Note in full. The conversion rate of the January 2026 Note is initially equal to 540.5405 shares of the Company’s common stock per $1,000 of principal amount due under the January 2026 Note. The conversion rate is subject to adjustment from time to time pursuant to the terms of the January 2026 Note. The January 2026 Note has an effective interest rate of 61% as of March 29,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carrying amount of the January 2026 Note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March 29,</w:t>
      </w:r>
    </w:p>
    <w:p>
      <w:pPr>
        <w:spacing w:after="0" w:line="9"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8"/>
          <w:szCs w:val="18"/>
          <w:b w:val="1"/>
          <w:bCs w:val="1"/>
          <w:color w:val="auto"/>
        </w:rPr>
        <w:t>2026</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2026 Note principal amount</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tcBorders>
              <w:top w:val="single" w:sz="8" w:color="CCEEFF"/>
            </w:tcBorders>
            <w:shd w:val="clear" w:color="auto" w:fill="CCEEFF"/>
          </w:tcPr>
          <w:p>
            <w:pPr>
              <w:spacing w:after="0"/>
              <w:rPr>
                <w:sz w:val="19"/>
                <w:szCs w:val="19"/>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3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(2,262)</w:t>
            </w: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 of January 2026 Note</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10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thirteen week period ended March 29, 2026, the total interest expense was $0.1 million and each of coupon interest and amortization of debt discount and issuance costs were less than $0.1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7.0% Senior Unsecured Convertible Notes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16, 2024, the Company entered into an Indenture agreement with U.S. Bank Trust Company, National Association, as trustee (the “Indenture”), for the issuance of 7.0% senior unsecured convertible notes (“7.0% Notes”). The 7.0% Notes issued under the Indenture bear interest at 7.0% per annum, and the interest is payable semiannually in arrears on January 1 and July 1 of each year beginning on January 1, 2025. The principal is payable in full at maturity on July 1, 2029. Holders of the 7.0% Senior Notes may convert all or any portion of their 7% Notes at any time, in integral multiples of $1,000 principal amount, at the option of the holder. Upon conversion, the Company may satisfy its conversion obligation by paying or delivering, as the case may be, cash, shares of common stock or a combination of cash and shares of common stock, at the Company’s election, in the manner and subject to the terms, conditions and limitations provided in the Indenture. The 7.0% Senior Notes may be declared due and payable at the option of the holder upon an event of default and upon a qualifying change of control event. There are no financial covenants. As described below, the Company has issued multiple tranches under this Indenture.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conversion rate for the 7.0% Notes was initially 467.8363 shares of common stock per $1,000 principal amount of 7.0% Notes. The conversion rate for the 7.0% Notes is subject to adjustment from time to time in accordance with the terms of the Indenture, and as of December 28, 2025 the 7.0% Notes were convertible at the rate of 584.7953 shares of common stock per $1,000 principal amount of the notes. In addition, upon a conversion of the 7.0% Notes, following certain corporate events that occur prior to the maturity date of the 7.0% Notes or if the Company delivers a notice of redemption in respect of the 7.0% Notes, the Company will, under certain circumstances, increase the conversion rate of the 7.0% Notes for a holder who elects to convert its 7.0% Notes following September 16, 2025, in connection with such a corporate event that occurs prior to the maturity date, or if the Company delivers a notice of redemption in respect of the 7.0% Notes.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September 2024 Notes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issued an aggregate of $80.0 million of 7.0% Notes to various lenders (the “September 2024 Notes”), of which the Company received cash proceeds in two tranches of $66.8 million and $13.0 million in fiscal 2024. The remainder was received in fiscal 2025.</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cash proceeds of $66.8 million included $4.0 million from the Rodgers Family Freedom and Free Markets Charitable Trust (“Massey Charitable Trust”), a related party, and $4.0 million from the Rodgers Revocable Trust (collectively with Massey Charitable Trust, “Massey Trusts”), also a related party. In fiscal 2025, a holder of $0.75 million of the September 2024 Notes became a member of the Company’s board of directors and this note is now deemed to be with a related party beginning in fiscal 2025. As the $66.8 million of notes were issued with a debt discount in excess of the principal amount, the initial net carrying amount of the September 2024 Notes was zero. The debt discount is being amortized on a straight-line basis over the term of the September 2024 Notes.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9" w:name="page160"/>
    <w:bookmarkEnd w:id="15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December 2024, the Company received proceeds of $13.0 million in a second tranche. The Company recognized a $10.9 million debt discount in connection with these additional proceeds. The effective interest rate on this tranche is 64% as of March 29, 2026.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holders of the September 2024 Notes exercised their rights to convert this debt to shares of the Company’s common stock. In the thirteen week period ended March 29, 2025 $2.8 million of the September 2024 Notes were converted into 1.6 million shares of the Company’s common stock. In the fiscal year ended December 29, 2025, $14.7 million of the September 2024 Notes were converted into 8.6 million shares of the Company’s common stock.</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carrying amount of the convertible September 2024 Notes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00" w:type="dxa"/>
            <w:vAlign w:val="bottom"/>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2024 Notes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6"/>
              </w:rPr>
              <w:t>62,543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65,293</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120" w:type="dxa"/>
            <w:vAlign w:val="bottom"/>
          </w:tcPr>
          <w:p>
            <w:pPr>
              <w:spacing w:after="0"/>
              <w:rPr>
                <w:sz w:val="20"/>
                <w:szCs w:val="20"/>
                <w:color w:val="auto"/>
              </w:rPr>
            </w:pPr>
          </w:p>
        </w:tc>
        <w:tc>
          <w:tcPr>
            <w:tcW w:w="12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7"/>
              </w:rPr>
              <w:t>(43,797)</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(48,615)</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 of September 2024 Notes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6"/>
              </w:rPr>
              <w:t>18,746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thirteen week periods ended March 29, 2026 and March 30, 2025, total interest expense was $5.9 million and $5.0 million with coupon interest expense of $1.1 million and $1.4 million, respectively, and debt discount and issuance costs of $4.8 million and $3.6 million, respectively. Of the coupon interest expense, related party interest expense was $0.2 million and $0.1 million in the thirteen week periods ended March 29, 2026 and March 30, 2025, respectively. Related party amortization expense was $0.5 million and $0.5 million in the thirteen week periods ended March 29, 2026 and March 30, 2025,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September 2025 Notes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21, 2025, the Company issued an additional $22.0 million of the 7.0% Notes (the “September 2025 Notes”) pursuant to the Indenture to various parties. The September 2025 Notes contain a conversion option which required bifurcation and recognition of a derivative, and the Company recorded a derivative liability of $15.4 million on the issuance date. The Company also recognized a $3.6 million debt discount and issuance costs in connection with the September 2025 Notes. The debt issuance costs include an estimate of the value of a warrant issued in the second quarter of fiscal 2026 to the entity that arranged the financing. The effective interest rate on the September 2025 Notes approximated 78% as of March 29, 2026. The net proceeds from the issuance of the September 2025 Notes were principally used to pay a portion of the cash consideration for the Company’s acquisition of Sunder.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carrying amount of the September 2025 Notes, inclusive of the fair value of the derivative liabilities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00" w:type="dxa"/>
            <w:vAlign w:val="bottom"/>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2024 Notes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(18,425)</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(18,646)</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 of September 2024 Notes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thirteen week period ended March 29, 2026, total interest expense was $0.6 million with coupon interest expense of $0.4 million and debt discount and issuance costs of $0.2 million.</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April 21, 2026, the Company entered into separately- and privately- negotiated exchange agreements (the “</w:t>
      </w:r>
      <w:r>
        <w:rPr>
          <w:rFonts w:ascii="Times New Roman" w:cs="Times New Roman" w:eastAsia="Times New Roman" w:hAnsi="Times New Roman"/>
          <w:sz w:val="18"/>
          <w:szCs w:val="18"/>
          <w:b w:val="1"/>
          <w:bCs w:val="1"/>
          <w:color w:val="auto"/>
        </w:rPr>
        <w:t>Exchange Agreements</w:t>
      </w:r>
      <w:r>
        <w:rPr>
          <w:rFonts w:ascii="Times New Roman" w:cs="Times New Roman" w:eastAsia="Times New Roman" w:hAnsi="Times New Roman"/>
          <w:sz w:val="18"/>
          <w:szCs w:val="18"/>
          <w:color w:val="auto"/>
        </w:rPr>
        <w:t xml:space="preserve">”) with certain holders of the 7.0% Notes to repurchase $21.25 million aggregate principal amount of outstanding 7.0% Notes in exchange for (i) an aggregate of 18.8 million shares of the Company’s common stock and (ii) approximately $0.5 of accrued interest payable under the exchanged 7.0% Notes. Refer to </w:t>
      </w:r>
      <w:r>
        <w:rPr>
          <w:rFonts w:ascii="Times New Roman" w:cs="Times New Roman" w:eastAsia="Times New Roman" w:hAnsi="Times New Roman"/>
          <w:sz w:val="18"/>
          <w:szCs w:val="18"/>
          <w:b w:val="1"/>
          <w:bCs w:val="1"/>
          <w:color w:val="auto"/>
        </w:rPr>
        <w:t>Note 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Subsequent Events </w:t>
      </w:r>
      <w:r>
        <w:rPr>
          <w:rFonts w:ascii="Times New Roman" w:cs="Times New Roman" w:eastAsia="Times New Roman" w:hAnsi="Times New Roman"/>
          <w:sz w:val="18"/>
          <w:szCs w:val="18"/>
          <w:color w:val="auto"/>
        </w:rPr>
        <w:t>for details.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i w:val="1"/>
          <w:iCs w:val="1"/>
          <w:color w:val="auto"/>
        </w:rPr>
        <w:t>Principal payments due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amount of all short and long-term debt, excluding capitalized contingent interest in connection with the July 2024 Notes,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payment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Fiscal year ending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2026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35,284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2,156</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141,894</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Other Non-Operating Income, Net</w:t>
            </w: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non-operating income, net consists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Gain on remeasurement of derivative liabilities</w:t>
            </w:r>
            <w:r>
              <w:rPr>
                <w:rFonts w:ascii="Times New Roman" w:cs="Times New Roman" w:eastAsia="Times New Roman" w:hAnsi="Times New Roman"/>
                <w:sz w:val="28"/>
                <w:szCs w:val="28"/>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15,127</w:t>
            </w: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Change in fair value of forward purchase agreement liabilities</w:t>
            </w:r>
            <w:r>
              <w:rPr>
                <w:rFonts w:ascii="Times New Roman" w:cs="Times New Roman" w:eastAsia="Times New Roman" w:hAnsi="Times New Roman"/>
                <w:sz w:val="29"/>
                <w:szCs w:val="29"/>
                <w:color w:val="auto"/>
                <w:vertAlign w:val="superscript"/>
              </w:rPr>
              <w:t>(2)</w:t>
            </w:r>
          </w:p>
        </w:tc>
        <w:tc>
          <w:tcPr>
            <w:tcW w:w="12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(1,142)</w:t>
            </w:r>
          </w:p>
        </w:tc>
        <w:tc>
          <w:tcPr>
            <w:tcW w:w="14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SAFE Agreement with related party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FACT public, private placement and working capital warrants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615</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Notes valued at fair value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Deferred Sunder Consideration with related party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Deferred Ambia Consideration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6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Other, net</w:t>
            </w:r>
            <w:r>
              <w:rPr>
                <w:rFonts w:ascii="Times New Roman" w:cs="Times New Roman" w:eastAsia="Times New Roman" w:hAnsi="Times New Roman"/>
                <w:sz w:val="29"/>
                <w:szCs w:val="29"/>
                <w:color w:val="auto"/>
                <w:vertAlign w:val="superscript"/>
              </w:rPr>
              <w:t>(3)</w:t>
            </w:r>
          </w:p>
        </w:tc>
        <w:tc>
          <w:tcPr>
            <w:tcW w:w="12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non-operating income, net</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14,576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a gain of $7.5 million and $3.7 million on the change in the fair value of derivative liabilities with related parties in the thirteen weeks ended March 29, 2026 and March 30, 2025, respectively. Refer to </w:t>
      </w:r>
      <w:r>
        <w:rPr>
          <w:rFonts w:ascii="Times New Roman" w:cs="Times New Roman" w:eastAsia="Times New Roman" w:hAnsi="Times New Roman"/>
          <w:sz w:val="18"/>
          <w:szCs w:val="18"/>
          <w:b w:val="1"/>
          <w:bCs w:val="1"/>
          <w:color w:val="auto"/>
        </w:rPr>
        <w:t>Note 9 – Borrowings and Derivative Liabilities</w:t>
      </w:r>
      <w:r>
        <w:rPr>
          <w:rFonts w:ascii="Times New Roman" w:cs="Times New Roman" w:eastAsia="Times New Roman" w:hAnsi="Times New Roman"/>
          <w:sz w:val="18"/>
          <w:szCs w:val="18"/>
          <w:color w:val="auto"/>
        </w:rPr>
        <w:t xml:space="preserve"> for details.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of $0.1 million due to related parties for the thirteen week period ended March 30, 2025.</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$0.1 million income due to related parties in the thirteen week period ended March 30,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Provision</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Warranty activity by period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provision,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Accruals for new warranties issued</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 and other</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Warranty provision, end of period</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6,456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warranty current (Classified in Accrued expenses and other current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Warranty provision, noncurrent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3,059</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3,437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Total warranty liability</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6,456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breach of representation, covenant or third-party infringement claims. It may not be possible to determine the maximum potential amount of liability under such indemnification agreements due to the unique facts and circumstances that are likely to be involved in each particular claim and indemnification provision. Historically, there have been no such indemnification claims. In the opinion of management, any liabilities resulting from these agreements would not have a material adverse effect on the business, financial position, results of operations, or cash flows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of dispute with SunPower Debtors Bankruptcy Estate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Following the consummation of the acquisition of certain assets and assumption of certain liabilities of SunPower Debtors on September 30, 2024, certain matters pertaining to the acquisition were under dispute which included 1) amounts owed to and from the buyer and seller with respect to amounts held in escrow related to the consideration transferred, 2) the right to the cash acquired in the acquisition, and 3) the right for the Company to sell and collect for certain solar systems that were acquired as a part of the acquisition that were sold or are to be sold to homebuilders within the New Homes Business. On June 25, 2025, all matters under dispute were resolved by the Company and the SunPower Bankruptcy Estate. Matters 1) and 2) were resolved with such that no amounts were required to be paid (or received) by the Company. Matter 3) was resolved such that the Company has the right to sell the related inventory acquired and collect the underlying sales price for the sale of the solar system. In connection with each system sold, the Company is required to remit a portion of the sales price to the SunPower Bankruptcy Estate. The impact of the related settlement is not anticipated to be material.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a party to various legal proceedings and claims which arise in the ordinary course of business. The Company records a liability when it is probable that a loss has been incurred and the amount of the loss can be reasonably estimated. If the Company determines that a loss is reasonably possible and the loss or range of loss can be reasonably estimated, the Company discloses the reasonably possible loss. The Company adjusts its accruals to reflect the impact of negotiations, settlements, rulings, advice of legal counsel and other information and events pertaining to a particular case. Legal costs are expensed as incurred. Although claims are inherently unpredictable, the Company is not aware of any matters that may have a material adverse effect on the Company’s business, financial position, results of operations, or cash flows. The Company has a loss contingency for legal settlements of $9.5 million recorded within accrued expenses and other current liabilities on its consolidated balance sheets as of March 29, 2026, and December 28, 2025, respectively.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i w:val="1"/>
          <w:iCs w:val="1"/>
          <w:color w:val="auto"/>
        </w:rPr>
        <w:t>SolarPark Litigation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2023, SolarPark Korea Co., LTD (“SolarPark”) demanded approximately $80.0 million during discussions between the Company and SolarPark. In February 2023, the Company submitted its statement of claim seeking approximately $26.4 million in damages against SolarPark. The ultimate outcome of this arbitration is currently unknown and could result in a material liability to the Company. However, the Company believes that the allegations lack merit and intends to vigorously defend all claims asserted.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16, 2023, SolarPark filed a complaint against the Company in the U.S. District Court for the Northern District of California (“the Court”). The complaint alleges a civil conspiracy involving misappropriation of trade secrets, defamation, tortious interference with contractual relations, inducement to breach of contract, and violation of California’s Unfair Competition Law. The complaint indicates that SolarPark has suffered in excess of $220.0 million in damages.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May 11, 2023, SolarPark filed a motion for preliminary injunction to seek an order restraining the Company from using or disclosing SolarPark’s trade secrets, making or selling shingled modules other than those produced by SolarPark, and from soliciting solar module manufacturers to produce shingled modules using Solaria’s shingled patents. On May 18, 2023, the Company responded by filing a motion for partial dismissal and stay. On June 1, 2023, SolarPark filed an opposition to the Company’s motion for dismissal and stay and a reply in support of their motion for preliminary injunction. On June 8, 2023, the Company replied in support of its motion for partial dismissal and stay. On July 11, 2023, the Court conducted a hearing to consider SolarPark’s and the Company’s respective motions. On August 3, 2023, the Court issued a ruling, which granted the preliminary injunction motion with respect to any purported misappropriation of SolarPark’s trade secrets. The Court’s ruling does not prohibit the Company from producing shingled modules or from utilizing its own patents for the manufacture of shingled modules. The Court denied SolarPark’s motion seeking a defamation injunction. The Court denied the Company’s motion to dismiss and granted the Company’s motion to stay the entire litigation pending the arbitration in Singapore. On September 1, 2023, the Company filed a Limited Notice of Appeal to appeal the August 2023 order granting SolarPark’s motion for preliminary injunction. On September 26, 2023, the Company filed a Notice of Withdrawal of Appeal and will not appeal the Court’s Preliminary Injunction Order. Between August 2023 and March 2024, the parties were engaged in discovery negotiations and the Company produced documents to SolarPark. The Company produced its last set of documents on March 14, 2024. On August 14, 2025, the Court held a virtual hearing and revived the case. SolarPark subsequently amended the complaint, and the Company responded on October 14, 2025, with a motion to dismiss the complaint in its entirety. The Company also believes it has valid counterclaims to pursue against SolarPark.</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Court heard argument regarding the Company’s partial motion to dismiss on February 12, 2026. On April 8, 2026, the Court granted-in-part and denied-in-part the Company’s partial motion to dismiss. The Court denied the Company’s motion as to the breach of contract claim and granted the motion as to fraudulent inducement, tortious interference, and injunctive relief. The Court dismissed the tortious interference and injunctive relief claims with prejudice but granted SolarPark’s leave to amend its fraudulent inducement claim. On April 28, 2026, SolarPark filed a notice stating that it did not intend to amend its complaint to refile a fraudulent inducement claim. SolarPark now intends to proceed only on the surviving claims (misappropriation of trade secrets and breach of contract). On April 29, 2026, the Court set a case management conference for June 4, 2026, and a deadline for filing a joint case management statement by May 28, 2026. The Company intends to answer the complaint and file counterclaims.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liability has been recorded on the Company’s consolidated financial statements as the likelihood of a loss is not probable at this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Siemens Litigation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22, 2021, Siemens Government Technologies, Inc. (“Siemens Government Technologies”) filed a lawsuit against Solaria Corporation in Fairfax Circuit Court (the “Circuit Court”) in Fairfax, Virginia. On July 27, 2023, Siemens Government Technologies moved to amend the complaint to add Siemens Industry Inc. as a co-plaintiff. This motion was granted on August 25, 2023. On October 23, 2023, Siemens Government Technologies and Siemens Industry Inc. (collectively, “Siemens”) and Solaria Corporation stipulated to add Solar CA, LLC as a co-defendant. Solaria Corporation and Solar CA, LLC (collectively, the “Subsidiaries”) are both wholly-owned subsidiaries of the Company. In the lawsuit, Siemens alleged that the Subsidiaries breached express and implied warranties under a purchase order that Siemens placed with the Subsidiaries for a solar module system. Siemens claimed damages of approximately $6.9 million, inclusive of amounts of the Subsidiaries’ indemnity obligations to Siemens, plus attorneys’ fees.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3" w:name="page164"/>
    <w:bookmarkEnd w:id="163"/>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22, 2024, the Circuit Court issued an order against the Subsidiaries which awarded Siemens approximately $6.9 million, inclusive of the amounts of the Subsidiaries’ indemnity obligations to Siemens, plus attorneys’ fees, the amount of which would be determined at a later hearing. On March 15, 2024, Siemens filed a motion seeking to recover $2.67 million for attorneys’ fees, expenses, and pre-and post-judgment interest. The Company opposed Siemens’ motion for attorneys’ fees, expenses, and pre- and post-judgment interest on April 5, 2024. On June 17, 2024, the Circuit Court entered a final order which awarded Siemens a total of $2.0 million in attorneys’ fees and costs. The Company appealed these judgments.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above, on August 19, 2024, Siemens applied for the enforcement to a sister state judgment in the Superior Court of Alameda, California and the court entered a judgement in favor of Siemens. On December 9, 2024, Siemens moved to amend the judgment to add the Company as a judgement debtor. The Subsidiaries opposed the Siemens motion. On June 30, 2025, the California court found that the Company should be added as a judgment debtor party in California. In addition, the parties argued the appeal of the underlying Virginia litigation on July 24, 2025. On September 23, 2025, the Virginia Court of Appeals issued a decision on the appeal, affirming the original lower court decision and judgment against the Company. The Alameda County litigation has continued with several upcoming deadlines related to the already-noticed appeal and Siemens’ motion for fees and costs.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recognized $6.9 million as a legal settlement loss related to this litigation as of December 31, 2023. The Company recorded additional expense of $1.1 million and $2.0 million within discontinued operations in the years ended December 28, 2025 and December 29, 2024, respectively, for attorneys’ fees, expenses, and pre-judgment interest related to this matter. The legal settlement liability associated with this matter is included within accrued expenses and other current liabilities on the Company’s consolidated balance sheet as of December 28, 2025.</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4, 2025, the Company entered into a global Settlement Agreement (“Settlement Agreement”) with Siemens to resolve the case and other related cases as well as to resolve potential claims related to Siemens’ Atwater Wastewater Treatment Plant. In exchange for full releases, the Company agreed to pay Siemens $9.5 million spread across four payments to be made at the end of each calendar quarter during 2026. If the Company successfully engages in any form of new financing or new debt worth $1.0 million or more, or successfully obtains shareholder approval for the issuance of additional shares in connection with the raise of additional funds and/or any merger or acquisition activity, the next due quarterly payment to Siemens (if any) becomes immediately due and payable (collectively, the “Fundraise Provision”). The settlement payment to Siemens is secured by a first-priority continuing security interest in $9.5 million of Company collateral. This security interest is reduced on a one-to-one basis as the settlement payments are made.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LGCY Power, LLC Matter</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LGCY Power, LLC (“LGCY”) markets and sells residential solar energy systems throughout the United States, and is a competitor of the Company. In 2019, LGCY filed suit against Sunder and several individuals associated with Sunder. LGCY asserts claims of over $16.0 million against Sunder and its associated individuals. LGCY’s claims against Sunder and its associated individuals center on the alleged misappropriation of LGCY’s confidential information, the alleged wrongful solicitation of LGCY’s customers and potential customers, and the alleged wrongful solicitation of LGCY’s sales representatives. In addition, several of the Sunder associated individuals have filed counterclaims against LGCY for declaratory relief, unjust enrichment, and breach of contract based on LGCY’s failure to pay these individuals earned sales commissions following their resignations as LGCY sales managers. LGCY denies these claims. The Company denies LGCY’s claims.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assumed the defense of the case, including the costs of defense, following the Company’s acquisition of Sunder in September 2025. Under the terms of the Sunder MIPA, the Seller agreed to indemnify the Company in the event of damages (such as a settlement or an adverse judgement) stemming from LGCY’s claims, separate and apart from their other indemnification obligations or limitations in the Sunder MIPA. Discovery is complete and no trial date has been set. Both sides have filed various summary judgment motions, and oral arguments for these motions are scheduled for July 2, 2026.</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upon information currently available, management is unable to determine the probability of an adverse outcome or to reasonably estimate the amount or range of potential loss, if any. Accordingly, no provision for loss has been recorded in the accompanying consolidated financial statements. While the ultimate resolution of these matters could have a material effect on the Company’s results of operations, cash flows, or financial position, management believes that the resolution will not have a material adverse effect on the Company’s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had $1.1 million and $3.5 million of outstanding letters of credit as of March 29, 2026 and December 28, 2025, respectively. The Company is required to maintain specified amounts of cash as collateral in segregated accounts to support the letters of credit issued thereunder. As discussed in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 – Summary of Significant Accounting Policies</w:t>
      </w:r>
      <w:r>
        <w:rPr>
          <w:rFonts w:ascii="Times New Roman" w:cs="Times New Roman" w:eastAsia="Times New Roman" w:hAnsi="Times New Roman"/>
          <w:sz w:val="18"/>
          <w:szCs w:val="18"/>
          <w:color w:val="auto"/>
        </w:rPr>
        <w:t>, the cash collateral in these restricted cash accounts was $1.1 million and $3.8 million at each of March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29, 2026 and December 28, 2025,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income tax expense for interim periods is computed using an estimated annual effective tax rate applied to year-to-date ordinary income or loss, adjusted for the tax effects of discrete items recognized in the period in which they occur.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an income tax benefit of $0.6 million and nil in the thirteen week periods ended March 29, 2026, and March 30, 2025, respectively.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effective tax rate was 10.4% and nil for the thirteen week periods ended March 29, 2026, and March 30, 2025, respectively. The effective tax rate for the thirteen week period ended March 29, 2026 differs from the U.S. statutory rate of 21.0% primarily because of permanent differences due to fair value adjustments and the valuation allowance against most of the deferred tax assets. The effective tax rate for the thirteen week period ended March 30, 2025 differs from the U.S. statutory rate of 21.0% primarily because of permanent differences due to fair value adjustments, share-based compensation related to stock options, non-deductible meals and entertainment, and state taxes.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Company’s history of net operating losses, the Company has provided a full valuation allowance against its deferred tax assets. During the thirteen week period ended March 29, 2026, the Company recorded a $0.8 million decrease in its valuation allowance primarily related to recognition of deferred tax liabilities in connection with the Cobalt acquisition.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thirteen week periods ended March 29, 2026 and March 30, 2025, the Company had no unrecognized tax benefits. The Company recognizes interest and penalties related to unrecognized tax benefits as a component of income tax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Common Stock and Common Stock Warrants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authorized the issuance of 1,000,000,000 shares of common stock and 10,000,000 shares of preferred stock as of March 29, 2026. No preferred stock has been issued and none are outstanding as of March 29,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purchase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16, 2024, the Company entered into a common stock purchase agreement with White Lion Capital, LLC (“White Lion”), as amended on July 24, 2024 (“White Lion SPA”), and a related registration rights agreement for an equity line of credit financing facility. Pursuant to the White Lion SPA, the Company has the right, but not the obligation, to require White Lion to purchase, from time to time, up to $30 million in aggregate gross purchase price of newly issued shares of the Company’s common stock, subject to the caps and certain limitations and conditions set forth in the White Lion SPA, including terms that restrict the ability of the Company to issue shares of common stock to White Lion that would result in White Lion beneficially owning more than 9.99% of the Company’s outstanding common stock.</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14, 2024, the Company entered into Amendment No. 2 to the White Lion SPA (collectively with the White Lion SPA “White Lion Amended SPA”). The White Lion Amended SPA provides that the Company may notify White Lion to exercise the Company’s right to sell shares of its common stock by delivering an Hour Rapid Purchase Notice. If the Company delivers an Hour Rapid Purchase Notice, the Company shall deliver to White Lion shares of common stock not to exceed the lesser of (i) five percent of the Average Daily Trading Volume on the date of an Hour Rapid Purchase Notice and</w:t>
      </w:r>
    </w:p>
    <w:p>
      <w:pPr>
        <w:spacing w:after="0" w:line="3" w:lineRule="exact"/>
        <w:rPr>
          <w:sz w:val="20"/>
          <w:szCs w:val="20"/>
          <w:color w:val="auto"/>
        </w:rPr>
      </w:pPr>
    </w:p>
    <w:p>
      <w:pPr>
        <w:jc w:val="both"/>
        <w:ind w:firstLine="8"/>
        <w:spacing w:after="0" w:line="253" w:lineRule="auto"/>
        <w:tabs>
          <w:tab w:leader="none" w:pos="26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shares of common stock. The closing of the transactions under an Hour Rapid Purchase Notice will occur one Business Day following the date on which the Hour Rapid Purchase Notice is delivered. At such closing, White Lion will pay the Company the Hour Rapid Purchase Investment Amount equal to the number of shares of common stock subject to the applicable Hour Rapid Purchase Notice multiplied by the lowest traded price of the Company’s common stock during the one-hour period following White Lion’s consent to the acceptance of the applicable Hour Rapid Purchase Notice.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11, 2026, the Company and White Lion entered into Amendment No. 3 (“Amendment No. 3”) to the White Lion SPA. Amendment No. 3 extends the commitment period under the White Lion SPA (the “Commitment Period”) to the earlier of December 31, 2027 and the date on which White Lion has purchased an aggregate number of shares of the Company’s common stock equal to the Commitment Amount (as defined below). Further, Amendment No. 3 increases, subject to approval by the Company’s stockholders, the commitment amount under the Purchase Agreement to $55.0 million of shares of its common stock (the “Commitment Amount”), which the Company may elect to sell to White Lion pursuant to the White Lion SPA, from time to time in the Company’s sole discretion, during the Commitment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5" w:name="page166"/>
    <w:bookmarkEnd w:id="165"/>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Amendment No. 3 adds an option for the Company to submit three hour rapid purchase notices to White Lion that, if accepted by White Lion and otherwise delivered in accordance with the Purchase Agreement, would enable the Company to sell shares of its common stock to White Lion based on the lowest traded price of the Company’s common stock during the three-hour valuation period following White Lion’s written acceptance of a three hour purchase notice.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thirteen week period ended March 29, 2026, the Company issued an aggregate of 4.6 million shares of the Company’s common stock for total proceeds of $7.0 million. As of March 29, 2026, the Company has issued an aggregate of 11.5 million shares of the Company’s common stock for total proceeds of $20.4 million.</w:t>
      </w:r>
    </w:p>
    <w:p>
      <w:pPr>
        <w:sectPr>
          <w:pgSz w:w="11900" w:h="16838" w:orient="portrait"/>
          <w:cols w:equalWidth="0" w:num="1">
            <w:col w:w="11240"/>
          </w:cols>
          <w:pgMar w:left="320" w:top="688" w:right="339" w:bottom="1440" w:gutter="0" w:footer="0" w:header="0"/>
        </w:sectPr>
      </w:pP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reserved for future issuance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reserved shares of common stock for issuance related to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Stock options and RSUs, issued and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and RSUs, authorized for future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SAFE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 purchase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Convertible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purchase price consideration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shares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25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potential number of shares of the Company’s common stock for outstanding warrants were as follows:</w:t>
      </w:r>
    </w:p>
    <w:p>
      <w:pPr>
        <w:spacing w:after="0" w:line="221"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b w:val="1"/>
          <w:bCs w:val="1"/>
          <w:color w:val="auto"/>
        </w:rPr>
        <w:t>Potential shares of common</w:t>
      </w:r>
    </w:p>
    <w:p>
      <w:pPr>
        <w:spacing w:after="0" w:line="31"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b w:val="1"/>
          <w:bCs w:val="1"/>
          <w:color w:val="auto"/>
        </w:rPr>
        <w:t>stock as of</w:t>
      </w:r>
    </w:p>
    <w:p>
      <w:pPr>
        <w:spacing w:after="0" w:line="9" w:lineRule="exact"/>
        <w:rPr>
          <w:sz w:val="20"/>
          <w:szCs w:val="20"/>
          <w:color w:val="auto"/>
        </w:rPr>
      </w:pPr>
    </w:p>
    <w:tbl>
      <w:tblPr>
        <w:tblLayout w:type="fixed"/>
        <w:tblInd w:w="5520" w:type="dxa"/>
        <w:tblCellMar>
          <w:top w:w="0" w:type="dxa"/>
          <w:left w:w="0" w:type="dxa"/>
          <w:bottom w:w="0" w:type="dxa"/>
          <w:right w:w="0" w:type="dxa"/>
        </w:tblCellMar>
      </w:tblPr>
      <w:tr>
        <w:trPr>
          <w:trHeight w:val="204"/>
        </w:trPr>
        <w:tc>
          <w:tcPr>
            <w:tcW w:w="1200" w:type="dxa"/>
            <w:vAlign w:val="bottom"/>
            <w:tcBorders>
              <w:top w:val="single" w:sz="8" w:color="auto"/>
            </w:tcBorders>
          </w:tcPr>
          <w:p>
            <w:pPr>
              <w:jc w:val="center"/>
              <w:spacing w:after="0" w:line="204" w:lineRule="exact"/>
              <w:rPr>
                <w:sz w:val="20"/>
                <w:szCs w:val="20"/>
                <w:color w:val="auto"/>
              </w:rPr>
            </w:pPr>
            <w:r>
              <w:rPr>
                <w:rFonts w:ascii="Times New Roman" w:cs="Times New Roman" w:eastAsia="Times New Roman" w:hAnsi="Times New Roman"/>
                <w:sz w:val="18"/>
                <w:szCs w:val="18"/>
                <w:b w:val="1"/>
                <w:bCs w:val="1"/>
                <w:color w:val="auto"/>
                <w:w w:val="98"/>
              </w:rPr>
              <w:t>March 29,</w:t>
            </w:r>
          </w:p>
        </w:tc>
        <w:tc>
          <w:tcPr>
            <w:tcW w:w="1300" w:type="dxa"/>
            <w:vAlign w:val="bottom"/>
            <w:tcBorders>
              <w:top w:val="single" w:sz="8" w:color="auto"/>
            </w:tcBorders>
          </w:tcPr>
          <w:p>
            <w:pPr>
              <w:jc w:val="center"/>
              <w:ind w:left="90"/>
              <w:spacing w:after="0" w:line="204" w:lineRule="exact"/>
              <w:rPr>
                <w:sz w:val="20"/>
                <w:szCs w:val="20"/>
                <w:color w:val="auto"/>
              </w:rPr>
            </w:pPr>
            <w:r>
              <w:rPr>
                <w:rFonts w:ascii="Times New Roman" w:cs="Times New Roman" w:eastAsia="Times New Roman" w:hAnsi="Times New Roman"/>
                <w:sz w:val="18"/>
                <w:szCs w:val="18"/>
                <w:b w:val="1"/>
                <w:bCs w:val="1"/>
                <w:color w:val="auto"/>
                <w:w w:val="99"/>
              </w:rPr>
              <w:t>December 28,</w:t>
            </w:r>
          </w:p>
        </w:tc>
      </w:tr>
      <w:tr>
        <w:trPr>
          <w:trHeight w:val="304"/>
        </w:trPr>
        <w:tc>
          <w:tcPr>
            <w:tcW w:w="1200" w:type="dxa"/>
            <w:vAlign w:val="bottom"/>
          </w:tcPr>
          <w:p>
            <w:pPr>
              <w:jc w:val="center"/>
              <w:ind w:right="230"/>
              <w:spacing w:after="0" w:line="303" w:lineRule="exact"/>
              <w:rPr>
                <w:sz w:val="20"/>
                <w:szCs w:val="20"/>
                <w:color w:val="auto"/>
              </w:rPr>
            </w:pPr>
            <w:r>
              <w:rPr>
                <w:rFonts w:ascii="Times New Roman" w:cs="Times New Roman" w:eastAsia="Times New Roman" w:hAnsi="Times New Roman"/>
                <w:sz w:val="18"/>
                <w:szCs w:val="18"/>
                <w:b w:val="1"/>
                <w:bCs w:val="1"/>
                <w:color w:val="auto"/>
              </w:rPr>
              <w:t xml:space="preserve">2026 </w:t>
            </w:r>
            <w:r>
              <w:rPr>
                <w:rFonts w:ascii="Times New Roman" w:cs="Times New Roman" w:eastAsia="Times New Roman" w:hAnsi="Times New Roman"/>
                <w:sz w:val="29"/>
                <w:szCs w:val="29"/>
                <w:b w:val="1"/>
                <w:bCs w:val="1"/>
                <w:color w:val="auto"/>
                <w:vertAlign w:val="superscript"/>
              </w:rPr>
              <w:t>(1)</w:t>
            </w:r>
          </w:p>
        </w:tc>
        <w:tc>
          <w:tcPr>
            <w:tcW w:w="1300" w:type="dxa"/>
            <w:vAlign w:val="bottom"/>
          </w:tcPr>
          <w:p>
            <w:pPr>
              <w:jc w:val="center"/>
              <w:ind w:right="150"/>
              <w:spacing w:after="0" w:line="303" w:lineRule="exact"/>
              <w:rPr>
                <w:sz w:val="20"/>
                <w:szCs w:val="20"/>
                <w:color w:val="auto"/>
              </w:rPr>
            </w:pPr>
            <w:r>
              <w:rPr>
                <w:rFonts w:ascii="Times New Roman" w:cs="Times New Roman" w:eastAsia="Times New Roman" w:hAnsi="Times New Roman"/>
                <w:sz w:val="18"/>
                <w:szCs w:val="18"/>
                <w:b w:val="1"/>
                <w:bCs w:val="1"/>
                <w:color w:val="auto"/>
              </w:rPr>
              <w:t xml:space="preserve">2025 </w:t>
            </w:r>
            <w:r>
              <w:rPr>
                <w:rFonts w:ascii="Times New Roman" w:cs="Times New Roman" w:eastAsia="Times New Roman" w:hAnsi="Times New Roman"/>
                <w:sz w:val="29"/>
                <w:szCs w:val="29"/>
                <w:b w:val="1"/>
                <w:bCs w:val="1"/>
                <w:color w:val="auto"/>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-17780</wp:posOffset>
            </wp:positionV>
            <wp:extent cx="158559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585595"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Liability classified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tbl>
      <w:tblPr>
        <w:tblLayout w:type="fixed"/>
        <w:tblInd w:w="240" w:type="dxa"/>
        <w:tblCellMar>
          <w:top w:w="0" w:type="dxa"/>
          <w:left w:w="0" w:type="dxa"/>
          <w:bottom w:w="0" w:type="dxa"/>
          <w:right w:w="0" w:type="dxa"/>
        </w:tblCellMar>
      </w:tblPr>
      <w:tr>
        <w:trPr>
          <w:trHeight w:val="214"/>
        </w:trPr>
        <w:tc>
          <w:tcPr>
            <w:tcW w:w="134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20" w:type="dxa"/>
            <w:vAlign w:val="bottom"/>
          </w:tcPr>
          <w:p>
            <w:pPr>
              <w:spacing w:after="0"/>
              <w:rPr>
                <w:sz w:val="18"/>
                <w:szCs w:val="18"/>
                <w:color w:val="auto"/>
              </w:rPr>
            </w:pPr>
          </w:p>
        </w:tc>
      </w:tr>
      <w:tr>
        <w:trPr>
          <w:trHeight w:val="245"/>
        </w:trPr>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r>
      <w:tr>
        <w:trPr>
          <w:trHeight w:val="198"/>
        </w:trPr>
        <w:tc>
          <w:tcPr>
            <w:tcW w:w="1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25,670,265</w:t>
            </w:r>
          </w:p>
        </w:tc>
        <w:tc>
          <w:tcPr>
            <w:tcW w:w="220" w:type="dxa"/>
            <w:vAlign w:val="bottom"/>
          </w:tcPr>
          <w:p>
            <w:pPr>
              <w:spacing w:after="0"/>
              <w:rPr>
                <w:sz w:val="17"/>
                <w:szCs w:val="17"/>
                <w:color w:val="auto"/>
              </w:rPr>
            </w:pPr>
          </w:p>
        </w:tc>
        <w:tc>
          <w:tcPr>
            <w:tcW w:w="1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25,670,265</w:t>
            </w:r>
          </w:p>
        </w:tc>
        <w:tc>
          <w:tcPr>
            <w:tcW w:w="20" w:type="dxa"/>
            <w:vAlign w:val="bottom"/>
          </w:tcPr>
          <w:p>
            <w:pPr>
              <w:spacing w:after="0"/>
              <w:rPr>
                <w:sz w:val="17"/>
                <w:szCs w:val="17"/>
                <w:color w:val="auto"/>
              </w:rPr>
            </w:pPr>
          </w:p>
        </w:tc>
      </w:tr>
      <w:tr>
        <w:trPr>
          <w:trHeight w:val="216"/>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3,174,434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3,174,434</w:t>
            </w:r>
          </w:p>
        </w:tc>
        <w:tc>
          <w:tcPr>
            <w:tcW w:w="20" w:type="dxa"/>
            <w:vAlign w:val="bottom"/>
          </w:tcPr>
          <w:p>
            <w:pPr>
              <w:spacing w:after="0"/>
              <w:rPr>
                <w:sz w:val="18"/>
                <w:szCs w:val="18"/>
                <w:color w:val="auto"/>
              </w:rPr>
            </w:pPr>
          </w:p>
        </w:tc>
      </w:tr>
      <w:tr>
        <w:trPr>
          <w:trHeight w:val="216"/>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18,299,560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19,164,660</w:t>
            </w:r>
          </w:p>
        </w:tc>
      </w:tr>
      <w:tr>
        <w:trPr>
          <w:trHeight w:val="216"/>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11,603,508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11,603,508</w:t>
            </w:r>
          </w:p>
        </w:tc>
      </w:tr>
      <w:tr>
        <w:trPr>
          <w:trHeight w:val="216"/>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2,750,000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20" w:type="dxa"/>
            <w:vAlign w:val="bottom"/>
          </w:tcPr>
          <w:p>
            <w:pPr>
              <w:spacing w:after="0"/>
              <w:rPr>
                <w:sz w:val="18"/>
                <w:szCs w:val="18"/>
                <w:color w:val="auto"/>
              </w:rPr>
            </w:pPr>
          </w:p>
        </w:tc>
      </w:tr>
      <w:tr>
        <w:trPr>
          <w:trHeight w:val="216"/>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6,720,000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6,720,000</w:t>
            </w:r>
          </w:p>
        </w:tc>
        <w:tc>
          <w:tcPr>
            <w:tcW w:w="20" w:type="dxa"/>
            <w:vAlign w:val="bottom"/>
          </w:tcPr>
          <w:p>
            <w:pPr>
              <w:spacing w:after="0"/>
              <w:rPr>
                <w:sz w:val="18"/>
                <w:szCs w:val="18"/>
                <w:color w:val="auto"/>
              </w:rPr>
            </w:pPr>
          </w:p>
        </w:tc>
      </w:tr>
      <w:tr>
        <w:trPr>
          <w:trHeight w:val="229"/>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82,635,442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82,460,428</w:t>
            </w:r>
          </w:p>
        </w:tc>
      </w:tr>
      <w:tr>
        <w:trPr>
          <w:trHeight w:val="241"/>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4,973,840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11,640,506</w:t>
            </w:r>
          </w:p>
        </w:tc>
      </w:tr>
      <w:tr>
        <w:trPr>
          <w:trHeight w:val="223"/>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155,827,049</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163,183,801</w:t>
            </w:r>
          </w:p>
        </w:tc>
        <w:tc>
          <w:tcPr>
            <w:tcW w:w="20" w:type="dxa"/>
            <w:vAlign w:val="bottom"/>
            <w:tcBorders>
              <w:top w:val="single" w:sz="8" w:color="auto"/>
              <w:bottom w:val="single" w:sz="8" w:color="auto"/>
            </w:tcBorders>
          </w:tcPr>
          <w:p>
            <w:pPr>
              <w:spacing w:after="0"/>
              <w:rPr>
                <w:sz w:val="19"/>
                <w:szCs w:val="19"/>
                <w:color w:val="auto"/>
              </w:rPr>
            </w:pPr>
          </w:p>
        </w:tc>
      </w:tr>
      <w:tr>
        <w:trPr>
          <w:trHeight w:val="21"/>
        </w:trPr>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Exercise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per</w:t>
      </w:r>
    </w:p>
    <w:p>
      <w:pPr>
        <w:spacing w:after="0" w:line="31" w:lineRule="exact"/>
        <w:rPr>
          <w:sz w:val="20"/>
          <w:szCs w:val="20"/>
          <w:color w:val="auto"/>
        </w:rPr>
      </w:pPr>
    </w:p>
    <w:p>
      <w:pPr>
        <w:ind w:left="1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share</w:t>
      </w:r>
      <w:r>
        <w:rPr>
          <w:sz w:val="20"/>
          <w:szCs w:val="20"/>
          <w:color w:val="auto"/>
        </w:rPr>
        <w:tab/>
      </w:r>
      <w:r>
        <w:rPr>
          <w:rFonts w:ascii="Times New Roman" w:cs="Times New Roman" w:eastAsia="Times New Roman" w:hAnsi="Times New Roman"/>
          <w:sz w:val="18"/>
          <w:szCs w:val="18"/>
          <w:b w:val="1"/>
          <w:bCs w:val="1"/>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5715</wp:posOffset>
            </wp:positionV>
            <wp:extent cx="183451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834515" cy="17145"/>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2">
            <w:col w:w="8020" w:space="420"/>
            <w:col w:w="280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Public Warrants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8,625,000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8,625,000</w:t>
            </w:r>
          </w:p>
        </w:tc>
        <w:tc>
          <w:tcPr>
            <w:tcW w:w="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11.50</w:t>
            </w:r>
          </w:p>
        </w:tc>
        <w:tc>
          <w:tcPr>
            <w:tcW w:w="1680" w:type="dxa"/>
            <w:vAlign w:val="bottom"/>
            <w:shd w:val="clear" w:color="auto" w:fill="CCEEFF"/>
          </w:tcPr>
          <w:p>
            <w:pPr>
              <w:jc w:val="center"/>
              <w:ind w:right="10"/>
              <w:spacing w:after="0" w:line="263" w:lineRule="exact"/>
              <w:rPr>
                <w:sz w:val="20"/>
                <w:szCs w:val="20"/>
                <w:color w:val="auto"/>
              </w:rPr>
            </w:pPr>
            <w:r>
              <w:rPr>
                <w:rFonts w:ascii="Times New Roman" w:cs="Times New Roman" w:eastAsia="Times New Roman" w:hAnsi="Times New Roman"/>
                <w:sz w:val="18"/>
                <w:szCs w:val="18"/>
                <w:color w:val="auto"/>
                <w:w w:val="94"/>
              </w:rPr>
              <w:t xml:space="preserve">July 18, 2028 </w:t>
            </w:r>
            <w:r>
              <w:rPr>
                <w:rFonts w:ascii="Times New Roman" w:cs="Times New Roman" w:eastAsia="Times New Roman" w:hAnsi="Times New Roman"/>
                <w:sz w:val="29"/>
                <w:szCs w:val="29"/>
                <w:color w:val="auto"/>
                <w:w w:val="94"/>
                <w:vertAlign w:val="superscript"/>
              </w:rPr>
              <w:t>(2)</w:t>
            </w:r>
          </w:p>
        </w:tc>
      </w:tr>
      <w:tr>
        <w:trPr>
          <w:trHeight w:val="257"/>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6,266,667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6,266,667</w:t>
            </w:r>
          </w:p>
        </w:tc>
        <w:tc>
          <w:tcPr>
            <w:tcW w:w="600" w:type="dxa"/>
            <w:vAlign w:val="bottom"/>
          </w:tcPr>
          <w:p>
            <w:pPr>
              <w:spacing w:after="0"/>
              <w:rPr>
                <w:sz w:val="22"/>
                <w:szCs w:val="22"/>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11.50</w:t>
            </w:r>
          </w:p>
        </w:tc>
        <w:tc>
          <w:tcPr>
            <w:tcW w:w="1680" w:type="dxa"/>
            <w:vAlign w:val="bottom"/>
          </w:tcPr>
          <w:p>
            <w:pPr>
              <w:jc w:val="center"/>
              <w:ind w:right="10"/>
              <w:spacing w:after="0" w:line="256" w:lineRule="exact"/>
              <w:rPr>
                <w:sz w:val="20"/>
                <w:szCs w:val="20"/>
                <w:color w:val="auto"/>
              </w:rPr>
            </w:pPr>
            <w:r>
              <w:rPr>
                <w:rFonts w:ascii="Times New Roman" w:cs="Times New Roman" w:eastAsia="Times New Roman" w:hAnsi="Times New Roman"/>
                <w:sz w:val="18"/>
                <w:szCs w:val="18"/>
                <w:color w:val="auto"/>
                <w:w w:val="94"/>
              </w:rPr>
              <w:t xml:space="preserve">July 18, 2028 </w:t>
            </w:r>
            <w:r>
              <w:rPr>
                <w:rFonts w:ascii="Times New Roman" w:cs="Times New Roman" w:eastAsia="Times New Roman" w:hAnsi="Times New Roman"/>
                <w:sz w:val="29"/>
                <w:szCs w:val="29"/>
                <w:color w:val="auto"/>
                <w:w w:val="94"/>
                <w:vertAlign w:val="superscript"/>
              </w:rPr>
              <w:t>(2)</w:t>
            </w:r>
          </w:p>
        </w:tc>
      </w:tr>
      <w:tr>
        <w:trPr>
          <w:trHeight w:val="290"/>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Working Capital Warrants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716,668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716,668</w:t>
            </w:r>
          </w:p>
        </w:tc>
        <w:tc>
          <w:tcPr>
            <w:tcW w:w="6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11.50</w:t>
            </w:r>
          </w:p>
        </w:tc>
        <w:tc>
          <w:tcPr>
            <w:tcW w:w="1680" w:type="dxa"/>
            <w:vAlign w:val="bottom"/>
            <w:shd w:val="clear" w:color="auto" w:fill="CCEEFF"/>
          </w:tcPr>
          <w:p>
            <w:pPr>
              <w:jc w:val="center"/>
              <w:ind w:right="10"/>
              <w:spacing w:after="0" w:line="270" w:lineRule="exact"/>
              <w:rPr>
                <w:sz w:val="20"/>
                <w:szCs w:val="20"/>
                <w:color w:val="auto"/>
              </w:rPr>
            </w:pPr>
            <w:r>
              <w:rPr>
                <w:rFonts w:ascii="Times New Roman" w:cs="Times New Roman" w:eastAsia="Times New Roman" w:hAnsi="Times New Roman"/>
                <w:sz w:val="18"/>
                <w:szCs w:val="18"/>
                <w:color w:val="auto"/>
                <w:w w:val="94"/>
              </w:rPr>
              <w:t xml:space="preserve">July 18, 2028 </w:t>
            </w:r>
            <w:r>
              <w:rPr>
                <w:rFonts w:ascii="Times New Roman" w:cs="Times New Roman" w:eastAsia="Times New Roman" w:hAnsi="Times New Roman"/>
                <w:sz w:val="29"/>
                <w:szCs w:val="29"/>
                <w:color w:val="auto"/>
                <w:w w:val="94"/>
                <w:vertAlign w:val="superscript"/>
              </w:rPr>
              <w:t>(2)</w:t>
            </w:r>
          </w:p>
        </w:tc>
      </w:tr>
      <w:tr>
        <w:trPr>
          <w:trHeight w:val="210"/>
        </w:trPr>
        <w:tc>
          <w:tcPr>
            <w:tcW w:w="55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shares of common stock – liability classified warrants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15,608,335</w:t>
            </w:r>
          </w:p>
        </w:tc>
        <w:tc>
          <w:tcPr>
            <w:tcW w:w="24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15,608,335</w:t>
            </w:r>
          </w:p>
        </w:tc>
        <w:tc>
          <w:tcPr>
            <w:tcW w:w="20" w:type="dxa"/>
            <w:vAlign w:val="bottom"/>
            <w:tcBorders>
              <w:top w:val="single" w:sz="8" w:color="CCEEFF"/>
              <w:bottom w:val="single" w:sz="8" w:color="CCEEFF"/>
            </w:tcBorders>
          </w:tcPr>
          <w:p>
            <w:pPr>
              <w:spacing w:after="0"/>
              <w:rPr>
                <w:sz w:val="18"/>
                <w:szCs w:val="18"/>
                <w:color w:val="auto"/>
              </w:rPr>
            </w:pPr>
          </w:p>
        </w:tc>
        <w:tc>
          <w:tcPr>
            <w:tcW w:w="6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CCEEFF"/>
              <w:bottom w:val="single" w:sz="8" w:color="CCEEFF"/>
            </w:tcBorders>
          </w:tcPr>
          <w:p>
            <w:pPr>
              <w:spacing w:after="0"/>
              <w:rPr>
                <w:sz w:val="18"/>
                <w:szCs w:val="18"/>
                <w:color w:val="auto"/>
              </w:rPr>
            </w:pPr>
          </w:p>
        </w:tc>
        <w:tc>
          <w:tcPr>
            <w:tcW w:w="1680" w:type="dxa"/>
            <w:vAlign w:val="bottom"/>
            <w:tcBorders>
              <w:top w:val="single" w:sz="8" w:color="CCEEFF"/>
              <w:bottom w:val="single" w:sz="8" w:color="CCEEFF"/>
            </w:tcBorders>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classified warrants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B Warrants (converted to common stock warrants)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5,054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5,054</w:t>
            </w:r>
          </w:p>
        </w:tc>
        <w:tc>
          <w:tcPr>
            <w:tcW w:w="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4.30</w:t>
            </w:r>
          </w:p>
        </w:tc>
        <w:tc>
          <w:tcPr>
            <w:tcW w:w="1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February 2026</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Series C Warrants (converted to common stock warrants)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482,969</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482,969</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July 2026</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C-1 Warrants (converted to common stock warrants)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173,067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173,067</w:t>
            </w:r>
          </w:p>
        </w:tc>
        <w:tc>
          <w:tcPr>
            <w:tcW w:w="600" w:type="dxa"/>
            <w:vAlign w:val="bottom"/>
          </w:tcPr>
          <w:p>
            <w:pPr>
              <w:spacing w:after="0"/>
              <w:rPr>
                <w:sz w:val="18"/>
                <w:szCs w:val="18"/>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w:t>
            </w:r>
          </w:p>
        </w:tc>
        <w:tc>
          <w:tcPr>
            <w:tcW w:w="1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January 2030</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SVB Common Stock Warrants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2,473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2,473</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0.38</w:t>
            </w:r>
          </w:p>
        </w:tc>
        <w:tc>
          <w:tcPr>
            <w:tcW w:w="16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2033</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SVB Common Stock Warrants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2,525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2,525</w:t>
            </w:r>
          </w:p>
        </w:tc>
        <w:tc>
          <w:tcPr>
            <w:tcW w:w="600" w:type="dxa"/>
            <w:vAlign w:val="bottom"/>
          </w:tcPr>
          <w:p>
            <w:pPr>
              <w:spacing w:after="0"/>
              <w:rPr>
                <w:sz w:val="18"/>
                <w:szCs w:val="18"/>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0.62</w:t>
            </w: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2033</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Promissory Note Common Stock Warrants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24,148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24,148</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0.01</w:t>
            </w:r>
          </w:p>
        </w:tc>
        <w:tc>
          <w:tcPr>
            <w:tcW w:w="16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October 2031</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July 2023 Common Stock Warrants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38,981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38,981</w:t>
            </w:r>
          </w:p>
        </w:tc>
        <w:tc>
          <w:tcPr>
            <w:tcW w:w="600" w:type="dxa"/>
            <w:vAlign w:val="bottom"/>
          </w:tcPr>
          <w:p>
            <w:pPr>
              <w:spacing w:after="0"/>
              <w:rPr>
                <w:sz w:val="18"/>
                <w:szCs w:val="18"/>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w:t>
            </w:r>
          </w:p>
        </w:tc>
        <w:tc>
          <w:tcPr>
            <w:tcW w:w="1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July 2028</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Warrants Issued in 2023 (“Merger Warrants”)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6,266,572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6,266,572</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11.50</w:t>
            </w:r>
          </w:p>
        </w:tc>
        <w:tc>
          <w:tcPr>
            <w:tcW w:w="16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July 18, 2033</w:t>
            </w:r>
          </w:p>
        </w:tc>
      </w:tr>
      <w:tr>
        <w:trPr>
          <w:trHeight w:val="23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Cantor Warrant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3,066,141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3,066,141</w:t>
            </w:r>
          </w:p>
        </w:tc>
        <w:tc>
          <w:tcPr>
            <w:tcW w:w="60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1.68</w:t>
            </w:r>
          </w:p>
        </w:tc>
        <w:tc>
          <w:tcPr>
            <w:tcW w:w="1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June 2029</w:t>
            </w:r>
          </w:p>
        </w:tc>
      </w:tr>
      <w:tr>
        <w:trPr>
          <w:trHeight w:val="236"/>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of common stock – equity classified warrants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10,061,930</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10,061,930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16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55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 potential shares of common stock</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25,670,265</w:t>
            </w:r>
          </w:p>
        </w:tc>
        <w:tc>
          <w:tcPr>
            <w:tcW w:w="24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25,670,265</w:t>
            </w:r>
          </w:p>
        </w:tc>
        <w:tc>
          <w:tcPr>
            <w:tcW w:w="2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8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Excludes the 2025 Cantor Warrant which was not issued as of March 29, 2026.</w:t>
      </w:r>
    </w:p>
    <w:p>
      <w:pPr>
        <w:spacing w:after="0" w:line="163"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8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warrants expire five years after the Closing date of the Mergers, which date was July 18, 2023, or earlier upon redemption or liquidation.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66" w:name="page167"/>
    <w:bookmarkEnd w:id="166"/>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The information below summarizes the stock option activity under the Plans.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28, 2025</w:t>
            </w:r>
          </w:p>
        </w:tc>
        <w:tc>
          <w:tcPr>
            <w:tcW w:w="11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4,930,300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5.58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Outstanding—March 29, 2026</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w:t>
            </w:r>
          </w:p>
        </w:tc>
        <w:tc>
          <w:tcPr>
            <w:tcW w:w="132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5.74</w:t>
            </w:r>
          </w:p>
        </w:tc>
        <w:tc>
          <w:tcPr>
            <w:tcW w:w="140" w:type="dxa"/>
            <w:vAlign w:val="bottom"/>
            <w:shd w:val="clear" w:color="auto" w:fill="CCEEFF"/>
          </w:tcPr>
          <w:p>
            <w:pPr>
              <w:spacing w:after="0"/>
              <w:rPr>
                <w:sz w:val="2"/>
                <w:szCs w:val="2"/>
                <w:color w:val="auto"/>
              </w:rPr>
            </w:pPr>
          </w:p>
        </w:tc>
        <w:tc>
          <w:tcPr>
            <w:tcW w:w="10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4,930,300</w:t>
            </w:r>
          </w:p>
        </w:tc>
        <w:tc>
          <w:tcPr>
            <w:tcW w:w="140" w:type="dxa"/>
            <w:vAlign w:val="bottom"/>
            <w:shd w:val="clear" w:color="auto" w:fill="CCEEFF"/>
          </w:tcPr>
          <w:p>
            <w:pPr>
              <w:spacing w:after="0"/>
              <w:rPr>
                <w:sz w:val="21"/>
                <w:szCs w:val="21"/>
                <w:color w:val="auto"/>
              </w:rPr>
            </w:pPr>
          </w:p>
        </w:tc>
        <w:tc>
          <w:tcPr>
            <w:tcW w:w="1200" w:type="dxa"/>
            <w:vAlign w:val="bottom"/>
            <w:gridSpan w:val="2"/>
            <w:vMerge w:val="continue"/>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 March 29, 2026</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4.62</w:t>
            </w:r>
          </w:p>
        </w:tc>
        <w:tc>
          <w:tcPr>
            <w:tcW w:w="1320" w:type="dxa"/>
            <w:vAlign w:val="bottom"/>
            <w:tcBorders>
              <w:top w:val="single" w:sz="8" w:color="CCEEFF"/>
              <w:bottom w:val="single" w:sz="8" w:color="CCEEFF"/>
            </w:tcBorders>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rPr>
              <w:t>5.74</w:t>
            </w: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11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7"/>
              </w:rPr>
              <w:t>4,930,300</w:t>
            </w:r>
          </w:p>
        </w:tc>
        <w:tc>
          <w:tcPr>
            <w:tcW w:w="2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gridSpan w:val="2"/>
            <w:vMerge w:val="continue"/>
          </w:tcPr>
          <w:p>
            <w:pPr>
              <w:spacing w:after="0"/>
              <w:rPr>
                <w:sz w:val="22"/>
                <w:szCs w:val="22"/>
                <w:color w:val="auto"/>
              </w:rPr>
            </w:pPr>
          </w:p>
        </w:tc>
        <w:tc>
          <w:tcPr>
            <w:tcW w:w="1320" w:type="dxa"/>
            <w:vAlign w:val="bottom"/>
            <w:tcBorders>
              <w:bottom w:val="single" w:sz="8" w:color="CCEEFF"/>
            </w:tcBorders>
            <w:gridSpan w:val="2"/>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Vested and exercisable — March 29, 2026</w:t>
            </w:r>
          </w:p>
        </w:tc>
        <w:tc>
          <w:tcPr>
            <w:tcW w:w="112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1,781,378</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5.39</w:t>
            </w:r>
          </w:p>
        </w:tc>
        <w:tc>
          <w:tcPr>
            <w:tcW w:w="1320" w:type="dxa"/>
            <w:vAlign w:val="bottom"/>
            <w:tcBorders>
              <w:bottom w:val="single" w:sz="8" w:color="CCEEFF"/>
            </w:tcBorders>
            <w:gridSpan w:val="2"/>
            <w:shd w:val="clear" w:color="auto" w:fill="CCEEFF"/>
          </w:tcPr>
          <w:p>
            <w:pPr>
              <w:ind w:left="800"/>
              <w:spacing w:after="0" w:line="194" w:lineRule="exact"/>
              <w:rPr>
                <w:sz w:val="20"/>
                <w:szCs w:val="20"/>
                <w:color w:val="auto"/>
              </w:rPr>
            </w:pPr>
            <w:r>
              <w:rPr>
                <w:rFonts w:ascii="Times New Roman" w:cs="Times New Roman" w:eastAsia="Times New Roman" w:hAnsi="Times New Roman"/>
                <w:sz w:val="18"/>
                <w:szCs w:val="18"/>
                <w:color w:val="auto"/>
              </w:rPr>
              <w:t>5.69</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aggregate fair value of the Company’s stock options that vested in the thirteen week periods ended March 29, 2026, and March 30, 2025 were $1.3 million and $3.8 million,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information below summarizes the RSU activity.</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45"/>
        </w:trPr>
        <w:tc>
          <w:tcPr>
            <w:tcW w:w="8680" w:type="dxa"/>
            <w:vAlign w:val="bottom"/>
          </w:tcPr>
          <w:p>
            <w:pPr>
              <w:spacing w:after="0"/>
              <w:rPr>
                <w:sz w:val="21"/>
                <w:szCs w:val="21"/>
                <w:color w:val="auto"/>
              </w:rPr>
            </w:pPr>
          </w:p>
        </w:tc>
        <w:tc>
          <w:tcPr>
            <w:tcW w:w="13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28, 2025</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14,234,360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Vested and released</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(863,030)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 or forfeited</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Unvested at March 29, 2026</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13,369,260</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1.73</w:t>
            </w: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fair value of the Company’s RSUs that vested in the thirteen week periods ended March 29, 2026 and March 30, 2025 were $1.5 million and $0.5 million,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29, 2026, there was a total of $0.9 million and $21.3 million of unrecognized stock-based compensation costs related to service-based options and RSUs, respectively. Such compensation cost is expected to be recognized over a weighted-average period of approximately 2.3 years and 4.0 years,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summarizes stock-based compensation expense and its allocation within the accompanying consolidated statements of operations and comprehensive loss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0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07"/>
        </w:trPr>
        <w:tc>
          <w:tcPr>
            <w:tcW w:w="42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00" w:type="dxa"/>
            <w:vAlign w:val="bottom"/>
          </w:tcPr>
          <w:p>
            <w:pPr>
              <w:spacing w:after="0"/>
              <w:rPr>
                <w:sz w:val="18"/>
                <w:szCs w:val="18"/>
                <w:color w:val="auto"/>
              </w:rPr>
            </w:pPr>
          </w:p>
        </w:tc>
      </w:tr>
      <w:tr>
        <w:trPr>
          <w:trHeight w:val="245"/>
        </w:trPr>
        <w:tc>
          <w:tcPr>
            <w:tcW w:w="4200" w:type="dxa"/>
            <w:vAlign w:val="bottom"/>
            <w:tcBorders>
              <w:bottom w:val="single" w:sz="8" w:color="CCEEFF"/>
            </w:tcBorders>
          </w:tcPr>
          <w:p>
            <w:pPr>
              <w:spacing w:after="0"/>
              <w:rPr>
                <w:sz w:val="21"/>
                <w:szCs w:val="21"/>
                <w:color w:val="auto"/>
              </w:rPr>
            </w:pPr>
          </w:p>
        </w:tc>
        <w:tc>
          <w:tcPr>
            <w:tcW w:w="44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485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466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r>
      <w:tr>
        <w:trPr>
          <w:trHeight w:val="25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654</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r>
      <w:tr>
        <w:trPr>
          <w:trHeight w:val="210"/>
        </w:trPr>
        <w:tc>
          <w:tcPr>
            <w:tcW w:w="42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stock-based compensation expense</w:t>
            </w:r>
          </w:p>
        </w:tc>
        <w:tc>
          <w:tcPr>
            <w:tcW w:w="44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ind w:left="600"/>
              <w:spacing w:after="0" w:line="203" w:lineRule="exact"/>
              <w:rPr>
                <w:sz w:val="20"/>
                <w:szCs w:val="20"/>
                <w:color w:val="auto"/>
              </w:rPr>
            </w:pPr>
            <w:r>
              <w:rPr>
                <w:rFonts w:ascii="Times New Roman" w:cs="Times New Roman" w:eastAsia="Times New Roman" w:hAnsi="Times New Roman"/>
                <w:sz w:val="18"/>
                <w:szCs w:val="18"/>
                <w:color w:val="auto"/>
                <w:w w:val="93"/>
              </w:rPr>
              <w:t>1,605</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top w:val="single" w:sz="8" w:color="CCEEFF"/>
            </w:tcBorders>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20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gridSpan w:val="2"/>
          </w:tcPr>
          <w:p>
            <w:pPr>
              <w:jc w:val="right"/>
              <w:ind w:right="2916"/>
              <w:spacing w:after="0"/>
              <w:rPr>
                <w:sz w:val="20"/>
                <w:szCs w:val="20"/>
                <w:color w:val="auto"/>
              </w:rPr>
            </w:pPr>
            <w:r>
              <w:rPr>
                <w:rFonts w:ascii="Times New Roman" w:cs="Times New Roman" w:eastAsia="Times New Roman" w:hAnsi="Times New Roman"/>
                <w:sz w:val="18"/>
                <w:szCs w:val="18"/>
                <w:color w:val="auto"/>
              </w:rPr>
              <w:t>F-43</w:t>
            </w: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color w:val="auto"/>
        </w:rPr>
        <w:t>(15) Basic and Diluted Net Income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the two-class method to calculate net income per share. No dividends were declared or paid in the thirteen week periods ended March 29, 2026 and March 30,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income per share attributable to common stockholders for the thirteen week periods ended March 29, 2026 and March 30, 2025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 except share and per 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 for basic income per share: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 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 for diluted income per share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unsecured convertible notes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(4,882)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July 2024 Notes derivative liability and interest expense, net of tax</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(3,138)</w:t>
            </w:r>
          </w:p>
        </w:tc>
        <w:tc>
          <w:tcPr>
            <w:tcW w:w="0" w:type="dxa"/>
            <w:vAlign w:val="bottom"/>
          </w:tcPr>
          <w:p>
            <w:pPr>
              <w:spacing w:after="0"/>
              <w:rPr>
                <w:sz w:val="1"/>
                <w:szCs w:val="1"/>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 SAFE</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 diluted</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Denominator for basic income per share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124,279,055</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80,209,585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Senior unsecured convertible notes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16,912,704</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July 2024 Notes derivative liability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27,364,717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Third SAFE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2,750,000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options and RSUs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14,705,403</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1,489,794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Warrants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166,460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consideration</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4,973,840</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Denominator for diluted income per share</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163,787,462</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112,302,063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 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calculation of the weighted average shares outstanding is inclusive of 234,610 warrants with an insignificant exercise price (which assumes that the warrants were outstanding as of the beginning of the period or the date of the grant, whichever is earlier) for the thirteen week period ended March 29, 2026,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common shares outstanding that were excluded from the computation of diluted net loss per share of common stock as of the periods presented because including them would have been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256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94"/>
        </w:trPr>
        <w:tc>
          <w:tcPr>
            <w:tcW w:w="53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340" w:type="dxa"/>
            <w:vAlign w:val="bottom"/>
            <w:tcBorders>
              <w:top w:val="single" w:sz="8" w:color="auto"/>
            </w:tcBorders>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112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100" w:type="dxa"/>
            <w:vAlign w:val="bottom"/>
          </w:tcPr>
          <w:p>
            <w:pPr>
              <w:spacing w:after="0"/>
              <w:rPr>
                <w:sz w:val="16"/>
                <w:szCs w:val="16"/>
                <w:color w:val="auto"/>
              </w:rPr>
            </w:pPr>
          </w:p>
        </w:tc>
      </w:tr>
      <w:tr>
        <w:trPr>
          <w:trHeight w:val="245"/>
        </w:trPr>
        <w:tc>
          <w:tcPr>
            <w:tcW w:w="5300" w:type="dxa"/>
            <w:vAlign w:val="bottom"/>
          </w:tcPr>
          <w:p>
            <w:pPr>
              <w:spacing w:after="0"/>
              <w:rPr>
                <w:sz w:val="21"/>
                <w:szCs w:val="21"/>
                <w:color w:val="auto"/>
              </w:rPr>
            </w:pPr>
          </w:p>
        </w:tc>
        <w:tc>
          <w:tcPr>
            <w:tcW w:w="45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36"/>
        </w:trPr>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33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65,722,738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37,333,318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 potential common shares excluded from diluted net loss per share</w:t>
            </w:r>
          </w:p>
        </w:tc>
        <w:tc>
          <w:tcPr>
            <w:tcW w:w="4720" w:type="dxa"/>
            <w:vAlign w:val="bottom"/>
            <w:gridSpan w:val="3"/>
          </w:tcPr>
          <w:p>
            <w:pPr>
              <w:ind w:left="3700"/>
              <w:spacing w:after="0"/>
              <w:rPr>
                <w:sz w:val="20"/>
                <w:szCs w:val="20"/>
                <w:color w:val="auto"/>
              </w:rPr>
            </w:pPr>
            <w:r>
              <w:rPr>
                <w:rFonts w:ascii="Times New Roman" w:cs="Times New Roman" w:eastAsia="Times New Roman" w:hAnsi="Times New Roman"/>
                <w:sz w:val="18"/>
                <w:szCs w:val="18"/>
                <w:color w:val="auto"/>
              </w:rPr>
              <w:t>65,722,738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37,333,318</w:t>
            </w:r>
          </w:p>
        </w:tc>
      </w:tr>
      <w:tr>
        <w:trPr>
          <w:trHeight w:val="20"/>
        </w:trPr>
        <w:tc>
          <w:tcPr>
            <w:tcW w:w="5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53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F-44</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68" w:name="page169"/>
    <w:bookmarkEnd w:id="1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(16) Segment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presents information by segment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9"/>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Thirteen Weeks Ended March 29, 2026</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61"/>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Residential</w:t>
            </w:r>
          </w:p>
        </w:tc>
        <w:tc>
          <w:tcPr>
            <w:tcW w:w="160" w:type="dxa"/>
            <w:vAlign w:val="bottom"/>
          </w:tcPr>
          <w:p>
            <w:pPr>
              <w:spacing w:after="0"/>
              <w:rPr>
                <w:sz w:val="16"/>
                <w:szCs w:val="16"/>
                <w:color w:val="auto"/>
              </w:rPr>
            </w:pPr>
          </w:p>
        </w:tc>
        <w:tc>
          <w:tcPr>
            <w:tcW w:w="1180" w:type="dxa"/>
            <w:vAlign w:val="bottom"/>
            <w:gridSpan w:val="2"/>
          </w:tcPr>
          <w:p>
            <w:pPr>
              <w:jc w:val="center"/>
              <w:ind w:right="361"/>
              <w:spacing w:after="0" w:line="194" w:lineRule="exact"/>
              <w:rPr>
                <w:sz w:val="20"/>
                <w:szCs w:val="20"/>
                <w:color w:val="auto"/>
              </w:rPr>
            </w:pPr>
            <w:r>
              <w:rPr>
                <w:rFonts w:ascii="Times New Roman" w:cs="Times New Roman" w:eastAsia="Times New Roman" w:hAnsi="Times New Roman"/>
                <w:sz w:val="18"/>
                <w:szCs w:val="18"/>
                <w:b w:val="1"/>
                <w:bCs w:val="1"/>
                <w:color w:val="auto"/>
                <w:w w:val="99"/>
              </w:rPr>
              <w:t>New</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7"/>
              </w:rPr>
              <w:t>Solar</w:t>
            </w:r>
          </w:p>
        </w:tc>
        <w:tc>
          <w:tcPr>
            <w:tcW w:w="160" w:type="dxa"/>
            <w:vAlign w:val="bottom"/>
          </w:tcPr>
          <w:p>
            <w:pPr>
              <w:spacing w:after="0"/>
              <w:rPr>
                <w:sz w:val="18"/>
                <w:szCs w:val="18"/>
                <w:color w:val="auto"/>
              </w:rPr>
            </w:pPr>
          </w:p>
        </w:tc>
        <w:tc>
          <w:tcPr>
            <w:tcW w:w="118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8"/>
              </w:rPr>
              <w:t>Homes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 w:type="dxa"/>
            <w:vAlign w:val="bottom"/>
          </w:tcPr>
          <w:p>
            <w:pPr>
              <w:spacing w:after="0"/>
              <w:rPr>
                <w:sz w:val="21"/>
                <w:szCs w:val="21"/>
                <w:color w:val="auto"/>
              </w:rPr>
            </w:pPr>
          </w:p>
        </w:tc>
        <w:tc>
          <w:tcPr>
            <w:tcW w:w="12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Installation</w:t>
            </w:r>
          </w:p>
        </w:tc>
        <w:tc>
          <w:tcPr>
            <w:tcW w:w="160" w:type="dxa"/>
            <w:vAlign w:val="bottom"/>
          </w:tcPr>
          <w:p>
            <w:pPr>
              <w:spacing w:after="0"/>
              <w:rPr>
                <w:sz w:val="21"/>
                <w:szCs w:val="21"/>
                <w:color w:val="auto"/>
              </w:rPr>
            </w:pPr>
          </w:p>
        </w:tc>
        <w:tc>
          <w:tcPr>
            <w:tcW w:w="118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200" w:type="dxa"/>
            <w:vAlign w:val="bottom"/>
          </w:tcPr>
          <w:p>
            <w:pPr>
              <w:spacing w:after="0"/>
              <w:rPr>
                <w:sz w:val="21"/>
                <w:szCs w:val="21"/>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Dealer</w:t>
            </w:r>
          </w:p>
        </w:tc>
        <w:tc>
          <w:tcPr>
            <w:tcW w:w="220" w:type="dxa"/>
            <w:vAlign w:val="bottom"/>
          </w:tcPr>
          <w:p>
            <w:pPr>
              <w:spacing w:after="0"/>
              <w:rPr>
                <w:sz w:val="21"/>
                <w:szCs w:val="21"/>
                <w:color w:val="auto"/>
              </w:rPr>
            </w:pPr>
          </w:p>
        </w:tc>
        <w:tc>
          <w:tcPr>
            <w:tcW w:w="100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31,541</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59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Cost of revenues </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2"/>
                <w:szCs w:val="22"/>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18,011</w:t>
            </w:r>
          </w:p>
        </w:tc>
        <w:tc>
          <w:tcPr>
            <w:tcW w:w="160" w:type="dxa"/>
            <w:vAlign w:val="bottom"/>
          </w:tcPr>
          <w:p>
            <w:pPr>
              <w:spacing w:after="0"/>
              <w:rPr>
                <w:sz w:val="22"/>
                <w:szCs w:val="22"/>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9,961</w:t>
            </w:r>
          </w:p>
        </w:tc>
        <w:tc>
          <w:tcPr>
            <w:tcW w:w="2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commissions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6,553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1,166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20,845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3,539</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876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90"/>
        </w:trPr>
        <w:tc>
          <w:tcPr>
            <w:tcW w:w="5980" w:type="dxa"/>
            <w:vAlign w:val="bottom"/>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15,833</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11,545</w:t>
            </w:r>
          </w:p>
        </w:tc>
        <w:tc>
          <w:tcPr>
            <w:tcW w:w="2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2,947</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10"/>
        </w:trPr>
        <w:tc>
          <w:tcPr>
            <w:tcW w:w="598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Segment operating income (loss)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(12,395</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(8,923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2,123</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(19,195</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84" w:right="339" w:bottom="1440" w:gutter="0" w:footer="0" w:header="0"/>
        </w:sectPr>
      </w:pPr>
    </w:p>
    <w:p>
      <w:pPr>
        <w:spacing w:after="0"/>
        <w:rPr>
          <w:sz w:val="20"/>
          <w:szCs w:val="20"/>
          <w:color w:val="auto"/>
        </w:rPr>
      </w:pPr>
      <w:r>
        <w:rPr>
          <w:rFonts w:ascii="Times New Roman" w:cs="Times New Roman" w:eastAsia="Times New Roman" w:hAnsi="Times New Roman"/>
          <w:sz w:val="17"/>
          <w:szCs w:val="17"/>
          <w:i w:val="1"/>
          <w:iCs w:val="1"/>
          <w:color w:val="auto"/>
        </w:rPr>
        <w:t>Reconciliation of segment income (loss) from operations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Unallocated amounts: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Other non-operating income, net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operations before taxes</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(6,924)</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30,761</w:t>
      </w:r>
    </w:p>
    <w:p>
      <w:pPr>
        <w:spacing w:after="0" w:line="31" w:lineRule="exact"/>
        <w:rPr>
          <w:sz w:val="20"/>
          <w:szCs w:val="20"/>
          <w:color w:val="auto"/>
        </w:rPr>
      </w:pPr>
    </w:p>
    <w:p>
      <w:pPr>
        <w:ind w:left="700" w:hanging="695"/>
        <w:spacing w:after="0"/>
        <w:tabs>
          <w:tab w:leader="none" w:pos="7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2">
            <w:col w:w="9300" w:space="720"/>
            <w:col w:w="1220"/>
          </w:cols>
          <w:pgMar w:left="320" w:top="684" w:right="339" w:bottom="1440" w:gutter="0" w:footer="0" w:header="0"/>
          <w:type w:val="continuous"/>
        </w:sectPr>
      </w:pPr>
    </w:p>
    <w:p>
      <w:pPr>
        <w:ind w:left="340" w:hanging="332"/>
        <w:spacing w:after="0"/>
        <w:tabs>
          <w:tab w:leader="none" w:pos="340" w:val="left"/>
        </w:tabs>
        <w:numPr>
          <w:ilvl w:val="0"/>
          <w:numId w:val="8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Depreciation and amortization expense in the thirteen week period ended March 29, 2026 was as follows (</w:t>
      </w:r>
      <w:r>
        <w:rPr>
          <w:rFonts w:ascii="Times New Roman" w:cs="Times New Roman" w:eastAsia="Times New Roman" w:hAnsi="Times New Roman"/>
          <w:sz w:val="18"/>
          <w:szCs w:val="18"/>
          <w:i w:val="1"/>
          <w:iCs w:val="1"/>
          <w:color w:val="auto"/>
        </w:rPr>
        <w:t>in millions</w:t>
      </w:r>
      <w:r>
        <w:rPr>
          <w:rFonts w:ascii="Times New Roman" w:cs="Times New Roman" w:eastAsia="Times New Roman" w:hAnsi="Times New Roman"/>
          <w:sz w:val="18"/>
          <w:szCs w:val="18"/>
          <w:color w:val="auto"/>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Residential</w:t>
            </w:r>
          </w:p>
        </w:tc>
        <w:tc>
          <w:tcPr>
            <w:tcW w:w="16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New</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Solar</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Homes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3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Installation</w:t>
            </w:r>
          </w:p>
        </w:tc>
        <w:tc>
          <w:tcPr>
            <w:tcW w:w="160" w:type="dxa"/>
            <w:vAlign w:val="bottom"/>
          </w:tcPr>
          <w:p>
            <w:pPr>
              <w:spacing w:after="0"/>
              <w:rPr>
                <w:sz w:val="21"/>
                <w:szCs w:val="21"/>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200" w:type="dxa"/>
            <w:vAlign w:val="bottom"/>
          </w:tcPr>
          <w:p>
            <w:pPr>
              <w:spacing w:after="0"/>
              <w:rPr>
                <w:sz w:val="21"/>
                <w:szCs w:val="21"/>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Dealer</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Depreciation and amortization classified in:</w:t>
            </w:r>
          </w:p>
        </w:tc>
        <w:tc>
          <w:tcPr>
            <w:tcW w:w="1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r>
      <w:tr>
        <w:trPr>
          <w:trHeight w:val="23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20"/>
                <w:szCs w:val="20"/>
                <w:color w:val="auto"/>
              </w:rPr>
            </w:pPr>
          </w:p>
        </w:tc>
        <w:tc>
          <w:tcPr>
            <w:tcW w:w="11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43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2.3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4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8"/>
                <w:szCs w:val="18"/>
                <w:color w:val="auto"/>
              </w:rPr>
              <w:t>F-45</w:t>
            </w: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type w:val="continuous"/>
        </w:sectPr>
      </w:pPr>
    </w:p>
    <w:bookmarkStart w:id="169" w:name="page170"/>
    <w:bookmarkEnd w:id="1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160" w:type="dxa"/>
            <w:vAlign w:val="bottom"/>
            <w:tcBorders>
              <w:bottom w:val="single" w:sz="8" w:color="auto"/>
            </w:tcBorders>
            <w:gridSpan w:val="9"/>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Thirteen Weeks Ended March 30, 2025</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61"/>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Residential</w:t>
            </w:r>
          </w:p>
        </w:tc>
        <w:tc>
          <w:tcPr>
            <w:tcW w:w="160" w:type="dxa"/>
            <w:vAlign w:val="bottom"/>
          </w:tcPr>
          <w:p>
            <w:pPr>
              <w:spacing w:after="0"/>
              <w:rPr>
                <w:sz w:val="16"/>
                <w:szCs w:val="16"/>
                <w:color w:val="auto"/>
              </w:rPr>
            </w:pPr>
          </w:p>
        </w:tc>
        <w:tc>
          <w:tcPr>
            <w:tcW w:w="1180" w:type="dxa"/>
            <w:vAlign w:val="bottom"/>
            <w:gridSpan w:val="2"/>
          </w:tcPr>
          <w:p>
            <w:pPr>
              <w:jc w:val="center"/>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New</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7"/>
              </w:rPr>
              <w:t>Solar</w:t>
            </w:r>
          </w:p>
        </w:tc>
        <w:tc>
          <w:tcPr>
            <w:tcW w:w="16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Homes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 w:type="dxa"/>
            <w:vAlign w:val="bottom"/>
          </w:tcPr>
          <w:p>
            <w:pPr>
              <w:spacing w:after="0"/>
              <w:rPr>
                <w:sz w:val="21"/>
                <w:szCs w:val="21"/>
                <w:color w:val="auto"/>
              </w:rPr>
            </w:pPr>
          </w:p>
        </w:tc>
        <w:tc>
          <w:tcPr>
            <w:tcW w:w="12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Installation</w:t>
            </w:r>
          </w:p>
        </w:tc>
        <w:tc>
          <w:tcPr>
            <w:tcW w:w="160" w:type="dxa"/>
            <w:vAlign w:val="bottom"/>
          </w:tcPr>
          <w:p>
            <w:pPr>
              <w:spacing w:after="0"/>
              <w:rPr>
                <w:sz w:val="21"/>
                <w:szCs w:val="21"/>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200" w:type="dxa"/>
            <w:vAlign w:val="bottom"/>
          </w:tcPr>
          <w:p>
            <w:pPr>
              <w:spacing w:after="0"/>
              <w:rPr>
                <w:sz w:val="21"/>
                <w:szCs w:val="21"/>
                <w:color w:val="auto"/>
              </w:rPr>
            </w:pP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Dealer</w:t>
            </w:r>
          </w:p>
        </w:tc>
        <w:tc>
          <w:tcPr>
            <w:tcW w:w="100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36,504</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59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Cost of revenues </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2"/>
                <w:szCs w:val="22"/>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22,615</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28,422</w:t>
            </w:r>
          </w:p>
        </w:tc>
        <w:tc>
          <w:tcPr>
            <w:tcW w:w="200" w:type="dxa"/>
            <w:vAlign w:val="bottom"/>
          </w:tcPr>
          <w:p>
            <w:pPr>
              <w:spacing w:after="0"/>
              <w:rPr>
                <w:sz w:val="22"/>
                <w:szCs w:val="22"/>
                <w:color w:val="auto"/>
              </w:rPr>
            </w:pPr>
          </w:p>
        </w:tc>
        <w:tc>
          <w:tcPr>
            <w:tcW w:w="13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commissions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6,667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1,017</w:t>
            </w: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8,522</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90"/>
        </w:trPr>
        <w:tc>
          <w:tcPr>
            <w:tcW w:w="5980" w:type="dxa"/>
            <w:vAlign w:val="bottom"/>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10,440</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4,456</w:t>
            </w:r>
          </w:p>
        </w:tc>
        <w:tc>
          <w:tcPr>
            <w:tcW w:w="200" w:type="dxa"/>
            <w:vAlign w:val="bottom"/>
            <w:shd w:val="clear" w:color="auto" w:fill="CCEEFF"/>
          </w:tcPr>
          <w:p>
            <w:pPr>
              <w:spacing w:after="0"/>
              <w:rPr>
                <w:sz w:val="24"/>
                <w:szCs w:val="24"/>
                <w:color w:val="auto"/>
              </w:rPr>
            </w:pPr>
          </w:p>
        </w:tc>
        <w:tc>
          <w:tcPr>
            <w:tcW w:w="134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10"/>
        </w:trPr>
        <w:tc>
          <w:tcPr>
            <w:tcW w:w="598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Segment operating income (loss)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(11,740</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8,014</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72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(3,726</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98" w:right="339" w:bottom="1440" w:gutter="0" w:footer="0" w:header="0"/>
        </w:sectPr>
      </w:pPr>
    </w:p>
    <w:p>
      <w:pPr>
        <w:spacing w:after="0"/>
        <w:rPr>
          <w:sz w:val="20"/>
          <w:szCs w:val="20"/>
          <w:color w:val="auto"/>
        </w:rPr>
      </w:pPr>
      <w:r>
        <w:rPr>
          <w:rFonts w:ascii="Times New Roman" w:cs="Times New Roman" w:eastAsia="Times New Roman" w:hAnsi="Times New Roman"/>
          <w:sz w:val="17"/>
          <w:szCs w:val="17"/>
          <w:i w:val="1"/>
          <w:iCs w:val="1"/>
          <w:color w:val="auto"/>
        </w:rPr>
        <w:t>Reconciliation of segment income (loss) from operations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Unallocated amounts: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Interest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non-operating income, net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operations before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(6,041)</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14,576</w:t>
      </w:r>
    </w:p>
    <w:p>
      <w:pPr>
        <w:spacing w:after="0" w:line="58" w:lineRule="exact"/>
        <w:rPr>
          <w:sz w:val="20"/>
          <w:szCs w:val="20"/>
          <w:color w:val="auto"/>
        </w:rPr>
      </w:pPr>
    </w:p>
    <w:p>
      <w:pPr>
        <w:ind w:left="700" w:hanging="695"/>
        <w:spacing w:after="0"/>
        <w:tabs>
          <w:tab w:leader="none" w:pos="7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2">
            <w:col w:w="9300" w:space="720"/>
            <w:col w:w="1220"/>
          </w:cols>
          <w:pgMar w:left="320" w:top="698" w:right="339" w:bottom="1440" w:gutter="0" w:footer="0" w:header="0"/>
          <w:type w:val="continuous"/>
        </w:sectPr>
      </w:pPr>
    </w:p>
    <w:p>
      <w:pPr>
        <w:ind w:left="340" w:hanging="332"/>
        <w:spacing w:after="0"/>
        <w:tabs>
          <w:tab w:leader="none" w:pos="340" w:val="left"/>
        </w:tabs>
        <w:numPr>
          <w:ilvl w:val="0"/>
          <w:numId w:val="8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Depreciation and amortization expense in the thirteen week period ended March 30, 2025 was as follows (</w:t>
      </w:r>
      <w:r>
        <w:rPr>
          <w:rFonts w:ascii="Times New Roman" w:cs="Times New Roman" w:eastAsia="Times New Roman" w:hAnsi="Times New Roman"/>
          <w:sz w:val="18"/>
          <w:szCs w:val="18"/>
          <w:i w:val="1"/>
          <w:iCs w:val="1"/>
          <w:color w:val="auto"/>
        </w:rPr>
        <w:t>in millions</w:t>
      </w:r>
      <w:r>
        <w:rPr>
          <w:rFonts w:ascii="Times New Roman" w:cs="Times New Roman" w:eastAsia="Times New Roman" w:hAnsi="Times New Roman"/>
          <w:sz w:val="18"/>
          <w:szCs w:val="18"/>
          <w:color w:val="auto"/>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Residential</w:t>
            </w:r>
          </w:p>
        </w:tc>
        <w:tc>
          <w:tcPr>
            <w:tcW w:w="16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New</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Solar</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Homes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3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Installation</w:t>
            </w:r>
          </w:p>
        </w:tc>
        <w:tc>
          <w:tcPr>
            <w:tcW w:w="160" w:type="dxa"/>
            <w:vAlign w:val="bottom"/>
          </w:tcPr>
          <w:p>
            <w:pPr>
              <w:spacing w:after="0"/>
              <w:rPr>
                <w:sz w:val="21"/>
                <w:szCs w:val="21"/>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200" w:type="dxa"/>
            <w:vAlign w:val="bottom"/>
          </w:tcPr>
          <w:p>
            <w:pPr>
              <w:spacing w:after="0"/>
              <w:rPr>
                <w:sz w:val="21"/>
                <w:szCs w:val="21"/>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Dealer</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Depreciation and amortization classified in:</w:t>
            </w:r>
          </w:p>
        </w:tc>
        <w:tc>
          <w:tcPr>
            <w:tcW w:w="1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r>
      <w:tr>
        <w:trPr>
          <w:trHeight w:val="23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43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1.4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8"/>
                <w:szCs w:val="18"/>
                <w:color w:val="auto"/>
              </w:rPr>
              <w:t>F-46</w:t>
            </w: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8" w:right="339" w:bottom="1440"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color w:val="auto"/>
        </w:rPr>
        <w:t>(17) Related Party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Refer to the following notes to the Company’s unaudited condensed consolidated financial statements for details regarding the related party transactions entered into by the Company; </w:t>
      </w:r>
      <w:r>
        <w:rPr>
          <w:rFonts w:ascii="Times New Roman" w:cs="Times New Roman" w:eastAsia="Times New Roman" w:hAnsi="Times New Roman"/>
          <w:sz w:val="18"/>
          <w:szCs w:val="18"/>
          <w:b w:val="1"/>
          <w:bCs w:val="1"/>
          <w:color w:val="auto"/>
        </w:rPr>
        <w:t>Note 2 – Basis of Presentation and Summary of Significant Accounting Policies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Note 5 – Fair Value Measurements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Note 6 Supplemental Balance Sheet Information; Note 8 – SAFE Agreements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Note 9 – Borrowings and Derivative Liabilities</w:t>
      </w:r>
      <w:r>
        <w:rPr>
          <w:rFonts w:ascii="Times New Roman" w:cs="Times New Roman" w:eastAsia="Times New Roman" w:hAnsi="Times New Roman"/>
          <w:sz w:val="18"/>
          <w:szCs w:val="18"/>
          <w:color w:val="auto"/>
        </w:rPr>
        <w:t>. All other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transactions are described herein.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 with SameDay Solar was $0.5 million and $0.2 million in the thirteen week periods ended March 29, 2026 and March 30,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Control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12, 2026, the Company announced that it has taken the following steps in connection with its efforts to reduce its operating expenses: the Company implemented a reduction in force relating to 115 employees; the Company implemented an across-the-board, four-day workweek until September 2026, the Company reduced its inside sales group from 90 to 15 people, and the Company reduced finance function costs. The Company estimates that the charges related to the reduction in force will approximate $0.3 million, consisting principally of compensation related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Wendell Laidley Resignation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7, 2026, Wendell Laidley resigned from his position as Chief Financial Officer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Deposit by a Related Party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received a deposit of $5.0 million (“Purchase Amount”) from the Rodgers Revocable Trust on March 27, 2026. On April 8, 2026, the Company entered into a SAFE (“Fourth SAFE”) with the Rodgers Revocable Trust in exchange for the $5.0 million received. The Fourth SAFE is automatically convertible into equity securities of the Company in an amount equal to the Purchase Amount divided by the applicable price per share, unit or other increment of the equity securities issued by the Company in its next equity financing transaction.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Seller Note</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b w:val="1"/>
          <w:bCs w:val="1"/>
          <w:color w:val="auto"/>
        </w:rPr>
        <w:t>Note 9 – Borrowings and Derivative Liabilities,</w:t>
      </w:r>
      <w:r>
        <w:rPr>
          <w:rFonts w:ascii="Times New Roman" w:cs="Times New Roman" w:eastAsia="Times New Roman" w:hAnsi="Times New Roman"/>
          <w:sz w:val="18"/>
          <w:szCs w:val="18"/>
          <w:color w:val="auto"/>
        </w:rPr>
        <w:t xml:space="preserve"> as an inducement to the Member’s agreement to the Amendment of the Seller Note, the Amendment also provides that, within two business days following approval by the Company’s stockholders of the issuance of shares under the Sunder MIPA in accordance with applicable Nasdaq rules, the Company will issue the remaining shares of common stock otherwise issuable to the Member pursuant to the Sunder MIPA. On April 8, 2026, the Company issued the remaining shares due under the Seller Note, 6.7 million shares of its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Convertible Senior Secured Notes Offering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Subsequent to the quarter ended March 29, 2026, on April 21, 2026, the Company entered into note purchase agreements in connection with a private offering of $41.0 million aggregate principal amount of 10.0% Convertible Senior Secured Notes due 2029 (the “10% Senior Secured Notes”). The offering included (i) $25.0 million of 10.0% Senior Secured Notes issued to institutional investors, (ii) $6.0 million of 10% Senior Secured Notes issued to an affiliate of the Company’s Chief Executive Officer in exchange for amounts previously advanced under the Third SAFE and Fourth SAFE, and (iii) $10.0 million of 10.0% Senior Secured Notes issued in connection with the exchange of the Seller Note and execution of the A&amp;R Seller Note.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10% Senior Secured Notes mature on May 1, 2029 and bear interest at 10.00% per annum, payable quarterly in arrears beginning July 1, 2026. The 10% Senior Secured Notes are senior secured obligations of the Company and are fully and unconditionally guaranteed by a wholly owned subsidiary. The notes and guarantees are secured by first-priority liens on substantially all of the assets of the Company and the guarantor, subject to permitted liens and specified exceptions.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10% Senior Secured Notes are convertible at the option of the holders into shares of the Company’s common stock at an initial conversion price of approximately $1.64 per share (610.3143 shares of common stock per $1,000 principal amount of the 10% Senior Secured Notes). In addition, following certain corporate events that occur prior to the maturity date of the 10% Senior Secured Notes, the Company will, under certain circumstances, increase the conversion rate of the 10% Senior Secured Notes for a holder who elects to convert its 10% Senior Secured Notes in connection with such a corporate event, subject to a maximum conversion rate of $1.13 per share (884.9557 shares of the Company’s common stock per $1,000 principal amount of 10% Senior Secured Notes). The 10% Senior Secured Notes are not redeemable by the Company and include customary covenants, events of default, and change-of-control repurchase provisions.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1" w:name="page172"/>
    <w:bookmarkEnd w:id="171"/>
    <w:p>
      <w:pPr>
        <w:jc w:val="both"/>
        <w:spacing w:after="0" w:line="256" w:lineRule="auto"/>
        <w:rPr>
          <w:sz w:val="20"/>
          <w:szCs w:val="20"/>
          <w:color w:val="auto"/>
        </w:rPr>
      </w:pPr>
      <w:r>
        <w:rPr>
          <w:rFonts w:ascii="Times New Roman" w:cs="Times New Roman" w:eastAsia="Times New Roman" w:hAnsi="Times New Roman"/>
          <w:sz w:val="18"/>
          <w:szCs w:val="18"/>
          <w:color w:val="auto"/>
        </w:rPr>
        <w:t>The proceeds of the offering of the 10% Senior Secured Notes were used to: (i) prepay $5.0 million principal amount of the March 2026 Bridge Note; (ii) pay $4.75 million pursuant to the Company’s settlement agreement with Siemens (as amended, the “Siemens Settlement”); (iii) pay $4.0 million to CPP in connection with the transactions under the CPP Note Purchase Agreement (as defined below); and (iv) pay approximately $1.5 million of fees and expenses incurred in connection with the Offering. The net proceeds of the Offering, after making the foregoing payments, were approximately $9.75 million. The Company intends to use the net proceeds of the Offering for working capital and general corporate purposes, including the payoff of the remaining outstanding balance of the YA Debenture.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YA Letter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21, 2026, in connection with the offering of the 10% Senior Secured Notes, the Company and YA entered into a letter agreement (the “YA Letter”). Pursuant to the YA Letter, the Company agreed to voluntary prepay $5.0 million of the outstanding principal amount of March 2026 Bridge Note, resulting in a revised outstanding principal balance under the March 2026 Bridge Note of $5.0 million. The Company further agreed to repay the remaining principal balance and accrued interest under the YA Debenture in four equal monthly installments of $1.287 million, with the first payment due on May 5, 2026. Pursuant to the YA Letter, YA further consented to the issuance of the 10% Senior Secured Notes and the grant of the liens to secure the obligations under the 10% Senior Secured Notes.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CPP Note Purchase Agreement and A&amp;R Seller Note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Also on April 21, 2026, the Company entered into a Note Purchase Agreement with CPP (the “CPP Note Purchase Agreement”) that provides for the following in exchange for the outstanding Seller Note (in addition to the issuance of $10.0 million principal amount of 10% Senior Secured Notes to CPP as summarized above): (i) the Company’s payment of $4.0 million in cash to CPP at the closing under the CPP Note Purchase Agreement and (ii) delivery of the A&amp;R Seller Note. The A&amp;R Seller Note has a revised principal balance of $7.0 million and bears interest at 7.0% per annum, compounded quarterly, increasing to 10.0% per annum beginning May 15, 2026. The A&amp;R Seller Note is payable in four installments between October 2026 and January 2027, subject to extension if payment is restricted under the 10% Senior Secured Notes. The A&amp;R Seller Note is unsecured and contains customary events of default and change-of-control provisions.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Siemens Settlement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9, 2026, Siemens and the Company amended the Settlement Agreement. Among other changes, the key terms of the amendment included (i) SunPower’s commitment to pay $4.75 million of the $9.5 million settlement amount by the end of April 2026, (ii) changing the threshold of the Fundraise Provision from $1.0 million to $5.0 million; (iii) putting Siemens’ first-priority continuing security interest pari pasu with the similarly secured interests of the note holders of the 10% Senior Secured Notes; and (iv) changing the acceleration amount in the Fundraise Provision from an acceleration of one remaining quarter to an acceleration of both remaining quarters. The Company made the $4.75 million April payment on April 23,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of 7% Notes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on April 21, 2026, the Company entered into privately negotiated exchange agreements with certain holders of its outstanding 7.0% Notes due 2029. Pursuant to these agreements, $21.25 million principal amount of such notes was exchanged for an aggregate of 18.8 million shares of the Company’s common stock and approximately $0.46 million of cash for accrued interest. The exchanges are expected to reduce outstanding indebtedness and future cash interest obligations, but will increase the number of shares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of September 2024 Notes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to March 29, 2026 $1.0 million of the September 2024 Notes were converted by holders into approximately 0.6 million shares of the Company’s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Delay in Filing of Form 10Q as of and for the thirteen week period ended March 29, 2025</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not filing the March 29, 2026 Form 10-Q within the timeframe by May 18, 2026 as required by the SEC, an event of default occurred under the Yorkville Notes, which results in an increase in the applicable interest rate to 18% (for so long as such event of default remains uncured). Upon filing this Form 10-Q on May 19, 2026 , the event of default was cured.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7180" w:type="dxa"/>
            <w:vAlign w:val="bottom"/>
            <w:gridSpan w:val="6"/>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90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7180" w:type="dxa"/>
            <w:vAlign w:val="bottom"/>
            <w:gridSpan w:val="6"/>
          </w:tcPr>
          <w:p>
            <w:pPr>
              <w:jc w:val="center"/>
              <w:ind w:right="2240"/>
              <w:spacing w:after="0"/>
              <w:rPr>
                <w:sz w:val="20"/>
                <w:szCs w:val="20"/>
                <w:color w:val="auto"/>
              </w:rPr>
            </w:pPr>
            <w:r>
              <w:rPr>
                <w:rFonts w:ascii="Times New Roman" w:cs="Times New Roman" w:eastAsia="Times New Roman" w:hAnsi="Times New Roman"/>
                <w:sz w:val="18"/>
                <w:szCs w:val="18"/>
                <w:b w:val="1"/>
                <w:bCs w:val="1"/>
                <w:color w:val="auto"/>
                <w:w w:val="99"/>
              </w:rPr>
              <w:t>SUNPOWER INC.</w:t>
            </w:r>
          </w:p>
        </w:tc>
        <w:tc>
          <w:tcPr>
            <w:tcW w:w="900" w:type="dxa"/>
            <w:vAlign w:val="bottom"/>
          </w:tcPr>
          <w:p>
            <w:pPr>
              <w:spacing w:after="0"/>
              <w:rPr>
                <w:sz w:val="24"/>
                <w:szCs w:val="24"/>
                <w:color w:val="auto"/>
              </w:rPr>
            </w:pPr>
          </w:p>
        </w:tc>
      </w:tr>
      <w:tr>
        <w:trPr>
          <w:trHeight w:val="439"/>
        </w:trPr>
        <w:tc>
          <w:tcPr>
            <w:tcW w:w="3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3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90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6"/>
        </w:trPr>
        <w:tc>
          <w:tcPr>
            <w:tcW w:w="103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i w:val="1"/>
                <w:iCs w:val="1"/>
                <w:color w:val="0000EE"/>
              </w:rPr>
              <w:t>(PCAOB ID 243)</w:t>
            </w:r>
          </w:p>
        </w:tc>
        <w:tc>
          <w:tcPr>
            <w:tcW w:w="90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F-50</w:t>
            </w:r>
          </w:p>
        </w:tc>
      </w:tr>
      <w:tr>
        <w:trPr>
          <w:trHeight w:val="216"/>
        </w:trPr>
        <w:tc>
          <w:tcPr>
            <w:tcW w:w="316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28, 2025 and December 29, 2024</w:t>
            </w:r>
          </w:p>
        </w:tc>
        <w:tc>
          <w:tcPr>
            <w:tcW w:w="90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F-51</w:t>
            </w:r>
          </w:p>
        </w:tc>
      </w:tr>
      <w:tr>
        <w:trPr>
          <w:trHeight w:val="216"/>
        </w:trPr>
        <w:tc>
          <w:tcPr>
            <w:tcW w:w="316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Loss for the Fiscal Years Ended December 28, 2025 and December 29, 2024</w:t>
            </w:r>
          </w:p>
        </w:tc>
        <w:tc>
          <w:tcPr>
            <w:tcW w:w="90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F-52</w:t>
            </w:r>
          </w:p>
        </w:tc>
      </w:tr>
      <w:tr>
        <w:trPr>
          <w:trHeight w:val="216"/>
        </w:trPr>
        <w:tc>
          <w:tcPr>
            <w:tcW w:w="316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Deficit for the Fiscal Years Ended December 28, 2025 and December 29, 2024</w:t>
            </w:r>
          </w:p>
        </w:tc>
        <w:tc>
          <w:tcPr>
            <w:tcW w:w="90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F-53</w:t>
            </w:r>
          </w:p>
        </w:tc>
      </w:tr>
      <w:tr>
        <w:trPr>
          <w:trHeight w:val="216"/>
        </w:trPr>
        <w:tc>
          <w:tcPr>
            <w:tcW w:w="316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for the Fiscal Years Ended December 28, 2025 and December 29, 2024</w:t>
            </w:r>
          </w:p>
        </w:tc>
        <w:tc>
          <w:tcPr>
            <w:tcW w:w="90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F-54</w:t>
            </w:r>
          </w:p>
        </w:tc>
      </w:tr>
      <w:tr>
        <w:trPr>
          <w:trHeight w:val="216"/>
        </w:trPr>
        <w:tc>
          <w:tcPr>
            <w:tcW w:w="316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90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F-55</w:t>
            </w:r>
          </w:p>
        </w:tc>
      </w:tr>
      <w:tr>
        <w:trPr>
          <w:trHeight w:val="655"/>
        </w:trPr>
        <w:tc>
          <w:tcPr>
            <w:tcW w:w="3160" w:type="dxa"/>
            <w:vAlign w:val="bottom"/>
            <w:tcBorders>
              <w:top w:val="single" w:sz="8" w:color="0000EE"/>
              <w:bottom w:val="single" w:sz="8" w:color="auto"/>
            </w:tcBorders>
          </w:tcPr>
          <w:p>
            <w:pPr>
              <w:spacing w:after="0"/>
              <w:rPr>
                <w:sz w:val="24"/>
                <w:szCs w:val="24"/>
                <w:color w:val="auto"/>
              </w:rPr>
            </w:pPr>
          </w:p>
        </w:tc>
        <w:tc>
          <w:tcPr>
            <w:tcW w:w="7180" w:type="dxa"/>
            <w:vAlign w:val="bottom"/>
            <w:tcBorders>
              <w:top w:val="single" w:sz="8" w:color="CCEEFF"/>
              <w:bottom w:val="single" w:sz="8" w:color="auto"/>
            </w:tcBorders>
            <w:gridSpan w:val="6"/>
          </w:tcPr>
          <w:p>
            <w:pPr>
              <w:jc w:val="center"/>
              <w:ind w:right="2240"/>
              <w:spacing w:after="0"/>
              <w:rPr>
                <w:sz w:val="20"/>
                <w:szCs w:val="20"/>
                <w:color w:val="auto"/>
              </w:rPr>
            </w:pPr>
            <w:r>
              <w:rPr>
                <w:rFonts w:ascii="Times New Roman" w:cs="Times New Roman" w:eastAsia="Times New Roman" w:hAnsi="Times New Roman"/>
                <w:sz w:val="18"/>
                <w:szCs w:val="18"/>
                <w:color w:val="auto"/>
                <w:w w:val="99"/>
              </w:rPr>
              <w:t>F-49</w:t>
            </w:r>
          </w:p>
        </w:tc>
        <w:tc>
          <w:tcPr>
            <w:tcW w:w="9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11" w:right="3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SunPower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Orem, Utah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SunPower Inc. (the “Company”) as of December 28, 2025 and December 29, 2024, the related consolidated statements of operations and comprehensive loss, stockholders’ deficit, and cash flows for the fiscal years then ended, and the related notes collectively referred to as the “consolidated financial statements.” In our opinion, the consolidated financial statements present fairly, in all material respects, the financial position of the Company at December 28, 2025 and December 29, 2024, and the results of its operations and its cash flows for the fiscal years then ended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Uncertainty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suffered recurring losses, and has negative cash flows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14, 2026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SUNPOWER INC.</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b w:val="1"/>
                <w:bCs w:val="1"/>
                <w:i w:val="1"/>
                <w:iCs w:val="1"/>
                <w:color w:val="auto"/>
                <w:w w:val="99"/>
              </w:rPr>
              <w:t>in thousands, except share and per share amounts</w:t>
            </w:r>
            <w:r>
              <w:rPr>
                <w:rFonts w:ascii="Times New Roman" w:cs="Times New Roman" w:eastAsia="Times New Roman" w:hAnsi="Times New Roman"/>
                <w:sz w:val="18"/>
                <w:szCs w:val="18"/>
                <w:b w:val="1"/>
                <w:bCs w:val="1"/>
                <w:color w:val="auto"/>
                <w:w w:val="99"/>
              </w:rPr>
              <w: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8680" w:type="dxa"/>
            <w:vAlign w:val="bottom"/>
          </w:tcPr>
          <w:p>
            <w:pPr>
              <w:spacing w:after="0"/>
              <w:rPr>
                <w:sz w:val="24"/>
                <w:szCs w:val="24"/>
                <w:color w:val="auto"/>
              </w:rPr>
            </w:pPr>
          </w:p>
        </w:tc>
        <w:tc>
          <w:tcPr>
            <w:tcW w:w="134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29,</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9,617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13,378</w:t>
            </w: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Trade accounts receivable, net of allowance for credit losses of $5,206 and $1,701 as of December 28, 2025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29, 2024, respectively</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67,824</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25,842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4,375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16,913</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8,206</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 current portion</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14,122</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26,066</w:t>
            </w: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112,851</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95,602</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4,890</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4,552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1,609</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62,630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18,476</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50,814</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17,385</w:t>
            </w: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241,187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144,466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26,240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80" w:type="dxa"/>
            <w:vAlign w:val="bottom"/>
            <w:shd w:val="clear" w:color="auto" w:fill="CCEEFF"/>
          </w:tcPr>
          <w:p>
            <w:pPr>
              <w:spacing w:after="0"/>
              <w:rPr>
                <w:sz w:val="18"/>
                <w:szCs w:val="18"/>
                <w:color w:val="auto"/>
              </w:rPr>
            </w:pPr>
          </w:p>
        </w:tc>
      </w:tr>
      <w:tr>
        <w:trPr>
          <w:trHeight w:val="257"/>
        </w:trPr>
        <w:tc>
          <w:tcPr>
            <w:tcW w:w="86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Accrued expenses and other current liabilities </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2"/>
                <w:szCs w:val="22"/>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56,977</w:t>
            </w:r>
          </w:p>
        </w:tc>
        <w:tc>
          <w:tcPr>
            <w:tcW w:w="240" w:type="dxa"/>
            <w:vAlign w:val="bottom"/>
          </w:tcPr>
          <w:p>
            <w:pPr>
              <w:spacing w:after="0"/>
              <w:rPr>
                <w:sz w:val="22"/>
                <w:szCs w:val="22"/>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56,081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debt with related parties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21,500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notes payable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2,786</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consideration, current with related party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16,879</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consideration, current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5,420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20,336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SAFE Agreement with related party</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535</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purchase agreement liabilities with related parties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Forward purchase agreement liabilities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3,965</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154,638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79,442</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Warranty provision, noncurrent</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3,059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3,437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4,361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 noncurrent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794</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918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and derivative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120,159</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92,638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and derivative liabilities with related parties, net of current portion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35,130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53,193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1,300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consideration, noncurrent with related party</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5,420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6,470</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10,816</w:t>
            </w: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331,331</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242,005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Authorized 1,000,000,000 shares as of December 28, 2025 and December 29,</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 issued and outstanding 111,334,959 and 73,784,645 shares as of December 28, 2025 and December 29,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366,408</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313,661</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(456,733)</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(411,379)</w:t>
            </w: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(90,144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(97,539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6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241,187</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144,466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8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accrued interest due to related parties of $2.6 million and $2.5 million as of December 28, 2025 and December 29, 2024, respectively, and includes investor financing deposit with related party of $2.0 million as of December 28, 2025.</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812"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SUNPOWER INC.</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 and Comprehensive Loss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b w:val="1"/>
                <w:bCs w:val="1"/>
                <w:i w:val="1"/>
                <w:iCs w:val="1"/>
                <w:color w:val="auto"/>
                <w:w w:val="99"/>
              </w:rPr>
              <w:t>in thousands, except share and per share amounts</w:t>
            </w:r>
            <w:r>
              <w:rPr>
                <w:rFonts w:ascii="Times New Roman" w:cs="Times New Roman" w:eastAsia="Times New Roman" w:hAnsi="Times New Roman"/>
                <w:sz w:val="18"/>
                <w:szCs w:val="18"/>
                <w:b w:val="1"/>
                <w:bCs w:val="1"/>
                <w:color w:val="auto"/>
                <w:w w:val="99"/>
              </w:rPr>
              <w:t>)</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340" w:type="dxa"/>
            <w:vAlign w:val="bottom"/>
            <w:tcBorders>
              <w:top w:val="single" w:sz="8" w:color="auto"/>
            </w:tcBorders>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Cost of revenues </w:t>
            </w:r>
            <w:r>
              <w:rPr>
                <w:rFonts w:ascii="Times New Roman" w:cs="Times New Roman" w:eastAsia="Times New Roman" w:hAnsi="Times New Roman"/>
                <w:sz w:val="29"/>
                <w:szCs w:val="29"/>
                <w:color w:val="auto"/>
                <w:vertAlign w:val="superscript"/>
              </w:rPr>
              <w:t>(1)</w:t>
            </w:r>
          </w:p>
        </w:tc>
        <w:tc>
          <w:tcPr>
            <w:tcW w:w="20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170,788</w:t>
            </w:r>
          </w:p>
        </w:tc>
        <w:tc>
          <w:tcPr>
            <w:tcW w:w="2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69,240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commissions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37,009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29,030</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90,104</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76,594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156,143</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108,011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(68,509</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0"/>
        </w:trPr>
        <w:tc>
          <w:tcPr>
            <w:tcW w:w="86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 xml:space="preserve">Interest expense </w:t>
            </w:r>
            <w:r>
              <w:rPr>
                <w:rFonts w:ascii="Times New Roman" w:cs="Times New Roman" w:eastAsia="Times New Roman" w:hAnsi="Times New Roman"/>
                <w:sz w:val="26"/>
                <w:szCs w:val="26"/>
                <w:color w:val="auto"/>
                <w:vertAlign w:val="superscript"/>
              </w:rPr>
              <w:t>(2)</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(25,095)</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(16,223)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Other non-operating income, net </w:t>
            </w:r>
            <w:r>
              <w:rPr>
                <w:rFonts w:ascii="Times New Roman" w:cs="Times New Roman" w:eastAsia="Times New Roman" w:hAnsi="Times New Roman"/>
                <w:sz w:val="29"/>
                <w:szCs w:val="29"/>
                <w:color w:val="auto"/>
                <w:vertAlign w:val="superscript"/>
              </w:rPr>
              <w:t>(3)</w:t>
            </w:r>
          </w:p>
        </w:tc>
        <w:tc>
          <w:tcPr>
            <w:tcW w:w="200" w:type="dxa"/>
            <w:vAlign w:val="bottom"/>
          </w:tcPr>
          <w:p>
            <w:pPr>
              <w:spacing w:after="0"/>
              <w:rPr>
                <w:sz w:val="22"/>
                <w:szCs w:val="22"/>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9,347</w:t>
            </w:r>
          </w:p>
        </w:tc>
        <w:tc>
          <w:tcPr>
            <w:tcW w:w="2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86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Gain on troubled debt restructuring </w:t>
            </w:r>
            <w:r>
              <w:rPr>
                <w:rFonts w:ascii="Times New Roman" w:cs="Times New Roman" w:eastAsia="Times New Roman" w:hAnsi="Times New Roman"/>
                <w:sz w:val="29"/>
                <w:szCs w:val="29"/>
                <w:color w:val="auto"/>
                <w:vertAlign w:val="superscript"/>
              </w:rPr>
              <w:t>(4)</w:t>
            </w: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22,337</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Other (expense) income, net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(15,745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14,065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(54,444</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Income tax (provision)</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(54,444</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Net loss from discontinued operations, net of taxes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(2,007</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(56,451</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Comprehensive loss (net of tax)</w:t>
            </w: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(45,354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(56,451</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 per share attributable to common stockholders, basic</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operations per share attributable to common stockholders, basic</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attributable to common stockholders, basic</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87,108,928</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66,655,837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 per share attributable to common stockholders, diluted</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operations per share attributable to common stockholders, diluted</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diluted</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attributable to common stockholders’, basic and diluted</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87,108,928</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75,793,548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10" w:lineRule="auto"/>
        <w:tabs>
          <w:tab w:leader="none" w:pos="340" w:val="left"/>
        </w:tabs>
        <w:numPr>
          <w:ilvl w:val="0"/>
          <w:numId w:val="8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The Company identified SameDay Solar as a related party beginning in fiscal 2024. Cost of revenue paid to SameDay Solar totaled $1.0 million and $0.6 million in the fiscal years ended December 28, 2025 and December 29, 2024, respectively. Refer to </w:t>
      </w:r>
      <w:r>
        <w:rPr>
          <w:rFonts w:ascii="Times New Roman" w:cs="Times New Roman" w:eastAsia="Times New Roman" w:hAnsi="Times New Roman"/>
          <w:sz w:val="18"/>
          <w:szCs w:val="18"/>
          <w:b w:val="1"/>
          <w:bCs w:val="1"/>
          <w:color w:val="auto"/>
        </w:rPr>
        <w:t>Note 19 – Related Party Transactions</w:t>
      </w:r>
      <w:r>
        <w:rPr>
          <w:rFonts w:ascii="Times New Roman" w:cs="Times New Roman" w:eastAsia="Times New Roman" w:hAnsi="Times New Roman"/>
          <w:sz w:val="18"/>
          <w:szCs w:val="18"/>
          <w:color w:val="auto"/>
        </w:rPr>
        <w:t xml:space="preserve"> for details.</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8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Includes interest expense and amortization of debt issuance costs due to related parties of $5.7 million and $7.6 million in the fiscal years ended December 28, 2025 and December 29, 2024, respectively. Refer to </w:t>
      </w:r>
      <w:r>
        <w:rPr>
          <w:rFonts w:ascii="Times New Roman" w:cs="Times New Roman" w:eastAsia="Times New Roman" w:hAnsi="Times New Roman"/>
          <w:sz w:val="18"/>
          <w:szCs w:val="18"/>
          <w:b w:val="1"/>
          <w:bCs w:val="1"/>
          <w:color w:val="auto"/>
        </w:rPr>
        <w:t>Note 10 – Borrowings and Derivative Liabilities</w:t>
      </w:r>
      <w:r>
        <w:rPr>
          <w:rFonts w:ascii="Times New Roman" w:cs="Times New Roman" w:eastAsia="Times New Roman" w:hAnsi="Times New Roman"/>
          <w:sz w:val="18"/>
          <w:szCs w:val="18"/>
          <w:color w:val="auto"/>
        </w:rPr>
        <w:t xml:space="preserve"> for details.</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8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Includes the following related party transactions </w:t>
      </w:r>
      <w:r>
        <w:rPr>
          <w:rFonts w:ascii="Times New Roman" w:cs="Times New Roman" w:eastAsia="Times New Roman" w:hAnsi="Times New Roman"/>
          <w:sz w:val="18"/>
          <w:szCs w:val="18"/>
          <w:i w:val="1"/>
          <w:iCs w:val="1"/>
          <w:color w:val="auto"/>
        </w:rPr>
        <w:t>(in millions)</w:t>
      </w:r>
      <w:r>
        <w:rPr>
          <w:rFonts w:ascii="Times New Roman" w:cs="Times New Roman" w:eastAsia="Times New Roman" w:hAnsi="Times New Roman"/>
          <w:sz w:val="18"/>
          <w:szCs w:val="18"/>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3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8680" w:type="dxa"/>
            <w:vAlign w:val="bottom"/>
          </w:tcPr>
          <w:p>
            <w:pPr>
              <w:spacing w:after="0"/>
              <w:rPr>
                <w:sz w:val="16"/>
                <w:szCs w:val="16"/>
                <w:color w:val="auto"/>
              </w:rPr>
            </w:pPr>
          </w:p>
        </w:tc>
        <w:tc>
          <w:tcPr>
            <w:tcW w:w="134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29,</w:t>
            </w:r>
          </w:p>
        </w:tc>
        <w:tc>
          <w:tcPr>
            <w:tcW w:w="100" w:type="dxa"/>
            <w:vAlign w:val="bottom"/>
          </w:tcPr>
          <w:p>
            <w:pPr>
              <w:spacing w:after="0"/>
              <w:rPr>
                <w:sz w:val="16"/>
                <w:szCs w:val="16"/>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issuance of derivative liabilities</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xml:space="preserve">Gain on remeasurement of derivative liabilities (Refer to </w:t>
            </w:r>
            <w:r>
              <w:rPr>
                <w:rFonts w:ascii="Times New Roman" w:cs="Times New Roman" w:eastAsia="Times New Roman" w:hAnsi="Times New Roman"/>
                <w:sz w:val="18"/>
                <w:szCs w:val="18"/>
                <w:b w:val="1"/>
                <w:bCs w:val="1"/>
                <w:color w:val="auto"/>
              </w:rPr>
              <w:t>Note 10 – Borrowings and Derivative Liabilities</w:t>
            </w:r>
            <w:r>
              <w:rPr>
                <w:rFonts w:ascii="Times New Roman" w:cs="Times New Roman" w:eastAsia="Times New Roman" w:hAnsi="Times New Roman"/>
                <w:sz w:val="18"/>
                <w:szCs w:val="18"/>
                <w:color w:val="auto"/>
              </w:rPr>
              <w:t xml:space="preserve"> for</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details.)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78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due to change in fair value of Forward Purchase Agreements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7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on conversion of SAFE Agreements to common stock</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SAFE Agreement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7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Gain due to change in fair value of Carlyle warrants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bl>
    <w:p>
      <w:pPr>
        <w:spacing w:after="0" w:line="175" w:lineRule="exact"/>
        <w:rPr>
          <w:sz w:val="20"/>
          <w:szCs w:val="20"/>
          <w:color w:val="auto"/>
        </w:rPr>
      </w:pPr>
    </w:p>
    <w:p>
      <w:pPr>
        <w:ind w:left="340" w:right="20" w:hanging="332"/>
        <w:spacing w:after="0" w:line="197" w:lineRule="auto"/>
        <w:tabs>
          <w:tab w:leader="none" w:pos="340" w:val="left"/>
        </w:tabs>
        <w:numPr>
          <w:ilvl w:val="0"/>
          <w:numId w:val="8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Gain includes $12.5 million with a related party in the fiscal year ended December 29, 2024. Refer to </w:t>
      </w:r>
      <w:r>
        <w:rPr>
          <w:rFonts w:ascii="Times New Roman" w:cs="Times New Roman" w:eastAsia="Times New Roman" w:hAnsi="Times New Roman"/>
          <w:sz w:val="18"/>
          <w:szCs w:val="18"/>
          <w:b w:val="1"/>
          <w:bCs w:val="1"/>
          <w:color w:val="auto"/>
        </w:rPr>
        <w:t>Note 10 – Borrowings and 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Liabilities </w:t>
      </w:r>
      <w:r>
        <w:rPr>
          <w:rFonts w:ascii="Times New Roman" w:cs="Times New Roman" w:eastAsia="Times New Roman" w:hAnsi="Times New Roman"/>
          <w:sz w:val="18"/>
          <w:szCs w:val="18"/>
          <w:color w:val="auto"/>
        </w:rPr>
        <w:t>for details.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69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8"/>
          <w:szCs w:val="18"/>
          <w:b w:val="1"/>
          <w:bCs w:val="1"/>
          <w:color w:val="auto"/>
        </w:rPr>
        <w:t>SUNPOWER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number of shares</w:t>
      </w:r>
      <w:r>
        <w:rPr>
          <w:rFonts w:ascii="Times New Roman" w:cs="Times New Roman" w:eastAsia="Times New Roman" w:hAnsi="Times New Roman"/>
          <w:sz w:val="18"/>
          <w:szCs w:val="18"/>
          <w:b w:val="1"/>
          <w:bCs w:val="1"/>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20"/>
                <w:szCs w:val="20"/>
                <w:color w:val="auto"/>
              </w:rPr>
            </w:pPr>
          </w:p>
        </w:tc>
        <w:tc>
          <w:tcPr>
            <w:tcW w:w="102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1"/>
                <w:szCs w:val="21"/>
                <w:color w:val="auto"/>
              </w:rPr>
            </w:pPr>
          </w:p>
        </w:tc>
        <w:tc>
          <w:tcPr>
            <w:tcW w:w="2200" w:type="dxa"/>
            <w:vAlign w:val="bottom"/>
            <w:gridSpan w:val="6"/>
            <w:vMerge w:val="restart"/>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1"/>
                <w:szCs w:val="21"/>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6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2200" w:type="dxa"/>
            <w:vAlign w:val="bottom"/>
            <w:gridSpan w:val="6"/>
            <w:vMerge w:val="continue"/>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20"/>
                <w:szCs w:val="20"/>
                <w:color w:val="auto"/>
              </w:rPr>
            </w:pPr>
          </w:p>
        </w:tc>
        <w:tc>
          <w:tcPr>
            <w:tcW w:w="102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112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8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40" w:type="dxa"/>
            <w:vAlign w:val="bottom"/>
          </w:tcPr>
          <w:p>
            <w:pPr>
              <w:spacing w:after="0"/>
              <w:rPr>
                <w:sz w:val="20"/>
                <w:szCs w:val="20"/>
                <w:color w:val="auto"/>
              </w:rPr>
            </w:pPr>
          </w:p>
        </w:tc>
        <w:tc>
          <w:tcPr>
            <w:tcW w:w="102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0" w:type="dxa"/>
            <w:vAlign w:val="bottom"/>
          </w:tcPr>
          <w:p>
            <w:pPr>
              <w:spacing w:after="0"/>
              <w:rPr>
                <w:sz w:val="1"/>
                <w:szCs w:val="1"/>
                <w:color w:val="auto"/>
              </w:rPr>
            </w:pPr>
          </w:p>
        </w:tc>
      </w:tr>
      <w:tr>
        <w:trPr>
          <w:trHeight w:val="216"/>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49,065,361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277,965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(354,928)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(76,813)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398,883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669,059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3,067</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3,067</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warrants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warrants for services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9,179</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9,179</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upon conversion of SAFEs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13,888,889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6,244</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6,250</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common stock warrants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5,343,616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for exchange of debt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2,220</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2,220</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2,918,837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7,144</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7,144</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Modification of Warrant Agreement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7,306</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7,306</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 of reverse recapitalization</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(1,396)</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(56,451)</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(56,451)</w:t>
            </w: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404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line="17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148"/>
        </w:trPr>
        <w:tc>
          <w:tcPr>
            <w:tcW w:w="4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29, 2024</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73,784,645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w:t>
            </w:r>
          </w:p>
        </w:tc>
        <w:tc>
          <w:tcPr>
            <w:tcW w:w="11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313,661</w:t>
            </w: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(411,379</w:t>
            </w:r>
          </w:p>
        </w:tc>
        <w:tc>
          <w:tcPr>
            <w:tcW w:w="22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165</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040" w:type="dxa"/>
            <w:vAlign w:val="bottom"/>
            <w:vMerge w:val="continue"/>
            <w:shd w:val="clear" w:color="auto" w:fill="CCEEFF"/>
          </w:tcPr>
          <w:p>
            <w:pPr>
              <w:spacing w:after="0"/>
              <w:rPr>
                <w:sz w:val="7"/>
                <w:szCs w:val="7"/>
                <w:color w:val="auto"/>
              </w:rPr>
            </w:pPr>
          </w:p>
        </w:tc>
        <w:tc>
          <w:tcPr>
            <w:tcW w:w="112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gridSpan w:val="2"/>
            <w:vMerge w:val="continue"/>
            <w:shd w:val="clear" w:color="auto" w:fill="CCEEFF"/>
          </w:tcPr>
          <w:p>
            <w:pPr>
              <w:spacing w:after="0"/>
              <w:rPr>
                <w:sz w:val="7"/>
                <w:szCs w:val="7"/>
                <w:color w:val="auto"/>
              </w:rPr>
            </w:pPr>
          </w:p>
        </w:tc>
        <w:tc>
          <w:tcPr>
            <w:tcW w:w="1120" w:type="dxa"/>
            <w:vAlign w:val="bottom"/>
            <w:gridSpan w:val="3"/>
            <w:vMerge w:val="continue"/>
            <w:shd w:val="clear" w:color="auto" w:fill="CCEEFF"/>
          </w:tcPr>
          <w:p>
            <w:pPr>
              <w:spacing w:after="0"/>
              <w:rPr>
                <w:sz w:val="7"/>
                <w:szCs w:val="7"/>
                <w:color w:val="auto"/>
              </w:rPr>
            </w:pPr>
          </w:p>
        </w:tc>
        <w:tc>
          <w:tcPr>
            <w:tcW w:w="110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20" w:type="dxa"/>
            <w:vAlign w:val="bottom"/>
            <w:gridSpan w:val="2"/>
            <w:shd w:val="clear" w:color="auto" w:fill="CCEEFF"/>
          </w:tcPr>
          <w:p>
            <w:pPr>
              <w:jc w:val="right"/>
              <w:ind w:right="21"/>
              <w:spacing w:after="0" w:line="68" w:lineRule="exact"/>
              <w:rPr>
                <w:sz w:val="20"/>
                <w:szCs w:val="20"/>
                <w:color w:val="auto"/>
              </w:rPr>
            </w:pPr>
            <w:r>
              <w:rPr>
                <w:rFonts w:ascii="Times New Roman" w:cs="Times New Roman" w:eastAsia="Times New Roman" w:hAnsi="Times New Roman"/>
                <w:sz w:val="7"/>
                <w:szCs w:val="7"/>
                <w:b w:val="1"/>
                <w:bCs w:val="1"/>
                <w:color w:val="auto"/>
              </w:rPr>
              <w:t>(97,539</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Exercise of common stock options</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730,265</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480</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10,488</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10,488</w:t>
            </w:r>
          </w:p>
        </w:tc>
        <w:tc>
          <w:tcPr>
            <w:tcW w:w="0" w:type="dxa"/>
            <w:vAlign w:val="bottom"/>
          </w:tcPr>
          <w:p>
            <w:pPr>
              <w:spacing w:after="0"/>
              <w:rPr>
                <w:sz w:val="1"/>
                <w:szCs w:val="1"/>
                <w:color w:val="auto"/>
              </w:rPr>
            </w:pPr>
          </w:p>
        </w:tc>
      </w:tr>
      <w:tr>
        <w:trPr>
          <w:trHeight w:val="198"/>
        </w:trPr>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Taxes paid related to net share settlements of equity</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(1,898)</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4,632,211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common stock warrants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8"/>
        </w:trPr>
        <w:tc>
          <w:tcPr>
            <w:tcW w:w="4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as consideration for</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businesses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13,577,258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22,192</w:t>
            </w: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22,193</w:t>
            </w: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4,010,000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6,741</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6,741</w:t>
            </w:r>
          </w:p>
        </w:tc>
        <w:tc>
          <w:tcPr>
            <w:tcW w:w="0" w:type="dxa"/>
            <w:vAlign w:val="bottom"/>
          </w:tcPr>
          <w:p>
            <w:pPr>
              <w:spacing w:after="0"/>
              <w:rPr>
                <w:sz w:val="1"/>
                <w:szCs w:val="1"/>
                <w:color w:val="auto"/>
              </w:rPr>
            </w:pPr>
          </w:p>
        </w:tc>
      </w:tr>
      <w:tr>
        <w:trPr>
          <w:trHeight w:val="198"/>
        </w:trPr>
        <w:tc>
          <w:tcPr>
            <w:tcW w:w="4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7.0% senior unsecured convertible</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for shares of common stock</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8,600,580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14,684</w:t>
            </w: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14,685</w:t>
            </w:r>
          </w:p>
        </w:tc>
        <w:tc>
          <w:tcPr>
            <w:tcW w:w="0" w:type="dxa"/>
            <w:vAlign w:val="bottom"/>
          </w:tcPr>
          <w:p>
            <w:pPr>
              <w:spacing w:after="0"/>
              <w:rPr>
                <w:sz w:val="1"/>
                <w:szCs w:val="1"/>
                <w:color w:val="auto"/>
              </w:rPr>
            </w:pPr>
          </w:p>
        </w:tc>
      </w:tr>
      <w:tr>
        <w:trPr>
          <w:trHeight w:val="162"/>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(45,354</w:t>
            </w:r>
          </w:p>
        </w:tc>
        <w:tc>
          <w:tcPr>
            <w:tcW w:w="220" w:type="dxa"/>
            <w:vAlign w:val="bottom"/>
          </w:tcPr>
          <w:p>
            <w:pPr>
              <w:jc w:val="right"/>
              <w:ind w:right="8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4"/>
                <w:szCs w:val="14"/>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4"/>
                <w:szCs w:val="14"/>
                <w:color w:val="auto"/>
              </w:rPr>
            </w:pPr>
          </w:p>
        </w:tc>
        <w:tc>
          <w:tcPr>
            <w:tcW w:w="10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4040" w:type="dxa"/>
            <w:vAlign w:val="bottom"/>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gridSpan w:val="2"/>
          </w:tcPr>
          <w:p>
            <w:pPr>
              <w:jc w:val="right"/>
              <w:ind w:right="21"/>
              <w:spacing w:after="0" w:line="68" w:lineRule="exact"/>
              <w:rPr>
                <w:sz w:val="20"/>
                <w:szCs w:val="20"/>
                <w:color w:val="auto"/>
              </w:rPr>
            </w:pPr>
            <w:r>
              <w:rPr>
                <w:rFonts w:ascii="Times New Roman" w:cs="Times New Roman" w:eastAsia="Times New Roman" w:hAnsi="Times New Roman"/>
                <w:sz w:val="7"/>
                <w:szCs w:val="7"/>
                <w:color w:val="auto"/>
              </w:rPr>
              <w:t>(45,354</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28, 2025</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111,334,959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366,408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(456,733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(90,144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SUNPOWER INC.</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b w:val="1"/>
                <w:bCs w:val="1"/>
                <w:i w:val="1"/>
                <w:iCs w:val="1"/>
                <w:color w:val="auto"/>
                <w:w w:val="99"/>
              </w:rPr>
              <w:t>in thousands, except number of shares</w:t>
            </w:r>
            <w:r>
              <w:rPr>
                <w:rFonts w:ascii="Times New Roman" w:cs="Times New Roman" w:eastAsia="Times New Roman" w:hAnsi="Times New Roman"/>
                <w:sz w:val="18"/>
                <w:szCs w:val="18"/>
                <w:b w:val="1"/>
                <w:bCs w:val="1"/>
                <w:color w:val="auto"/>
                <w:w w:val="99"/>
              </w:rPr>
              <w: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207"/>
        </w:trPr>
        <w:tc>
          <w:tcPr>
            <w:tcW w:w="8680" w:type="dxa"/>
            <w:vAlign w:val="bottom"/>
          </w:tcPr>
          <w:p>
            <w:pPr>
              <w:spacing w:after="0"/>
              <w:rPr>
                <w:sz w:val="18"/>
                <w:szCs w:val="18"/>
                <w:color w:val="auto"/>
              </w:rPr>
            </w:pPr>
          </w:p>
        </w:tc>
        <w:tc>
          <w:tcPr>
            <w:tcW w:w="1340" w:type="dxa"/>
            <w:vAlign w:val="bottom"/>
            <w:tcBorders>
              <w:top w:val="single" w:sz="8" w:color="auto"/>
            </w:tcBorders>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 from continuing operations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(45,354)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(56,451)</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(1,100)</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(2,007)</w:t>
            </w: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from continuing operations, net of tax</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Adjustments to reconcile net loss from continuing operations to net cash used in operating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10,488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3,067</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1,365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816</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9,126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2,736</w:t>
            </w:r>
          </w:p>
        </w:tc>
      </w:tr>
      <w:tr>
        <w:trPr>
          <w:trHeight w:val="257"/>
        </w:trPr>
        <w:tc>
          <w:tcPr>
            <w:tcW w:w="8680" w:type="dxa"/>
            <w:vAlign w:val="bottom"/>
          </w:tcPr>
          <w:p>
            <w:pPr>
              <w:ind w:left="340"/>
              <w:spacing w:after="0" w:line="256" w:lineRule="exact"/>
              <w:rPr>
                <w:sz w:val="20"/>
                <w:szCs w:val="20"/>
                <w:color w:val="auto"/>
              </w:rPr>
            </w:pPr>
            <w:r>
              <w:rPr>
                <w:rFonts w:ascii="Times New Roman" w:cs="Times New Roman" w:eastAsia="Times New Roman" w:hAnsi="Times New Roman"/>
                <w:sz w:val="18"/>
                <w:szCs w:val="18"/>
                <w:color w:val="auto"/>
              </w:rPr>
              <w:t>Amortization of debt issuance costs</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2"/>
                <w:szCs w:val="22"/>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15,341</w:t>
            </w:r>
          </w:p>
        </w:tc>
        <w:tc>
          <w:tcPr>
            <w:tcW w:w="24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5,842</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3,554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9,132</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SAFE Agreements with related party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conversion of SAFE Agreements to shares of common stock with related party</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1,250</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deferred consideration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80" w:type="dxa"/>
            <w:vAlign w:val="bottom"/>
          </w:tcPr>
          <w:p>
            <w:pPr>
              <w:ind w:left="340"/>
              <w:spacing w:after="0" w:line="256" w:lineRule="exact"/>
              <w:rPr>
                <w:sz w:val="20"/>
                <w:szCs w:val="20"/>
                <w:color w:val="auto"/>
              </w:rPr>
            </w:pPr>
            <w:r>
              <w:rPr>
                <w:rFonts w:ascii="Times New Roman" w:cs="Times New Roman" w:eastAsia="Times New Roman" w:hAnsi="Times New Roman"/>
                <w:sz w:val="18"/>
                <w:szCs w:val="18"/>
                <w:color w:val="auto"/>
              </w:rPr>
              <w:t>Loss on issuance of derivative liability</w:t>
            </w:r>
            <w:r>
              <w:rPr>
                <w:rFonts w:ascii="Times New Roman" w:cs="Times New Roman" w:eastAsia="Times New Roman" w:hAnsi="Times New Roman"/>
                <w:sz w:val="29"/>
                <w:szCs w:val="29"/>
                <w:color w:val="auto"/>
                <w:vertAlign w:val="superscript"/>
              </w:rPr>
              <w:t>(2)</w:t>
            </w:r>
          </w:p>
        </w:tc>
        <w:tc>
          <w:tcPr>
            <w:tcW w:w="240" w:type="dxa"/>
            <w:vAlign w:val="bottom"/>
          </w:tcPr>
          <w:p>
            <w:pPr>
              <w:spacing w:after="0"/>
              <w:rPr>
                <w:sz w:val="22"/>
                <w:szCs w:val="22"/>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24,688</w:t>
            </w:r>
          </w:p>
        </w:tc>
      </w:tr>
      <w:tr>
        <w:trPr>
          <w:trHeight w:val="256"/>
        </w:trPr>
        <w:tc>
          <w:tcPr>
            <w:tcW w:w="8680" w:type="dxa"/>
            <w:vAlign w:val="bottom"/>
            <w:shd w:val="clear" w:color="auto" w:fill="CCEEFF"/>
          </w:tcPr>
          <w:p>
            <w:pPr>
              <w:ind w:left="340"/>
              <w:spacing w:after="0" w:line="256" w:lineRule="exact"/>
              <w:rPr>
                <w:sz w:val="20"/>
                <w:szCs w:val="20"/>
                <w:color w:val="auto"/>
              </w:rPr>
            </w:pPr>
            <w:r>
              <w:rPr>
                <w:rFonts w:ascii="Times New Roman" w:cs="Times New Roman" w:eastAsia="Times New Roman" w:hAnsi="Times New Roman"/>
                <w:sz w:val="18"/>
                <w:szCs w:val="18"/>
                <w:color w:val="auto"/>
              </w:rPr>
              <w:t>Change in fair value of derivative liabilities</w:t>
            </w:r>
            <w:r>
              <w:rPr>
                <w:rFonts w:ascii="Times New Roman" w:cs="Times New Roman" w:eastAsia="Times New Roman" w:hAnsi="Times New Roman"/>
                <w:sz w:val="29"/>
                <w:szCs w:val="29"/>
                <w:color w:val="auto"/>
                <w:vertAlign w:val="superscript"/>
              </w:rPr>
              <w:t>(3)</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(11,490)</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(33,986)</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2,800</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(2,921)</w:t>
            </w:r>
          </w:p>
        </w:tc>
      </w:tr>
      <w:tr>
        <w:trPr>
          <w:trHeight w:val="256"/>
        </w:trPr>
        <w:tc>
          <w:tcPr>
            <w:tcW w:w="8680" w:type="dxa"/>
            <w:vAlign w:val="bottom"/>
            <w:shd w:val="clear" w:color="auto" w:fill="CCEEFF"/>
          </w:tcPr>
          <w:p>
            <w:pPr>
              <w:ind w:left="340"/>
              <w:spacing w:after="0" w:line="256" w:lineRule="exact"/>
              <w:rPr>
                <w:sz w:val="20"/>
                <w:szCs w:val="20"/>
                <w:color w:val="auto"/>
              </w:rPr>
            </w:pPr>
            <w:r>
              <w:rPr>
                <w:rFonts w:ascii="Times New Roman" w:cs="Times New Roman" w:eastAsia="Times New Roman" w:hAnsi="Times New Roman"/>
                <w:sz w:val="18"/>
                <w:szCs w:val="18"/>
                <w:color w:val="auto"/>
              </w:rPr>
              <w:t>Change in fair value of forward purchase agreement liabilities</w:t>
            </w:r>
            <w:r>
              <w:rPr>
                <w:rFonts w:ascii="Times New Roman" w:cs="Times New Roman" w:eastAsia="Times New Roman" w:hAnsi="Times New Roman"/>
                <w:sz w:val="29"/>
                <w:szCs w:val="29"/>
                <w:color w:val="auto"/>
                <w:vertAlign w:val="superscript"/>
              </w:rPr>
              <w:t>(4)</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471</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expense in connection with warrants issued for vendor services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9,179</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impairments and disposals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3,827</w:t>
            </w:r>
          </w:p>
        </w:tc>
      </w:tr>
      <w:tr>
        <w:trPr>
          <w:trHeight w:val="257"/>
        </w:trPr>
        <w:tc>
          <w:tcPr>
            <w:tcW w:w="8680" w:type="dxa"/>
            <w:vAlign w:val="bottom"/>
          </w:tcPr>
          <w:p>
            <w:pPr>
              <w:ind w:left="340"/>
              <w:spacing w:after="0" w:line="256" w:lineRule="exact"/>
              <w:rPr>
                <w:sz w:val="20"/>
                <w:szCs w:val="20"/>
                <w:color w:val="auto"/>
              </w:rPr>
            </w:pPr>
            <w:r>
              <w:rPr>
                <w:rFonts w:ascii="Times New Roman" w:cs="Times New Roman" w:eastAsia="Times New Roman" w:hAnsi="Times New Roman"/>
                <w:sz w:val="18"/>
                <w:szCs w:val="18"/>
                <w:color w:val="auto"/>
              </w:rPr>
              <w:t>Non-cash income</w:t>
            </w:r>
            <w:r>
              <w:rPr>
                <w:rFonts w:ascii="Times New Roman" w:cs="Times New Roman" w:eastAsia="Times New Roman" w:hAnsi="Times New Roman"/>
                <w:sz w:val="29"/>
                <w:szCs w:val="29"/>
                <w:color w:val="auto"/>
                <w:vertAlign w:val="superscript"/>
              </w:rPr>
              <w:t>(5)</w:t>
            </w:r>
          </w:p>
        </w:tc>
        <w:tc>
          <w:tcPr>
            <w:tcW w:w="24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(628)</w:t>
            </w:r>
          </w:p>
        </w:tc>
        <w:tc>
          <w:tcPr>
            <w:tcW w:w="24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1,757</w:t>
            </w:r>
          </w:p>
        </w:tc>
      </w:tr>
      <w:tr>
        <w:trPr>
          <w:trHeight w:val="257"/>
        </w:trPr>
        <w:tc>
          <w:tcPr>
            <w:tcW w:w="8680" w:type="dxa"/>
            <w:vAlign w:val="bottom"/>
          </w:tcPr>
          <w:p>
            <w:pPr>
              <w:ind w:left="340"/>
              <w:spacing w:after="0" w:line="256" w:lineRule="exact"/>
              <w:rPr>
                <w:sz w:val="20"/>
                <w:szCs w:val="20"/>
                <w:color w:val="auto"/>
              </w:rPr>
            </w:pPr>
            <w:r>
              <w:rPr>
                <w:rFonts w:ascii="Times New Roman" w:cs="Times New Roman" w:eastAsia="Times New Roman" w:hAnsi="Times New Roman"/>
                <w:sz w:val="18"/>
                <w:szCs w:val="18"/>
                <w:color w:val="auto"/>
              </w:rPr>
              <w:t xml:space="preserve">Gain on troubled debt restructuring </w:t>
            </w:r>
            <w:r>
              <w:rPr>
                <w:rFonts w:ascii="Times New Roman" w:cs="Times New Roman" w:eastAsia="Times New Roman" w:hAnsi="Times New Roman"/>
                <w:sz w:val="29"/>
                <w:szCs w:val="29"/>
                <w:color w:val="auto"/>
                <w:vertAlign w:val="superscript"/>
              </w:rPr>
              <w:t>(6)</w:t>
            </w:r>
          </w:p>
        </w:tc>
        <w:tc>
          <w:tcPr>
            <w:tcW w:w="240" w:type="dxa"/>
            <w:vAlign w:val="bottom"/>
          </w:tcPr>
          <w:p>
            <w:pPr>
              <w:spacing w:after="0"/>
              <w:rPr>
                <w:sz w:val="22"/>
                <w:szCs w:val="22"/>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(22,337)</w:t>
            </w:r>
          </w:p>
        </w:tc>
      </w:tr>
      <w:tr>
        <w:trPr>
          <w:trHeight w:val="257"/>
        </w:trPr>
        <w:tc>
          <w:tcPr>
            <w:tcW w:w="8680" w:type="dxa"/>
            <w:vAlign w:val="bottom"/>
            <w:shd w:val="clear" w:color="auto" w:fill="CCEEFF"/>
          </w:tcPr>
          <w:p>
            <w:pPr>
              <w:ind w:left="340"/>
              <w:spacing w:after="0" w:line="256" w:lineRule="exact"/>
              <w:rPr>
                <w:sz w:val="20"/>
                <w:szCs w:val="20"/>
                <w:color w:val="auto"/>
              </w:rPr>
            </w:pPr>
            <w:r>
              <w:rPr>
                <w:rFonts w:ascii="Times New Roman" w:cs="Times New Roman" w:eastAsia="Times New Roman" w:hAnsi="Times New Roman"/>
                <w:sz w:val="18"/>
                <w:szCs w:val="18"/>
                <w:color w:val="auto"/>
              </w:rPr>
              <w:t>Accretion of debt in CS Solis</w:t>
            </w:r>
            <w:r>
              <w:rPr>
                <w:rFonts w:ascii="Times New Roman" w:cs="Times New Roman" w:eastAsia="Times New Roman" w:hAnsi="Times New Roman"/>
                <w:sz w:val="29"/>
                <w:szCs w:val="29"/>
                <w:color w:val="auto"/>
                <w:vertAlign w:val="superscript"/>
              </w:rPr>
              <w:t>(7)</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3,872</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financing costs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(38,756)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3,306</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assets,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8,472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(21,451)</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38,417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8,654</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(4,871)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(664)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15,251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(15,913)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14,071</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(1,523)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Warranty provision, noncurrent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w:t>
            </w: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(3,139)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82</w:t>
            </w: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 from continuing operations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(15,327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(54,662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 from continuing operations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Capitalization of internal-use-software costs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(1,157)</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(19,339)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(53,500)</w:t>
            </w: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 from continuing operations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(19,339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(54,657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 from continuing operations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convertible notes, net of issuance cost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81,725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convertible notes to related parties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26,000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SAFE agreements with related party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6,741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6,694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warrant for common stock</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Investor financing deposit – related party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(727)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repayment of notes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lease payments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(2,292)</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36"/>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provided by financing activities from continuing operations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Effect of exchange rate changes on cash</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17,219</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6,416</w:t>
            </w:r>
          </w:p>
        </w:tc>
        <w:tc>
          <w:tcPr>
            <w:tcW w:w="100" w:type="dxa"/>
            <w:vAlign w:val="bottom"/>
            <w:tcBorders>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during the year for interest</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7,733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during the year for income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240"/>
          </w:cols>
          <w:pgMar w:left="320" w:top="684" w:right="339" w:bottom="0" w:gutter="0" w:footer="0" w:header="0"/>
        </w:sectPr>
      </w:pPr>
    </w:p>
    <w:bookmarkStart w:id="178" w:name="page179"/>
    <w:bookmarkEnd w:id="1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1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7"/>
        </w:trPr>
        <w:tc>
          <w:tcPr>
            <w:tcW w:w="76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Issuance of Seller Note as partial purchase consideration for acquisition of Sunder</w:t>
            </w:r>
            <w:r>
              <w:rPr>
                <w:rFonts w:ascii="Times New Roman" w:cs="Times New Roman" w:eastAsia="Times New Roman" w:hAnsi="Times New Roman"/>
                <w:sz w:val="29"/>
                <w:szCs w:val="29"/>
                <w:color w:val="auto"/>
                <w:vertAlign w:val="superscript"/>
              </w:rPr>
              <w:t>(8)</w:t>
            </w:r>
          </w:p>
        </w:tc>
        <w:tc>
          <w:tcPr>
            <w:tcW w:w="1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20,000</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as partial consideration for acquisition of Sunder</w:t>
            </w:r>
          </w:p>
        </w:tc>
        <w:tc>
          <w:tcPr>
            <w:tcW w:w="13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5,700</w:t>
            </w: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consideration recognized for acquisition of Sunder</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11,400</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as partial purchase consideration for acquisition of Ambia</w:t>
            </w:r>
          </w:p>
        </w:tc>
        <w:tc>
          <w:tcPr>
            <w:tcW w:w="13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16,493</w:t>
            </w: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consideration recognized for acquisition of Ambia</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16,879</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September 2024 Notes to shares of common stock:</w:t>
            </w:r>
          </w:p>
        </w:tc>
        <w:tc>
          <w:tcPr>
            <w:tcW w:w="1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September 2024 Notes and related derivative liability, net of unamortized debt discount</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14,472</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interest</w:t>
            </w:r>
          </w:p>
        </w:tc>
        <w:tc>
          <w:tcPr>
            <w:tcW w:w="13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w:t>
            </w: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14,684</w:t>
            </w: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issuance costs incurred in connection with the issuance of September 2025 Notes</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1,150</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accrued but unpaid related to net share settlement of equity awards</w:t>
            </w:r>
          </w:p>
        </w:tc>
        <w:tc>
          <w:tcPr>
            <w:tcW w:w="13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1,171</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7"/>
        </w:trPr>
        <w:tc>
          <w:tcPr>
            <w:tcW w:w="76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Cancellation of existing indebtedness in Exchange Agreement</w:t>
            </w:r>
            <w:r>
              <w:rPr>
                <w:rFonts w:ascii="Times New Roman" w:cs="Times New Roman" w:eastAsia="Times New Roman" w:hAnsi="Times New Roman"/>
                <w:sz w:val="29"/>
                <w:szCs w:val="29"/>
                <w:color w:val="auto"/>
                <w:vertAlign w:val="superscript"/>
              </w:rPr>
              <w:t>(9)</w:t>
            </w:r>
          </w:p>
        </w:tc>
        <w:tc>
          <w:tcPr>
            <w:tcW w:w="13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65,873</w:t>
            </w:r>
          </w:p>
        </w:tc>
      </w:tr>
      <w:tr>
        <w:trPr>
          <w:trHeight w:val="256"/>
        </w:trPr>
        <w:tc>
          <w:tcPr>
            <w:tcW w:w="76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Issuance of convertible notes in Exchange Agreement</w:t>
            </w:r>
            <w:r>
              <w:rPr>
                <w:rFonts w:ascii="Times New Roman" w:cs="Times New Roman" w:eastAsia="Times New Roman" w:hAnsi="Times New Roman"/>
                <w:sz w:val="29"/>
                <w:szCs w:val="29"/>
                <w:color w:val="auto"/>
                <w:vertAlign w:val="superscript"/>
              </w:rPr>
              <w:t>(10)</w:t>
            </w:r>
          </w:p>
        </w:tc>
        <w:tc>
          <w:tcPr>
            <w:tcW w:w="136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42,662</w:t>
            </w: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in Exchange Agreement</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2,220</w:t>
            </w: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SAFE Agreements to shares of common stock – related party</w:t>
            </w:r>
          </w:p>
        </w:tc>
        <w:tc>
          <w:tcPr>
            <w:tcW w:w="13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new operating lease liabilities</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 costs</w:t>
            </w:r>
          </w:p>
        </w:tc>
        <w:tc>
          <w:tcPr>
            <w:tcW w:w="13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1,396</w:t>
            </w: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issued in debt issuance</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860</w:t>
            </w:r>
          </w:p>
        </w:tc>
      </w:tr>
      <w:tr>
        <w:trPr>
          <w:trHeight w:val="234"/>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Carlyle Warrant modification – related party</w:t>
            </w:r>
          </w:p>
        </w:tc>
        <w:tc>
          <w:tcPr>
            <w:tcW w:w="13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7,306</w:t>
            </w:r>
          </w:p>
        </w:tc>
      </w:tr>
    </w:tbl>
    <w:p>
      <w:pPr>
        <w:spacing w:after="0" w:line="179" w:lineRule="exact"/>
        <w:rPr>
          <w:sz w:val="20"/>
          <w:szCs w:val="20"/>
          <w:color w:val="auto"/>
        </w:rPr>
      </w:pPr>
    </w:p>
    <w:p>
      <w:pPr>
        <w:ind w:left="340" w:hanging="332"/>
        <w:spacing w:after="0"/>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debt issuance costs includes $2.6 million and $1.6 million with related parties in 2025 and 2024, respectively.</w:t>
      </w:r>
    </w:p>
    <w:p>
      <w:pPr>
        <w:spacing w:after="0" w:line="2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$3.0 million loss in 2024 with the Massey Trust (as later defined in </w:t>
      </w:r>
      <w:r>
        <w:rPr>
          <w:rFonts w:ascii="Times New Roman" w:cs="Times New Roman" w:eastAsia="Times New Roman" w:hAnsi="Times New Roman"/>
          <w:sz w:val="18"/>
          <w:szCs w:val="18"/>
          <w:b w:val="1"/>
          <w:bCs w:val="1"/>
          <w:color w:val="auto"/>
        </w:rPr>
        <w:t>Note 10 – Borrowings and Derivative Liabilities</w:t>
      </w:r>
      <w:r>
        <w:rPr>
          <w:rFonts w:ascii="Times New Roman" w:cs="Times New Roman" w:eastAsia="Times New Roman" w:hAnsi="Times New Roman"/>
          <w:sz w:val="18"/>
          <w:szCs w:val="18"/>
          <w:color w:val="auto"/>
        </w:rPr>
        <w:t>), a related party.</w:t>
      </w:r>
    </w:p>
    <w:p>
      <w:pPr>
        <w:spacing w:after="0" w:line="22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$3.5 gain and $0.3 million gain in 2025 and 2024, respectively, in connection with the change in the fair value of derivative liabilities with related parties, the Massey Trust and Carlyle (as later defined in </w:t>
      </w:r>
      <w:r>
        <w:rPr>
          <w:rFonts w:ascii="Times New Roman" w:cs="Times New Roman" w:eastAsia="Times New Roman" w:hAnsi="Times New Roman"/>
          <w:sz w:val="18"/>
          <w:szCs w:val="18"/>
          <w:b w:val="1"/>
          <w:bCs w:val="1"/>
          <w:color w:val="auto"/>
        </w:rPr>
        <w:t>Note 10 – Borrowings and Derivative Liabilities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forward purchase agreement liabilities with related parties was income of $0.1 million in each of 2025 and 2024, respectively.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non-cash income of $0.1 million in 2025.</w:t>
      </w:r>
    </w:p>
    <w:p>
      <w:pPr>
        <w:spacing w:after="0" w:line="2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Gain includes $12.5 million with a related party in 2024. Refer to </w:t>
      </w:r>
      <w:r>
        <w:rPr>
          <w:rFonts w:ascii="Times New Roman" w:cs="Times New Roman" w:eastAsia="Times New Roman" w:hAnsi="Times New Roman"/>
          <w:sz w:val="18"/>
          <w:szCs w:val="18"/>
          <w:b w:val="1"/>
          <w:bCs w:val="1"/>
          <w:color w:val="auto"/>
        </w:rPr>
        <w:t>Note 10 – Borrowings and Derivative Liabilities</w:t>
      </w:r>
      <w:r>
        <w:rPr>
          <w:rFonts w:ascii="Times New Roman" w:cs="Times New Roman" w:eastAsia="Times New Roman" w:hAnsi="Times New Roman"/>
          <w:sz w:val="18"/>
          <w:szCs w:val="18"/>
          <w:color w:val="auto"/>
        </w:rPr>
        <w:t xml:space="preserve"> for details.</w:t>
      </w:r>
    </w:p>
    <w:p>
      <w:pPr>
        <w:spacing w:after="0" w:line="22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as a related party transaction in 2024.</w:t>
      </w:r>
    </w:p>
    <w:p>
      <w:pPr>
        <w:spacing w:after="0" w:line="2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Issuance of Seller Note was deemed to be with a related party. Refer to </w:t>
      </w:r>
      <w:r>
        <w:rPr>
          <w:rFonts w:ascii="Times New Roman" w:cs="Times New Roman" w:eastAsia="Times New Roman" w:hAnsi="Times New Roman"/>
          <w:sz w:val="18"/>
          <w:szCs w:val="18"/>
          <w:b w:val="1"/>
          <w:bCs w:val="1"/>
          <w:color w:val="auto"/>
        </w:rPr>
        <w:t>Note 10. – Borrowings and Derivative Liabilities</w:t>
      </w:r>
      <w:r>
        <w:rPr>
          <w:rFonts w:ascii="Times New Roman" w:cs="Times New Roman" w:eastAsia="Times New Roman" w:hAnsi="Times New Roman"/>
          <w:sz w:val="18"/>
          <w:szCs w:val="18"/>
          <w:color w:val="auto"/>
        </w:rPr>
        <w:t xml:space="preserve"> for details.</w:t>
      </w:r>
    </w:p>
    <w:p>
      <w:pPr>
        <w:spacing w:after="0" w:line="22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debt cancellation of $37.2 million.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$23.7 million issuance of convertible notes with related parties.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8"/>
          <w:szCs w:val="18"/>
          <w:b w:val="1"/>
          <w:bCs w:val="1"/>
          <w:color w:val="auto"/>
        </w:rPr>
        <w:t>SUNPOWER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SunPower Inc. (“SunPower” or the “Company”) is the rebranded name of Complete Solaria, Inc. (“Complete Solaria”). The rebranding was effective April 22, 2025 and the Company’s legal name change became effective on October 16,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was originally incorporated in Delaware under the name Complete Solaria, Inc. and is a residential solar installer that offers storage and home energy solutions to customers in North America. The Company was formed through Complete Solar Holding Corporation’s acquisition of The Solaria Corporation (“Solaria”). The Company is headquartered in Orem, Utah.</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Complete Solar, Inc. (“Complete Solar”) was incorporated in Delaware on February 22, 2010. Through February 2022, the Company operated as Complete Solar, Inc., a single legal entity. In February 2022, Complete Solar implemented a holding company reorganization (the “Reorganization”) in which the Company created and incorporated Complete Solar Holding Corporation (“Complete Solar Holdings”). As a result of the Reorganization, Complete Solar Holdings became the successor entity to Complete Solar, Inc. Complete Solaria, Inc. (“Complete Solaria”) was formed in November 2022 through the merger of Complete Solar Holding Corporation, a Delaware corporation (“Complete Solar”), and The Solaria Corporation, a Delaware corporation (such entity, “Solaria,” and such transaction, the “Business Combination”).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18, 2023, the Company consummated a series of merger transactions contemplated by an Amended and Restated Business Combination Agreement entered into with wholly-owned subsidiaries of Freedom Acquisition I Corp. (“FACT”) (“Mergers”), equating to a reverse recapitalization for accounting purposes. Under the reverse recapitalization of accounting, FACT was treated as the acquired company for financial statement reporting purposes. This determination was based on the Company having a majority of the voting power of the post-combination company, the Company’s senior management comprising substantially all of the senior management of the post-combination company, and the Company’s operations comprising the ongoing operations of the post-combination company. Accordingly, for accounting purposes, the Mergers were treated as the equivalent of a capital transaction in which Complete Solaria issued stock for the net assets of FACT. The net assets of FACT were stated at historical cost, with no goodwill or other intangible assets recorded.</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operates on a 52-to-53-week fiscal year that ends on the Sunday closest to December 31. The Company’s fiscal years ended on December 28, 2025 (“2025”) and December 29, 2024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and Divestitures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2023, the Company completed the sale of its solar panel business (“Divestiture”). The Company determined that the Divestiture represented a strategic shift in the Company’s business and qualified as a discontinued operation for accounting purposes. The Company recognized losses from discontinued operations in its consolidated statements of operations and comprehensive loss and consolidated statements of cash flows related to the Divestiture of $1.1 million and $2.0 million in the fiscal years ended December 28, 2025 and December 29, 2024, respectively. The additional losses recognized in 2025 and 2024 related to legal expenses incurred in connection with litigation related to its former solar panel business.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the fiscal year ended December 29, 2024, the Company completed the acquisition of certain assets relating to the Blue Raven Solar business, New Homes business and Non-Installing Dealer network (collectively the “SunPower Businesses”) from SunPower Debtors, the successor entity in bankruptcy to SunPower Corporation and its direct and indirect subsidiaries (collectively “SunPower Corporation”). In the fiscal year ended December 28, 2025, the Company completed the acquisitions of Sunder Energy, LLC and Ambia Energy LLC. Each of these acquisitions was accounted for as business combinations in accordance with Accounting Standards Codification (“ASC”) 805,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xml:space="preserve"> Refer to </w:t>
      </w:r>
      <w:r>
        <w:rPr>
          <w:rFonts w:ascii="Times New Roman" w:cs="Times New Roman" w:eastAsia="Times New Roman" w:hAnsi="Times New Roman"/>
          <w:sz w:val="18"/>
          <w:szCs w:val="18"/>
          <w:b w:val="1"/>
          <w:bCs w:val="1"/>
          <w:color w:val="auto"/>
        </w:rPr>
        <w:t>Note 3 – Business Combinations</w:t>
      </w:r>
      <w:r>
        <w:rPr>
          <w:rFonts w:ascii="Times New Roman" w:cs="Times New Roman" w:eastAsia="Times New Roman" w:hAnsi="Times New Roman"/>
          <w:sz w:val="18"/>
          <w:szCs w:val="18"/>
          <w:color w:val="auto"/>
        </w:rPr>
        <w:t xml:space="preserve"> for details of these transactions.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Since inception through the fiscal year ended December 28, 2025, the Company has incurred recurring losses and negative cash flows from operations. The Company’s net loss from continuing operations was $44.3 million in the fiscal year ended December 28, 2025. As of December 28, 2025, the Company had an accumulated deficit of $456.7 million, short-term debt of $24.3 million, and cash and cash equivalents, excluding restricted cash, of $9.6 million. The Company anticipates that operating losses and negative operating cash flows may continue in the near term.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actively pursuing plans to mitigate these conditions, including obtaining additional capital resources through equity or debt financing and leveraging support from significant shareholders when necessary. The Company has financed its operations primarily through sales of equity securities, private placements, debt, issuance of convertible notes and other debt instruments, other financing instruments, cash from operations, and proceeds from the Mergers.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did not file its Annual Report on Form 10-K for the fiscal year ended December 29, 2024 within the timeframe required by the SEC, its Quarterly Report on Form 10Q for the quarter ended September 28, 2025 or the amendment required to the Current Report originally filed on September 26, 2025 relating to the Sunder acquisition. As a result, the Company is not currently eligible to use a registration statement on Form S-3 that would allow it to continuously incorporate by reference its SEC reports into the registration statement, to use “shelf” registration statements to conduct offerings, or to use the at-the-market offering facility until approximately one year from the date that the Company has regained and maintained status as a current filer. Aside from a “shelf” registration, the Company has alternative financing options and may seek additional liquidity through the use of a Form S-1 registration statement and or private placements.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Company is not able to secure adequate additional funding when needed, the Company will need to reevaluate its operating plan and may be forced to make reductions in spending, extend payment terms with suppliers, liquidate assets where possible, or suspend or curtail planned programs or cease operations entirely. These actions could materially impact the Company’s business, results of operations and future prospects. While the Company has been able to raise multiple rounds of financing, there can be no assurance that in the event the Company requires additional financing, such financing will be available on terms that are favorable, or at all. Failure to generate sufficient cash flows from operations, raise additional capital or reduce certain discretionary spending would have a material adverse effect on the Company’s ability to achieve its intended business objectives.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Therefore, there is substantial doubt about the Company’s ability to continue as a going concern within one year after the date that the consolidated financial statements are issued. The accompanying consolidated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have been prepared in accordance with generally accepted accounting principles (“U.S. GAAP”) and pursuant to the rules and regulations of the Securities and Exchange Commission (“SEC”). The consolidated financial statements include the accounts of the Company and its wholly-owned subsidiaries. All material intercompany balances and transactions have been eliminated in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and assumptions that affect the reported amounts of assets, liabilities, revenues, expenses, as well as related disclosure of contingent assets and liabilities. Significant estimates and assumptions made by management include, but are not limited to, the determination of (i) the allowance for credit losses; (ii) inventory obsolescence; (iii) stock-based compensation; (iv) workmanship warranty; (v) intangible assets acquired in business combinations; (vi) forward purchase agreements; (vii) Simple Agreement for Future Equity (“SAFE”) Agreements, (viii) derivative liabilities; and (ix) warrant liabilities.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financial condition or operating results may be affected to the extent that there are material differences between estimates and actual results. The Company bases its estimates on past experience and other assumptions that the Company believes are reasonable under the circumstances, and the Company evaluates these estimates on an ongoing basis. The Company has assessed the impact and management is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 of prior year balances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reclassified long-term operating lease liabilities of $2.3 million from Operating lease liabilities, net of current portion to Other long-term liabilities to conform to the current year’s presentation.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segment information is presented on a basis that is consistent with the Company’s internal management reporting. The Company’s Chief Executive Officer (“CEO”) is the Chief Operating Decision Maker (“CODM”). The CODM manages the Company and reports financial results based on three reportable segments which are the same as the Company’s operating segments. The CODM evaluates the performance of these reportable segments and allocates resources to make operating decisions based on certain financial information, including segment operating results prepared on a basis consistent with U.S. GAAP. The measurement criteria is based on each respective segment’s operating revenue and operating (loss) income and excludes any corporate costs which are not allocatable to the operating segments. The CODM’s measurement criteria does not include segment assets. For the periods presented, the Company reported its financial performance within three reportable segments; Residential Solar Installation, New Homes Business and Dealer.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Residential Solar Installation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segment performs solar system, storage and battery installations for residential homeowners.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Homes Business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segment performs solar system installations for new home builders. This segment was new in fiscal year 2024 as a result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acquisition of the SunPower Businesses in the fourth quarter of fiscal year 2024.</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Dealer – </w:t>
      </w:r>
      <w:r>
        <w:rPr>
          <w:rFonts w:ascii="Times New Roman" w:cs="Times New Roman" w:eastAsia="Times New Roman" w:hAnsi="Times New Roman"/>
          <w:sz w:val="18"/>
          <w:szCs w:val="18"/>
          <w:color w:val="auto"/>
        </w:rPr>
        <w:t>This segment provides a third-party solar energy sales force to initiate and execute contracts with customers throughout the United States.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segment’s sales force works with solar installation companies and acts as the agent for each transaction entered. This segment is new in fiscal year 2025 as a result of the acquisition of Sunder.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exposed to credit losses in the event of nonperformance by the counterparties to its financial and derivative instruments. Financial and derivative instruments that potentially subject the Company to concentrations of credit risk are primarily cash and cash equivalents, restricted cash and cash equivalents, accounts receivable, and contract assets. The Company’s cash and cash equivalents are on deposit with major financial institutions. Such deposits may be in excess of insured limits. The Company believes that the financial institutions that hold the Company’s cash are financially sound, and accordingly, minimum credit risk exists with respect to these balances. The Company has not experienced any losses due to institutional failure or bankruptcy. The Company performs credit evaluations of its customers and generally does not require collateral for sales on credit.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held in checking and savings accounts consisting of highly liquid securities with maturity dates of three months or less from the original date of purchase. The Company maintains the majority of its cash balances with commercial banks in interest bearing accounts. The Company considers all highly liquid securities that mature within three months or less from the original date of purchase to be cash equivalents.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classifies all cash for which usage is limited by contractual provisions as restricted cash. Restricted cash consists of deposits in money market accounts, which is used as cash collateral backing letters of credit related to customs duty authorities’ requirements. The Company presents restricted cash as a noncurrent asset in its consolidated balance sheets. The Company reconciles cash, cash equivalents, and restricted cash reported on its consolidated balance sheets that aggregate to the beginning and ending balances shown on the Company’s consolidated statements of cash flows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8680" w:type="dxa"/>
            <w:vAlign w:val="bottom"/>
          </w:tcPr>
          <w:p>
            <w:pPr>
              <w:spacing w:after="0"/>
              <w:rPr>
                <w:sz w:val="18"/>
                <w:szCs w:val="18"/>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13,378</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3,841</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Customers – homeowners and financiers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28, 2025, one customer had an outstanding balance that represented 11% of the Company’s outstanding trade receivable balance. As of December 28, 2024, no customer had an outstanding balance that represented more than 10% of the Company’s total trade accounts receivable balance.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defines major customers as those customers which generate revenues that exceed 10% of the Company’s annual net revenues by reportable segment. In fiscal 2025 Customer A accounted for 19% of revenues across the Residential Solar Installation and New Homes reportable segments. In fiscal year 2024, Customer A and Customer B accounted for 12% and 14%, respectively, of gross revenues. Customer A generates revenue across the Residential Solar Installation and New Homes reportable segments. Customer B generated revenue within the New Homes reportable segment.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is recognized for the Residential Solar Installation and New Homes Business reportable segments when a customer obtains control of promised products and services and the Company has satisfied its performance obligations which is the date by which substantially all of its design and installation is complete for a fully functioning solar power system to interconnect to the local power grid.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3" w:name="page184"/>
    <w:bookmarkEnd w:id="183"/>
    <w:p>
      <w:pPr>
        <w:jc w:val="both"/>
        <w:spacing w:after="0" w:line="266" w:lineRule="auto"/>
        <w:rPr>
          <w:sz w:val="20"/>
          <w:szCs w:val="20"/>
          <w:color w:val="auto"/>
        </w:rPr>
      </w:pPr>
      <w:r>
        <w:rPr>
          <w:rFonts w:ascii="Times New Roman" w:cs="Times New Roman" w:eastAsia="Times New Roman" w:hAnsi="Times New Roman"/>
          <w:sz w:val="18"/>
          <w:szCs w:val="18"/>
          <w:color w:val="auto"/>
        </w:rPr>
        <w:t>Installation includes the design of a solar energy system, the delivery of the components of the solar energy system (i.e., photovoltaic system, inverter, battery storage, etc.), installation services and services facilitating the connection of the solar energy system to the power grid. The Company accounts for these services as inputs to a combined output, resulting in a single service-based performance obligation.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entering into a sales contract within the Dealer reportable segment, the requisite performance obligation of the Company is to assist the customer in the progress of the installation and obtain Permission to Operate (“PTO”). PTO typically occurs within 3 to 6 months after the initial sale, but can happen as early as two months or as late as twelve months after the sale.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reflects the consideration which the Company expects to be entitled to receive in exchange for the products and services. To achieve this core principle, the Company applies the following five steps: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1. Identification of the contract(s) with a customer;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2. Identification of the performance obligations in the contracts(s);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3. Determination of the transaction price;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4. Allocation of the transaction price to the performance obligations;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5. Recognition of the revenue when, or as, the Company satisfies a performance obligation.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is generally recognized at the transaction price contained within the agreement, net of the costs of financing, or other consideration paid to the customers that is not in exchange for a distinct good or service. The Company’s arrangements may contain clauses that can either increase or decrease the transaction price. Variable consideration is estimated at each measurement date at its most likely amount to the extent that it is probable that a significant reversal of cumulative revenue recognized will not occur and true-ups are applied prospectively as such estimates change.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provide incentives to its customers, such as discounts and rebates which are recorded net against the revenue that the Company has recognized related to the solar energy system sale.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deferred revenue for amounts invoiced that are received in advance of the provisioning of services. In certain contracts with customers, the Company arranges for a third-party financing partner to provide financing to the customer. The Company collects upfront from the financing partner and the customer will provide instalment payments to the financing partner. The Company records revenue in the amount received from the financing partner, net of any financing fees charged to the homeowner, which the Company considers to be a customer incentive. None of the Company’s contracts contain a significant financing component.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Residential Solar Installation revenues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Residential Solar Installation segment sells products through a network of installing and non-installing dealers and resellers, as well as its internal sales team. The Company’s contracts with customers include three primary contract types:</w:t>
      </w:r>
    </w:p>
    <w:p>
      <w:pPr>
        <w:spacing w:after="0" w:line="160" w:lineRule="exact"/>
        <w:rPr>
          <w:sz w:val="20"/>
          <w:szCs w:val="20"/>
          <w:color w:val="auto"/>
        </w:rPr>
      </w:pPr>
    </w:p>
    <w:p>
      <w:pPr>
        <w:jc w:val="both"/>
        <w:ind w:left="660" w:hanging="328"/>
        <w:spacing w:after="0" w:line="267"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agreements </w:t>
      </w:r>
      <w:r>
        <w:rPr>
          <w:rFonts w:ascii="Times New Roman" w:cs="Times New Roman" w:eastAsia="Times New Roman" w:hAnsi="Times New Roman"/>
          <w:sz w:val="18"/>
          <w:szCs w:val="18"/>
          <w:color w:val="auto"/>
        </w:rPr>
        <w:t>– The Company contracts directly with homeowners who purchase the solar energy system and related services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Customers are invoiced on a billing schedule, where the majority of the transaction price is due upon installation with an additional payment due when the system passes inspection by the authority having jurisdiction.</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Financing partner agreements </w:t>
      </w:r>
      <w:r>
        <w:rPr>
          <w:rFonts w:ascii="Times New Roman" w:cs="Times New Roman" w:eastAsia="Times New Roman" w:hAnsi="Times New Roman"/>
          <w:sz w:val="18"/>
          <w:szCs w:val="18"/>
          <w:color w:val="auto"/>
        </w:rPr>
        <w:t>– In its financing partner agreements, the Company contracts directly with homeowners for the purchase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solar energy system and related services. The Company refers the homeowner to a financing partner to finance the system, and the homeowner makes payments directly to the financing partner. The Company receives consideration from the financing partner on a billing schedule where the majority of the transaction price is due upon installation with an additional payment due when the system passes inspection by the authority having jurisdiction.</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Power purchase agreements and lease agreements </w:t>
      </w:r>
      <w:r>
        <w:rPr>
          <w:rFonts w:ascii="Times New Roman" w:cs="Times New Roman" w:eastAsia="Times New Roman" w:hAnsi="Times New Roman"/>
          <w:sz w:val="18"/>
          <w:szCs w:val="18"/>
          <w:color w:val="auto"/>
        </w:rPr>
        <w:t>– The Company contracts directly with a leasing partner to perform the solar energy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installation, and the homeowner will finance the system through a power purchase agreement (or lease), which is signed with the Company’s leasing partner. The Company considers the leasing partner to be its customer, as the Company does not contract directly with the homeowner and the leasing partner takes ownership of the system upon the completion of installation. The Company receives consideration from the leasing partner on a billing schedule where the majority of the transaction price is due upon installation with an additional payment due when the system passes inspection by the authority having jurisdiction.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i w:val="1"/>
          <w:iCs w:val="1"/>
          <w:color w:val="auto"/>
        </w:rPr>
        <w:t>New Homes Business revenues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New Homes Business segment sells through a network of home builders as well as its internal sales team. The Company’s contracts with customers include two primary contract types:</w:t>
      </w:r>
    </w:p>
    <w:p>
      <w:pPr>
        <w:spacing w:after="0" w:line="160" w:lineRule="exact"/>
        <w:rPr>
          <w:sz w:val="20"/>
          <w:szCs w:val="20"/>
          <w:color w:val="auto"/>
        </w:rPr>
      </w:pPr>
    </w:p>
    <w:p>
      <w:pPr>
        <w:ind w:left="660" w:hanging="328"/>
        <w:spacing w:after="0" w:line="284"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agreements </w:t>
      </w:r>
      <w:r>
        <w:rPr>
          <w:rFonts w:ascii="Times New Roman" w:cs="Times New Roman" w:eastAsia="Times New Roman" w:hAnsi="Times New Roman"/>
          <w:sz w:val="18"/>
          <w:szCs w:val="18"/>
          <w:color w:val="auto"/>
        </w:rPr>
        <w:t>– The Company contracts directly with homebuilders who purchase the solar energy system from the Company and 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in the transaction. The Company’s customers are invoiced upon the completion of installation.</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Lease agreements </w:t>
      </w:r>
      <w:r>
        <w:rPr>
          <w:rFonts w:ascii="Times New Roman" w:cs="Times New Roman" w:eastAsia="Times New Roman" w:hAnsi="Times New Roman"/>
          <w:sz w:val="18"/>
          <w:szCs w:val="18"/>
          <w:color w:val="auto"/>
        </w:rPr>
        <w:t>– Prior to SunPower Debtor’s declaration of bankruptcy, certain homeowners had intended to lease a system from SunPower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Debtors but were unable to consummate the transaction (as a result of SunPower Debtor’s declaration of bankruptcy). The in-process system inventory (installed on recently constructed homes) was acquired by the Company in connection with the SunPower Acquisition. The Company contracted directly with a leasing partner to facilitate the leasing of the system to the impacted homeowners. The Company considers the leasing partner to be its customer. Under the terms of the Company’s arrangement with the leasing partner, control is not transferred to the customer until the completed system is accepted by the customer. The Company receives consideration from the leasing partner following the acceptance of the system.</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performance obligation for both of these reportable segments is to design and install a fully functioning solar energy system. For all contract types (with the exception of New Homes Business Lease agreements), the Company recognizes revenue over time. The Company’s over-time revenue recognition begins when the solar power system is fully installed (as it is at this point that control of the asset begins to be transferred to the customer, and the customer retains the significant risks and rewards of ownership of the solar power system). The Company recognizes revenue using the input method based on direct costs to install the system and defers the costs of installation until such time that control of the asset transfers to the customer (installation). For New Homes Business Lease agreements, the Company considers the performance obligation to be satisfied at a point in time upon acceptance of the system by the customer.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Dealer revenues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earns revenue from contracts sold to customers for solar installations performed by third-party installation companies. The Company recognizes revenue at a point in time when PTO is complete. The Company acts as an agent in these arrangements and records revenue on a net basis. The Company does not have any significant financing components in these contracts. The Company does not provide warranty services related to these sales contracts, and therefore, the Company does not record a warranty reserve with respect to these sales contracts.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Contracts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incremental costs of obtaining customer contracts consist of sales commissions which are paid to third-parties who source residential customer contracts for the sale of solar energy systems by the Company. The Company defers sales commissions and recognizes the expense in accordance with the timing of the related revenue recognition. Amortization of deferred commissions is recorded as sales commissions in the accompanying consolidated statements of operations and comprehensive loss. As of December 28, 2025 deferred commissions was $5.6 million. Deferred commissions were not material as of December 29, 2024.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Contract Liabilities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revenue (contract assets), and deferred revenue (contract liabilities) on the balance sheet.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consist of unbilled receivables which represent revenue that has been recognized in advance of the Company’s right to bill the customer.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consist of deferred revenue and customer advances, which represent consideration received from a customer prior to transferring control of goods or services to the customer under the terms of a sales contract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typically invoices its customers upon completion of set milestones, generally upon installation of the solar energy system with the remaining balance invoiced upon passing final building inspection. Standard payment terms to customers range from 30 to 60 days. When the Company receives payment, or when such payment is unconditionally due from a customer prior to delivering goods or services to the customer under the terms of a customer agreement, the Company records this deferred revenue as a contract liability. Most installation projects are completed within 12-months. As such, a significant portion of the Company’s contract liabilities is reflected within current liabilities in the accompanying consolidated balance sheets. Contract liabilities for installation projects expected to be completed beyond 12 months are classified as noncurrent obligations in the accompanying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elected the practical expedient not to disclose the remaining performance obligations for contracts that are less than one year in length. The Company’s performance obligations associated with long-term service contracts are not 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Estimated Credit losses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recognizes an allowance for credit losses at the time a receivable is recorded based on the Company’s estimate of expected credit losses, historical write-off experience, and current account knowledge. In developing its estimate of expected credit losses, the Company has elected to apply the practical expedient permitted under Accounting Standards Codification (“ASC”) 326 –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under which it assumes that current conditions at the balance-sheet date remain unchanged for the remaining life of the financial assets.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evaluates the aggregation and risk characteristics of a receivable pool and develops loss rates that reflect historical collections over the time horizon that the Company is exposed to credit risk, and payment terms or conditions that may materially affect future forecasts.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performs ongoing credit evaluations of its customers’ financial condition when deemed necessary. The Company maintains an allowance for credit losses based on the expected collectability of all accounts receivable, which takes into consideration an analysis of historical bad debts, specific customer creditworthiness and current economic trends. The Company believes that its concentration of credit risk is limited because of the large number of customers, credit quality of the customer base, small account balances for most of these customers, and customer geographic diversification. The Company does not have any off-balance sheet credit exposure relating to its customers.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following table summarizes the allowance for credit losses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As of and for the Year Ended</w:t>
            </w:r>
          </w:p>
        </w:tc>
      </w:tr>
      <w:tr>
        <w:trPr>
          <w:trHeight w:val="207"/>
        </w:trPr>
        <w:tc>
          <w:tcPr>
            <w:tcW w:w="8680" w:type="dxa"/>
            <w:vAlign w:val="bottom"/>
          </w:tcPr>
          <w:p>
            <w:pPr>
              <w:spacing w:after="0"/>
              <w:rPr>
                <w:sz w:val="18"/>
                <w:szCs w:val="18"/>
                <w:color w:val="auto"/>
              </w:rPr>
            </w:pPr>
          </w:p>
        </w:tc>
        <w:tc>
          <w:tcPr>
            <w:tcW w:w="1340" w:type="dxa"/>
            <w:vAlign w:val="bottom"/>
            <w:tcBorders>
              <w:top w:val="single" w:sz="8" w:color="auto"/>
            </w:tcBorders>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gridSpan w:val="2"/>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3"/>
              </w:rPr>
              <w:t>(1,701)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(9,846)</w:t>
            </w:r>
          </w:p>
        </w:tc>
        <w:tc>
          <w:tcPr>
            <w:tcW w:w="1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Provision charged to earnings</w:t>
            </w:r>
          </w:p>
        </w:tc>
        <w:tc>
          <w:tcPr>
            <w:tcW w:w="100" w:type="dxa"/>
            <w:vAlign w:val="bottom"/>
          </w:tcPr>
          <w:p>
            <w:pPr>
              <w:spacing w:after="0"/>
              <w:rPr>
                <w:sz w:val="18"/>
                <w:szCs w:val="18"/>
                <w:color w:val="auto"/>
              </w:rPr>
            </w:pPr>
          </w:p>
        </w:tc>
        <w:tc>
          <w:tcPr>
            <w:tcW w:w="12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(3,554)</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(9,132)</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written off, net of recoveries and other adjustments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17,277</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ind w:left="560"/>
              <w:spacing w:after="0" w:line="203" w:lineRule="exact"/>
              <w:rPr>
                <w:sz w:val="20"/>
                <w:szCs w:val="20"/>
                <w:color w:val="auto"/>
              </w:rPr>
            </w:pPr>
            <w:r>
              <w:rPr>
                <w:rFonts w:ascii="Times New Roman" w:cs="Times New Roman" w:eastAsia="Times New Roman" w:hAnsi="Times New Roman"/>
                <w:sz w:val="18"/>
                <w:szCs w:val="18"/>
                <w:color w:val="auto"/>
                <w:w w:val="94"/>
              </w:rPr>
              <w:t>(5,206</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(1,701</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fiscal year 2024, the Company identified customer accounts receivable balances that were deemed to be uncollectible, which were reserved and written off.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Inventories consist of solar panels and the components of solar energy systems all of which are classified as finished goods within inventories as of December 28, 2025 and December 29, 2024. Inventories are valued using the average cost method. The Company identifies inventory which is considered obsolete or in excess of anticipated demand based on a consideration of marketability and product life cycle stage, component cost trends, demand forecasts, historical revenues, and assumptions about future demand and market conditions, and such inventory has been adjusted to its lower of cost or net realizable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costs to fulfill contracts associated with systems sales are expensed as cost of revenues. Cost of revenues is comprised primarily of materials, internal labor, third-party subcontractors, design services, engineering personnel and employee-related expenses associated with permitting services, associated warranty costs, freight and delivery costs, depreciation, and amortization of internally developed software. Cost of revenues from these services is recognized when the Company transfers control of the product to the customer, which is generally upon installation.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typically provides a 10-year warranty on its solar energy system installations, which provides assurance over the workmanship in performing the installation, including roof leaks caused by the Company’s performance. For solar panel sales recognized prior to the Divestiture, the Company provides a 30-year warranty that the products will be free from defects in material and workmanship. The Company retained its warranty obligations associated with panel sales prior to the Divestiture.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revenue is recognized for a solar energy system installation service, the Company accrues a liability for the estimated future cost of meeting its warranty obligations. The Company makes and revises its estimated warranty liability based primarily on the volume of new sales that contain warranties, historical experience with and projections of warranty claims, and estimated solar energy system and panel replacement costs. The Company records a provision for estimated warranty expenses in cost of revenues within the accompanying consolidated statements of operations and comprehensive loss. Warranty costs primarily consist of replacement materials, equipment and labor costs for service personnel.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When assets are retired or disposed of, the cost and accumulated depreciation are removed from the accounts, and any resulting gain or loss is recognized in that period. Repair and maintenance costs are expensed as incurred. Depreciation and amortization are calculated using the straight-line method over the following estimated useful lives of the assets: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60" w:type="dxa"/>
            <w:vAlign w:val="bottom"/>
            <w:tcBorders>
              <w:bottom w:val="single" w:sz="8" w:color="CCEEFF"/>
            </w:tcBorders>
          </w:tcPr>
          <w:p>
            <w:pPr>
              <w:spacing w:after="0"/>
              <w:rPr>
                <w:sz w:val="21"/>
                <w:szCs w:val="21"/>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4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 – 3 years</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Internal-use software</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 5 years</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&amp; equipment</w:t>
            </w:r>
          </w:p>
        </w:tc>
        <w:tc>
          <w:tcPr>
            <w:tcW w:w="4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 5 years</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to 5 years</w:t>
            </w:r>
          </w:p>
        </w:tc>
      </w:tr>
      <w:tr>
        <w:trPr>
          <w:trHeight w:val="216"/>
        </w:trPr>
        <w:tc>
          <w:tcPr>
            <w:tcW w:w="6860" w:type="dxa"/>
            <w:vAlign w:val="bottom"/>
            <w:shd w:val="clear" w:color="auto" w:fill="CF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380" w:type="dxa"/>
            <w:vAlign w:val="bottom"/>
            <w:shd w:val="clear" w:color="auto" w:fill="CFEEFF"/>
          </w:tcPr>
          <w:p>
            <w:pPr>
              <w:jc w:val="center"/>
              <w:spacing w:after="0"/>
              <w:rPr>
                <w:sz w:val="20"/>
                <w:szCs w:val="20"/>
                <w:color w:val="auto"/>
              </w:rPr>
            </w:pPr>
            <w:r>
              <w:rPr>
                <w:rFonts w:ascii="Times New Roman" w:cs="Times New Roman" w:eastAsia="Times New Roman" w:hAnsi="Times New Roman"/>
                <w:sz w:val="18"/>
                <w:szCs w:val="18"/>
                <w:color w:val="auto"/>
                <w:w w:val="99"/>
              </w:rPr>
              <w:t>Shorter of 3 to 5 years of the asset or the term of the lease.</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capitalizes costs to develop its internal-use software when preliminary development efforts are successfully completed, management has authorized and committed project funding, it is probable that the project will be completed, and the software will be utilized as intended. These costs include personnel and related employee benefits and expenses for employees who are directly associated with and who devote time to software projects, and external direct costs of materials and services consumed in developing or obtaining software. Costs incurred prior to meeting these criteria, together with costs incurred for training and maintenance, are expensed as incurred. Costs incurred for enhancements that are expected to provide additional material functionality are capitalized and amortized over the estimated useful life of the related upgrade.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Amortization is recorded using the straight-line method. All intangible assets that have been determined to have definite lives are amortized over their estimated useful life as indicated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40" w:type="dxa"/>
            <w:vAlign w:val="bottom"/>
            <w:tcBorders>
              <w:bottom w:val="single" w:sz="8" w:color="CCEEFF"/>
            </w:tcBorders>
          </w:tcPr>
          <w:p>
            <w:pPr>
              <w:spacing w:after="0"/>
              <w:rPr>
                <w:sz w:val="21"/>
                <w:szCs w:val="21"/>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related intangibles</w:t>
            </w:r>
          </w:p>
        </w:tc>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 – 10 years</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 10 years</w:t>
            </w:r>
          </w:p>
        </w:tc>
      </w:tr>
      <w:tr>
        <w:trPr>
          <w:trHeight w:val="216"/>
        </w:trPr>
        <w:tc>
          <w:tcPr>
            <w:tcW w:w="7440" w:type="dxa"/>
            <w:vAlign w:val="bottom"/>
            <w:shd w:val="clear" w:color="auto" w:fill="CF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3800" w:type="dxa"/>
            <w:vAlign w:val="bottom"/>
            <w:shd w:val="clear" w:color="auto" w:fill="CFEEFF"/>
          </w:tcPr>
          <w:p>
            <w:pPr>
              <w:jc w:val="center"/>
              <w:spacing w:after="0"/>
              <w:rPr>
                <w:sz w:val="20"/>
                <w:szCs w:val="20"/>
                <w:color w:val="auto"/>
              </w:rPr>
            </w:pPr>
            <w:r>
              <w:rPr>
                <w:rFonts w:ascii="Times New Roman" w:cs="Times New Roman" w:eastAsia="Times New Roman" w:hAnsi="Times New Roman"/>
                <w:sz w:val="18"/>
                <w:szCs w:val="18"/>
                <w:color w:val="auto"/>
                <w:w w:val="99"/>
              </w:rPr>
              <w:t>2 – 3 years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Long-lived assets, such as property and equipment, Right-of-Use (“ROU”) assets, and intangible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and quoted market values, as considered necessary.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 recognized an impairment loss of zero and $3.8 million in the fiscal years ended December 28, 2025 and December 29, 2024, respectively, as disclosed in </w:t>
      </w:r>
      <w:r>
        <w:rPr>
          <w:rFonts w:ascii="Times New Roman" w:cs="Times New Roman" w:eastAsia="Times New Roman" w:hAnsi="Times New Roman"/>
          <w:sz w:val="18"/>
          <w:szCs w:val="18"/>
          <w:b w:val="1"/>
          <w:bCs w:val="1"/>
          <w:color w:val="auto"/>
        </w:rPr>
        <w:t>Note 6 – Supplemental Balance Sheet Information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tests goodwill at the reporting unit level for impairment annually on the first day of the fourth quarter, or more frequently if an event occurs or circumstances change that would more likely than not reduce the fair value of the reporting unit below its carrying amount.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8" w:name="page189"/>
    <w:bookmarkEnd w:id="188"/>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elect to perform a qualitative assessment that considers economic, industry and company-specific factors. If, after completing the assessment, it is determined that it is more likely than not that the fair value of a reporting unit is less than its carrying value, the Company proceeds to a quantitative test. Quantitative testing requires a comparison of the fair value of each reporting unit to its carrying value. If the carrying value of the reporting unit exceeds its fair value, goodwill impairment is measured as the amount by which the reporting unit’s carrying value exceeds its fair value, not to exceed the carrying value of goodwill.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recognize any goodwill impairment in the fiscal years ended December 28, 2025 or December 29,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considering market participant assumptions in fair value measurements, the following fair value hierarchy distinguishes between observable and unobservable inputs, which are categorized in one of the following levels:</w:t>
      </w:r>
    </w:p>
    <w:p>
      <w:pPr>
        <w:spacing w:after="0" w:line="162" w:lineRule="exact"/>
        <w:rPr>
          <w:sz w:val="20"/>
          <w:szCs w:val="20"/>
          <w:color w:val="auto"/>
        </w:rPr>
      </w:pPr>
    </w:p>
    <w:p>
      <w:pPr>
        <w:ind w:left="660" w:hanging="328"/>
        <w:spacing w:after="0" w:line="282"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Unadjusted quoted prices in active markets for identical assets or liabilities accessible to the reporting entity at the measurement date.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inputs that are observable for the asset or liability, either directly or indirectly, for substantially the full term of the asset or liability.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Unobservable inputs for the asset or liability used to measure fair value to the extent that observable inputs are not available, thereby allowing for situations in which there is little, if any, market activity for the asset or liability at the measurement date.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assets and liabilities held by the Company measured at fair value every reporting period include cash and cash equivalents, accounts receivable, accounts payable, accrued expenses, warrant liabilities, forward purchase agreements (“FPAs”), SAFEs, deferred purchase price consideration, and derivative liabilities associated with the Company’s borrowings.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amounts of cash, accounts receivable, accounts payable, accrued expenses and other current liabilities, public warrants, and deferred purchase price consideration approximate their respective fair values because of their short-term nature or they have observable inputs (classified as Level 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derivative liabilities associated with the Company’s borrowings, FPAs, SAFEs, and private and working capital warrant liabilities are initially measured at fair value using Level 3 inputs. At each subsequent reporting date, the Company remeasures the fair value of these instruments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and records the respective adjustment to the fair value within Other non-operating income, net the Company’s consolidated statements of operations and comprehensive loss.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Borrowings with Embedded Derivative Liabilities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its borrowings with embedded derivative liabilities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to determine whether such features must be bifurcated and accounted for separately as derivative liabilities. Upon issuance of a debt instrument with an embedded conversion option feature, the Company assesses whether the embedded feature qualifies as a derivative that requires bifurcation from the host contract. An embedded feature is bifurcated and accounted for as a separate derivative instrument if (i) the economic characteristics and risks of the embedded feature are not clearly and closely related to those of the host debt instrument; (ii) the embedded feature, if freestanding, would meet the definition of a derivative; and (iii) the hybrid instrument is not remeasured at fair value through earnings.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9" w:name="page190"/>
    <w:bookmarkEnd w:id="189"/>
    <w:p>
      <w:pPr>
        <w:jc w:val="both"/>
        <w:spacing w:after="0" w:line="282" w:lineRule="auto"/>
        <w:rPr>
          <w:sz w:val="20"/>
          <w:szCs w:val="20"/>
          <w:color w:val="auto"/>
        </w:rPr>
      </w:pPr>
      <w:r>
        <w:rPr>
          <w:rFonts w:ascii="Times New Roman" w:cs="Times New Roman" w:eastAsia="Times New Roman" w:hAnsi="Times New Roman"/>
          <w:sz w:val="18"/>
          <w:szCs w:val="18"/>
          <w:color w:val="auto"/>
        </w:rPr>
        <w:t>If an embedded feature requires bifurcation, the Company allocates a portion of the initial proceeds to the fair value of the derivative liability, with the residual assigned to the carrying amount of the host debt instrument. The derivative liability is subsequently measured at fair value at each reporting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host debt instrument is recorded at amortized cost using the effective interest method. Any discounts or premiums resulting from the initial allocation between the host debt and the embedded derivative are amortized as interest expense over the expected term of the debt.</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Derivative liabilities are measured at fair value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The fair value of a derivative liability is measured using a Monte Carlo simulation that incorporates a binomial lattice model. Refer to </w:t>
      </w:r>
      <w:r>
        <w:rPr>
          <w:rFonts w:ascii="Times New Roman" w:cs="Times New Roman" w:eastAsia="Times New Roman" w:hAnsi="Times New Roman"/>
          <w:sz w:val="18"/>
          <w:szCs w:val="18"/>
          <w:b w:val="1"/>
          <w:bCs w:val="1"/>
          <w:color w:val="auto"/>
        </w:rPr>
        <w:t>Note 5 – Fair Value Measurements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Note 10 – Borrowings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Derivative Liabilities </w:t>
      </w:r>
      <w:r>
        <w:rPr>
          <w:rFonts w:ascii="Times New Roman" w:cs="Times New Roman" w:eastAsia="Times New Roman" w:hAnsi="Times New Roman"/>
          <w:sz w:val="18"/>
          <w:szCs w:val="18"/>
          <w:color w:val="auto"/>
        </w:rPr>
        <w:t>for details.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 Purchase Agreements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its FPAs in accordance with the guidance in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 the agreements embody an obligation to transfer assets to settle a forward contract. The FPAs are measured at fair value at inception and at each reporting date in accordance with the guidance in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Refer to </w:t>
      </w:r>
      <w:r>
        <w:rPr>
          <w:rFonts w:ascii="Times New Roman" w:cs="Times New Roman" w:eastAsia="Times New Roman" w:hAnsi="Times New Roman"/>
          <w:sz w:val="18"/>
          <w:szCs w:val="18"/>
          <w:b w:val="1"/>
          <w:bCs w:val="1"/>
          <w:color w:val="auto"/>
        </w:rPr>
        <w:t>Note 5 – Fair Value Measurements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Note 8 – Forward Purchase Agreements</w:t>
      </w:r>
      <w:r>
        <w:rPr>
          <w:rFonts w:ascii="Times New Roman" w:cs="Times New Roman" w:eastAsia="Times New Roman" w:hAnsi="Times New Roman"/>
          <w:sz w:val="18"/>
          <w:szCs w:val="18"/>
          <w:color w:val="auto"/>
        </w:rPr>
        <w:t xml:space="preserve"> for details.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its warrant liabilities in accordance with the guidance in ASC 815-40, </w:t>
      </w:r>
      <w:r>
        <w:rPr>
          <w:rFonts w:ascii="Times New Roman" w:cs="Times New Roman" w:eastAsia="Times New Roman" w:hAnsi="Times New Roman"/>
          <w:sz w:val="18"/>
          <w:szCs w:val="18"/>
          <w:i w:val="1"/>
          <w:iCs w:val="1"/>
          <w:color w:val="auto"/>
        </w:rPr>
        <w:t>Derivatives and Hedging – Contracts in Entity’s 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under which the warrants that do not meet the criteria for equity classification must be recorded as liabilities. The warrant liabilities are measured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fair value at inception and at each reporting date in accordance with the guidance in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Refer to </w:t>
      </w:r>
      <w:r>
        <w:rPr>
          <w:rFonts w:ascii="Times New Roman" w:cs="Times New Roman" w:eastAsia="Times New Roman" w:hAnsi="Times New Roman"/>
          <w:sz w:val="18"/>
          <w:szCs w:val="18"/>
          <w:b w:val="1"/>
          <w:bCs w:val="1"/>
          <w:color w:val="auto"/>
        </w:rPr>
        <w:t>Note 5 –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Measurements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Note 14 – Common Stock and Common Stock Warrants </w:t>
      </w:r>
      <w:r>
        <w:rPr>
          <w:rFonts w:ascii="Times New Roman" w:cs="Times New Roman" w:eastAsia="Times New Roman" w:hAnsi="Times New Roman"/>
          <w:sz w:val="18"/>
          <w:szCs w:val="18"/>
          <w:color w:val="auto"/>
        </w:rPr>
        <w:t>for details.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 Agreements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its SAFEs in accordance with the guidance in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SAFEs are measured at fair value at inception and at each reporting date in accordance with the guidance in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Refer to </w:t>
      </w:r>
      <w:r>
        <w:rPr>
          <w:rFonts w:ascii="Times New Roman" w:cs="Times New Roman" w:eastAsia="Times New Roman" w:hAnsi="Times New Roman"/>
          <w:sz w:val="18"/>
          <w:szCs w:val="18"/>
          <w:b w:val="1"/>
          <w:bCs w:val="1"/>
          <w:color w:val="auto"/>
        </w:rPr>
        <w:t>Note 5 –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Measurements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Note 9 – SAFE Agreements </w:t>
      </w:r>
      <w:r>
        <w:rPr>
          <w:rFonts w:ascii="Times New Roman" w:cs="Times New Roman" w:eastAsia="Times New Roman" w:hAnsi="Times New Roman"/>
          <w:sz w:val="18"/>
          <w:szCs w:val="18"/>
          <w:color w:val="auto"/>
        </w:rPr>
        <w:t>for details.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Promotion Expenses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Advertising and promotion costs are expensed as incurred and included in sales and marketing expense in the accompanying consolidated statements of operations and comprehensive loss. Advertising costs were not material for the fiscal years ended December 28, 2025 and December 29,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Income taxes are accounted for under the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A valuation allowance is established when it is more likely than not that the deferred tax assets with not be realized. The Company recognizes the effect of income tax positions only if those positions are more likely than not to be sustained. The Company recognizes accrued interest and penalties, if any, related to unrecognized tax benefits in its income tax provision.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0" w:name="page191"/>
    <w:bookmarkEnd w:id="190"/>
    <w:p>
      <w:pPr>
        <w:jc w:val="both"/>
        <w:spacing w:after="0" w:line="266" w:lineRule="auto"/>
        <w:rPr>
          <w:sz w:val="20"/>
          <w:szCs w:val="20"/>
          <w:color w:val="auto"/>
        </w:rPr>
      </w:pPr>
      <w:r>
        <w:rPr>
          <w:rFonts w:ascii="Times New Roman" w:cs="Times New Roman" w:eastAsia="Times New Roman" w:hAnsi="Times New Roman"/>
          <w:sz w:val="18"/>
          <w:szCs w:val="18"/>
          <w:color w:val="auto"/>
        </w:rPr>
        <w:t>On July 4, 2025, Public Law No. 119-21, commonly known as the One Big Beautiful Bill Act (the “OBBBA”), was enacted in the United States, resulting in broad-based changes to federal tax law. The Company included the impact of OBBBA in its income tax provision for the fiscal year ended December 28, 2025. The OBBBA did not have a material impact on income tax expense for the fiscal year ended December 28,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stock-based compensation expense over the requisite service period on a straight- line basis for all stock-based payments that are expected to vest to employees, non-employees and Directors, including grants of employee stock options and other stock-based awards. Equity-classified awards issued to employees, non-employees such as consultants and non-employee Directors are measured at the grant-date fair value of the award. Forfeitures are recognized as they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loss consists of two components, net loss and other comprehensive income (loss), net.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computes net loss per share following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Basic net loss per share is measured as the loss attributable to common stockholders divided by the weighted average common shares outstanding during periods with undistributed losses. Diluted net loss per share of common stock is computed by dividing the net loss attributable to common stockholders by the weighted-average number of common share equivalents outstanding for the period determined using the treasury-stock method and if-converted method, as applicable. Securities that potentially have an anti-dilutive effect (i.e., those that increase income per share or decrease loss per share) are excluded from the diluted loss per share calculation.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its leases following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determines if a contract is a lease or contains a lease at the inception of the contract and reassesses that conclusion if the contract is modified. ROU assets represent the Company’s right to use an underlying asset for the lease term and lease liabilities represent its obligation to make lease payments arising from the lease.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lease agreements generally contain lease and non-lease components. Payments under lease arrangements are primarily fixed. The Company has elected the practical expedient to combine lease and non-lease components and accounts for them together as a single lease component. All leases are assessed for classification as an operating lease or a finance lease. Finance lease ROU assets are classified within Property and Equipment, net, on the Company’s consolidated balance sheets. Operating lease ROU assets are classified separately on the Company’s consolidated balance sheets. Operating lease liabilities and finance lease obligations are separated into their respective current portion and non-current portions and are presented separately on the Company’s consolidated balance sheets. Finance lease ROU assets and liabilities and operating lease ROU assets and liabilities are recognized on the Company’s consolidated balance sheet on the date in which the lessor makes the underlying asset available for use.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Finance lease ROU assets are those that meet one or more of the criteria outlined in ASC 842-10-25-2, such as transfer of ownership, purchase option, lease term for a major part of the asset’s economic life, or present value of lease payments substantially equal to the fair value of the asset. Finance lease ROU assets are initially measured at cost, which includes the initial lease liability, plus any lease payments made at or before commencement, less any lease incentives received. Finance lease ROU assets are amortized on a straight-line basis over the shorter of the lease term or the useful life of the underlying asset. Interest expense on the finance lease liability is recognized using the effective interest method.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1" w:name="page192"/>
    <w:bookmarkEnd w:id="191"/>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 ROU assets and liabilities are recognized based upon the present value of the lease payments over the respective lease term. Operating lease expense is recognized on a straight-line basis over the lease term, subject to any changes in the lease or expectation regarding the terms. Variable lease costs such as common area maintenance, property taxes and insurance are expensed as incurred.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generally uses its incremental borrowing rate to discount the lease payments to present value. The estimated incremental borrowing rate is derived from information available at the lease commencement date. The Company’s lease terms include periods under options to extend or terminate the lease. Options to renew or extend leases beyond their initial term have been excluded from measurement of the ROU assets and lease liabilities when exercise of such options is not reasonably certain. The Company generally uses the base, non-cancellable, lease term when determining the lease assets and liabilities. The Company records a right-of-use asset which is calculated based on the amount of the lease liability, adjusted for any advance lease payments made, lease incentives received, and initial direct costs incurred. Right-of-use assets are subject to evaluation for impairment or disposal on a basis consistent with other long-lived assets.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elected, for all classes of underlying assets, not to recognize ROU assets and lease liabilities for leases with an initial term of twelve months or less. The cost for short-term leases is recognized on a straight-line basis over the term of the contract.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July 2025, the Financial Accounting Standards Board (“FASB”) issued Accounting Standards Update (“ASU”) 2025-05 </w:t>
      </w:r>
      <w:r>
        <w:rPr>
          <w:rFonts w:ascii="Times New Roman" w:cs="Times New Roman" w:eastAsia="Times New Roman" w:hAnsi="Times New Roman"/>
          <w:sz w:val="18"/>
          <w:szCs w:val="18"/>
          <w:i w:val="1"/>
          <w:iCs w:val="1"/>
          <w:color w:val="auto"/>
        </w:rPr>
        <w:t>“Measurement of 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Accounts Receivable and Contract Assets” </w:t>
      </w:r>
      <w:r>
        <w:rPr>
          <w:rFonts w:ascii="Times New Roman" w:cs="Times New Roman" w:eastAsia="Times New Roman" w:hAnsi="Times New Roman"/>
          <w:sz w:val="18"/>
          <w:szCs w:val="18"/>
          <w:color w:val="auto"/>
        </w:rPr>
        <w:t>which provides an update to all entities with a practical expedient when estimating expected credit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ASU is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Company adopted ASU 2025-05 in the fiscal year ended December 28, 2025. The impact of the adoption was not material to the Company’s consolidated financial statements.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objective of ASU 2023-09 is to enhance disclosures related to income taxes, including specific thresholds for inclusion within the tabular disclosure of income tax rate reconciliation and specified information about income taxes paid. ASU 2023-09 is effective for public companies starting in annual periods beginning after December 15, 2024. The Company adopted this ASU on a prospective basis in its annual report in the fiscal year ended December 28, 2025. The impact of the adoption was not material to the Company’s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Adopted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March 2024, the FASB issued ASU 2024-02 </w:t>
      </w:r>
      <w:r>
        <w:rPr>
          <w:rFonts w:ascii="Times New Roman" w:cs="Times New Roman" w:eastAsia="Times New Roman" w:hAnsi="Times New Roman"/>
          <w:sz w:val="18"/>
          <w:szCs w:val="18"/>
          <w:i w:val="1"/>
          <w:iCs w:val="1"/>
          <w:color w:val="auto"/>
        </w:rPr>
        <w:t>“Codification Improvements-Amendments to Remove References to the Concepts Statements”</w:t>
      </w:r>
      <w:r>
        <w:rPr>
          <w:rFonts w:ascii="Times New Roman" w:cs="Times New Roman" w:eastAsia="Times New Roman" w:hAnsi="Times New Roman"/>
          <w:sz w:val="18"/>
          <w:szCs w:val="18"/>
          <w:color w:val="auto"/>
        </w:rPr>
        <w:t>, which removes various references to concepts statements from the FASB Accounting Standards Codification. This ASU is effective for the Company beginning in the first quarter of fiscal year 2026, with early adoption permitted. The Company expects the new guidance will have an immaterial impact on its consolidated financial statements and intends to adopt the guidance when it becomes effective in the first quarter of fiscal year 2026.</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Disaggregation of Income Statement Expenses”, </w:t>
      </w:r>
      <w:r>
        <w:rPr>
          <w:rFonts w:ascii="Times New Roman" w:cs="Times New Roman" w:eastAsia="Times New Roman" w:hAnsi="Times New Roman"/>
          <w:sz w:val="18"/>
          <w:szCs w:val="18"/>
          <w:color w:val="auto"/>
        </w:rPr>
        <w:t>which requires the disaggregation of certain expenses in the notes of the financial statements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provide enhanced transparency into the expense captions presented on the face of the income statement. The FASB subsequently issued ASU 2025-01 </w:t>
      </w:r>
      <w:r>
        <w:rPr>
          <w:rFonts w:ascii="Times New Roman" w:cs="Times New Roman" w:eastAsia="Times New Roman" w:hAnsi="Times New Roman"/>
          <w:sz w:val="18"/>
          <w:szCs w:val="18"/>
          <w:i w:val="1"/>
          <w:iCs w:val="1"/>
          <w:color w:val="auto"/>
        </w:rPr>
        <w:t>“Income Statement-Reporting Comprehensive Income-Expense Disaggregation Disclosures (Subtopic 220-40): Clarifying the Effective Date”</w:t>
      </w:r>
      <w:r>
        <w:rPr>
          <w:rFonts w:ascii="Times New Roman" w:cs="Times New Roman" w:eastAsia="Times New Roman" w:hAnsi="Times New Roman"/>
          <w:sz w:val="18"/>
          <w:szCs w:val="18"/>
          <w:color w:val="auto"/>
        </w:rPr>
        <w: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amends the effective date of ASU 2024-03 to clarify that all public business entities are required to adopt the guidance in ASU 2024-03 in annual reporting periods beginning after December 15, 2026, and interim periods within annual reporting periods beginning after December 15, 2027. Early adoption of ASU 2024-03 is permitted. The Company is assessing the impact of adopting this guidance on its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2" w:name="page193"/>
    <w:bookmarkEnd w:id="192"/>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2024-04, “</w:t>
      </w:r>
      <w:r>
        <w:rPr>
          <w:rFonts w:ascii="Times New Roman" w:cs="Times New Roman" w:eastAsia="Times New Roman" w:hAnsi="Times New Roman"/>
          <w:sz w:val="18"/>
          <w:szCs w:val="18"/>
          <w:i w:val="1"/>
          <w:iCs w:val="1"/>
          <w:color w:val="auto"/>
        </w:rPr>
        <w:t>Debt-Debt with Conversion and Other Options (Subtopic 470-20) (“ASU 2024-04”)”</w:t>
      </w:r>
      <w:r>
        <w:rPr>
          <w:rFonts w:ascii="Times New Roman" w:cs="Times New Roman" w:eastAsia="Times New Roman" w:hAnsi="Times New Roman"/>
          <w:sz w:val="18"/>
          <w:szCs w:val="18"/>
          <w:color w:val="auto"/>
        </w:rPr>
        <w:t>. The guidance in ASU 2024-04 clarifies the requirements related to accounting for the settlement of a debt instrument as an induced conversion. The standard is effective for fiscal years beginning after December 15, 2025, and interim periods within fiscal years beginning after December 15, 2025, with early adoption permitted as of the beginning of a reporting period if the entity has also adopted ASU 2020-06 for that period. The Company is currently evaluating the impact that the adoption of ASU 2024-04 may have on its consolidated financial statements.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“Targeted improvements to the Accounting for Internal-Use Software”</w:t>
      </w:r>
      <w:r>
        <w:rPr>
          <w:rFonts w:ascii="Times New Roman" w:cs="Times New Roman" w:eastAsia="Times New Roman" w:hAnsi="Times New Roman"/>
          <w:sz w:val="18"/>
          <w:szCs w:val="18"/>
          <w:color w:val="auto"/>
        </w:rPr>
        <w:t xml:space="preserve"> which is an update to remove all references to prescriptive and sequential software development stages (referred to as “project stages”). This ASU is effective for all entities for annual reporting periods beginning after December 15, 2027, and interim reporting periods within those annual reporting periods. Early adoption is permitted as of the beginning of an annual reporting period. The Company is currently evaluating the impact that the adoption of ASU 2025-06 may have on its consolidated financial statements.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Narrow Scope Improvements”</w:t>
      </w:r>
      <w:r>
        <w:rPr>
          <w:rFonts w:ascii="Times New Roman" w:cs="Times New Roman" w:eastAsia="Times New Roman" w:hAnsi="Times New Roman"/>
          <w:sz w:val="18"/>
          <w:szCs w:val="18"/>
          <w:color w:val="auto"/>
        </w:rPr>
        <w:t xml:space="preserve"> which amends and clarifies interim reporting and disclosure requirements including additional guidance on what disclosures should be provided in interim reporting periods. This amendment also includes a disclosure principle that requires entities to disclose events since the end of the last annual reporting period that have a material impact on the entity. This ASU is effective for interim reporting periods within annual reporting periods beginning after December 15, 2027, for public companies. This ASU may be applied prospectively or retrospectively to any or all periods presented in the Company’s consolidated financial statements. Early adoption of this ASU is permitted. The Company is currently evaluating the impact that the adoption of this ASU may have on its consolidated financial statements.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which makes changes to the Accounting Standards Codification that clarify, correct errors or make minor improvements and make ASCs easier to understand and apply. The amendments in this ASU are effective for all entities for annual reporting periods beginning after December 15, 2026, and interim reporting periods within those annual reporting periods. This ASU may be adopted prospectively or retrospectively, except as to the clarification of the calculation of earnings per share when a loss from continuing operations exists which must be adopted retrospectively. All other codification improvements may be adopted prospectively or retrospectively. Early adoption is permitted. The Company is currently evaluating the impact that the adoption of this ASU may have on its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Related Parties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Transactions with CRSEF Solis Holdings, LLC and its affiliates (“Carlyle”), have been disclosed as related party transactions until it ceased being a significant shareholder in the Company. Effective March 31, 2025, transactions with Carlyle are no longer deemed related party transactions. The Company continues to engage in transactions with Carlyle as it is a creditor of the Company’s 12.0% senior unsecured convertible notes. Refer to </w:t>
      </w:r>
      <w:r>
        <w:rPr>
          <w:rFonts w:ascii="Times New Roman" w:cs="Times New Roman" w:eastAsia="Times New Roman" w:hAnsi="Times New Roman"/>
          <w:sz w:val="18"/>
          <w:szCs w:val="18"/>
          <w:b w:val="1"/>
          <w:bCs w:val="1"/>
          <w:color w:val="auto"/>
        </w:rPr>
        <w:t>Note 10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Borrowings and Derivative Liabilities </w:t>
      </w:r>
      <w:r>
        <w:rPr>
          <w:rFonts w:ascii="Times New Roman" w:cs="Times New Roman" w:eastAsia="Times New Roman" w:hAnsi="Times New Roman"/>
          <w:sz w:val="18"/>
          <w:szCs w:val="18"/>
          <w:color w:val="auto"/>
        </w:rPr>
        <w:t>for additional information.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J. Daniel McCranie became a member of the Company’s Board of Directors in January 2025 and through a related trust, holds $750 thousand of the Company’s 12.0% senior unsecured convertible notes. The Company concluded that this relationship is a related party transaction effective in the Company’s fiscal year 2025. Refer to </w:t>
      </w:r>
      <w:r>
        <w:rPr>
          <w:rFonts w:ascii="Times New Roman" w:cs="Times New Roman" w:eastAsia="Times New Roman" w:hAnsi="Times New Roman"/>
          <w:sz w:val="18"/>
          <w:szCs w:val="18"/>
          <w:b w:val="1"/>
          <w:bCs w:val="1"/>
          <w:color w:val="auto"/>
        </w:rPr>
        <w:t>Note 10 – Borrowings and Derivative Liabilities</w:t>
      </w:r>
      <w:r>
        <w:rPr>
          <w:rFonts w:ascii="Times New Roman" w:cs="Times New Roman" w:eastAsia="Times New Roman" w:hAnsi="Times New Roman"/>
          <w:sz w:val="18"/>
          <w:szCs w:val="18"/>
          <w:color w:val="auto"/>
        </w:rPr>
        <w:t xml:space="preserve"> for additional information.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Polar Multi-Strategy Master Fund (“Polar”) ceased to be a related party, and as a result, effective March 31, 2025, transactions with Polar are no longer deemed related party transactions. Transactions previously reported with Polar have been disclosed as related party transactions. The Company has a forward purchase agreement with Polar.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i w:val="1"/>
          <w:iCs w:val="1"/>
          <w:color w:val="auto"/>
        </w:rPr>
        <w:t>NASDAQ Deficiency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19, 2025, the Company received a letter from the Listing Qualifications staff of Nasdaq indicating that, as a result of the Company’s delay in filing its quarterly report on Form 10-Q for the period ended September 28, 2025, the Company was not in compliance with the timely filing requirements for continued listing under Nasdaq Listing Rule 5250(c)(1). The Nasdaq letter had no immediate effect on the listing or trading of the Company’s common stock or warrants. The Nasdaq listing rules require Nasdaq-listed companies to timely file all required periodic reports with the SEC. The Nasdaq letter stated that, under Nasdaq rules, the Company has 60 calendar days to submit a plan to regain compliance with Nasdaq’s continued listing requirements. The Company filed its quarterly report on Form 10-Q for the period ended September 28, 2025 on December 19,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Combinations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SunPower Businesses Acquisition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5, 2024, the Company entered into an Asset Purchase Agreement (the “APA”) with SunPower Corporation and SunPower Corporation’s direct and indirect subsidiaries (collectively, the “SunPower Debtors”) providing for the sale and purchase of certain assets relating to the Blue Raven Solar business, New Homes Business and Non-Installing Dealer network previously operated by the SunPower Debtors. The APA was entered into in connection with a voluntary petition filed by SunPower Corporation under Chapter 11 of the United States Code, 11 U.S.C.§§ 101-1532. The transaction was approved on September 23, 2024, by the United States Bankruptcy Court for the District of Delaware. The Company completed the acquisition of the Acquired Assets (as defined in the APA) effective September 30, 2024, in the Company’s fourth quarter of fiscal year 2024, in consideration for a cash purchase price of $54.5 million (“SunPower Acquisition”). The assets and businesses acquired, including liabilities assumed, by the Company under the APA are referred to herein as the “SunPower Businesses.”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its acquisition, the SunPower Businesses operated as a solar technology and energy services provider that offered fully integrated solar, storage, and home energy solutions to customers in the United States through an array of hardware, software, and “Smart Energy” solutions. The financial results of the SunPower Businesses have been included in the Company’s consolidated financial statements since its date of acquisition. This transaction was accounted for as a business combination in accordance with ASC 805</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Transaction costs of $7.2 million incurred in connection with the close of the SunPower Businesses were expensed by the Company and included in general and administrative expenses on the Company’s statement of operations and comprehensive loss in the fiscal year ended December 29, 2024.</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provisional fair values of assets acquired and liabilities assumed initially recorded were based upon a preliminary valuation in the fiscal year ended December 29, 2024. Upon finalization of the fair values in the fiscal year ended December 28, 2025, the Company recorded adjustments to acquired inventory related to (1) the resolution of work-in-progress at various stages of completion as of the acquisition date for which further analysis was required in order to determine which systems could be sold to a financing partner, and (2) completed systems that were acquired as of the acquisition date for which uncertainty existed due to unsettled matters with the SunPower Bankruptcy Estate, which were resolved in connection with the Company’s settlement with the SunPower Bankruptcy Estate. The settlement of these matters resulted in adjustments to the provisional fair values of the inventory and intangibles with an offsetting adjustment to goodwill during the measurement period.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4" w:name="page195"/>
    <w:bookmarkEnd w:id="194"/>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summarizes the provisional and final fair values of identifiable assets acquired and liabilities assumed and measurement period adjustments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8"/>
              </w:rPr>
              <w:t>Provisional</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fair values as</w:t>
            </w:r>
          </w:p>
        </w:tc>
        <w:tc>
          <w:tcPr>
            <w:tcW w:w="180" w:type="dxa"/>
            <w:vAlign w:val="bottom"/>
          </w:tcPr>
          <w:p>
            <w:pPr>
              <w:spacing w:after="0"/>
              <w:rPr>
                <w:sz w:val="18"/>
                <w:szCs w:val="18"/>
                <w:color w:val="auto"/>
              </w:rPr>
            </w:pPr>
          </w:p>
        </w:tc>
        <w:tc>
          <w:tcPr>
            <w:tcW w:w="114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of December</w:t>
            </w:r>
          </w:p>
        </w:tc>
        <w:tc>
          <w:tcPr>
            <w:tcW w:w="132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Final</w:t>
            </w:r>
          </w:p>
        </w:tc>
      </w:tr>
      <w:tr>
        <w:trPr>
          <w:trHeight w:val="245"/>
        </w:trPr>
        <w:tc>
          <w:tcPr>
            <w:tcW w:w="7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29, 2024</w:t>
            </w:r>
          </w:p>
        </w:tc>
        <w:tc>
          <w:tcPr>
            <w:tcW w:w="240" w:type="dxa"/>
            <w:vAlign w:val="bottom"/>
          </w:tcPr>
          <w:p>
            <w:pPr>
              <w:spacing w:after="0"/>
              <w:rPr>
                <w:sz w:val="21"/>
                <w:szCs w:val="21"/>
                <w:color w:val="auto"/>
              </w:rPr>
            </w:pP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in fiscal 2025</w:t>
            </w:r>
          </w:p>
        </w:tc>
        <w:tc>
          <w:tcPr>
            <w:tcW w:w="1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fair values</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11,999</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4,615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16,614</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4,615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(4,615)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27,706</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20,682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48,388</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2,219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2,219</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5,867</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5,867</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2,506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2,506</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541</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18,100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(2,206)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15,894</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(7,361)</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(7,361)</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(5,270)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(5,270)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(13,955)</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(13,955)</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(2,963)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(2,963)</w:t>
            </w: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(8,980)</w:t>
            </w:r>
          </w:p>
        </w:tc>
        <w:tc>
          <w:tcPr>
            <w:tcW w:w="18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(8,980)</w:t>
            </w:r>
          </w:p>
        </w:tc>
      </w:tr>
      <w:tr>
        <w:trPr>
          <w:trHeight w:val="236"/>
        </w:trPr>
        <w:tc>
          <w:tcPr>
            <w:tcW w:w="7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net assets acquired</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36,024</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732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Goodwill recognized</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18,476</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(18,476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23"/>
        </w:trPr>
        <w:tc>
          <w:tcPr>
            <w:tcW w:w="7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Consideration transferred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
        </w:trPr>
        <w:tc>
          <w:tcPr>
            <w:tcW w:w="7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provisional and final fair values of the intangible assets acquired and estimated useful lives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Provisional</w:t>
            </w: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Measurement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fair values</w:t>
            </w:r>
          </w:p>
        </w:tc>
        <w:tc>
          <w:tcPr>
            <w:tcW w:w="180" w:type="dxa"/>
            <w:vAlign w:val="bottom"/>
          </w:tcPr>
          <w:p>
            <w:pPr>
              <w:spacing w:after="0"/>
              <w:rPr>
                <w:sz w:val="18"/>
                <w:szCs w:val="18"/>
                <w:color w:val="auto"/>
              </w:rPr>
            </w:pPr>
          </w:p>
        </w:tc>
        <w:tc>
          <w:tcPr>
            <w:tcW w:w="114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9"/>
              </w:rPr>
              <w:t>period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20" w:type="dxa"/>
            <w:vAlign w:val="bottom"/>
          </w:tcPr>
          <w:p>
            <w:pPr>
              <w:spacing w:after="0"/>
              <w:rPr>
                <w:sz w:val="18"/>
                <w:szCs w:val="18"/>
                <w:color w:val="auto"/>
              </w:rPr>
            </w:pPr>
          </w:p>
        </w:tc>
        <w:tc>
          <w:tcPr>
            <w:tcW w:w="13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29,</w:t>
            </w:r>
          </w:p>
        </w:tc>
        <w:tc>
          <w:tcPr>
            <w:tcW w:w="180" w:type="dxa"/>
            <w:vAlign w:val="bottom"/>
          </w:tcPr>
          <w:p>
            <w:pPr>
              <w:spacing w:after="0"/>
              <w:rPr>
                <w:sz w:val="18"/>
                <w:szCs w:val="18"/>
                <w:color w:val="auto"/>
              </w:rPr>
            </w:pPr>
          </w:p>
        </w:tc>
        <w:tc>
          <w:tcPr>
            <w:tcW w:w="114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in fiscal</w:t>
            </w:r>
          </w:p>
        </w:tc>
        <w:tc>
          <w:tcPr>
            <w:tcW w:w="12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Final</w:t>
            </w:r>
          </w:p>
        </w:tc>
      </w:tr>
      <w:tr>
        <w:trPr>
          <w:trHeight w:val="245"/>
        </w:trPr>
        <w:tc>
          <w:tcPr>
            <w:tcW w:w="59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fair values</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 – Blue Raven Solar</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Trademark - SunPower</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5,200</w:t>
            </w:r>
          </w:p>
        </w:tc>
        <w:tc>
          <w:tcPr>
            <w:tcW w:w="18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4,300</w:t>
            </w:r>
          </w:p>
        </w:tc>
        <w:tc>
          <w:tcPr>
            <w:tcW w:w="80" w:type="dxa"/>
            <w:vAlign w:val="bottom"/>
          </w:tcPr>
          <w:p>
            <w:pPr>
              <w:spacing w:after="0"/>
              <w:rPr>
                <w:sz w:val="18"/>
                <w:szCs w:val="18"/>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years</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4,500</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4,500</w:t>
            </w:r>
          </w:p>
        </w:tc>
        <w:tc>
          <w:tcPr>
            <w:tcW w:w="80" w:type="dxa"/>
            <w:vAlign w:val="bottom"/>
            <w:shd w:val="clear" w:color="auto" w:fill="CCEEFF"/>
          </w:tcPr>
          <w:p>
            <w:pPr>
              <w:spacing w:after="0"/>
              <w:rPr>
                <w:sz w:val="21"/>
                <w:szCs w:val="21"/>
                <w:color w:val="auto"/>
              </w:rPr>
            </w:pP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18,100</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(2,206</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15,894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values of the trademarks were estimated using the relief-from-royalty method. This approach measures the value of the asset based on the hypothetical royalties the Company would avoid paying if it had to license the trademark from a third party. The analysis considers the established history and longevity of the trade names, including the Blue Raven brand, in use since 2014, and the SunPower brand, which has been in the market for over 20 years. Key assumptions include projecting sales attributable to business enterprise value for each respective business, applying a 1% royalty rate derived from a profit-split analysis and benchmarking against the median of comparable licensing arrangements, and utilizing a 10-year economic life in line with management’s plans to continue using the brands for the foreseeable future.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the developed technology was estimated using the cost approach, which measures the economic resources required to recreate the asset, including direct costs and necessary entrepreneurial incentives. Direct costs were based on management’s estimate of the fees and profit margin that would be required to engage external consultants to rebuild the technology. In addition, an opportunity cost was incorporated to reflect the hypothetical return foregone during the development period, representing the income that could have been earned had these funds been invested elsewhere. The total replacement cost was calculated assuming a weighted-average redevelopment period of 19 months.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SunPower Acquisition contributed $83.8 million and $6.5 million in revenue and income before income taxes from continuing operations, respectively, for the period from the acquisition date to the fiscal year ended December 29,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i w:val="1"/>
          <w:iCs w:val="1"/>
          <w:color w:val="auto"/>
        </w:rPr>
        <w:t>Sunder Energy LLC Acquisition</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September 21, 2025, a subsidiary of the Company entered into a Membership Interest Purchase Agreement (“Sunder MIPA”) with Sunder Energy LLC (“Sunder”) and the seller, Chicken Parm Pizza LLC (“Seller/Member”), the sole member of Sunder. On September 24, 2025 (“Sunder Closing”), the Company completed the acquisition of the membership interests of Sunder for an aggregate consideration of $57.8 million (“Sunder Acquisition”). Per the terms of the Sunder MIPA, the Company acquired all of the outstanding membership interest of Sunder for (1) $20.7 million in cash, subject to certain working capital and other adjustments; (2) a promissory note to the Member in the principal amount of $20.0 million (“Seller Note”); and (3) 10.0 million shares of the Company’s common stock (valued at the closing share price on September 24, 2025, of $1.71 per share), consisting of (i) 3,333,334 shares of the Company’s common stock issued at the Sunder Closing and (ii) subject to approval of such issuances by the Company’s stockholders, (x) 3,333,333 shares of the Company’s common stock to be issued on the 12-month anniversary of the Sunder Closing and (y) 3,333,333 shares of the Company’s common stock to be issued on the 18-month anniversary of the Sunder Closing (“Deferred Sunder Consideration Shares”). In lieu of issuing the Deferred Sunder Consideration Shares, the Company, in its sole discretion, may elect to pay the Member a cash payment equal to the number of Deferred Sunder Consideration Shares otherwise issuable by the Company multiplied by the volume-weighted average price of the Company’s common stock as quoted on Nasdaq for the 30-trading day period ending two business days prior to the date on which the applicable Deferred Sunder Consideration Shares are otherwise issuable (“Cash in Lieu Amount”). If the Company elects to pay the Cash in Lieu Amount, 50% of the Cash in Lieu Amount will be paid on the three-month anniversary of the date on which the applicable Deferred Sunder Consideration Shares are otherwise issuable, with the remaining 50% of the Cash in Lieu Amount payable on the 6 month anniversary of the date on which the applicable Deferred Sunder Consideration Shares are otherwise issuable. The shares of the Company’s common stock issued and expected to be issued were valued at aggregate of $17.1 million at the date of acquisition. The common stock issued at the Sunder Closing was valued at $5.7 million and accounted for within Additional paid-in-capital on the Company’s consolidated balance sheet. The Deferred Sunder Consideration Shares payable is presented as noted below on the Company’s consolidated balance sheet as of December 28, 2025. The fair value of the Sunder deferred consideration was subsequently adjusted downward to $10.8 million from the Sunder Closing to December 28, 2025. The Company concluded that since the sellers joined the Company and represent members of management, they have a level of influence that is not insignificant, they are related parties of the Company, and therefore the Deferred Consideration and Seller Note are a related party obligations.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consideration is summarized as follows </w:t>
            </w:r>
            <w:r>
              <w:rPr>
                <w:rFonts w:ascii="Times New Roman" w:cs="Times New Roman" w:eastAsia="Times New Roman" w:hAnsi="Times New Roman"/>
                <w:sz w:val="18"/>
                <w:szCs w:val="18"/>
                <w:i w:val="1"/>
                <w:iCs w:val="1"/>
                <w:color w:val="auto"/>
              </w:rPr>
              <w:t>(in thousands):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20,689</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Seller note</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3,333,334 shares of the Company’s common stock (classified within Additional paid-in-capital)</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5,700</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Sunder Consideration Shares (fair value of 6,666,666 shares of the Company’s common stock):</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Classified within Deferred consideration, current with related party</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5,700</w:t>
            </w: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Classified within Deferred consideration, noncurrent with related party</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5,700</w:t>
            </w:r>
          </w:p>
        </w:tc>
      </w:tr>
      <w:tr>
        <w:trPr>
          <w:trHeight w:val="223"/>
        </w:trPr>
        <w:tc>
          <w:tcPr>
            <w:tcW w:w="10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total consideration</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 financed a portion of the transaction through the issuance of $22.0 million of 7.0% senior unsecured convertible notes (the “September 2025 Notes”) and a $20.0 million Seller Note. Refer to </w:t>
      </w:r>
      <w:r>
        <w:rPr>
          <w:rFonts w:ascii="Times New Roman" w:cs="Times New Roman" w:eastAsia="Times New Roman" w:hAnsi="Times New Roman"/>
          <w:sz w:val="18"/>
          <w:szCs w:val="18"/>
          <w:b w:val="1"/>
          <w:bCs w:val="1"/>
          <w:color w:val="auto"/>
        </w:rPr>
        <w:t>Note 10 – Borrowings and Derivative Liabilities</w:t>
      </w:r>
      <w:r>
        <w:rPr>
          <w:rFonts w:ascii="Times New Roman" w:cs="Times New Roman" w:eastAsia="Times New Roman" w:hAnsi="Times New Roman"/>
          <w:sz w:val="18"/>
          <w:szCs w:val="18"/>
          <w:color w:val="auto"/>
        </w:rPr>
        <w:t xml:space="preserve"> for details regarding these obligations.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Sunder is a solar sales company. The Company acquired Sunder as a strategic acquisition to expand its overall market share and its penetration into more U.S. states. The financial results of Sunder have been included in the Company’s consolidated financial statements since its date of acquisition.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provisional fair values of assets acquired and liabilities assumed were based upon a preliminary valuation, and the Company’s estimates and assumptions have been revised during the measurement period to refine the fair values of the assets acquired and liabilities assumed based upon the facts and circumstances existing at the date of acquisition which resulted in the measurement period adjustments noted below. The purchase price accounting remains open for the components of working capital, identification and valuation of intangibles and allocation of goodwill. The Company has elected the practical expedient within ASC 805-20-30-27 through 805-20-30-30 to recognize and measure contract liabilities in accordance with ASC 606 –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Contracts with Customers </w:t>
      </w:r>
      <w:r>
        <w:rPr>
          <w:rFonts w:ascii="Times New Roman" w:cs="Times New Roman" w:eastAsia="Times New Roman" w:hAnsi="Times New Roman"/>
          <w:sz w:val="18"/>
          <w:szCs w:val="18"/>
          <w:color w:val="auto"/>
        </w:rPr>
        <w:t>(“ASC 606”) as if it had originated the acquired contract. Thus, the amount of any contract liabilities immediately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acquisition will be the comparable amounts recognized in the determination of assets acquired and liabilities assumed by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color w:val="auto"/>
        </w:rPr>
        <w:t xml:space="preserve">The following table summarizes the provisional fair value of identifiable assets acquired and liabilities assumed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Provisional</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Provisional</w:t>
            </w: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fair values</w:t>
            </w:r>
          </w:p>
        </w:tc>
        <w:tc>
          <w:tcPr>
            <w:tcW w:w="180" w:type="dxa"/>
            <w:vAlign w:val="bottom"/>
          </w:tcPr>
          <w:p>
            <w:pPr>
              <w:spacing w:after="0"/>
              <w:rPr>
                <w:sz w:val="18"/>
                <w:szCs w:val="18"/>
                <w:color w:val="auto"/>
              </w:rPr>
            </w:pPr>
          </w:p>
        </w:tc>
        <w:tc>
          <w:tcPr>
            <w:tcW w:w="116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fair values</w:t>
            </w: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5"/>
              </w:rPr>
              <w:t>as of</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adjustments in</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732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24,</w:t>
            </w:r>
          </w:p>
        </w:tc>
        <w:tc>
          <w:tcPr>
            <w:tcW w:w="180" w:type="dxa"/>
            <w:vAlign w:val="bottom"/>
          </w:tcPr>
          <w:p>
            <w:pPr>
              <w:spacing w:after="0"/>
              <w:rPr>
                <w:sz w:val="18"/>
                <w:szCs w:val="18"/>
                <w:color w:val="auto"/>
              </w:rPr>
            </w:pPr>
          </w:p>
        </w:tc>
        <w:tc>
          <w:tcPr>
            <w:tcW w:w="116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797</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3,039</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25,922</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11,578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37,500</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(11,073)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(11,673)</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(2,528)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(3,850)</w:t>
            </w: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w:t>
            </w:r>
          </w:p>
        </w:tc>
      </w:tr>
      <w:tr>
        <w:trPr>
          <w:trHeight w:val="236"/>
        </w:trPr>
        <w:tc>
          <w:tcPr>
            <w:tcW w:w="7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net assets acquired</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732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Consideration transferred</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57,789</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57,789</w:t>
            </w:r>
          </w:p>
        </w:tc>
        <w:tc>
          <w:tcPr>
            <w:tcW w:w="100" w:type="dxa"/>
            <w:vAlign w:val="bottom"/>
            <w:tcBorders>
              <w:bottom w:val="single" w:sz="8" w:color="CCEEFF"/>
            </w:tcBorders>
          </w:tcPr>
          <w:p>
            <w:pPr>
              <w:spacing w:after="0"/>
              <w:rPr>
                <w:sz w:val="18"/>
                <w:szCs w:val="18"/>
                <w:color w:val="auto"/>
              </w:rPr>
            </w:pPr>
          </w:p>
        </w:tc>
      </w:tr>
      <w:tr>
        <w:trPr>
          <w:trHeight w:val="223"/>
        </w:trPr>
        <w:tc>
          <w:tcPr>
            <w:tcW w:w="7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recognized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42,911</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acquisition, the intangible assets acquired and estimated useful lives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Provisional</w:t>
            </w: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Measurement</w:t>
            </w:r>
          </w:p>
        </w:tc>
        <w:tc>
          <w:tcPr>
            <w:tcW w:w="100" w:type="dxa"/>
            <w:vAlign w:val="bottom"/>
          </w:tcPr>
          <w:p>
            <w:pPr>
              <w:spacing w:after="0"/>
              <w:rPr>
                <w:sz w:val="18"/>
                <w:szCs w:val="18"/>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Provisional</w:t>
            </w:r>
          </w:p>
        </w:tc>
      </w:tr>
      <w:tr>
        <w:trPr>
          <w:trHeight w:val="216"/>
        </w:trPr>
        <w:tc>
          <w:tcPr>
            <w:tcW w:w="5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fair values</w:t>
            </w:r>
          </w:p>
        </w:tc>
        <w:tc>
          <w:tcPr>
            <w:tcW w:w="2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period</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fair values</w:t>
            </w:r>
          </w:p>
        </w:tc>
      </w:tr>
      <w:tr>
        <w:trPr>
          <w:trHeight w:val="216"/>
        </w:trPr>
        <w:tc>
          <w:tcPr>
            <w:tcW w:w="5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5"/>
              </w:rPr>
              <w:t>as of</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adjustments in</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598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24,</w:t>
            </w:r>
          </w:p>
        </w:tc>
        <w:tc>
          <w:tcPr>
            <w:tcW w:w="20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fiscal</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r>
      <w:tr>
        <w:trPr>
          <w:trHeight w:val="245"/>
        </w:trPr>
        <w:tc>
          <w:tcPr>
            <w:tcW w:w="5980" w:type="dxa"/>
            <w:vAlign w:val="bottom"/>
          </w:tcPr>
          <w:p>
            <w:pPr>
              <w:spacing w:after="0"/>
              <w:rPr>
                <w:sz w:val="21"/>
                <w:szCs w:val="21"/>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6"/>
              </w:rPr>
              <w:t>21,321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Trademark - Sunder</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 years</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2,427</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3,673</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6,100</w:t>
            </w:r>
          </w:p>
        </w:tc>
        <w:tc>
          <w:tcPr>
            <w:tcW w:w="80" w:type="dxa"/>
            <w:vAlign w:val="bottom"/>
          </w:tcPr>
          <w:p>
            <w:pPr>
              <w:spacing w:after="0"/>
              <w:rPr>
                <w:sz w:val="18"/>
                <w:szCs w:val="18"/>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 - Sunder</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2 years</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14,216</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7"/>
              </w:rPr>
              <w:t>(13,416)</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shd w:val="clear" w:color="auto" w:fill="CCEEFF"/>
          </w:tcPr>
          <w:p>
            <w:pPr>
              <w:spacing w:after="0"/>
              <w:rPr>
                <w:sz w:val="21"/>
                <w:szCs w:val="21"/>
                <w:color w:val="auto"/>
              </w:rPr>
            </w:pP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25,922</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center"/>
              <w:ind w:left="350"/>
              <w:spacing w:after="0" w:line="203" w:lineRule="exact"/>
              <w:rPr>
                <w:sz w:val="20"/>
                <w:szCs w:val="20"/>
                <w:color w:val="auto"/>
              </w:rPr>
            </w:pPr>
            <w:r>
              <w:rPr>
                <w:rFonts w:ascii="Times New Roman" w:cs="Times New Roman" w:eastAsia="Times New Roman" w:hAnsi="Times New Roman"/>
                <w:sz w:val="18"/>
                <w:szCs w:val="18"/>
                <w:color w:val="auto"/>
                <w:w w:val="96"/>
              </w:rPr>
              <w:t>11,578</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37,500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customer relationships was estimated using the excess earnings method, which measures the cash flows attributable to existing customers after deducting all supporting expenses and contributory asset charges. The assumptions used included revenue included all business enterprise valuation sales, reduced by a 5% attrition rate based on historical customer turnover, with operating expenses estimated as a percentage of sales and no sales-and-marketing adjustment since such efforts do not directly support existing customers. Contributory asset charges were applied for the use of working capital, fixed assets, workforce, trademarks, and internal-use software, and cash flows were projected over the period in which customer relationships were expected to produce meaningful benefit, with the economic life extending until those cash flows became minimal.</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the trademark was estimated using the relief-from-royalty method. This approach measures the value of the asset based on the hypothetical royalties the Company would avoid paying if it had to license the trademark from a third party. The assumptions used to value the trademark included projected sales based upon the business enterprise valuation considered attributable to the trademark, a royalty rate of 1.0% supported by a profit-split analysis and benchmarking against comparable licensing arrangements in the solar and broader energy industries and a useful economic life of 10 years consistent with management’s expectations for continued use and the anticipated longevity of the brand’s market relevance.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Sunder’s developed technology was estimated using the cost approach, which measures value based on the cost to reproduce or replace the existing software in its current state. The analysis considered the historical direct development costs, including Sunder’s ongoing investment of approximately since late 2023, representing labor, design, coding, and testing efforts required to build the technology. In addition to direct costs, the valuation incorporated opportunity costs, which reflect the portion of the software expected to be added, modified, or removed over time based on management’s estimates of ongoing development needs. Together, these inputs approximate the current replacement cost of the technology, adjusted for necessary updates and functional improvements.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97" w:name="page198"/>
    <w:bookmarkEnd w:id="19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tax deductible.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Sunder contributed $14.4 million and $6.2 million in revenue and income before income taxes from continuing operations, respectively, for the period from the acquisition date to the fiscal year ended December 28,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Ambia Energy LLC Acquisition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21, 2025, the Company entered into a Membership Interest Purchase Agreement (the “Ambia MIPA”) with Ambia and Ambia Holdings, Inc., a Delaware corporation and the sole member of Ambia (“Ambia Holdings”) to acquire Ambia (the “Ambia Acquisition”). Ambia was the sole operating entity within Ambia Holdings.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Ambia and Ambia Holdings completed the closing under the Ambia MIPA on November 21, 2025 (the “Ambia Closing”). At the Ambia Closing, the Company acquired all of the outstanding membership interests of Ambia from Ambia Holdings for: (a) 10,243,924 shares of common stock of the Company (the “Ambia Closing Consideration Shares”), issued at the Ambia Closing to Ambia Holdings; and (b) an agreement to issue an additional $9.375 million of shares of the Company’s common stock on each of the six-month anniversary of the Ambia Closing and the 12-month anniversary of the Ambia Closing (collectively such additional shares of common stock, the “Deferred Ambia Consideration Shares”). The issuance of the Deferred Ambia Consideration Shares is subject to approval by the Company’s stockholders following the Ambia Closing.</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actual number of Deferred Ambia Consideration Shares issuable by the Company on the six- and 12-month anniversaries of the Ambia Closing will be determined based on the 20-day trailing volume-weighted average price of the Company’s common stock after market close on the business day immediately prior to the issuance date of the applicable shares (the “VWAP Value”); provided that the VWAP Value for the calculation of the actual number of Deferred Ambia Consideration Shares issuable by the Company will not be more than $2.8102 per share or less than $1.4988 per share. Additionally, the number of Deferred Ambia Consideration Shares issuable by the Company is subject to adjustment pursuant to customary working capital and balance sheet adjustment terms and subject to offset for certain indemnifiable damages in accordance with the Ambia MIPA.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fair value of the deferred consideration shares at the Ambia Closing was $16.9 million. The Company’s closing share price for its common stock of $1.61 on November 21, 2025 was used to fair value the shares issued at the Ambia Closing. The total consideration is summarized as follows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00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Fair value of 10,243,924 shares of the Company’s common stock issued at Ambia Closing (classified within Additional paid-in</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16,493</w:t>
            </w:r>
          </w:p>
        </w:tc>
      </w:tr>
      <w:tr>
        <w:trPr>
          <w:trHeight w:val="23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Ambia Consideration Shares (Classified within Deferred consideration, current)</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16,879</w:t>
            </w:r>
          </w:p>
        </w:tc>
      </w:tr>
      <w:tr>
        <w:trPr>
          <w:trHeight w:val="223"/>
        </w:trPr>
        <w:tc>
          <w:tcPr>
            <w:tcW w:w="10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total consideration</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Ambia is a residential solar energy system installer and operates in various markets throughout the United States.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provisional fair values of assets acquired and liabilities assumed were based upon the facts and circumstances existing at the date of acquisition. The purchase price accounting remains open for the valuation of the customer relationship and allocation of goodwill. The Company elected the practical expedient within ASC 805-20-30-27 through 805-20-30-30 to recognize and measure contract liabilities in accordance with ASC 606 as if it had originated the acquired contract. Thus, the amount of any contract liabilities immediately prior to the acquisition will be the comparable amounts recognized in the determination of assets acquired and liabilities assumed by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provisional fair values of identifiable assets acquired and liabilities assumed are identified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6"/>
              </w:rPr>
              <w:t>Provisional</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fair values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 - unbilled receivables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(2,702)</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Fair value of net assets acquired</w:t>
            </w:r>
          </w:p>
        </w:tc>
        <w:tc>
          <w:tcPr>
            <w:tcW w:w="12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2,564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common stock issued (classified within Additional paid-in-capital)</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Deferred Ambia Consideration Shares (Accrued expenses and other current liabilities)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16,879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Consideration transferred</w:t>
            </w: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Goodwill recognized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 of the date of acquisition, the intangible assets acquired and estimated useful lives were as follows:</w:t>
            </w: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6"/>
              </w:rPr>
              <w:t>Provisional</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Fair values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(Backlog)</w:t>
            </w:r>
          </w:p>
        </w:tc>
        <w:tc>
          <w:tcPr>
            <w:tcW w:w="1240" w:type="dxa"/>
            <w:vAlign w:val="bottom"/>
            <w:shd w:val="clear" w:color="auto" w:fill="CCEE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2"/>
              </w:rPr>
              <w:t xml:space="preserve">1 year </w:t>
            </w:r>
            <w:r>
              <w:rPr>
                <w:rFonts w:ascii="Times New Roman" w:cs="Times New Roman" w:eastAsia="Times New Roman" w:hAnsi="Times New Roman"/>
                <w:sz w:val="29"/>
                <w:szCs w:val="29"/>
                <w:color w:val="auto"/>
                <w:w w:val="92"/>
                <w:vertAlign w:val="superscript"/>
              </w:rPr>
              <w:t>(1)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Trademarks - Ambia</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1 year</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 Useful life is based upon customer consumption, expected to occur within one year.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Trademarks were derived using the relief from royalty method based upon the following key assumptions; (i) all sales based upon the business enterprise value; (ii) a royalty rate of 1% based upon profit split analysis and comparable licensing royalty agreements and (iii) an economic life of the Ambia name through the end of 2026, the Ambia name will only be used in certain small markets and that all sales, marketing and branding will be done under the SunPower brand name in relatively short order.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Customer relationships (backlog) was derived using the excess earnings method based upon the following key assumptions: (i) backlog meets the appropriate contractual criteria; (ii) sales were based upon the backlog of sales; (iii) expenses were based upon a percentage of sales with an adjustments for sales and marketing expenses, upon which management estimates that 100% of Ambia’s sales and marketing expenses are directed at acquiring new customers and is not required to support the backlog; (iv) charges were taken for the use of working capital, fixed assets, workforce and trademarks; (v) the economic life of the backlog is to the end of fiscal 2026 based upon management’s estimate of average deal length.</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99" w:name="page200"/>
    <w:bookmarkEnd w:id="199"/>
    <w:p>
      <w:pPr>
        <w:ind w:right="20"/>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tax deductible.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Ambia contributed $7.0 million and $2.8 million in revenue and loss before income taxes from continuing operations, respectively, for the period from the acquisition date to the fiscal year ended December 28,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financial information represents the consolidated financial statements of the Company for the periods presented, as if the SunPower Businesses acquisition occurred on January 1, 2023 and the Sunder and Ambia acquisitions occurred on December 30, 2024.</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unaudited pro forma combined financial information does not give effect to any cost savings, operating synergies or revenue synergies that may result from the acquisitions. The pro forma results do not necessarily reflect the actual results of operations of the combined business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00" w:type="dxa"/>
            <w:vAlign w:val="bottom"/>
          </w:tcPr>
          <w:p>
            <w:pPr>
              <w:spacing w:after="0"/>
              <w:rPr>
                <w:sz w:val="19"/>
                <w:szCs w:val="19"/>
                <w:color w:val="auto"/>
              </w:rPr>
            </w:pPr>
          </w:p>
        </w:tc>
      </w:tr>
      <w:tr>
        <w:trPr>
          <w:trHeight w:val="207"/>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revenue</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429,689</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480,427</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loss from continuing operations</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(59,168)</w:t>
            </w:r>
          </w:p>
        </w:tc>
        <w:tc>
          <w:tcPr>
            <w:tcW w:w="3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(312,801)</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Recognition and Contract Balances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All revenue is generated in the U.S. Revenue is disaggregated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207"/>
        </w:trPr>
        <w:tc>
          <w:tcPr>
            <w:tcW w:w="42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340" w:type="dxa"/>
            <w:vAlign w:val="bottom"/>
            <w:tcBorders>
              <w:top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r>
      <w:tr>
        <w:trPr>
          <w:trHeight w:val="245"/>
        </w:trPr>
        <w:tc>
          <w:tcPr>
            <w:tcW w:w="428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464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160,987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67,460</w:t>
            </w:r>
          </w:p>
        </w:tc>
      </w:tr>
      <w:tr>
        <w:trPr>
          <w:trHeight w:val="210"/>
        </w:trPr>
        <w:tc>
          <w:tcPr>
            <w:tcW w:w="42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Residential Solar Installation</w:t>
            </w:r>
          </w:p>
        </w:tc>
        <w:tc>
          <w:tcPr>
            <w:tcW w:w="44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160,987</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67,460</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46,686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32,205</w:t>
            </w:r>
          </w:p>
        </w:tc>
      </w:tr>
      <w:tr>
        <w:trPr>
          <w:trHeight w:val="250"/>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4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77,909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9,077</w:t>
            </w:r>
          </w:p>
        </w:tc>
      </w:tr>
      <w:tr>
        <w:trPr>
          <w:trHeight w:val="210"/>
        </w:trPr>
        <w:tc>
          <w:tcPr>
            <w:tcW w:w="42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New Homes Business</w:t>
            </w:r>
          </w:p>
        </w:tc>
        <w:tc>
          <w:tcPr>
            <w:tcW w:w="44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124,595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41,282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Dealer</w:t>
            </w:r>
          </w:p>
        </w:tc>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4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14,418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Dealer</w:t>
            </w:r>
          </w:p>
        </w:tc>
        <w:tc>
          <w:tcPr>
            <w:tcW w:w="44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50"/>
        </w:trPr>
        <w:tc>
          <w:tcPr>
            <w:tcW w:w="42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revenue</w:t>
            </w:r>
          </w:p>
        </w:tc>
        <w:tc>
          <w:tcPr>
            <w:tcW w:w="44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300,000</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108,742</w:t>
            </w:r>
          </w:p>
        </w:tc>
        <w:tc>
          <w:tcPr>
            <w:tcW w:w="100" w:type="dxa"/>
            <w:vAlign w:val="bottom"/>
            <w:tcBorders>
              <w:bottom w:val="single" w:sz="8" w:color="CCEEFF"/>
            </w:tcBorders>
          </w:tcPr>
          <w:p>
            <w:pPr>
              <w:spacing w:after="0"/>
              <w:rPr>
                <w:sz w:val="21"/>
                <w:szCs w:val="21"/>
                <w:color w:val="auto"/>
              </w:rPr>
            </w:pPr>
          </w:p>
        </w:tc>
      </w:tr>
      <w:tr>
        <w:trPr>
          <w:trHeight w:val="216"/>
        </w:trPr>
        <w:tc>
          <w:tcPr>
            <w:tcW w:w="428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 recognized over time</w:t>
            </w:r>
          </w:p>
        </w:tc>
        <w:tc>
          <w:tcPr>
            <w:tcW w:w="464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207,673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99,665</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recognized at a point in time</w:t>
            </w:r>
          </w:p>
        </w:tc>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92,327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9,077</w:t>
            </w:r>
          </w:p>
        </w:tc>
      </w:tr>
      <w:tr>
        <w:trPr>
          <w:trHeight w:val="655"/>
        </w:trPr>
        <w:tc>
          <w:tcPr>
            <w:tcW w:w="42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2"/>
          </w:tcPr>
          <w:p>
            <w:pPr>
              <w:jc w:val="right"/>
              <w:ind w:right="3033"/>
              <w:spacing w:after="0"/>
              <w:rPr>
                <w:sz w:val="20"/>
                <w:szCs w:val="20"/>
                <w:color w:val="auto"/>
              </w:rPr>
            </w:pPr>
            <w:r>
              <w:rPr>
                <w:rFonts w:ascii="Times New Roman" w:cs="Times New Roman" w:eastAsia="Times New Roman" w:hAnsi="Times New Roman"/>
                <w:sz w:val="18"/>
                <w:szCs w:val="18"/>
                <w:color w:val="auto"/>
              </w:rPr>
              <w:t>F-75</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00" w:name="page201"/>
    <w:bookmarkEnd w:id="2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Accounts receivable, contract assets and contract liabilities from contracts with customers are as follows </w:t>
            </w: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2"/>
              </w:rPr>
              <w:t>67,824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 current</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14,122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26,066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contract assets</w:t>
            </w: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ind w:left="400"/>
              <w:spacing w:after="0" w:line="203" w:lineRule="exact"/>
              <w:rPr>
                <w:sz w:val="20"/>
                <w:szCs w:val="20"/>
                <w:color w:val="auto"/>
              </w:rPr>
            </w:pPr>
            <w:r>
              <w:rPr>
                <w:rFonts w:ascii="Times New Roman" w:cs="Times New Roman" w:eastAsia="Times New Roman" w:hAnsi="Times New Roman"/>
                <w:sz w:val="18"/>
                <w:szCs w:val="18"/>
                <w:color w:val="auto"/>
                <w:w w:val="92"/>
              </w:rPr>
              <w:t>14,122</w:t>
            </w:r>
          </w:p>
        </w:tc>
        <w:tc>
          <w:tcPr>
            <w:tcW w:w="22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26,066</w:t>
            </w:r>
          </w:p>
        </w:tc>
        <w:tc>
          <w:tcPr>
            <w:tcW w:w="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20,336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 noncurrent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794</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contract liabilities</w:t>
            </w: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ind w:left="400"/>
              <w:spacing w:after="0" w:line="203" w:lineRule="exact"/>
              <w:rPr>
                <w:sz w:val="20"/>
                <w:szCs w:val="20"/>
                <w:color w:val="auto"/>
              </w:rPr>
            </w:pPr>
            <w:r>
              <w:rPr>
                <w:rFonts w:ascii="Times New Roman" w:cs="Times New Roman" w:eastAsia="Times New Roman" w:hAnsi="Times New Roman"/>
                <w:sz w:val="18"/>
                <w:szCs w:val="18"/>
                <w:color w:val="auto"/>
                <w:w w:val="92"/>
              </w:rPr>
              <w:t>21,130</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10,921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receives payments from customers based upon contractual payment terms. Accounts receivable are recorded in an amount that reflects the consideration that is expected to be received in exchange for those goods or services when the right to consideration becomes unconditional.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contract liabilities is primarily attributed to the acquisition of Sunder in fiscal year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balances of contract assets in the fiscal years ended December 28, 2025 and December 29, 2024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20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1340" w:type="dxa"/>
            <w:vAlign w:val="bottom"/>
            <w:tcBorders>
              <w:top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 beginning of period</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 recognized</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12,979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21,451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Reclassifications to accounts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(26,066)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Increase due to contract assets acquired in business combination</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4,615</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 end of period</w:t>
            </w: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Changes in the balances of contract liabilities in the fiscal years ended December 28, 2025 and December 29, 2024 were as follows </w:t>
      </w:r>
      <w:r>
        <w:rPr>
          <w:rFonts w:ascii="Times New Roman" w:cs="Times New Roman" w:eastAsia="Times New Roman" w:hAnsi="Times New Roman"/>
          <w:sz w:val="18"/>
          <w:szCs w:val="18"/>
          <w:i w:val="1"/>
          <w:iCs w:val="1"/>
          <w:color w:val="auto"/>
        </w:rPr>
        <w:t>(in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20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1340" w:type="dxa"/>
            <w:vAlign w:val="bottom"/>
            <w:tcBorders>
              <w:top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beginning of period</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Increases due to billings or cash received in advance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6,750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from beginning balance of contract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(2,560)</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Increase due to contract liabilities assumed in a business combination</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13,348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7,361</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end of period</w:t>
            </w: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revenue recognized from the beginning balance of contract liabilities was recognized in the current year.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tables set forth the Company’s financial assets and liabilities that are measured at fair value, on a recurring basis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As of December 28, 2025</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3,841</w:t>
            </w:r>
          </w:p>
        </w:tc>
        <w:tc>
          <w:tcPr>
            <w:tcW w:w="80" w:type="dxa"/>
            <w:vAlign w:val="bottom"/>
            <w:shd w:val="clear" w:color="auto" w:fill="CCEEFF"/>
          </w:tcPr>
          <w:p>
            <w:pPr>
              <w:spacing w:after="0"/>
              <w:rPr>
                <w:sz w:val="21"/>
                <w:szCs w:val="21"/>
                <w:color w:val="auto"/>
              </w:rPr>
            </w:pPr>
          </w:p>
        </w:tc>
      </w:tr>
      <w:tr>
        <w:trPr>
          <w:trHeight w:val="25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3,841</w:t>
            </w:r>
          </w:p>
        </w:tc>
        <w:tc>
          <w:tcPr>
            <w:tcW w:w="26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ind w:left="7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3,841</w:t>
            </w:r>
          </w:p>
        </w:tc>
        <w:tc>
          <w:tcPr>
            <w:tcW w:w="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6"/>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July 2024 Notes derivative liability </w:t>
            </w:r>
            <w:r>
              <w:rPr>
                <w:rFonts w:ascii="Times New Roman" w:cs="Times New Roman" w:eastAsia="Times New Roman" w:hAnsi="Times New Roman"/>
                <w:sz w:val="29"/>
                <w:szCs w:val="29"/>
                <w:color w:val="auto"/>
                <w:vertAlign w:val="superscript"/>
              </w:rPr>
              <w:t>(1)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19,604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19,604</w:t>
            </w:r>
          </w:p>
        </w:tc>
      </w:tr>
      <w:tr>
        <w:trPr>
          <w:trHeight w:val="257"/>
        </w:trPr>
        <w:tc>
          <w:tcPr>
            <w:tcW w:w="5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July 2024 Notes derivative liability – related parties </w:t>
            </w:r>
            <w:r>
              <w:rPr>
                <w:rFonts w:ascii="Times New Roman" w:cs="Times New Roman" w:eastAsia="Times New Roman" w:hAnsi="Times New Roman"/>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12,615</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12,615</w:t>
            </w:r>
          </w:p>
        </w:tc>
      </w:tr>
      <w:tr>
        <w:trPr>
          <w:trHeight w:val="257"/>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September 2024 Notes derivative liability </w:t>
            </w:r>
            <w:r>
              <w:rPr>
                <w:rFonts w:ascii="Times New Roman" w:cs="Times New Roman" w:eastAsia="Times New Roman" w:hAnsi="Times New Roman"/>
                <w:sz w:val="29"/>
                <w:szCs w:val="29"/>
                <w:color w:val="auto"/>
                <w:vertAlign w:val="superscript"/>
              </w:rPr>
              <w:t>(1)</w:t>
            </w:r>
          </w:p>
        </w:tc>
        <w:tc>
          <w:tcPr>
            <w:tcW w:w="18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37,930</w:t>
            </w:r>
          </w:p>
        </w:tc>
        <w:tc>
          <w:tcPr>
            <w:tcW w:w="220" w:type="dxa"/>
            <w:vAlign w:val="bottom"/>
          </w:tcPr>
          <w:p>
            <w:pPr>
              <w:spacing w:after="0"/>
              <w:rPr>
                <w:sz w:val="22"/>
                <w:szCs w:val="22"/>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37,930</w:t>
            </w:r>
          </w:p>
        </w:tc>
      </w:tr>
      <w:tr>
        <w:trPr>
          <w:trHeight w:val="257"/>
        </w:trPr>
        <w:tc>
          <w:tcPr>
            <w:tcW w:w="5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September 2024 Notes derivative liability – related parties </w:t>
            </w:r>
            <w:r>
              <w:rPr>
                <w:rFonts w:ascii="Times New Roman" w:cs="Times New Roman" w:eastAsia="Times New Roman" w:hAnsi="Times New Roman"/>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5,870</w:t>
            </w:r>
          </w:p>
        </w:tc>
        <w:tc>
          <w:tcPr>
            <w:tcW w:w="2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5,870</w:t>
            </w:r>
          </w:p>
        </w:tc>
        <w:tc>
          <w:tcPr>
            <w:tcW w:w="80" w:type="dxa"/>
            <w:vAlign w:val="bottom"/>
            <w:shd w:val="clear" w:color="auto" w:fill="CCEEFF"/>
          </w:tcPr>
          <w:p>
            <w:pPr>
              <w:spacing w:after="0"/>
              <w:rPr>
                <w:sz w:val="22"/>
                <w:szCs w:val="22"/>
                <w:color w:val="auto"/>
              </w:rPr>
            </w:pPr>
          </w:p>
        </w:tc>
      </w:tr>
      <w:tr>
        <w:trPr>
          <w:trHeight w:val="256"/>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July 2025 Note derivative liability– related party </w:t>
            </w:r>
            <w:r>
              <w:rPr>
                <w:rFonts w:ascii="Times New Roman" w:cs="Times New Roman" w:eastAsia="Times New Roman" w:hAnsi="Times New Roman"/>
                <w:sz w:val="29"/>
                <w:szCs w:val="29"/>
                <w:color w:val="auto"/>
                <w:vertAlign w:val="superscript"/>
              </w:rPr>
              <w:t>(1)</w:t>
            </w:r>
          </w:p>
        </w:tc>
        <w:tc>
          <w:tcPr>
            <w:tcW w:w="18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3,246</w:t>
            </w:r>
          </w:p>
        </w:tc>
        <w:tc>
          <w:tcPr>
            <w:tcW w:w="22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3,246</w:t>
            </w:r>
          </w:p>
        </w:tc>
        <w:tc>
          <w:tcPr>
            <w:tcW w:w="80" w:type="dxa"/>
            <w:vAlign w:val="bottom"/>
          </w:tcPr>
          <w:p>
            <w:pPr>
              <w:spacing w:after="0"/>
              <w:rPr>
                <w:sz w:val="22"/>
                <w:szCs w:val="22"/>
                <w:color w:val="auto"/>
              </w:rPr>
            </w:pPr>
          </w:p>
        </w:tc>
      </w:tr>
      <w:tr>
        <w:trPr>
          <w:trHeight w:val="257"/>
        </w:trPr>
        <w:tc>
          <w:tcPr>
            <w:tcW w:w="5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September 2025 Notes derivative liability </w:t>
            </w:r>
            <w:r>
              <w:rPr>
                <w:rFonts w:ascii="Times New Roman" w:cs="Times New Roman" w:eastAsia="Times New Roman" w:hAnsi="Times New Roman"/>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14,756</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14,756</w:t>
            </w:r>
          </w:p>
        </w:tc>
      </w:tr>
      <w:tr>
        <w:trPr>
          <w:trHeight w:val="257"/>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November 2025 Note derivative liability – related party </w:t>
            </w:r>
            <w:r>
              <w:rPr>
                <w:rFonts w:ascii="Times New Roman" w:cs="Times New Roman" w:eastAsia="Times New Roman" w:hAnsi="Times New Roman"/>
                <w:sz w:val="29"/>
                <w:szCs w:val="29"/>
                <w:color w:val="auto"/>
                <w:vertAlign w:val="superscript"/>
              </w:rPr>
              <w:t>(1)</w:t>
            </w:r>
          </w:p>
        </w:tc>
        <w:tc>
          <w:tcPr>
            <w:tcW w:w="18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1,488</w:t>
            </w:r>
          </w:p>
        </w:tc>
        <w:tc>
          <w:tcPr>
            <w:tcW w:w="22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1,488</w:t>
            </w:r>
          </w:p>
        </w:tc>
        <w:tc>
          <w:tcPr>
            <w:tcW w:w="80" w:type="dxa"/>
            <w:vAlign w:val="bottom"/>
          </w:tcPr>
          <w:p>
            <w:pPr>
              <w:spacing w:after="0"/>
              <w:rPr>
                <w:sz w:val="22"/>
                <w:szCs w:val="22"/>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purchase agreement liabilities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3,965</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SAFE Agreement with related party</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535</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535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1,692</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warrants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2,475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2,475</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Deferred Sunder Consideration Shares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10,840</w:t>
            </w:r>
          </w:p>
        </w:tc>
        <w:tc>
          <w:tcPr>
            <w:tcW w:w="16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10,840</w:t>
            </w: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Ambia Consideration Shares</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16,879</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16,879</w:t>
            </w: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13,315</w:t>
            </w: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ind w:left="7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118,774</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132,089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As of December 29, 2024</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3,841</w:t>
            </w:r>
          </w:p>
        </w:tc>
      </w:tr>
      <w:tr>
        <w:trPr>
          <w:trHeight w:val="25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3,841</w:t>
            </w:r>
          </w:p>
        </w:tc>
        <w:tc>
          <w:tcPr>
            <w:tcW w:w="26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ind w:left="7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3,841</w:t>
            </w:r>
          </w:p>
        </w:tc>
        <w:tc>
          <w:tcPr>
            <w:tcW w:w="100" w:type="dxa"/>
            <w:vAlign w:val="bottom"/>
            <w:tcBorders>
              <w:top w:val="single" w:sz="8" w:color="CCEEFF"/>
              <w:bottom w:val="single" w:sz="8" w:color="CCEEFF"/>
            </w:tcBorders>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July 2024 Notes derivative liability </w:t>
            </w:r>
            <w:r>
              <w:rPr>
                <w:rFonts w:ascii="Times New Roman" w:cs="Times New Roman" w:eastAsia="Times New Roman" w:hAnsi="Times New Roman"/>
                <w:sz w:val="29"/>
                <w:szCs w:val="29"/>
                <w:color w:val="auto"/>
                <w:vertAlign w:val="superscript"/>
              </w:rPr>
              <w:t>(1)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13,563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13,563</w:t>
            </w:r>
          </w:p>
        </w:tc>
      </w:tr>
      <w:tr>
        <w:trPr>
          <w:trHeight w:val="256"/>
        </w:trPr>
        <w:tc>
          <w:tcPr>
            <w:tcW w:w="5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July 2024 Notes derivative liability – related parties </w:t>
            </w:r>
            <w:r>
              <w:rPr>
                <w:rFonts w:ascii="Times New Roman" w:cs="Times New Roman" w:eastAsia="Times New Roman" w:hAnsi="Times New Roman"/>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21,127</w:t>
            </w: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21,127</w:t>
            </w:r>
          </w:p>
        </w:tc>
      </w:tr>
      <w:tr>
        <w:trPr>
          <w:trHeight w:val="257"/>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September 2024 Notes derivative liability </w:t>
            </w:r>
            <w:r>
              <w:rPr>
                <w:rFonts w:ascii="Times New Roman" w:cs="Times New Roman" w:eastAsia="Times New Roman" w:hAnsi="Times New Roman"/>
                <w:sz w:val="29"/>
                <w:szCs w:val="29"/>
                <w:color w:val="auto"/>
                <w:vertAlign w:val="superscript"/>
              </w:rPr>
              <w:t>(1)</w:t>
            </w:r>
          </w:p>
        </w:tc>
        <w:tc>
          <w:tcPr>
            <w:tcW w:w="18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55,474</w:t>
            </w:r>
          </w:p>
        </w:tc>
        <w:tc>
          <w:tcPr>
            <w:tcW w:w="22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55,474</w:t>
            </w:r>
          </w:p>
        </w:tc>
      </w:tr>
      <w:tr>
        <w:trPr>
          <w:trHeight w:val="256"/>
        </w:trPr>
        <w:tc>
          <w:tcPr>
            <w:tcW w:w="5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September 2024 Notes derivative liability – related parties </w:t>
            </w:r>
            <w:r>
              <w:rPr>
                <w:rFonts w:ascii="Times New Roman" w:cs="Times New Roman" w:eastAsia="Times New Roman" w:hAnsi="Times New Roman"/>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6,958</w:t>
            </w: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6,958</w:t>
            </w:r>
          </w:p>
        </w:tc>
      </w:tr>
      <w:tr>
        <w:trPr>
          <w:trHeight w:val="257"/>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Forward purchase agreement liabilities </w:t>
            </w:r>
            <w:r>
              <w:rPr>
                <w:rFonts w:ascii="Times New Roman" w:cs="Times New Roman" w:eastAsia="Times New Roman" w:hAnsi="Times New Roman"/>
                <w:sz w:val="29"/>
                <w:szCs w:val="29"/>
                <w:color w:val="auto"/>
                <w:vertAlign w:val="superscript"/>
              </w:rPr>
              <w:t>(2)</w:t>
            </w:r>
          </w:p>
        </w:tc>
        <w:tc>
          <w:tcPr>
            <w:tcW w:w="18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3,494</w:t>
            </w:r>
          </w:p>
        </w:tc>
        <w:tc>
          <w:tcPr>
            <w:tcW w:w="22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 Agreement with related party</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warrants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18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862</w:t>
            </w:r>
          </w:p>
        </w:tc>
        <w:tc>
          <w:tcPr>
            <w:tcW w:w="16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862</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101,699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10" w:lineRule="auto"/>
        <w:tabs>
          <w:tab w:leader="none" w:pos="340" w:val="left"/>
        </w:tabs>
        <w:numPr>
          <w:ilvl w:val="0"/>
          <w:numId w:val="9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The derivative liabilities are associated with the Company’s outstanding senior unsecured convertible notes with stated interest rates of 7.0% (the “September 2024 Notes” and “September 2025 Notes”) and 12.0% (the “July 2024 Notes”, “July 2025 Note”, and “November 2025 Note”) all of which are defined in </w:t>
      </w:r>
      <w:r>
        <w:rPr>
          <w:rFonts w:ascii="Times New Roman" w:cs="Times New Roman" w:eastAsia="Times New Roman" w:hAnsi="Times New Roman"/>
          <w:sz w:val="18"/>
          <w:szCs w:val="18"/>
          <w:b w:val="1"/>
          <w:bCs w:val="1"/>
          <w:color w:val="auto"/>
        </w:rPr>
        <w:t>Note 10 – Borrowings and Derivative Liabilities</w:t>
      </w:r>
      <w:r>
        <w:rPr>
          <w:rFonts w:ascii="Times New Roman" w:cs="Times New Roman" w:eastAsia="Times New Roman" w:hAnsi="Times New Roman"/>
          <w:sz w:val="18"/>
          <w:szCs w:val="18"/>
          <w:color w:val="auto"/>
        </w:rPr>
        <w:t>.</w:t>
      </w:r>
    </w:p>
    <w:p>
      <w:pPr>
        <w:spacing w:after="0" w:line="89"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9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$1.3 million due to related parties as of and December 29, 2024.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2" w:name="page203"/>
    <w:bookmarkEnd w:id="202"/>
    <w:p>
      <w:pPr>
        <w:spacing w:after="0" w:line="282" w:lineRule="auto"/>
        <w:rPr>
          <w:sz w:val="20"/>
          <w:szCs w:val="20"/>
          <w:color w:val="auto"/>
        </w:rPr>
      </w:pPr>
      <w:r>
        <w:rPr>
          <w:rFonts w:ascii="Times New Roman" w:cs="Times New Roman" w:eastAsia="Times New Roman" w:hAnsi="Times New Roman"/>
          <w:sz w:val="18"/>
          <w:szCs w:val="18"/>
          <w:color w:val="auto"/>
        </w:rPr>
        <w:t xml:space="preserve">The reconciliation of liabilities by class and categorized within Level 3 under the fair value hierarchy is as follows for the fiscal years ended December 28, 2025 and December 29, 2024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940" w:type="dxa"/>
            <w:vAlign w:val="bottom"/>
            <w:tcBorders>
              <w:bottom w:val="single" w:sz="8" w:color="auto"/>
            </w:tcBorders>
            <w:gridSpan w:val="11"/>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Fiscal Year Ended December 28, 2025</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Deferred</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Ambia</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Derivative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Purchase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SAFE</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Agreements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Agreements</w:t>
            </w: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liabilities</w:t>
            </w:r>
          </w:p>
        </w:tc>
        <w:tc>
          <w:tcPr>
            <w:tcW w:w="14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29,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97,122</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20,808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16,879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37,687</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(10,931)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(10,931)</w:t>
            </w: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(gain)/loss recognized within Other</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non-operating income, net in the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5"/>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statement of operations</w:t>
            </w:r>
          </w:p>
        </w:tc>
        <w:tc>
          <w:tcPr>
            <w:tcW w:w="12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(11,490)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471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1,187</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(9,681)</w:t>
            </w:r>
          </w:p>
        </w:tc>
      </w:tr>
      <w:tr>
        <w:trPr>
          <w:trHeight w:val="223"/>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28, 2025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8"/>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9"/>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Fiscal Year Ended December 29, 2024</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Forward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Derivative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Purchase</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SAFE</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Warrant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tcPr>
          <w:p>
            <w:pPr>
              <w:spacing w:after="0"/>
              <w:rPr>
                <w:sz w:val="21"/>
                <w:szCs w:val="21"/>
                <w:color w:val="auto"/>
              </w:rPr>
            </w:pPr>
          </w:p>
        </w:tc>
        <w:tc>
          <w:tcPr>
            <w:tcW w:w="136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Agreements</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Agreements</w:t>
            </w:r>
          </w:p>
        </w:tc>
        <w:tc>
          <w:tcPr>
            <w:tcW w:w="140" w:type="dxa"/>
            <w:vAlign w:val="bottom"/>
          </w:tcPr>
          <w:p>
            <w:pPr>
              <w:spacing w:after="0"/>
              <w:rPr>
                <w:sz w:val="21"/>
                <w:szCs w:val="21"/>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liabilities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131,108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137,108</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(6,250)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(7,306)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(13,556)</w:t>
            </w:r>
          </w:p>
        </w:tc>
      </w:tr>
      <w:tr>
        <w:trPr>
          <w:trHeight w:val="198"/>
        </w:trPr>
        <w:tc>
          <w:tcPr>
            <w:tcW w:w="462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Net (gain)/loss recognized within Other non-operating</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5"/>
        </w:trPr>
        <w:tc>
          <w:tcPr>
            <w:tcW w:w="4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income, net in the consolidated statement of operations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(33,986)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634</w:t>
            </w:r>
          </w:p>
        </w:tc>
        <w:tc>
          <w:tcPr>
            <w:tcW w:w="14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(2,955)</w:t>
            </w:r>
          </w:p>
        </w:tc>
        <w:tc>
          <w:tcPr>
            <w:tcW w:w="220" w:type="dxa"/>
            <w:vAlign w:val="bottom"/>
          </w:tcPr>
          <w:p>
            <w:pPr>
              <w:spacing w:after="0"/>
              <w:rPr>
                <w:sz w:val="22"/>
                <w:szCs w:val="22"/>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(36,644)</w:t>
            </w:r>
          </w:p>
        </w:tc>
      </w:tr>
      <w:tr>
        <w:trPr>
          <w:trHeight w:val="223"/>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29, 2024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97,122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Subsequent to issuance, changes in the fair value of derivative liabilities, FPAs, SAFEs and liability classified warrants, are recorded within Other non-operating income, net on the Company’s consolidated statements of operations and comprehensive loss. Refer to </w:t>
      </w:r>
      <w:r>
        <w:rPr>
          <w:rFonts w:ascii="Times New Roman" w:cs="Times New Roman" w:eastAsia="Times New Roman" w:hAnsi="Times New Roman"/>
          <w:sz w:val="18"/>
          <w:szCs w:val="18"/>
          <w:b w:val="1"/>
          <w:bCs w:val="1"/>
          <w:color w:val="auto"/>
        </w:rPr>
        <w:t>Note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Other Non-Operating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Income, Net </w:t>
      </w:r>
      <w:r>
        <w:rPr>
          <w:rFonts w:ascii="Times New Roman" w:cs="Times New Roman" w:eastAsia="Times New Roman" w:hAnsi="Times New Roman"/>
          <w:sz w:val="18"/>
          <w:szCs w:val="18"/>
          <w:color w:val="auto"/>
        </w:rPr>
        <w:t>for details.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recognized derivative liabilities arising from the conversion features of its senior unsecured convertible notes issued in the years ended December 28, 2025 and December 29, 2024 (refer to </w:t>
      </w:r>
      <w:r>
        <w:rPr>
          <w:rFonts w:ascii="Times New Roman" w:cs="Times New Roman" w:eastAsia="Times New Roman" w:hAnsi="Times New Roman"/>
          <w:sz w:val="18"/>
          <w:szCs w:val="18"/>
          <w:b w:val="1"/>
          <w:bCs w:val="1"/>
          <w:color w:val="auto"/>
        </w:rPr>
        <w:t>Note 10 – Borrowings and Derivative Liabilities</w:t>
      </w:r>
      <w:r>
        <w:rPr>
          <w:rFonts w:ascii="Times New Roman" w:cs="Times New Roman" w:eastAsia="Times New Roman" w:hAnsi="Times New Roman"/>
          <w:sz w:val="18"/>
          <w:szCs w:val="18"/>
          <w:color w:val="auto"/>
        </w:rPr>
        <w:t xml:space="preserve">). Derivative liabilities are measured at fair value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fair value of each respective derivative liability is measured using a Monte Carlo simulation that incorporates a binomial lattice model. Significant inputs to the binomial lattice model include the terms of the senior unsecured convertible notes (including the interest rate, conversion rate and conversion price), the underlying price of the Company’s common stock, risk-free rate and volatility. Certain of these inputs are unobservable. Thus, these derivative liabilities are classified within Level 3 of the fair value hierarchy. The binomial lattice model produces an estimated fair value based on changes in the price of the underlying shares of the Company’s common stock over successive periods of time. As a result of these interrelationships and inherent unobservable assumptions, the fair value of a derivative liability is subject to significant measurement uncertainty, and alternative reasonable assumptions could have produced materially different results as of December 28, 2025 and December 29, 2024.</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color w:val="auto"/>
        </w:rPr>
        <w:t>The assumptions used to value the derivative liabilities as of December 28, 2025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80" w:type="dxa"/>
            <w:vAlign w:val="bottom"/>
            <w:gridSpan w:val="9"/>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12.0% Senior Unsecured Convertible</w:t>
            </w:r>
          </w:p>
        </w:tc>
        <w:tc>
          <w:tcPr>
            <w:tcW w:w="100" w:type="dxa"/>
            <w:vAlign w:val="bottom"/>
          </w:tcPr>
          <w:p>
            <w:pPr>
              <w:spacing w:after="0"/>
              <w:rPr>
                <w:sz w:val="18"/>
                <w:szCs w:val="18"/>
                <w:color w:val="auto"/>
              </w:rPr>
            </w:pPr>
          </w:p>
        </w:tc>
        <w:tc>
          <w:tcPr>
            <w:tcW w:w="254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7.0% Senior Unsecured</w:t>
            </w:r>
          </w:p>
        </w:tc>
      </w:tr>
      <w:tr>
        <w:trPr>
          <w:trHeight w:val="245"/>
        </w:trPr>
        <w:tc>
          <w:tcPr>
            <w:tcW w:w="4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Convertible Notes</w:t>
            </w:r>
          </w:p>
        </w:tc>
      </w:tr>
      <w:tr>
        <w:trPr>
          <w:trHeight w:val="194"/>
        </w:trPr>
        <w:tc>
          <w:tcPr>
            <w:tcW w:w="44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rPr>
              <w:t>July 2024</w:t>
            </w: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July 2025</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November</w:t>
            </w: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60" w:type="dxa"/>
            <w:vAlign w:val="bottom"/>
          </w:tcPr>
          <w:p>
            <w:pPr>
              <w:spacing w:after="0"/>
              <w:rPr>
                <w:sz w:val="16"/>
                <w:szCs w:val="16"/>
                <w:color w:val="auto"/>
              </w:rPr>
            </w:pPr>
          </w:p>
        </w:tc>
      </w:tr>
      <w:tr>
        <w:trPr>
          <w:trHeight w:val="245"/>
        </w:trPr>
        <w:tc>
          <w:tcPr>
            <w:tcW w:w="44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2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2025 Note</w:t>
            </w:r>
          </w:p>
        </w:tc>
        <w:tc>
          <w:tcPr>
            <w:tcW w:w="2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2024 Notes</w:t>
            </w:r>
          </w:p>
        </w:tc>
        <w:tc>
          <w:tcPr>
            <w:tcW w:w="2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2025 Notes</w:t>
            </w:r>
          </w:p>
        </w:tc>
        <w:tc>
          <w:tcPr>
            <w:tcW w:w="160" w:type="dxa"/>
            <w:vAlign w:val="bottom"/>
            <w:tcBorders>
              <w:bottom w:val="single" w:sz="8" w:color="CCEEFF"/>
            </w:tcBorders>
          </w:tcPr>
          <w:p>
            <w:pPr>
              <w:spacing w:after="0"/>
              <w:rPr>
                <w:sz w:val="21"/>
                <w:szCs w:val="2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Coupon rate</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Conversion rate</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595.24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558.66</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626.96</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467.84</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467.84</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price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85.6%</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432"/>
        </w:trPr>
        <w:tc>
          <w:tcPr>
            <w:tcW w:w="72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assumptions used to value the derivative liabilities as of December 29, 2024 were as follows: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4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Senior Unsecured Convertible</w:t>
            </w:r>
          </w:p>
        </w:tc>
      </w:tr>
      <w:tr>
        <w:trPr>
          <w:trHeight w:val="245"/>
        </w:trPr>
        <w:tc>
          <w:tcPr>
            <w:tcW w:w="4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0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4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12.0% Notes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7.0% Notes</w:t>
            </w:r>
          </w:p>
        </w:tc>
        <w:tc>
          <w:tcPr>
            <w:tcW w:w="160" w:type="dxa"/>
            <w:vAlign w:val="bottom"/>
          </w:tcPr>
          <w:p>
            <w:pPr>
              <w:spacing w:after="0"/>
              <w:rPr>
                <w:sz w:val="20"/>
                <w:szCs w:val="20"/>
                <w:color w:val="auto"/>
              </w:rPr>
            </w:pPr>
          </w:p>
        </w:tc>
      </w:tr>
      <w:tr>
        <w:trPr>
          <w:trHeight w:val="194"/>
        </w:trPr>
        <w:tc>
          <w:tcPr>
            <w:tcW w:w="4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July 2024</w:t>
            </w: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60" w:type="dxa"/>
            <w:vAlign w:val="bottom"/>
          </w:tcPr>
          <w:p>
            <w:pPr>
              <w:spacing w:after="0"/>
              <w:rPr>
                <w:sz w:val="16"/>
                <w:szCs w:val="16"/>
                <w:color w:val="auto"/>
              </w:rPr>
            </w:pPr>
          </w:p>
        </w:tc>
      </w:tr>
      <w:tr>
        <w:trPr>
          <w:trHeight w:val="245"/>
        </w:trPr>
        <w:tc>
          <w:tcPr>
            <w:tcW w:w="44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2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2024 Notes</w:t>
            </w:r>
          </w:p>
        </w:tc>
        <w:tc>
          <w:tcPr>
            <w:tcW w:w="160" w:type="dxa"/>
            <w:vAlign w:val="bottom"/>
            <w:tcBorders>
              <w:bottom w:val="single" w:sz="8" w:color="CCEEFF"/>
            </w:tcBorders>
          </w:tcPr>
          <w:p>
            <w:pPr>
              <w:spacing w:after="0"/>
              <w:rPr>
                <w:sz w:val="21"/>
                <w:szCs w:val="2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Coupon rate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Conversion rate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595.24</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467.84</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price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66.6%</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purchase agreement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FPAs are measured at fair value on a recurring basis using a Monte Carlo simulation analysis based upon the following inputs: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0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07"/>
        </w:trPr>
        <w:tc>
          <w:tcPr>
            <w:tcW w:w="34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60" w:type="dxa"/>
            <w:vAlign w:val="bottom"/>
          </w:tcPr>
          <w:p>
            <w:pPr>
              <w:spacing w:after="0"/>
              <w:rPr>
                <w:sz w:val="18"/>
                <w:szCs w:val="18"/>
                <w:color w:val="auto"/>
              </w:rPr>
            </w:pPr>
          </w:p>
        </w:tc>
      </w:tr>
      <w:tr>
        <w:trPr>
          <w:trHeight w:val="245"/>
        </w:trPr>
        <w:tc>
          <w:tcPr>
            <w:tcW w:w="3400" w:type="dxa"/>
            <w:vAlign w:val="bottom"/>
            <w:tcBorders>
              <w:bottom w:val="single" w:sz="8" w:color="CCEEFF"/>
            </w:tcBorders>
          </w:tcPr>
          <w:p>
            <w:pPr>
              <w:spacing w:after="0"/>
              <w:rPr>
                <w:sz w:val="21"/>
                <w:szCs w:val="21"/>
                <w:color w:val="auto"/>
              </w:rPr>
            </w:pPr>
          </w:p>
        </w:tc>
        <w:tc>
          <w:tcPr>
            <w:tcW w:w="5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VWAP stock price</w:t>
            </w:r>
          </w:p>
        </w:tc>
        <w:tc>
          <w:tcPr>
            <w:tcW w:w="5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5"/>
              </w:rPr>
              <w:t>1.66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Simulation period</w:t>
            </w:r>
          </w:p>
        </w:tc>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0.55 years</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0.55 years</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5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4.28%</w:t>
            </w: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77.3%</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117.0%</w:t>
            </w:r>
          </w:p>
        </w:tc>
      </w:tr>
      <w:tr>
        <w:trPr>
          <w:trHeight w:val="637"/>
        </w:trPr>
        <w:tc>
          <w:tcPr>
            <w:tcW w:w="340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2"/>
          </w:tcPr>
          <w:p>
            <w:pPr>
              <w:ind w:left="2060"/>
              <w:spacing w:after="0"/>
              <w:rPr>
                <w:sz w:val="20"/>
                <w:szCs w:val="20"/>
                <w:color w:val="auto"/>
              </w:rPr>
            </w:pPr>
            <w:r>
              <w:rPr>
                <w:rFonts w:ascii="Times New Roman" w:cs="Times New Roman" w:eastAsia="Times New Roman" w:hAnsi="Times New Roman"/>
                <w:sz w:val="18"/>
                <w:szCs w:val="18"/>
                <w:color w:val="auto"/>
              </w:rPr>
              <w:t>F-79</w:t>
            </w: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04" w:name="page205"/>
    <w:bookmarkEnd w:id="204"/>
    <w:p>
      <w:pPr>
        <w:jc w:val="both"/>
        <w:spacing w:after="0" w:line="254" w:lineRule="auto"/>
        <w:rPr>
          <w:sz w:val="20"/>
          <w:szCs w:val="20"/>
          <w:color w:val="auto"/>
        </w:rPr>
      </w:pPr>
      <w:r>
        <w:rPr>
          <w:rFonts w:ascii="Times New Roman" w:cs="Times New Roman" w:eastAsia="Times New Roman" w:hAnsi="Times New Roman"/>
          <w:sz w:val="18"/>
          <w:szCs w:val="18"/>
          <w:color w:val="auto"/>
        </w:rPr>
        <w:t>The volume-weighted average price (“VWAP”) reflects management’s judgment regarding expected future trading activity and price behavior as an active forward market does not exist for the Company’s common stock. Reasonably possible alternative VWAP outcomes at the reporting date could have resulted in a materially different fair value. The risk-free rate is derived from the applicable tenor of the U.S. Treasury yield curve. Changes in the risk-free rate would alter the present value of the simulated settlement amounts and could significantly impact the fair value estimate. The expected volatility is determined based on the historical equity volatility of comparable companies over a period that matches the simulation period. Because expected volatility drives the dispersion of simulated price paths, reasonably higher or lower volatility assumptions could materially increase or decrease the estimated fair value. These inputs are interrelated, and changes in one may affect the others. As a result of these interrelationships and inherent unobservable assumptions, the fair value of FPAs is subject to significant measurement uncertainty, and alternative reasonable assumptions could have produced materially different results as of December 28, 2025 and December 29, 2024. Thus, FPAs are classified within Level 3 of the fair value hierarchy.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and working capital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valued the private placement and working capital warrants, based on a binomial lattice model, which included the following inputs: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07"/>
        </w:trPr>
        <w:tc>
          <w:tcPr>
            <w:tcW w:w="8600" w:type="dxa"/>
            <w:vAlign w:val="bottom"/>
          </w:tcPr>
          <w:p>
            <w:pPr>
              <w:spacing w:after="0"/>
              <w:rPr>
                <w:sz w:val="18"/>
                <w:szCs w:val="18"/>
                <w:color w:val="auto"/>
              </w:rPr>
            </w:pP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60" w:type="dxa"/>
            <w:vAlign w:val="bottom"/>
          </w:tcPr>
          <w:p>
            <w:pPr>
              <w:spacing w:after="0"/>
              <w:rPr>
                <w:sz w:val="18"/>
                <w:szCs w:val="18"/>
                <w:color w:val="auto"/>
              </w:rPr>
            </w:pPr>
          </w:p>
        </w:tc>
      </w:tr>
      <w:tr>
        <w:trPr>
          <w:trHeight w:val="245"/>
        </w:trPr>
        <w:tc>
          <w:tcPr>
            <w:tcW w:w="86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2.56 years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3.56 years</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179.0%</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68.1%</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4.39%</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expected term is the time period to the expiration date of the warrants. The risk-free rate is interpolated from the U.S. Constant Maturity Treasury curve for a term matching the corresponding remaining life. Volatility was calibrated based on the public warrants closing price as of the valuation date. As the private and working capital warrants have terms nearly identical to the publicly traded warrants, the volatility was calibrated until the model price equaled the public warrants closing price. These inherent unobservable assumptions are subject to significant measurement uncertainty, and alternative reasonable assumptions could have produced materially different results as of December 28, 2025 and December 29, 2024. Thus, the private placement and working capital warrant liabilities are classified within Level 3 of the fair value hierarchy.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public warrants are measured at fair value on a recurring basis. The public warrants were valued based on the closing price of the publicly traded instrument and therefore are considered a Level 1 instrument in the fair value hierarchy.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 agreement with related party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measured the fair value of its SAFE using a valuation technique that incorporates significant unobservable inputs and is therefore classified within Level 3 of the fair value hierarchy. The fair value of the SAFE is subject to estimation uncertainty because it depends on management’s judgments about future events that are not directly observable in active markets. Management assigned a 50% probability that the SAFE will convert into shares of the Company’s stock in connection with a qualifying financing or other specified event. If the SAFE does not convert, management expects cash repayment in fiscal 2026 or fiscal 2027, with a 50% probability assigned to each repayment year.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5" w:name="page206"/>
    <w:bookmarkEnd w:id="205"/>
    <w:p>
      <w:pPr>
        <w:jc w:val="both"/>
        <w:spacing w:after="0" w:line="252" w:lineRule="auto"/>
        <w:rPr>
          <w:sz w:val="20"/>
          <w:szCs w:val="20"/>
          <w:color w:val="auto"/>
        </w:rPr>
      </w:pPr>
      <w:r>
        <w:rPr>
          <w:rFonts w:ascii="Times New Roman" w:cs="Times New Roman" w:eastAsia="Times New Roman" w:hAnsi="Times New Roman"/>
          <w:sz w:val="18"/>
          <w:szCs w:val="18"/>
          <w:color w:val="auto"/>
        </w:rPr>
        <w:t>The SAFE valuation also considers assumptions such as discount rates implied by the Company’s convertible notes as of the valuation date, the timing and likelihood of financing or liquidity events, and, for the conversion path, the expected equity valuation and any applicable conversion economics (e.g., discounts or valuation caps). Settlement of the SAFE is contingent on future financing or liquidity events and the Company’s funding plans. Accordingly, the measurement requires judgment about the likelihood and timing of conversion versus repayment and, where relevant, assumptions about the Company’s equity value at conversion. Because these factors are not directly observable, reasonably possible alternative assumptions at the reporting date could produce a materially different fair value. Increasing the probability of conversion would generally increase the fair value if the conversion terms imply a beneficial outcome to the holder relative to repayment; decreasing that probability would place more weight on the repayment scenarios and could increase or decrease the fair value depending on the applicable discount rate and timing of cash flows. Within the non-conversion path, shifting probability weight toward repayment in fiscal year 2026 would generally increase fair value (lower discounting), while shifting weight toward fiscal 2027 would generally decrease fair value (greater discounting), holding other inputs constant. A higher discount rate would decrease the present value of expected cash flows (and thus fair value), while a lower rate would increase fair value. Higher expected equity values or more favorable conversion economics would increase the fair value under the conversion path; lower expected equity values or less favorable terms would decrease it. These inputs are interrelated and unobservable. Because the valuation depends on significant unobservable inputs—including a 50% probability of conversion to equity and an even allocation between fiscal years 2026 and 2027 of repayment if conversion does not occur—there is significant measurement uncertainty, and alternative reasonable assumptions at the reporting date could have resulted in a materially different fair value of the SAFE liability as of December 28, 2025 and December 29, 2024. Thus, the SAFE liability is classified within Level 3 of the fair value hierarchy.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liabilities not measured at fair value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senior unsecured convertible notes were fair valued using a binomial lattice model, which includes Level 3, unobservable inputs. The key inputs used are consistent with those used to fair value the derivative liabilities as discussed under </w:t>
      </w:r>
      <w:r>
        <w:rPr>
          <w:rFonts w:ascii="Times New Roman" w:cs="Times New Roman" w:eastAsia="Times New Roman" w:hAnsi="Times New Roman"/>
          <w:sz w:val="18"/>
          <w:szCs w:val="18"/>
          <w:i w:val="1"/>
          <w:iCs w:val="1"/>
          <w:color w:val="auto"/>
        </w:rPr>
        <w:t>Derivative Liabilities</w:t>
      </w:r>
      <w:r>
        <w:rPr>
          <w:rFonts w:ascii="Times New Roman" w:cs="Times New Roman" w:eastAsia="Times New Roman" w:hAnsi="Times New Roman"/>
          <w:sz w:val="18"/>
          <w:szCs w:val="18"/>
          <w:color w:val="auto"/>
        </w:rPr>
        <w:t xml:space="preserve"> above. The following table sets forth the Company’s financial liabilities that were not measured at fair value and are considered a Level 3 instrument in the fair value hierarchy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As of December 28, 2025</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3"/>
        </w:trPr>
        <w:tc>
          <w:tcPr>
            <w:tcW w:w="4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3"/>
          </w:tcPr>
          <w:p>
            <w:pPr>
              <w:jc w:val="center"/>
              <w:ind w:right="141"/>
              <w:spacing w:after="0" w:line="202" w:lineRule="exact"/>
              <w:rPr>
                <w:sz w:val="20"/>
                <w:szCs w:val="20"/>
                <w:color w:val="auto"/>
              </w:rPr>
            </w:pPr>
            <w:r>
              <w:rPr>
                <w:rFonts w:ascii="Times New Roman" w:cs="Times New Roman" w:eastAsia="Times New Roman" w:hAnsi="Times New Roman"/>
                <w:sz w:val="18"/>
                <w:szCs w:val="18"/>
                <w:b w:val="1"/>
                <w:bCs w:val="1"/>
                <w:color w:val="auto"/>
                <w:w w:val="98"/>
              </w:rPr>
              <w:t>Unamortized</w:t>
            </w:r>
          </w:p>
        </w:tc>
        <w:tc>
          <w:tcPr>
            <w:tcW w:w="120" w:type="dxa"/>
            <w:vAlign w:val="bottom"/>
          </w:tcPr>
          <w:p>
            <w:pPr>
              <w:spacing w:after="0"/>
              <w:rPr>
                <w:sz w:val="17"/>
                <w:szCs w:val="17"/>
                <w:color w:val="auto"/>
              </w:rPr>
            </w:pPr>
          </w:p>
        </w:tc>
        <w:tc>
          <w:tcPr>
            <w:tcW w:w="120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rPr>
              <w:t>Net</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9"/>
              </w:rPr>
              <w:t>debt</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carrying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8"/>
              </w:rPr>
              <w:t>discount</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and debt</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excluding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capitalized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7"/>
        </w:trPr>
        <w:tc>
          <w:tcPr>
            <w:tcW w:w="4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amount </w:t>
            </w:r>
            <w:r>
              <w:rPr>
                <w:rFonts w:ascii="Times New Roman" w:cs="Times New Roman" w:eastAsia="Times New Roman" w:hAnsi="Times New Roman"/>
                <w:sz w:val="29"/>
                <w:szCs w:val="29"/>
                <w:b w:val="1"/>
                <w:bCs w:val="1"/>
                <w:color w:val="auto"/>
                <w:vertAlign w:val="superscript"/>
              </w:rPr>
              <w:t>(1)</w:t>
            </w:r>
          </w:p>
        </w:tc>
        <w:tc>
          <w:tcPr>
            <w:tcW w:w="160" w:type="dxa"/>
            <w:vAlign w:val="bottom"/>
          </w:tcPr>
          <w:p>
            <w:pPr>
              <w:spacing w:after="0"/>
              <w:rPr>
                <w:sz w:val="24"/>
                <w:szCs w:val="24"/>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7"/>
              </w:rPr>
              <w:t>costs</w:t>
            </w:r>
          </w:p>
        </w:tc>
        <w:tc>
          <w:tcPr>
            <w:tcW w:w="120" w:type="dxa"/>
            <w:vAlign w:val="bottom"/>
          </w:tcPr>
          <w:p>
            <w:pPr>
              <w:spacing w:after="0"/>
              <w:rPr>
                <w:sz w:val="24"/>
                <w:szCs w:val="24"/>
                <w:color w:val="auto"/>
              </w:rPr>
            </w:pPr>
          </w:p>
        </w:tc>
        <w:tc>
          <w:tcPr>
            <w:tcW w:w="1200" w:type="dxa"/>
            <w:vAlign w:val="bottom"/>
            <w:gridSpan w:val="2"/>
          </w:tcPr>
          <w:p>
            <w:pPr>
              <w:jc w:val="center"/>
              <w:ind w:right="320"/>
              <w:spacing w:after="0" w:line="270" w:lineRule="exact"/>
              <w:rPr>
                <w:sz w:val="20"/>
                <w:szCs w:val="20"/>
                <w:color w:val="auto"/>
              </w:rPr>
            </w:pPr>
            <w:r>
              <w:rPr>
                <w:rFonts w:ascii="Times New Roman" w:cs="Times New Roman" w:eastAsia="Times New Roman" w:hAnsi="Times New Roman"/>
                <w:sz w:val="18"/>
                <w:szCs w:val="18"/>
                <w:b w:val="1"/>
                <w:bCs w:val="1"/>
                <w:color w:val="auto"/>
                <w:w w:val="94"/>
              </w:rPr>
              <w:t xml:space="preserve">interest </w:t>
            </w:r>
            <w:r>
              <w:rPr>
                <w:rFonts w:ascii="Times New Roman" w:cs="Times New Roman" w:eastAsia="Times New Roman" w:hAnsi="Times New Roman"/>
                <w:sz w:val="29"/>
                <w:szCs w:val="29"/>
                <w:b w:val="1"/>
                <w:bCs w:val="1"/>
                <w:color w:val="auto"/>
                <w:w w:val="94"/>
                <w:vertAlign w:val="superscript"/>
              </w:rPr>
              <w:t>(1)</w:t>
            </w:r>
          </w:p>
        </w:tc>
        <w:tc>
          <w:tcPr>
            <w:tcW w:w="14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12.0% senior unsecured convertible notes</w:t>
            </w:r>
          </w:p>
        </w:tc>
        <w:tc>
          <w:tcPr>
            <w:tcW w:w="1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2024 Notes</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27,973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(5,832)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33,165</w:t>
            </w:r>
          </w:p>
        </w:tc>
      </w:tr>
      <w:tr>
        <w:trPr>
          <w:trHeight w:val="23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July 2024 Notes – related parties</w:t>
            </w: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18,000</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(10,369)</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7,631</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21,204</w:t>
            </w:r>
          </w:p>
        </w:tc>
      </w:tr>
      <w:tr>
        <w:trPr>
          <w:trHeight w:val="236"/>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July 2024 Notes</w:t>
            </w:r>
          </w:p>
        </w:tc>
        <w:tc>
          <w:tcPr>
            <w:tcW w:w="16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2"/>
              </w:rPr>
              <w:t>45,973</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43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July 2025 Note – related party</w:t>
            </w: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ind w:left="600"/>
              <w:spacing w:after="0" w:line="203" w:lineRule="exact"/>
              <w:rPr>
                <w:sz w:val="20"/>
                <w:szCs w:val="20"/>
                <w:color w:val="auto"/>
              </w:rPr>
            </w:pPr>
            <w:r>
              <w:rPr>
                <w:rFonts w:ascii="Times New Roman" w:cs="Times New Roman" w:eastAsia="Times New Roman" w:hAnsi="Times New Roman"/>
                <w:sz w:val="18"/>
                <w:szCs w:val="18"/>
                <w:color w:val="auto"/>
                <w:w w:val="93"/>
              </w:rPr>
              <w:t>5,000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(3,557)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1,443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5,641</w:t>
            </w:r>
          </w:p>
        </w:tc>
        <w:tc>
          <w:tcPr>
            <w:tcW w:w="100" w:type="dxa"/>
            <w:vAlign w:val="bottom"/>
          </w:tcPr>
          <w:p>
            <w:pPr>
              <w:spacing w:after="0"/>
              <w:rPr>
                <w:sz w:val="17"/>
                <w:szCs w:val="17"/>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2025 Note – related party</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2,000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(1,509)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2,360</w:t>
            </w:r>
          </w:p>
        </w:tc>
      </w:tr>
      <w:tr>
        <w:trPr>
          <w:trHeight w:val="216"/>
        </w:trPr>
        <w:tc>
          <w:tcPr>
            <w:tcW w:w="4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7.0% senior unsecured convertible notes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2024 Notes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56,543</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(42,211)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14,332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59,425</w:t>
            </w:r>
          </w:p>
        </w:tc>
      </w:tr>
      <w:tr>
        <w:trPr>
          <w:trHeight w:val="25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2024 Notes – related parties</w:t>
            </w:r>
          </w:p>
        </w:tc>
        <w:tc>
          <w:tcPr>
            <w:tcW w:w="1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8,750</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(6,404)</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2,346</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8,880</w:t>
            </w:r>
          </w:p>
        </w:tc>
      </w:tr>
      <w:tr>
        <w:trPr>
          <w:trHeight w:val="210"/>
        </w:trPr>
        <w:tc>
          <w:tcPr>
            <w:tcW w:w="4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Subtotal September 2024 Notes</w:t>
            </w:r>
          </w:p>
        </w:tc>
        <w:tc>
          <w:tcPr>
            <w:tcW w:w="16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520"/>
              <w:spacing w:after="0" w:line="203" w:lineRule="exact"/>
              <w:rPr>
                <w:sz w:val="20"/>
                <w:szCs w:val="20"/>
                <w:color w:val="auto"/>
              </w:rPr>
            </w:pPr>
            <w:r>
              <w:rPr>
                <w:rFonts w:ascii="Times New Roman" w:cs="Times New Roman" w:eastAsia="Times New Roman" w:hAnsi="Times New Roman"/>
                <w:sz w:val="18"/>
                <w:szCs w:val="18"/>
                <w:color w:val="auto"/>
                <w:w w:val="92"/>
              </w:rPr>
              <w:t>65,293</w:t>
            </w:r>
          </w:p>
        </w:tc>
        <w:tc>
          <w:tcPr>
            <w:tcW w:w="2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(48,615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16,678</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68,305</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2025 Notes</w:t>
            </w:r>
          </w:p>
        </w:tc>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2"/>
              </w:rPr>
              <w:t>22,000</w:t>
            </w: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43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6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ind w:left="420"/>
              <w:spacing w:after="0" w:line="203" w:lineRule="exact"/>
              <w:rPr>
                <w:sz w:val="20"/>
                <w:szCs w:val="20"/>
                <w:color w:val="auto"/>
              </w:rPr>
            </w:pPr>
            <w:r>
              <w:rPr>
                <w:rFonts w:ascii="Times New Roman" w:cs="Times New Roman" w:eastAsia="Times New Roman" w:hAnsi="Times New Roman"/>
                <w:sz w:val="18"/>
                <w:szCs w:val="18"/>
                <w:color w:val="auto"/>
                <w:w w:val="95"/>
              </w:rPr>
              <w:t>140,266</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(88,528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51,738</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154,902</w:t>
            </w:r>
          </w:p>
        </w:tc>
        <w:tc>
          <w:tcPr>
            <w:tcW w:w="100" w:type="dxa"/>
            <w:vAlign w:val="bottom"/>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F-81</w:t>
            </w: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06" w:name="page207"/>
    <w:bookmarkEnd w:id="206"/>
    <w:p>
      <w:pPr>
        <w:ind w:left="7600"/>
        <w:spacing w:after="0"/>
        <w:rPr>
          <w:sz w:val="20"/>
          <w:szCs w:val="20"/>
          <w:color w:val="auto"/>
        </w:rPr>
      </w:pPr>
      <w:r>
        <w:rPr>
          <w:rFonts w:ascii="Times New Roman" w:cs="Times New Roman" w:eastAsia="Times New Roman" w:hAnsi="Times New Roman"/>
          <w:sz w:val="18"/>
          <w:szCs w:val="18"/>
          <w:b w:val="1"/>
          <w:bCs w:val="1"/>
          <w:color w:val="auto"/>
        </w:rPr>
        <w:t>As of December 29, 2024</w:t>
      </w:r>
    </w:p>
    <w:p>
      <w:pPr>
        <w:sectPr>
          <w:pgSz w:w="11900" w:h="16838" w:orient="portrait"/>
          <w:cols w:equalWidth="0" w:num="1">
            <w:col w:w="11240"/>
          </w:cols>
          <w:pgMar w:left="320" w:top="6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206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12.0% senior unsecured convertible notes </w:t>
      </w:r>
      <w:r>
        <w:rPr>
          <w:rFonts w:ascii="Times New Roman" w:cs="Times New Roman" w:eastAsia="Times New Roman" w:hAnsi="Times New Roman"/>
          <w:sz w:val="18"/>
          <w:szCs w:val="18"/>
          <w:color w:val="auto"/>
        </w:rPr>
        <w:t>July 2024 Notes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2024 Notes – related parties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Subtotal July 2024 Notes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Unamortized</w:t>
            </w: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Net</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9"/>
              </w:rPr>
              <w:t>debt</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carrying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8"/>
              </w:rPr>
              <w:t>discount</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and debt</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excluding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capitalized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77"/>
        </w:trPr>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0"/>
              <w:spacing w:after="0" w:line="270" w:lineRule="exact"/>
              <w:rPr>
                <w:sz w:val="20"/>
                <w:szCs w:val="20"/>
                <w:color w:val="auto"/>
              </w:rPr>
            </w:pPr>
            <w:r>
              <w:rPr>
                <w:rFonts w:ascii="Times New Roman" w:cs="Times New Roman" w:eastAsia="Times New Roman" w:hAnsi="Times New Roman"/>
                <w:sz w:val="18"/>
                <w:szCs w:val="18"/>
                <w:b w:val="1"/>
                <w:bCs w:val="1"/>
                <w:color w:val="auto"/>
                <w:w w:val="92"/>
              </w:rPr>
              <w:t xml:space="preserve">amount </w:t>
            </w:r>
            <w:r>
              <w:rPr>
                <w:rFonts w:ascii="Times New Roman" w:cs="Times New Roman" w:eastAsia="Times New Roman" w:hAnsi="Times New Roman"/>
                <w:sz w:val="29"/>
                <w:szCs w:val="29"/>
                <w:b w:val="1"/>
                <w:bCs w:val="1"/>
                <w:color w:val="auto"/>
                <w:w w:val="92"/>
                <w:vertAlign w:val="superscript"/>
              </w:rPr>
              <w:t>(1)</w:t>
            </w: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costs</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10"/>
              <w:spacing w:after="0" w:line="270" w:lineRule="exact"/>
              <w:rPr>
                <w:sz w:val="20"/>
                <w:szCs w:val="20"/>
                <w:color w:val="auto"/>
              </w:rPr>
            </w:pPr>
            <w:r>
              <w:rPr>
                <w:rFonts w:ascii="Times New Roman" w:cs="Times New Roman" w:eastAsia="Times New Roman" w:hAnsi="Times New Roman"/>
                <w:sz w:val="18"/>
                <w:szCs w:val="18"/>
                <w:b w:val="1"/>
                <w:bCs w:val="1"/>
                <w:color w:val="auto"/>
                <w:w w:val="94"/>
              </w:rPr>
              <w:t xml:space="preserve">interest </w:t>
            </w:r>
            <w:r>
              <w:rPr>
                <w:rFonts w:ascii="Times New Roman" w:cs="Times New Roman" w:eastAsia="Times New Roman" w:hAnsi="Times New Roman"/>
                <w:sz w:val="29"/>
                <w:szCs w:val="29"/>
                <w:b w:val="1"/>
                <w:bCs w:val="1"/>
                <w:color w:val="auto"/>
                <w:w w:val="94"/>
                <w:vertAlign w:val="superscript"/>
              </w:rPr>
              <w:t>(1)</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414"/>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17,973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(6,205)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11,768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21,390</w:t>
            </w:r>
          </w:p>
        </w:tc>
      </w:tr>
      <w:tr>
        <w:trPr>
          <w:trHeight w:val="255"/>
        </w:trPr>
        <w:tc>
          <w:tcPr>
            <w:tcW w:w="120" w:type="dxa"/>
            <w:vAlign w:val="bottom"/>
          </w:tcPr>
          <w:p>
            <w:pPr>
              <w:spacing w:after="0"/>
              <w:rPr>
                <w:sz w:val="22"/>
                <w:szCs w:val="22"/>
                <w:color w:val="auto"/>
              </w:rPr>
            </w:pPr>
          </w:p>
        </w:tc>
        <w:tc>
          <w:tcPr>
            <w:tcW w:w="12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28,000</w:t>
            </w:r>
          </w:p>
        </w:tc>
        <w:tc>
          <w:tcPr>
            <w:tcW w:w="160" w:type="dxa"/>
            <w:vAlign w:val="bottom"/>
          </w:tcPr>
          <w:p>
            <w:pPr>
              <w:spacing w:after="0"/>
              <w:rPr>
                <w:sz w:val="22"/>
                <w:szCs w:val="22"/>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(10,785)</w:t>
            </w:r>
          </w:p>
        </w:tc>
        <w:tc>
          <w:tcPr>
            <w:tcW w:w="120" w:type="dxa"/>
            <w:vAlign w:val="bottom"/>
          </w:tcPr>
          <w:p>
            <w:pPr>
              <w:spacing w:after="0"/>
              <w:rPr>
                <w:sz w:val="22"/>
                <w:szCs w:val="22"/>
                <w:color w:val="auto"/>
              </w:rPr>
            </w:pP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17,215</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33,323</w:t>
            </w:r>
          </w:p>
        </w:tc>
      </w:tr>
      <w:tr>
        <w:trPr>
          <w:trHeight w:val="223"/>
        </w:trPr>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2"/>
              </w:rPr>
              <w:t>45,973</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2"/>
              </w:rPr>
              <w:t>28,983</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-454025</wp:posOffset>
            </wp:positionV>
            <wp:extent cx="7132320"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-162560</wp:posOffset>
            </wp:positionV>
            <wp:extent cx="7132320"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698"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7.0% senior unsecured convertible notes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2024</w:t>
            </w: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3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71,800</w:t>
            </w:r>
          </w:p>
        </w:tc>
        <w:tc>
          <w:tcPr>
            <w:tcW w:w="32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(66,164)</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5,636</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77,245</w:t>
            </w:r>
          </w:p>
        </w:tc>
      </w:tr>
      <w:tr>
        <w:trPr>
          <w:trHeight w:val="250"/>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2024</w:t>
            </w: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 related parties</w:t>
            </w:r>
          </w:p>
        </w:tc>
        <w:tc>
          <w:tcPr>
            <w:tcW w:w="3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8,000</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(7,524)</w:t>
            </w:r>
          </w:p>
        </w:tc>
        <w:tc>
          <w:tcPr>
            <w:tcW w:w="3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8,583</w:t>
            </w:r>
          </w:p>
        </w:tc>
      </w:tr>
      <w:tr>
        <w:trPr>
          <w:trHeight w:val="210"/>
        </w:trPr>
        <w:tc>
          <w:tcPr>
            <w:tcW w:w="598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Subtotal September 2024 Notes</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79,800</w:t>
            </w:r>
          </w:p>
        </w:tc>
        <w:tc>
          <w:tcPr>
            <w:tcW w:w="26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(73,688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6,112</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85,828</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1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7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125,773</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(90,678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35,095</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
        </w:trPr>
        <w:tc>
          <w:tcPr>
            <w:tcW w:w="12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capitalized interest (coupon interest, default interest and failure to file interest) of $10.8 million and $13.6 million as of December 28, 2025 and December 29, 2024, respectively, included in the July 2024 Notes.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Supplemental Balance Sheet Information</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Prepaid expenses and other current assets consist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8680" w:type="dxa"/>
            <w:vAlign w:val="bottom"/>
          </w:tcPr>
          <w:p>
            <w:pPr>
              <w:spacing w:after="0"/>
              <w:rPr>
                <w:sz w:val="18"/>
                <w:szCs w:val="18"/>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Costs to obtain contracts and costs to fulfill contracts </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7,361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3,759</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9,552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4,447</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9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Costs to obtain contracts and costs to fulfill contracts with customers are recognized within sales commissions and cost of revenues, respectively, when the related revenue is recognized.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Property and equipment, net consist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2"/>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7"/>
        </w:trPr>
        <w:tc>
          <w:tcPr>
            <w:tcW w:w="8680" w:type="dxa"/>
            <w:vAlign w:val="bottom"/>
          </w:tcPr>
          <w:p>
            <w:pPr>
              <w:spacing w:after="0"/>
              <w:rPr>
                <w:sz w:val="18"/>
                <w:szCs w:val="18"/>
                <w:color w:val="auto"/>
              </w:rPr>
            </w:pPr>
          </w:p>
        </w:tc>
        <w:tc>
          <w:tcPr>
            <w:tcW w:w="134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gridSpan w:val="2"/>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Internal-use software</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1,112</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6,824</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378</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property and equipment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8,767</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6,409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 property and equipment, net</w:t>
            </w:r>
          </w:p>
        </w:tc>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4,890</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5,493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totaled $3.0 million and $2.0 million for the fiscal years ended December 28, 2025 and December 29, 2024, respectively. Finance leases are included within vehicles and account for $1.7 million and $3.9 million of the total balance as of the fiscal years ended December 28, 2025, and December 29,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fiscal year ended December 29, 2024, the Company capitalized $1.2 million, of internal-use software development costs.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type w:val="continuous"/>
        </w:sectPr>
      </w:pPr>
    </w:p>
    <w:bookmarkStart w:id="207" w:name="page208"/>
    <w:bookmarkEnd w:id="207"/>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a total of $3.8 million on impairment and loss on disposal of property and equipment for the fiscal year ended December 29, 2024 consisting primarily of $3.4 million relating to its proprietary HelioTrackTM software system. The Company impaired the value of its HelioTrackTM software as this software has no future use following the completion of the migration to software acquired in the SunPower Acquisition.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Accrued expenses and other current liabilities consist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5"/>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7"/>
        </w:trPr>
        <w:tc>
          <w:tcPr>
            <w:tcW w:w="8680" w:type="dxa"/>
            <w:vAlign w:val="bottom"/>
          </w:tcPr>
          <w:p>
            <w:pPr>
              <w:spacing w:after="0"/>
              <w:rPr>
                <w:sz w:val="18"/>
                <w:szCs w:val="18"/>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gridSpan w:val="2"/>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8,028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legal settlements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9,500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7,700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rebates and credits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7,564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7,641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fees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4,868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4,674</w:t>
            </w:r>
          </w:p>
        </w:tc>
        <w:tc>
          <w:tcPr>
            <w:tcW w:w="80" w:type="dxa"/>
            <w:vAlign w:val="bottom"/>
          </w:tcPr>
          <w:p>
            <w:pPr>
              <w:spacing w:after="0"/>
              <w:rPr>
                <w:sz w:val="18"/>
                <w:szCs w:val="18"/>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Investor financing deposit with related party </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24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Accrued interest </w:t>
            </w:r>
            <w:r>
              <w:rPr>
                <w:rFonts w:ascii="Times New Roman" w:cs="Times New Roman" w:eastAsia="Times New Roman" w:hAnsi="Times New Roman"/>
                <w:sz w:val="29"/>
                <w:szCs w:val="29"/>
                <w:color w:val="auto"/>
                <w:vertAlign w:val="superscript"/>
              </w:rPr>
              <w:t>(2)</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6,301</w:t>
            </w:r>
          </w:p>
        </w:tc>
        <w:tc>
          <w:tcPr>
            <w:tcW w:w="24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4,523</w:t>
            </w:r>
          </w:p>
        </w:tc>
        <w:tc>
          <w:tcPr>
            <w:tcW w:w="80" w:type="dxa"/>
            <w:vAlign w:val="bottom"/>
          </w:tcPr>
          <w:p>
            <w:pPr>
              <w:spacing w:after="0"/>
              <w:rPr>
                <w:sz w:val="22"/>
                <w:szCs w:val="22"/>
                <w:color w:val="auto"/>
              </w:rPr>
            </w:pPr>
          </w:p>
        </w:tc>
      </w:tr>
      <w:tr>
        <w:trPr>
          <w:trHeight w:val="290"/>
        </w:trPr>
        <w:tc>
          <w:tcPr>
            <w:tcW w:w="86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9"/>
                <w:szCs w:val="29"/>
                <w:color w:val="auto"/>
                <w:vertAlign w:val="superscript"/>
              </w:rPr>
              <w:t>(3)</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19,194</w:t>
            </w:r>
          </w:p>
        </w:tc>
        <w:tc>
          <w:tcPr>
            <w:tcW w:w="2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16,896</w:t>
            </w:r>
          </w:p>
        </w:tc>
        <w:tc>
          <w:tcPr>
            <w:tcW w:w="80" w:type="dxa"/>
            <w:vAlign w:val="bottom"/>
            <w:shd w:val="clear" w:color="auto" w:fill="CCEEFF"/>
          </w:tcPr>
          <w:p>
            <w:pPr>
              <w:spacing w:after="0"/>
              <w:rPr>
                <w:sz w:val="24"/>
                <w:szCs w:val="24"/>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56,977</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56,081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10" w:lineRule="auto"/>
        <w:tabs>
          <w:tab w:leader="none" w:pos="340" w:val="left"/>
        </w:tabs>
        <w:numPr>
          <w:ilvl w:val="0"/>
          <w:numId w:val="9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The Company received a deposit of $2.0 million from the Rodgers Massey Revocable Living Trust (“Rodgers Revocable Trust”), a related party, in fiscal 2025. In January 2026, these proceeds along with an additional $1.3 million received in January 2026 was converted to a 12.0% convertible promissory note. </w:t>
      </w:r>
      <w:r>
        <w:rPr>
          <w:rFonts w:ascii="Times New Roman" w:cs="Times New Roman" w:eastAsia="Times New Roman" w:hAnsi="Times New Roman"/>
          <w:sz w:val="18"/>
          <w:szCs w:val="18"/>
          <w:b w:val="1"/>
          <w:bCs w:val="1"/>
          <w:color w:val="auto"/>
        </w:rPr>
        <w:t>Refer to Note 20 – Subsequent Events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12.0% Convertible Promissory Not</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for further details.</w:t>
      </w:r>
    </w:p>
    <w:p>
      <w:pPr>
        <w:spacing w:after="0" w:line="2" w:lineRule="exact"/>
        <w:rPr>
          <w:rFonts w:ascii="Times New Roman" w:cs="Times New Roman" w:eastAsia="Times New Roman" w:hAnsi="Times New Roman"/>
          <w:sz w:val="30"/>
          <w:szCs w:val="30"/>
          <w:color w:val="auto"/>
          <w:vertAlign w:val="superscript"/>
        </w:rPr>
      </w:pPr>
    </w:p>
    <w:p>
      <w:pPr>
        <w:ind w:left="340" w:hanging="332"/>
        <w:spacing w:after="0" w:line="180" w:lineRule="auto"/>
        <w:tabs>
          <w:tab w:leader="none" w:pos="340" w:val="left"/>
        </w:tabs>
        <w:numPr>
          <w:ilvl w:val="0"/>
          <w:numId w:val="9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Includes accrued interest due to related parties of $2.6 million and $2.5 million as of December 28, 2025 and December 29, 2024, respectively.</w:t>
      </w:r>
    </w:p>
    <w:p>
      <w:pPr>
        <w:spacing w:after="0" w:line="2" w:lineRule="exact"/>
        <w:rPr>
          <w:rFonts w:ascii="Times New Roman" w:cs="Times New Roman" w:eastAsia="Times New Roman" w:hAnsi="Times New Roman"/>
          <w:sz w:val="25"/>
          <w:szCs w:val="25"/>
          <w:color w:val="auto"/>
          <w:vertAlign w:val="superscript"/>
        </w:rPr>
      </w:pPr>
    </w:p>
    <w:p>
      <w:pPr>
        <w:ind w:left="340" w:hanging="332"/>
        <w:spacing w:after="0" w:line="194" w:lineRule="auto"/>
        <w:tabs>
          <w:tab w:leader="none" w:pos="340" w:val="left"/>
        </w:tabs>
        <w:numPr>
          <w:ilvl w:val="0"/>
          <w:numId w:val="9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No individual items exceed 5% of total current liabilities.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Intangible Assets, Net and Goodwill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30, 2024, the Company completed the acquisition of the SunPower Businesses. As of December 29, 2024, the Company had assigned provisional goodwill of $18.3 million to the Residential Solar Installation reportable segment and $0.2 million to the New Homes Businesses reportable segment. Upon finalization of the fair values in fiscal 2025 related to the SunPower Businesses, the Company concluded that the purchase price did not include any excess purchase price over the fair value of net assets acquired related to the SunPower Businesses acquired.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24, 2025, the Company completed the acquisition of Sunder and assigned provisional goodwill of $31.8 million from this acquisition to the Dealer reportable segment. On November 21, 2025, the Company completed the acquisition of Ambia and assigned provisional goodwill of $30.8 million from this acquisition to the Residential Solar Installation reportable segment.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as of and for the fiscal years ended December 28, 2025 and December 29, 2024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Residential</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Solar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Installation</w:t>
            </w:r>
          </w:p>
        </w:tc>
        <w:tc>
          <w:tcPr>
            <w:tcW w:w="10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New Homes</w:t>
            </w:r>
          </w:p>
        </w:tc>
        <w:tc>
          <w:tcPr>
            <w:tcW w:w="200" w:type="dxa"/>
            <w:vAlign w:val="bottom"/>
          </w:tcPr>
          <w:p>
            <w:pPr>
              <w:spacing w:after="0"/>
              <w:rPr>
                <w:sz w:val="21"/>
                <w:szCs w:val="21"/>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Dealer</w:t>
            </w:r>
          </w:p>
        </w:tc>
        <w:tc>
          <w:tcPr>
            <w:tcW w:w="220" w:type="dxa"/>
            <w:vAlign w:val="bottom"/>
          </w:tcPr>
          <w:p>
            <w:pPr>
              <w:spacing w:after="0"/>
              <w:rPr>
                <w:sz w:val="21"/>
                <w:szCs w:val="21"/>
                <w:color w:val="auto"/>
              </w:rPr>
            </w:pP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Goodwill acquired in business combinations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18,276</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18,476</w:t>
            </w:r>
          </w:p>
        </w:tc>
        <w:tc>
          <w:tcPr>
            <w:tcW w:w="80" w:type="dxa"/>
            <w:vAlign w:val="bottom"/>
          </w:tcPr>
          <w:p>
            <w:pPr>
              <w:spacing w:after="0"/>
              <w:rPr>
                <w:sz w:val="18"/>
                <w:szCs w:val="18"/>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losses</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as of December 29, 2024</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18,276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18,476</w:t>
            </w:r>
          </w:p>
        </w:tc>
        <w:tc>
          <w:tcPr>
            <w:tcW w:w="80" w:type="dxa"/>
            <w:vAlign w:val="bottom"/>
            <w:shd w:val="clear" w:color="auto" w:fill="CCEEFF"/>
          </w:tcPr>
          <w:p>
            <w:pPr>
              <w:spacing w:after="0"/>
              <w:rPr>
                <w:sz w:val="18"/>
                <w:szCs w:val="18"/>
                <w:color w:val="auto"/>
              </w:rPr>
            </w:pPr>
          </w:p>
        </w:tc>
      </w:tr>
      <w:tr>
        <w:trPr>
          <w:trHeight w:val="23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18,276</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Measurement period adjustments</w:t>
            </w: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(18,276)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ind w:left="72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(18,476)</w:t>
            </w:r>
          </w:p>
        </w:tc>
        <w:tc>
          <w:tcPr>
            <w:tcW w:w="100" w:type="dxa"/>
            <w:vAlign w:val="bottom"/>
            <w:gridSpan w:val="2"/>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acquired in business combinations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30,808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31,822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62,630</w:t>
            </w:r>
          </w:p>
        </w:tc>
        <w:tc>
          <w:tcPr>
            <w:tcW w:w="80" w:type="dxa"/>
            <w:vAlign w:val="bottom"/>
            <w:shd w:val="clear" w:color="auto" w:fill="CCEEFF"/>
          </w:tcPr>
          <w:p>
            <w:pPr>
              <w:spacing w:after="0"/>
              <w:rPr>
                <w:sz w:val="18"/>
                <w:szCs w:val="18"/>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losses</w:t>
            </w:r>
          </w:p>
        </w:tc>
        <w:tc>
          <w:tcPr>
            <w:tcW w:w="1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28, 2025</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30,808</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31,822</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62,630</w:t>
            </w:r>
          </w:p>
        </w:tc>
        <w:tc>
          <w:tcPr>
            <w:tcW w:w="80" w:type="dxa"/>
            <w:vAlign w:val="bottom"/>
          </w:tcPr>
          <w:p>
            <w:pPr>
              <w:spacing w:after="0"/>
              <w:rPr>
                <w:sz w:val="18"/>
                <w:szCs w:val="18"/>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30,808</w:t>
            </w: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ind w:left="420"/>
              <w:spacing w:after="0" w:line="203" w:lineRule="exact"/>
              <w:rPr>
                <w:sz w:val="20"/>
                <w:szCs w:val="20"/>
                <w:color w:val="auto"/>
              </w:rPr>
            </w:pPr>
            <w:r>
              <w:rPr>
                <w:rFonts w:ascii="Times New Roman" w:cs="Times New Roman" w:eastAsia="Times New Roman" w:hAnsi="Times New Roman"/>
                <w:sz w:val="18"/>
                <w:szCs w:val="18"/>
                <w:color w:val="auto"/>
                <w:w w:val="92"/>
              </w:rPr>
              <w:t>31,822</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62,630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left="340" w:hanging="332"/>
        <w:spacing w:after="0" w:line="210" w:lineRule="auto"/>
        <w:tabs>
          <w:tab w:leader="none" w:pos="340" w:val="left"/>
        </w:tabs>
        <w:numPr>
          <w:ilvl w:val="0"/>
          <w:numId w:val="9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Subsequent to December 29, 2024, the Company recognized a measurement period adjustment attributable to the net assets of the SunPower Businesses acquired resulting in a measurement period adjustment that eliminated the goodwill provisionally recorded in fiscal 2024. The acquisitions of Sunder and Ambia account for the balance in goodwill as of December 28, 2025 as described above.</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performed a qualitative assessment of goodwill and determined that at the acquisition date and the date at which the Company performed an impairment analysis, there were no relevant events or circumstances that would result in the fair value of a reportable unit being less than its carrying amount.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5"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tables present intangible assets with finite useful lives as of December 28, 2025 and December 29, 2024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Net Book</w:t>
            </w:r>
          </w:p>
        </w:tc>
      </w:tr>
      <w:tr>
        <w:trPr>
          <w:trHeight w:val="27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28, 2025</w:t>
            </w:r>
          </w:p>
        </w:tc>
        <w:tc>
          <w:tcPr>
            <w:tcW w:w="140" w:type="dxa"/>
            <w:vAlign w:val="bottom"/>
          </w:tcPr>
          <w:p>
            <w:pPr>
              <w:spacing w:after="0"/>
              <w:rPr>
                <w:sz w:val="24"/>
                <w:szCs w:val="24"/>
                <w:color w:val="auto"/>
              </w:rPr>
            </w:pPr>
          </w:p>
        </w:tc>
        <w:tc>
          <w:tcPr>
            <w:tcW w:w="1240" w:type="dxa"/>
            <w:vAlign w:val="bottom"/>
            <w:gridSpan w:val="2"/>
          </w:tcPr>
          <w:p>
            <w:pPr>
              <w:jc w:val="center"/>
              <w:ind w:right="380"/>
              <w:spacing w:after="0" w:line="270" w:lineRule="exact"/>
              <w:rPr>
                <w:sz w:val="20"/>
                <w:szCs w:val="20"/>
                <w:color w:val="auto"/>
              </w:rPr>
            </w:pPr>
            <w:r>
              <w:rPr>
                <w:rFonts w:ascii="Times New Roman" w:cs="Times New Roman" w:eastAsia="Times New Roman" w:hAnsi="Times New Roman"/>
                <w:sz w:val="18"/>
                <w:szCs w:val="18"/>
                <w:b w:val="1"/>
                <w:bCs w:val="1"/>
                <w:color w:val="auto"/>
                <w:w w:val="95"/>
              </w:rPr>
              <w:t>Amount</w:t>
            </w:r>
            <w:r>
              <w:rPr>
                <w:rFonts w:ascii="Times New Roman" w:cs="Times New Roman" w:eastAsia="Times New Roman" w:hAnsi="Times New Roman"/>
                <w:sz w:val="29"/>
                <w:szCs w:val="29"/>
                <w:b w:val="1"/>
                <w:bCs w:val="1"/>
                <w:color w:val="auto"/>
                <w:w w:val="95"/>
                <w:vertAlign w:val="superscript"/>
              </w:rPr>
              <w:t>(1)</w:t>
            </w:r>
          </w:p>
        </w:tc>
        <w:tc>
          <w:tcPr>
            <w:tcW w:w="132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related intangibles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34,000</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18,394</w:t>
            </w:r>
          </w:p>
        </w:tc>
        <w:tc>
          <w:tcPr>
            <w:tcW w:w="36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(1,707)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16,687</w:t>
            </w:r>
          </w:p>
        </w:tc>
      </w:tr>
      <w:tr>
        <w:trPr>
          <w:trHeight w:val="24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5,300</w:t>
            </w:r>
          </w:p>
        </w:tc>
        <w:tc>
          <w:tcPr>
            <w:tcW w:w="3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(1,975)</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3,325</w:t>
            </w:r>
          </w:p>
        </w:tc>
      </w:tr>
      <w:tr>
        <w:trPr>
          <w:trHeight w:val="210"/>
        </w:trPr>
        <w:tc>
          <w:tcPr>
            <w:tcW w:w="732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57,694</w:t>
            </w: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(6,880</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50,814</w:t>
            </w:r>
          </w:p>
        </w:tc>
        <w:tc>
          <w:tcPr>
            <w:tcW w:w="100" w:type="dxa"/>
            <w:vAlign w:val="bottom"/>
            <w:tcBorders>
              <w:top w:val="single" w:sz="8" w:color="CCEEFF"/>
            </w:tcBorders>
          </w:tcPr>
          <w:p>
            <w:pPr>
              <w:spacing w:after="0"/>
              <w:rPr>
                <w:sz w:val="18"/>
                <w:szCs w:val="18"/>
                <w:color w:val="auto"/>
              </w:rPr>
            </w:pP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0"/>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Net Book</w:t>
            </w:r>
          </w:p>
        </w:tc>
      </w:tr>
      <w:tr>
        <w:trPr>
          <w:trHeight w:val="27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29, 2024</w:t>
            </w:r>
          </w:p>
        </w:tc>
        <w:tc>
          <w:tcPr>
            <w:tcW w:w="140" w:type="dxa"/>
            <w:vAlign w:val="bottom"/>
          </w:tcPr>
          <w:p>
            <w:pPr>
              <w:spacing w:after="0"/>
              <w:rPr>
                <w:sz w:val="24"/>
                <w:szCs w:val="24"/>
                <w:color w:val="auto"/>
              </w:rPr>
            </w:pPr>
          </w:p>
        </w:tc>
        <w:tc>
          <w:tcPr>
            <w:tcW w:w="1240" w:type="dxa"/>
            <w:vAlign w:val="bottom"/>
            <w:gridSpan w:val="2"/>
          </w:tcPr>
          <w:p>
            <w:pPr>
              <w:jc w:val="center"/>
              <w:ind w:right="380"/>
              <w:spacing w:after="0" w:line="270" w:lineRule="exact"/>
              <w:rPr>
                <w:sz w:val="20"/>
                <w:szCs w:val="20"/>
                <w:color w:val="auto"/>
              </w:rPr>
            </w:pPr>
            <w:r>
              <w:rPr>
                <w:rFonts w:ascii="Times New Roman" w:cs="Times New Roman" w:eastAsia="Times New Roman" w:hAnsi="Times New Roman"/>
                <w:sz w:val="18"/>
                <w:szCs w:val="18"/>
                <w:b w:val="1"/>
                <w:bCs w:val="1"/>
                <w:color w:val="auto"/>
                <w:w w:val="95"/>
              </w:rPr>
              <w:t>Amount</w:t>
            </w:r>
            <w:r>
              <w:rPr>
                <w:rFonts w:ascii="Times New Roman" w:cs="Times New Roman" w:eastAsia="Times New Roman" w:hAnsi="Times New Roman"/>
                <w:sz w:val="29"/>
                <w:szCs w:val="29"/>
                <w:b w:val="1"/>
                <w:bCs w:val="1"/>
                <w:color w:val="auto"/>
                <w:w w:val="95"/>
                <w:vertAlign w:val="superscript"/>
              </w:rPr>
              <w:t>(1)</w:t>
            </w:r>
          </w:p>
        </w:tc>
        <w:tc>
          <w:tcPr>
            <w:tcW w:w="132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4,500</w:t>
            </w:r>
          </w:p>
        </w:tc>
        <w:tc>
          <w:tcPr>
            <w:tcW w:w="360" w:type="dxa"/>
            <w:vAlign w:val="bottom"/>
          </w:tcPr>
          <w:p>
            <w:pPr>
              <w:spacing w:after="0"/>
              <w:rPr>
                <w:sz w:val="20"/>
                <w:szCs w:val="20"/>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(375)</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4,125</w:t>
            </w:r>
          </w:p>
        </w:tc>
      </w:tr>
      <w:tr>
        <w:trPr>
          <w:trHeight w:val="223"/>
        </w:trPr>
        <w:tc>
          <w:tcPr>
            <w:tcW w:w="73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right="20" w:hanging="332"/>
        <w:spacing w:after="0" w:line="210" w:lineRule="auto"/>
        <w:tabs>
          <w:tab w:leader="none" w:pos="340" w:val="left"/>
        </w:tabs>
        <w:numPr>
          <w:ilvl w:val="0"/>
          <w:numId w:val="9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gross carrying amounts as of December 28, 2025 reflect the final allocation of the purchase consideration in connection with the SunPower Businesses. The gross carrying amounts as of December 29, 2024 were provisional amounts. As a result of the measurement period adjustment to the intangible assets of the SunPower Businesses, amortization expense was $1.4 million lower in the fiscal year ended December 28, 2025.</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Aggregate amortization expense for intangible assets was $6.2 million and $0.7 million for the fiscal years ended December 28, 2025, and December 29, 2024, respectively. Amortization expense for developed technology is classified in cost of revenues and all other amortization expense is classified in general and administrative expenses on the Company’s consolidated statements of operations and comprehensive loss.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weighted average remaining life of these intangible assets as of December 28, 2025 and December 29, 2024 (</w:t>
      </w:r>
      <w:r>
        <w:rPr>
          <w:rFonts w:ascii="Times New Roman" w:cs="Times New Roman" w:eastAsia="Times New Roman" w:hAnsi="Times New Roman"/>
          <w:sz w:val="18"/>
          <w:szCs w:val="18"/>
          <w:i w:val="1"/>
          <w:iCs w:val="1"/>
          <w:color w:val="auto"/>
        </w:rPr>
        <w:t>in years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480" w:type="dxa"/>
            <w:vAlign w:val="bottom"/>
            <w:tcBorders>
              <w:bottom w:val="single" w:sz="8" w:color="auto"/>
            </w:tcBorders>
            <w:gridSpan w:val="4"/>
          </w:tcPr>
          <w:p>
            <w:pPr>
              <w:ind w:left="10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estimated remaining amortization expense of intangible assets with finite useful lives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0" w:type="dxa"/>
            <w:vAlign w:val="bottom"/>
          </w:tcPr>
          <w:p>
            <w:pPr>
              <w:spacing w:after="0"/>
              <w:rPr>
                <w:sz w:val="1"/>
                <w:szCs w:val="1"/>
                <w:color w:val="auto"/>
              </w:rPr>
            </w:pPr>
          </w:p>
        </w:tc>
      </w:tr>
      <w:tr>
        <w:trPr>
          <w:trHeight w:val="216"/>
        </w:trPr>
        <w:tc>
          <w:tcPr>
            <w:tcW w:w="8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6,234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4,809</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21,652</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F-84</w:t>
            </w: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color w:val="auto"/>
        </w:rPr>
        <w:t>(8) Forward Purchase Agreements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and around July 13, 2023, FACT (now SunPower, formerly Complete Solaria, Inc. following the closing of the Business Combination) entered into separate Forward Purchase Agreements (“FPAs”) with (i) Meteora Special Opportunity Fund I, LP, Meteora Capital Partners, LP, and Meteora Select Trading Opportunities Master, LP (collectively, “Meteora”), (ii) Polar Multi-Strategy Master Fund (“Polar”), and (iii) Diametric True Alpha Market Neutral Master Fund, LP, Diametric True Alpha Enhanced Market Neutral Master Fund, LP, and Pinebridge Partners Master Fund, LP (collectively, “Sandia,” and together with Meteora and Polar, the “FPA Investors”). Under the FPAs, the Company agreed to purchase, subject to certain terms and limitations, up to 5,618,488 shares of common stock held by the FPA Investors on a date 24 months after execution of the FPAs (the “Maturity Date”). The FPA Investors agreed not to redeem their Class A ordinary shares in connection with the Business Combination, and the FPAs originally provided the FPA Investors with a minimum sale price of $5.00 per share at maturity.</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18, 2023, the Company entered into amendments with each FPA Investor reducing the reset floor price from $5.00 to $3.00 and permitting the Company to raise up to $10.0 million of equity from existing stockholders without triggering anti-dilution protections, subject to specified per-share pricing requirements for insider investments. On May 7 and 8, 2024, the Company executed additional amendments with Sandia and Polar reducing the reset price to $1.00 per share and modifying the volume-weighted average price (“VWAP”) trigger event to occur if, after December 31, 2024, the Company’s VWAP is below $1.00 for 20 out of 30 consecutive trading days. On June 14, 2024, the Company and Sandia executed an additional amendment confirming a $1.00 reset price and the revised VWAP trigger and providing that Sandia will automatically receive any more favorable terms provided to Polar or Meteora, including with respect to the shares sold upon execution of its FPA. On July 17, 2024, the Company and Polar executed an amendment applying the “Most Favored Nation” provision of the Polar FPA to all of its shares covered by that agreement.</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Between July 15 and August 1, 2025, the Company entered into further amendments with Meteora, Sandia, and Polar that extended the valuation date applicable to the FPAs to the earliest of (i) July 17, 2026, (ii) a date specified by Meteora or Sandia, as applicable, or (iii) 90 days after Company notice if the Company’s VWAP is below the applicable reset price for 20 out of 30 consecutive trading days occurring at least six months after the closing of the Business Combination, provided that a registration statement is effective throughout both the measurement and notice periods. These amendments also revised the settlement provisions to clarify that the Settlement Amount is used solely as a calculation mechanism to determine any liability owed by the Company to an FPA Investor. If the Settlement Amount Adjustment exceeds the Settlement Amount, the excess will be paid to the FPA Investor in cash or shares, at the Company’s election, and the FPA Investors are not required to remit the Settlement Amount or return any prepayment to the Company.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FPA Investors continue to hold some or all of the FPA shares on the Maturity Date and the trading price of the Company’s common stock is below the applicable FPA sale price, the Company expects the FPA Investors to exercise their repurchase rights.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these FPAs, the Company has recorded a liability on its consolidated balance sheets of $4.0 million and $3.5 million as of December 28, 2025 and December 29, 2024, respectively. The Company concluded that $1.3 million of the liability as of December 29, 2024 was with a related party.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SAFE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SAFE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January 31, 2024, the Company entered into a SAFE (the “First SAFE”) with the Rodgers Massey Freedom and Free Markets Charitable Trust (the “Purchaser”), a related party, affiliated with Thurman J. Rodgers, the Company’s Chief Executive Officer and a Director, in connection with the Purchaser investing $1.5 million in the Company. The First SAFE did not accrue interest. The First SAFE was initially convertible into shares of the Company’s common stock, par value $0.0001 per share, upon the closing of a bona fide transaction or series of transactions with the principal purpose of raising capital, pursuant to which the Company would have issued and sold shares of its common stock at a fixed valuation (an “Equity Financing”), at a per share conversion price which was equal to the lower of (i) (a) $53.54 million divided by (b) the Company’s capitalization immediately prior to such Equity Financing (such conversion price, the “SAFE Price”), and (ii) 80% of the price per share of its common stock sold in the Equity Financing. If the Company consummated a change of control prior to the termination of the First SAFE, the Purchaser would have been automatically entitled to receive a portion of the proceeds of such liquidity event equal to the greater of (i) $1.5 million and (ii) the amount payable on the number of shares of common stock equal to</w:t>
      </w:r>
    </w:p>
    <w:p>
      <w:pPr>
        <w:spacing w:after="0" w:line="6" w:lineRule="exact"/>
        <w:rPr>
          <w:sz w:val="20"/>
          <w:szCs w:val="20"/>
          <w:color w:val="auto"/>
        </w:rPr>
      </w:pPr>
    </w:p>
    <w:p>
      <w:pPr>
        <w:jc w:val="both"/>
        <w:ind w:firstLine="8"/>
        <w:spacing w:after="0" w:line="253" w:lineRule="auto"/>
        <w:tabs>
          <w:tab w:leader="none" w:pos="26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divided by (b)(1) $53.54 million divided by (2) the Company’s capitalization immediately prior to such liquidity event (the “Liquidity Price”), subject to certain adjustments as set forth in the First SAFE. The First SAFE was convertible into a maximum of 1,431,297 shares of the Company’s common stock, assuming a per share conversion price of $1.05, which is the product of (i) $1.31, the closing price per share of the Company’s common stock on January 31, 2024, multiplied by (ii) 80%.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0" w:name="page211"/>
    <w:bookmarkEnd w:id="210"/>
    <w:p>
      <w:pPr>
        <w:jc w:val="both"/>
        <w:spacing w:after="0" w:line="258" w:lineRule="auto"/>
        <w:rPr>
          <w:sz w:val="20"/>
          <w:szCs w:val="20"/>
          <w:color w:val="auto"/>
        </w:rPr>
      </w:pPr>
      <w:r>
        <w:rPr>
          <w:rFonts w:ascii="Times New Roman" w:cs="Times New Roman" w:eastAsia="Times New Roman" w:hAnsi="Times New Roman"/>
          <w:sz w:val="18"/>
          <w:szCs w:val="18"/>
          <w:color w:val="auto"/>
        </w:rPr>
        <w:t>On April 21, 2024, the Company entered into an amendment (“First SAFE Amendment”) that converted the First SAFE investment of $1.5 million into 4.2 million shares of the Company’s common stock based on a conversion price of $0.36 per share, defined in the First SAFE Amendment as the product of (i) $0.45, the closing price of the Company’s common stock on April 19, 2024, multiplied by (ii) 80%. Upon conversion to shares of the Company’s common stock, the Company recognized $1.9 million of Additional paid-in capital, and a loss on conversion of the First SAFE of $0.4 million within Other non-operating income, net in its consolidated statement of operations for the fiscal year ended December 29,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SAFE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15, 2024, the Company entered into a second SAFE (the “Second SAFE”) with the Purchaser, in connection with the Purchaser investing $3.5 million in the Company. The Second SAFE did not accrue interest. The Second SAFE was initially convertible into shares of the Company’s common stock upon the initial closing of an Equity Financing at a per share conversion price which was equal to the lower of (i) the Second SAFE Price, and (ii) 80% of the price per share of the Company’s common stock sold in the Equity Financing. If the Company consummated a change of control prior to the termination of the Second SAFE, the Purchaser would have been automatically entitled to receive an amount equal to the greater of (i) $3.5 million and (ii) the amount payable on the number of shares of the Company’s common stock equal to $3.5 million divided by the Liquidity Price, subject to certain adjustments as set forth in the Second SAFE. The Second SAFE was convertible into a maximum of 3,707,627 shares of the Company’s common stock, assuming a per share conversion price of $0.94, which is the product of (i) $1.18, the closing per share price of its common stock on February 15, 2024, and (ii) 80%.</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21, 2024, the Company entered into an amendment (“Second SAFE Amendment”) that converted the Second SAFE investment of $3.5 million into 9.7 million shares of the Company’s common stock based on a conversion price of $0.36 per share, defined in the Second SAFE Amendment as the product of (i) $0.45, the closing price of the Company’s common stock on April 19, 2024, multiplied by (ii) 80%. Upon conversion to shares of the Company’s common stock, the Company recognized $4.4 million of Additional paid-in capital, and a loss on conversion of the Second SAFE of $0.9 million within Other non-operating income, net in its consolidated statement of operations for the fiscal year ended December 29,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SAFE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13, 2024, the Company entered into a third SAFE (the “Third SAFE”) with the Purchaser, in connection with the Purchaser investing $1.0 million in the Company. The Third SAFE is convertible into shares of the Company’s common stock upon the initial closing of a bona fide transaction or series of transactions with the principal purpose of raising capital, pursuant to which the Company issues and sells shares of its common stock in an Equity Financing, at a per share conversion price which is equal to 50% of the price per share of the Company’s common stock sold in the Equity Financing. If the Company consummates a change of control prior to the termination of the Third SAFE, the Purchaser will be automatically entitled to receive a portion of the proceeds of such liquidity event equal to $1.0 million, subject to certain adjustments as set forth in the Third SAFE. The Third SAFE is convertible into a maximum of 2,750,000 shares of the Company’s common stock, assuming a per share conversion price of $0.275, which is the product of (i) $0.55, the closing price of the Company’s common stock on May 13, 2024, multiplied by (ii) 50%. Given that the SAFE could be settled in cash or a variable number of shares, the Company has accounted for the instrument as a liability at its fair value.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SAFE liability represents the estimated fair value of the Company’s obligation to issue equity in the future. The fair value of the Third SAFE approximated $0.5 million and $0.4 million as of December 28, 2025 and December 29, 2024, respectively. Refer to </w:t>
      </w:r>
      <w:r>
        <w:rPr>
          <w:rFonts w:ascii="Times New Roman" w:cs="Times New Roman" w:eastAsia="Times New Roman" w:hAnsi="Times New Roman"/>
          <w:sz w:val="18"/>
          <w:szCs w:val="18"/>
          <w:b w:val="1"/>
          <w:bCs w:val="1"/>
          <w:color w:val="auto"/>
        </w:rPr>
        <w:t>Note 5 – Fair Value Measurements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 details.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Borrowings and Derivative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Company’s borrowings and derivative liabilities consisted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34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Short term:</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Seller Note – related party</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with related party</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debt with related parties</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12.0% senior unsecured convertible notes and related derivative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July 2024 Notes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32,969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17,965</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July 2024 Notes – related parties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7,631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24,632</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 July 2024 Notes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July 2025 Note – related party</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1,443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November 2025 Note – related party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July 2024 Notes derivative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19,604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13,563</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July 2024 Notes derivative liability – related party</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12,615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21,127</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Subtotal July 2024 Notes derivative liability</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July 2025 Note derivative liability – related party</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3,246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November 2025 Note derivative liability – related party</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1,488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12.0% senior unsecured convertible notes and derivative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79,487</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77,287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7.0% senior unsecured convertible notes and derivative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2024 Notes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14,332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5,636</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 2024 Notes – related parties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2,346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Subtotal September 2024 Notes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September 2025 Notes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3,354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 2024 Notes derivative liability</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37,930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55,474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2024 Notes derivative liability – related parties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5,870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Subtotal September 2024 Notes derivative liability</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43,800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62,432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2025 Notes derivative liability</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14,756</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7.0% senior unsecured convertible notes and derivative liabilities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78,588</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68,544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notes payable and derivative liabilities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158,075</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145,831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(2,786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senior unsecured convertible notes payable and derivative liabilities, net of current portion</w:t>
            </w: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155,289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145,831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current portion</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2,786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Long-term liabilities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and derivative liabilities, net of current portion</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120,159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92,638</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and derivative liabilities with related parties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35,130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53,193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155,289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F-87</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i w:val="1"/>
          <w:iCs w:val="1"/>
          <w:color w:val="auto"/>
        </w:rPr>
        <w:t>12.0% Senior Unsecured Convertible Notes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July 2024, the Company issued $46.0 million of senior unsecured convertible notes (“July 2024 Notes”) consisting of $28.0 million in cash proceeds and $18.0 million arising from an exchange of debt (“Debt Exchange”) as described below under </w:t>
      </w:r>
      <w:r>
        <w:rPr>
          <w:rFonts w:ascii="Times New Roman" w:cs="Times New Roman" w:eastAsia="Times New Roman" w:hAnsi="Times New Roman"/>
          <w:sz w:val="18"/>
          <w:szCs w:val="18"/>
          <w:i w:val="1"/>
          <w:iCs w:val="1"/>
          <w:color w:val="auto"/>
        </w:rPr>
        <w:t>Exchange Agreement</w:t>
      </w:r>
      <w:r>
        <w:rPr>
          <w:rFonts w:ascii="Times New Roman" w:cs="Times New Roman" w:eastAsia="Times New Roman" w:hAnsi="Times New Roman"/>
          <w:sz w:val="18"/>
          <w:szCs w:val="18"/>
          <w:color w:val="auto"/>
        </w:rPr>
        <w:t xml:space="preserve">. Cash proceeds of $28.0 million included $18.0 million from the Rodgers Revocable Trust, a related party. The $18.0 million exchange of debt included $10.0 million issued to Carlyle. Carlyle was deemed to be a related party in the fiscal year ended December 29, 2024. Carlyle was no longer deemed a related party to the Company during the fiscal year ended December 28, 2025. Refer to </w:t>
      </w:r>
      <w:r>
        <w:rPr>
          <w:rFonts w:ascii="Times New Roman" w:cs="Times New Roman" w:eastAsia="Times New Roman" w:hAnsi="Times New Roman"/>
          <w:sz w:val="18"/>
          <w:szCs w:val="18"/>
          <w:b w:val="1"/>
          <w:bCs w:val="1"/>
          <w:color w:val="auto"/>
        </w:rPr>
        <w:t>Note 2 – Summary of Significant Accounting Policies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Changes in Related Parties</w:t>
      </w:r>
      <w:r>
        <w:rPr>
          <w:rFonts w:ascii="Times New Roman" w:cs="Times New Roman" w:eastAsia="Times New Roman" w:hAnsi="Times New Roman"/>
          <w:sz w:val="18"/>
          <w:szCs w:val="18"/>
          <w:color w:val="auto"/>
        </w:rPr>
        <w:t xml:space="preserve"> for details.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July 2024 Notes bear interest at 12.0% per annum, and the principal is payable in full at maturity on July 1, 2029. The interest is payable in cash on January 1 and July 1 of each year, beginning on July 1, 2025. The interest rate increases by 3% in the event of default. The conversion rate of the July 2024 Notes is initially equal to 595.2381 shares of common stock per $1,000 of principal amount due under the July 2024 Notes. Holders of July 2024 Notes may convert at any time. The July 2024 Notes may be declared due and payable at the option of the holder upon an event of default and upon a qualifying change of control event. The conversion option was required to be bifurcated as a derivative liability, and the Company recorded a derivative liability of $28.7 million on the issuance date. Of this amount $17.5 million was recognized as a debt discount to the $28.0 million cash proceeds and $11.2 million associated with the Debt Exchange was recognized as an expense in the calculation of the Company’s “Gain on the Troubled Debt Restructuring” on the Company’s consolidated statement of operations and comprehensive loss in the year ended December 29, 2024.</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connection with the Debt Exchange, the Company issued the Cantor Warrant, as described in </w:t>
      </w:r>
      <w:r>
        <w:rPr>
          <w:rFonts w:ascii="Times New Roman" w:cs="Times New Roman" w:eastAsia="Times New Roman" w:hAnsi="Times New Roman"/>
          <w:sz w:val="18"/>
          <w:szCs w:val="18"/>
          <w:b w:val="1"/>
          <w:bCs w:val="1"/>
          <w:color w:val="auto"/>
        </w:rPr>
        <w:t>Note 14 – Common Stock and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for shares of the Company’s common stock. At issuance, the Cantor Warrant had a fair value of $1.4 million, of which $0.9 million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recorded as a debt discount, and $0.5 million was included in the calculation of the Company’s “Gain on the Troubled Debt Restructuring” on the Company’s consolidated statement of operations and comprehensive loss in the year ended December 29, 2024, as discussed below in the </w:t>
      </w: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interest rate on the July 2024 Notes cash proceeds of $28.0 million approximates 45% as of December 28, 2025. Coupon interest, default interest and failure to file interest on the $18.0 million Debt Exchange were capitalized as part of the July 2024 Notes. Accordingly, the effective interest rate on the $18.0 million arising from the Debt Exchange is nil as of December 28, 2025.</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no financial covenants. The July 2024 Notes are not in default. However, due to the delayed filing of its Form 10-K for the year ended December 29, 2024, the Company was required to accrue incremental interest of 0.5% beginning April 16, 2025 through April 30, 2025, the date upon which the Form 10-K was filed. The interest accrued was not material. Due to the Company’s delayed filing of its Form 10Q for the third quarter ended September 28, 2025 (“Q3 2025 Form 10Q”), the Company was required to accrue incremental interest of 0.5% beginning November 17, 2025, through December 19, 2025, the date upon which the Q3 2025 Form 10Q was filed. The interest accrued was not material.</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carrying amount of the July 2024 Notes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2024 Notes principal amount</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6"/>
              </w:rPr>
              <w:t>56,801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59,587</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240" w:type="dxa"/>
            <w:vAlign w:val="bottom"/>
          </w:tcPr>
          <w:p>
            <w:pPr>
              <w:spacing w:after="0"/>
              <w:rPr>
                <w:sz w:val="20"/>
                <w:szCs w:val="20"/>
                <w:color w:val="auto"/>
              </w:rPr>
            </w:pPr>
          </w:p>
        </w:tc>
        <w:tc>
          <w:tcPr>
            <w:tcW w:w="11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7"/>
              </w:rPr>
              <w:t>(16,201)</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(16,990)</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 of July 2024 Notes</w:t>
            </w: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6"/>
              </w:rPr>
              <w:t>40,600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fiscal years ended December 28, 2025 and December 29, 2024, the total interest expense was $3.0 million and $4.6 million, respectively, with coupon interest expense of $2.2 million and $2.8 million, respectively, and debt discount and issuance costs of $0.8 million and $1.8 million, respectively. Of the coupon interest expense, related party interest expense was $1.5 million and $1.7 million in the fiscal years ended December 28, 2025 and December 29, 2024, respectively. Related party amortization expense was $0.7 million and $1.1 million in the fiscal years ended December 28, 2025 and December 29, 2024,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i w:val="1"/>
          <w:iCs w:val="1"/>
          <w:color w:val="auto"/>
        </w:rPr>
        <w:t>Exchange Agreement</w:t>
      </w:r>
    </w:p>
    <w:p>
      <w:pPr>
        <w:spacing w:after="0" w:line="22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On July 1, 2024, the Company entered into an Exchange Agreement (the “</w:t>
      </w:r>
      <w:r>
        <w:rPr>
          <w:rFonts w:ascii="Times New Roman" w:cs="Times New Roman" w:eastAsia="Times New Roman" w:hAnsi="Times New Roman"/>
          <w:sz w:val="18"/>
          <w:szCs w:val="18"/>
          <w:i w:val="1"/>
          <w:iCs w:val="1"/>
          <w:color w:val="auto"/>
        </w:rPr>
        <w:t>Exchange Agreement</w:t>
      </w:r>
      <w:r>
        <w:rPr>
          <w:rFonts w:ascii="Times New Roman" w:cs="Times New Roman" w:eastAsia="Times New Roman" w:hAnsi="Times New Roman"/>
          <w:sz w:val="18"/>
          <w:szCs w:val="18"/>
          <w:color w:val="auto"/>
        </w:rPr>
        <w:t>”) with Carlyle and Kline Hill (as defined below) resulting in the Debt Exchange and providing for:</w:t>
      </w:r>
    </w:p>
    <w:p>
      <w:pPr>
        <w:spacing w:after="0" w:line="160" w:lineRule="exact"/>
        <w:rPr>
          <w:sz w:val="20"/>
          <w:szCs w:val="20"/>
          <w:color w:val="auto"/>
        </w:rPr>
      </w:pPr>
    </w:p>
    <w:p>
      <w:pPr>
        <w:jc w:val="both"/>
        <w:ind w:left="660" w:hanging="328"/>
        <w:spacing w:after="0" w:line="266"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all indebtedness, inclusive of the CS Solis Debt, owed to Carlyle by the Company, termination of all debt instruments by and between the Company and Carlyle (through the transfer of Carlyle’s interest in CS Solis, LLC, to the Company), and the satisfaction of all obligations owed to Carlyle by the Company under the terminated debt instruments;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 note for the principal amount of $10.0 million to Carlyle as part of the July 2024 Notes;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previously issued warrant to Carlyle (“Carlyle Warrant”) for shares of the Company’s common stock was fixed at 4,936,483. At the July 1, 2024, modification date, the Carlyle Warrant had a fair value of $7.3 million compared to its fair value of $6.6 million on June 30, 2024. The Company recognized this $0.7 million of expense related to the remeasurement of the Carlyle Warrant liability to its fair value within “Gain on Troubled Debt Restructuring” on the Company’s consolidated statement of operations and comprehensive loss in the year ended December 29, 2024. The modification of the Carlyle Warrant also resulted in the reclassification of the Carlyle Warrant from liability to equity classification, resulting in an increase to additional paid-in capital of $7.3 million and a reduction in the warrant liability of $7.3 million. Carlyle exercised the warrant in full in the year ended December 29, 2024.</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all indebtedness owed to Kline Hill Partners Fund LP, Kline Hill Partners IV SPV LLC, and Kline Hill Partners Opportunity IV SPV, LLC (collectively “Kline Hill”) by the Company, termination of all debt instruments by and between the Company and Kline Hill, including 2018 bridge notes, a portion of a revolving loan (“Revolving Loan”) and a secured credit facility (“Secured Credit Facility”), and the satisfaction of all obligations owed to Kline Hill by the Company under the terminated debt instruments;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 note for the principal amount of $8.0 million to Kline Hill as part of the July 2024 Notes;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1,500,000 shares of the Company’s common stock to Kline Hill.</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At the date of the cancellation under the </w:t>
      </w:r>
      <w:r>
        <w:rPr>
          <w:rFonts w:ascii="Times New Roman" w:cs="Times New Roman" w:eastAsia="Times New Roman" w:hAnsi="Times New Roman"/>
          <w:sz w:val="18"/>
          <w:szCs w:val="18"/>
          <w:i w:val="1"/>
          <w:iCs w:val="1"/>
          <w:color w:val="auto"/>
        </w:rPr>
        <w:t>Exchange Agreement</w:t>
      </w:r>
      <w:r>
        <w:rPr>
          <w:rFonts w:ascii="Times New Roman" w:cs="Times New Roman" w:eastAsia="Times New Roman" w:hAnsi="Times New Roman"/>
          <w:sz w:val="18"/>
          <w:szCs w:val="18"/>
          <w:color w:val="auto"/>
        </w:rPr>
        <w:t>, the Company’s indebtedness to CS Solis was $37.2 million and the indebtedness to Kline Hill was comprised of 2018 bridge notes of $11.7 million, a revolving loan balance of $3.9 million, and the Secured Credit Facility balance of $13.1 million.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concluded that the transactions entered into in the </w:t>
      </w:r>
      <w:r>
        <w:rPr>
          <w:rFonts w:ascii="Times New Roman" w:cs="Times New Roman" w:eastAsia="Times New Roman" w:hAnsi="Times New Roman"/>
          <w:sz w:val="18"/>
          <w:szCs w:val="18"/>
          <w:i w:val="1"/>
          <w:iCs w:val="1"/>
          <w:color w:val="auto"/>
        </w:rPr>
        <w:t>Exchange Agreement</w:t>
      </w:r>
      <w:r>
        <w:rPr>
          <w:rFonts w:ascii="Times New Roman" w:cs="Times New Roman" w:eastAsia="Times New Roman" w:hAnsi="Times New Roman"/>
          <w:sz w:val="18"/>
          <w:szCs w:val="18"/>
          <w:color w:val="auto"/>
        </w:rPr>
        <w:t xml:space="preserve"> represented a troubled debt restructuring as the Company was experiencing financial difficulty, and the terms of the July 2024 Notes resulted in a concession to the Company. As the carrying amount of the debt exceeded the future undiscounted cash payments under the new terms on the date of the </w:t>
      </w:r>
      <w:r>
        <w:rPr>
          <w:rFonts w:ascii="Times New Roman" w:cs="Times New Roman" w:eastAsia="Times New Roman" w:hAnsi="Times New Roman"/>
          <w:sz w:val="18"/>
          <w:szCs w:val="18"/>
          <w:i w:val="1"/>
          <w:iCs w:val="1"/>
          <w:color w:val="auto"/>
        </w:rPr>
        <w:t>Exchange Agreement</w:t>
      </w:r>
      <w:r>
        <w:rPr>
          <w:rFonts w:ascii="Times New Roman" w:cs="Times New Roman" w:eastAsia="Times New Roman" w:hAnsi="Times New Roman"/>
          <w:sz w:val="18"/>
          <w:szCs w:val="18"/>
          <w:color w:val="auto"/>
        </w:rPr>
        <w:t>, the Company recorded a gain on the troubled debt restructuring of $22.3 million in the year ended December 29, 2024.</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the year ended December 29, 2024, prior to entering into the </w:t>
      </w:r>
      <w:r>
        <w:rPr>
          <w:rFonts w:ascii="Times New Roman" w:cs="Times New Roman" w:eastAsia="Times New Roman" w:hAnsi="Times New Roman"/>
          <w:sz w:val="18"/>
          <w:szCs w:val="18"/>
          <w:i w:val="1"/>
          <w:iCs w:val="1"/>
          <w:color w:val="auto"/>
        </w:rPr>
        <w:t>Exchange Agreement</w:t>
      </w:r>
      <w:r>
        <w:rPr>
          <w:rFonts w:ascii="Times New Roman" w:cs="Times New Roman" w:eastAsia="Times New Roman" w:hAnsi="Times New Roman"/>
          <w:sz w:val="18"/>
          <w:szCs w:val="18"/>
          <w:color w:val="auto"/>
        </w:rPr>
        <w:t>, the Company recognized (i) accretion of the liability of the debt in CS Solis as related party interest expense of $3.9 million, (ii) $0.7 million of interest on the 2018 bridge notes, and (iii) $1.0 million of interest on the Secured Credit Facility.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2025 Note – related party</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10, 2025, the Company issued a convertible promissory note (the “July 2025 Note”) to the Rodgers Revocable Trust, a related party, in exchange for $5.0 million of proceeds.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14" w:name="page215"/>
    <w:bookmarkEnd w:id="214"/>
    <w:p>
      <w:pPr>
        <w:jc w:val="both"/>
        <w:spacing w:after="0" w:line="254" w:lineRule="auto"/>
        <w:rPr>
          <w:sz w:val="20"/>
          <w:szCs w:val="20"/>
          <w:color w:val="auto"/>
        </w:rPr>
      </w:pPr>
      <w:r>
        <w:rPr>
          <w:rFonts w:ascii="Times New Roman" w:cs="Times New Roman" w:eastAsia="Times New Roman" w:hAnsi="Times New Roman"/>
          <w:sz w:val="18"/>
          <w:szCs w:val="18"/>
          <w:color w:val="auto"/>
        </w:rPr>
        <w:t>The July 2025 Note is a general unsecured obligation of the Company and will mature on July 1, 2029, unless earlier converted, redeemed or repurchased. The July 2025 Note has an annual coupon interest rate of 12.0% which is payable semiannually in arrears on January 1 and July 1 of each year, beginning on January 1, 2026. The July 2025 Note is convertible at the option of the holder at any time prior to the payment of the principal amount of the July 2025 Note in full. Upon conversion of the July 2025 Note, the Company will satisfy its conversion obligation by delivering shares of the Company’s common stock and paying cash in respect of any fractional shares. The conversion rate of the July 2025 Note is initially equal to 558.6592 shares of common stock per $1,000 of principal amount due under the July 2025 Note. The conversion rate is subject to adjustment from time to time pursuant to the terms of the July 2025 Note. The conversion option related to the July 2025 Note was required to be bifurcated as a derivative liability. The Company recorded a derivative liability of $3.7 million with a corresponding offset to debt discount on the issuance date. The July 2025 Note has an effective interest rate of 62%.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carrying amount of the July 2025 Note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December 28,</w:t>
      </w:r>
    </w:p>
    <w:p>
      <w:pPr>
        <w:spacing w:after="0" w:line="9"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2025 Note – related party</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top w:val="single" w:sz="8" w:color="CCEEFF"/>
            </w:tcBorders>
            <w:shd w:val="clear" w:color="auto" w:fill="CCEEFF"/>
          </w:tcPr>
          <w:p>
            <w:pPr>
              <w:spacing w:after="0"/>
              <w:rPr>
                <w:sz w:val="19"/>
                <w:szCs w:val="19"/>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discount – related party</w:t>
            </w:r>
          </w:p>
        </w:tc>
        <w:tc>
          <w:tcPr>
            <w:tcW w:w="3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(3,557)</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 of July 2025 Note – related party</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10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fiscal year ended December 28, 2025, the total interest expense was $0.4 million with coupon interest expense of $0.3 million and debt discount and issuance costs of $0.1 million, all of which was with a related party.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November 2025 Note – related party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20, 2025, the Company issued a convertible note (the “November 2025 Note”) to the Rodgers Massey Freedom and Free Markets Charitable Trust in exchange for $2.0 million of proceeds.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November 2025 Note is a general unsecured obligation of the Company and will mature on July 1, 2029, unless earlier converted, redeemed or repurchased. The November 2025 Note has an annual coupon interest rate of 12.0% which is payable semiannually in arrears on January 1 and July 1 of each year, beginning on January 1, 2026. The November 2025 Note is convertible at the option of the holder at any time prior to the payment of the principal amount of the November 2025 Note in full. The conversion rate of the November 2025 Note is initially equal to 626.9592 shares of the Company’s common stock per $1,000 principal amount due under the November 2025 Note. The conversion rate shall be subject to adjustment from time to time pursuant to the terms of the November 2025 Note. The Company may not redeem the November 2025 Note prior to July 5, 2026. The conversion option related to the November 2025 Note was required to be bifurcated as a derivative liability, and the Company recorded a derivative liability of $1.5 million on the issuance date with a corresponding offset to debt discount. The November 2025 Note has an effective interest rate of 71% as of December 28,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carrying amount of the convertible November 2025 Note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December 28,</w:t>
      </w:r>
    </w:p>
    <w:p>
      <w:pPr>
        <w:spacing w:after="0" w:line="9"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2025 Note – related party</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top w:val="single" w:sz="8" w:color="CCEEFF"/>
            </w:tcBorders>
            <w:shd w:val="clear" w:color="auto" w:fill="CCEEFF"/>
          </w:tcPr>
          <w:p>
            <w:pPr>
              <w:spacing w:after="0"/>
              <w:rPr>
                <w:sz w:val="19"/>
                <w:szCs w:val="19"/>
                <w:color w:val="auto"/>
              </w:rPr>
            </w:pP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discount – related party</w:t>
            </w:r>
          </w:p>
        </w:tc>
        <w:tc>
          <w:tcPr>
            <w:tcW w:w="3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(1,509)</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 of November 2025 Note – related party</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fiscal year ended December 28, 2025, the total interest expense was less than $0.1 million with each of coupon interest and amortization of debt discount and issuance costs being less than $0.1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i w:val="1"/>
          <w:iCs w:val="1"/>
          <w:color w:val="auto"/>
        </w:rPr>
        <w:t>7.0% Senior Unsecured Convertible Notes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16, 2024, the Company entered into an Indenture agreement with U.S. Bank Trust Company, National Association, as trustee (the “Indenture”), for the issuance of 7.0% senior unsecured convertible notes (“7.0% Notes”). The 7.0% Notes issued under the Indenture bear interest at 7.0% per annum, and the interest is payable semiannually in arrears on January 1 and July 1 of each year beginning on January 1, 2025. The principal is payable in full at maturity on July 1, 2029. Holders of the 7.0% Senior Notes may convert all or any portion of their 7% Notes at any time, in integral multiples of $1,000 principal amount, at the option of the holder. Upon conversion, the Company may satisfy its conversion obligation by paying or delivering, as the case may be, cash, shares of common stock or a combination of cash and shares of common stock, at the Company’s election, in the manner and subject to the terms, conditions and limitations provided in the Indenture. The 7.0% Senior Notes may be declared due and payable at the option of the holder upon an event of default and upon a qualifying change of control event. There are no financial covenants. As described below, the Company has issued multiple tranches under this Indenture.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conversion rate for the 7.0% Notes was initially 467.8363 shares of common stock per $1,000 principal amount of 7.0% Notes. The conversion rate for the 7.0% Notes is subject to adjustment from time to time in accordance with the terms of the Indenture, and as of December 28, 2025 the 7.0% Notes are convertible at the rate of 584.7953 shares of common stock per $1,000 principal amount of the notes. In addition, upon a conversion of the 7.0% Notes, following certain corporate events that occur prior to the maturity date of the 7.0% Notes or if the Company delivers a notice of redemption in respect of the 7.0% Notes, the Company will, under certain circumstances, increase the conversion rate of the 7.0% Notes for a holder who elects to convert its 7.0% Notes following September 16, 2025, in connection with such a corporate event that occurs prior to the maturity date, or if the Company delivers a notice of redemption in respect of the 7.0%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2024 Notes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issued an aggregate of $80.0 million of 7.0% Notes to various lenders (the “September 2024 Notes”), of which the Company received cash proceeds in two tranches of $66.8 million and $13.0 million in fiscal 2024. The remainder was received in fiscal 2025.</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cash proceeds of $66.8 million included $4.0 million from the Rodgers Family Freedom and Free Markets Charitable Trust (“Massey Charitable Trust”), a related party, and $4.0 million from the Rodgers Revocable Trust (collectively with Massey Charitable Trust, “Massey Trusts”), also a related party. In fiscal 2025, a holder of $0.75 million of the September 2024 Notes became a member of the Company’s board of directors and this note is now deemed to be with a related party beginning in fiscal 2025. Refer to </w:t>
      </w:r>
      <w:r>
        <w:rPr>
          <w:rFonts w:ascii="Times New Roman" w:cs="Times New Roman" w:eastAsia="Times New Roman" w:hAnsi="Times New Roman"/>
          <w:sz w:val="18"/>
          <w:szCs w:val="18"/>
          <w:b w:val="1"/>
          <w:bCs w:val="1"/>
          <w:color w:val="auto"/>
        </w:rPr>
        <w:t>Note 2 Summary of Significant Accounting Policies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Changes in related parties</w:t>
      </w:r>
      <w:r>
        <w:rPr>
          <w:rFonts w:ascii="Times New Roman" w:cs="Times New Roman" w:eastAsia="Times New Roman" w:hAnsi="Times New Roman"/>
          <w:sz w:val="18"/>
          <w:szCs w:val="18"/>
          <w:color w:val="auto"/>
        </w:rPr>
        <w:t>, for further detail. The conversion option of this first tranche was required to be bifurcated as a derivative, and the Company recorded a derivative liability of $91.5 million on the issuance date. In connection with the derivative liability, the Company recorded a debt discount of $66.8 million at the date of issuance. As the fair value of the derivative liability exceeded the proceeds received, the remaining portion of the derivative liability of $24.7 million was recorded as a financing loss, of which $3.0 million was with a related party. At the date of issuance, the $66.8 million of notes were issued with a debt discount equal to the entire principal amount, resulting in an initial net carrying amount of zero. The debt discount is being amortized on a straight-line basis over the term of the September 2024 Notes.</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December 2024, the Company received proceeds of $13.0 million in a second tranche. The Company recognized a $10.9 million debt discount in connection with these additional proceeds. The effective interest rate on this tranche is 64% as of December 28,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holders of the September 2024 Notes exercised their rights to convert this debt to shares of the Company’s common stock. In the fiscal year ended December 29, 2025, $14.7 million of the September 2024 Notes were converted into 8.6 million shares of the Company’s common stock.</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carrying amount of the convertible September 2024 Notes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2024 Notes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6"/>
              </w:rPr>
              <w:t>65,293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79,800</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240" w:type="dxa"/>
            <w:vAlign w:val="bottom"/>
          </w:tcPr>
          <w:p>
            <w:pPr>
              <w:spacing w:after="0"/>
              <w:rPr>
                <w:sz w:val="20"/>
                <w:szCs w:val="20"/>
                <w:color w:val="auto"/>
              </w:rPr>
            </w:pPr>
          </w:p>
        </w:tc>
        <w:tc>
          <w:tcPr>
            <w:tcW w:w="11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7"/>
              </w:rPr>
              <w:t>(48,615)</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(73,688)</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 of September 2024 Notes</w:t>
            </w: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6"/>
              </w:rPr>
              <w:t>16,678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fiscal years ended December 28, 2025 and December 29, 2024, the total interest expense was $19.6 million and $5.4 million with coupon interest expense of $5.5 million and $1.4 million, respectively, and debt discount and issuance costs of $14.1 million and $4.0 million, respectively. Of the coupon interest expense, related party interest expense was $0.6 million and $0.2 million in the fiscal years ended December 28, 2025 and December 29, 2024, respectively. Related party amortization expense was $1.8 million and $0.5 million in the fiscal years ended December 28, 2025 and December 29, 2024,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i w:val="1"/>
          <w:iCs w:val="1"/>
          <w:color w:val="auto"/>
        </w:rPr>
        <w:t>September 2025 Notes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21, 2025, the Company issued an additional $22.0 million of the 7.0% Notes (the “September 2025 Notes”) pursuant to the Indenture to various parties. The September 2025 Notes contain a conversion option which required bifurcation and recognition of a derivative, and the Company recorded a derivative liability of $15.4 million on the issuance date. The Company also recognized a $2.2 million debt discount and $1.4 million of debt issuance costs in connection with the September 2025 Notes. The debt issuance costs include an estimate of the value of a warrant that will be issued in the subsequent fiscal year to the entity that arranged the financing. The effective interest rate on the September 2025 Notes approximated 67% as of December 28, 2025. The net proceeds from the issuance of the September 2025 Notes were principally used to pay a portion of the cash consideration for the Company’s acquisition of Sunder.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carrying amount of the September 2025 Notes, inclusive of the fair value of the derivative liabilities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December 28,</w:t>
      </w:r>
    </w:p>
    <w:p>
      <w:pPr>
        <w:spacing w:after="0" w:line="9"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2025 Notes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00" w:type="dxa"/>
            <w:vAlign w:val="bottom"/>
            <w:tcBorders>
              <w:top w:val="single" w:sz="8" w:color="CCEEFF"/>
            </w:tcBorders>
            <w:shd w:val="clear" w:color="auto" w:fill="CCEEFF"/>
          </w:tcPr>
          <w:p>
            <w:pPr>
              <w:spacing w:after="0"/>
              <w:rPr>
                <w:sz w:val="19"/>
                <w:szCs w:val="19"/>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(18,646)</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 of September 2025 Notes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fiscal year ended December 28, 2025 the total interest expense was $0.7 million with coupon interest of $0.4 million and amortization of debt discount and issuance costs $0.3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Seller Note – related party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September 24, 2025, the Company issued a note payable to the sellers of Sunder (“Seller Note”) in connection with the acquisition of 100% of the membership interests in Sunder and concluded that the Seller Note is a related party obligation (see </w:t>
      </w:r>
      <w:r>
        <w:rPr>
          <w:rFonts w:ascii="Times New Roman" w:cs="Times New Roman" w:eastAsia="Times New Roman" w:hAnsi="Times New Roman"/>
          <w:sz w:val="18"/>
          <w:szCs w:val="18"/>
          <w:b w:val="1"/>
          <w:bCs w:val="1"/>
          <w:color w:val="auto"/>
        </w:rPr>
        <w:t>Note 3 – Business Combinations</w:t>
      </w:r>
      <w:r>
        <w:rPr>
          <w:rFonts w:ascii="Times New Roman" w:cs="Times New Roman" w:eastAsia="Times New Roman" w:hAnsi="Times New Roman"/>
          <w:sz w:val="18"/>
          <w:szCs w:val="18"/>
          <w:color w:val="auto"/>
        </w:rPr>
        <w:t>). The Seller Note has an original principal amount of $20.0 million. The Seller Note bears interest at 7.0% per annum, compounded at the end of each calendar quarter. Interest is due and payable concurrent with the payment of the principal balance. The maturity date of the Seller Note is the earlier of (i) May 15, 2026 and (ii) the date on which all amounts under the Seller Note otherwise become due and payable following an event of default. The Seller Note must also be repaid in the event of a change of control of the Company or the sale of all or substantially all of the consolidated assets of the Company and its subsidiaries. The Seller Note includes customary events of default, including: (a) the Company’s failure to pay the Seller Note when due, (b) the Company’s voluntary or involuntary bankruptcy, (c) the Company’s liquidation or dissolution, (d) a change of control of the Company, (e) the Company’s material breach of the covenants applicable to the Company under the Seller Note, subject to applicable cure periods, and (f) if any of the Company’s representations or warranties made in the Seller Note were untrue in any material respect when made. Management concluded that the carrying value of the Seller Note approximates its fair value due to the short-term nature of the obligation. Interest expense recognized on the Seller Note was $0.4 million in the fiscal year ended December 28,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with related party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Prior to entering into the </w:t>
      </w:r>
      <w:r>
        <w:rPr>
          <w:rFonts w:ascii="Times New Roman" w:cs="Times New Roman" w:eastAsia="Times New Roman" w:hAnsi="Times New Roman"/>
          <w:sz w:val="18"/>
          <w:szCs w:val="18"/>
          <w:i w:val="1"/>
          <w:iCs w:val="1"/>
          <w:color w:val="auto"/>
        </w:rPr>
        <w:t>Exchange Agreement</w:t>
      </w:r>
      <w:r>
        <w:rPr>
          <w:rFonts w:ascii="Times New Roman" w:cs="Times New Roman" w:eastAsia="Times New Roman" w:hAnsi="Times New Roman"/>
          <w:sz w:val="18"/>
          <w:szCs w:val="18"/>
          <w:color w:val="auto"/>
        </w:rPr>
        <w:t xml:space="preserve">, the Company had a Revolving Loan due to Kline Hill and Rodgers Revocable Trust which is a related party. The Revolving Loan arrangement was entered into in 2020 and in 2023, the Rodgers Revocable Trust became a party to the Revolving Loan. The Revolving Loan has an annual interest rate equal to the greater of 7.75% or Prime plus 4.5%. In connection with the </w:t>
      </w:r>
      <w:r>
        <w:rPr>
          <w:rFonts w:ascii="Times New Roman" w:cs="Times New Roman" w:eastAsia="Times New Roman" w:hAnsi="Times New Roman"/>
          <w:sz w:val="18"/>
          <w:szCs w:val="18"/>
          <w:i w:val="1"/>
          <w:iCs w:val="1"/>
          <w:color w:val="auto"/>
        </w:rPr>
        <w:t>Exchange Agreement</w:t>
      </w:r>
      <w:r>
        <w:rPr>
          <w:rFonts w:ascii="Times New Roman" w:cs="Times New Roman" w:eastAsia="Times New Roman" w:hAnsi="Times New Roman"/>
          <w:sz w:val="18"/>
          <w:szCs w:val="18"/>
          <w:color w:val="auto"/>
        </w:rPr>
        <w:t xml:space="preserve"> in July 2024, $3.5 million of the Revolving Loan, plus accrued interest owed to Kline Hill, was exchanged for a portion of the July 2024 Notes. The remaining principal balance of $1.5 million is payable to the Rodgers Revocable Trust and remains outstanding as of December 28, 2025. There are no financial covenants.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Aggregate interest expense recognized on this obligation in the fiscal years ended December 28, 2025 and December 29, 2024 was $0.2 million and $0.5 million, respectively. Of the interest expense recognized, related party interest expense was $0.2 million and $0.2 million in the fiscal years ended December 28, 2025 and December 29, 2024,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i w:val="1"/>
          <w:iCs w:val="1"/>
          <w:color w:val="auto"/>
        </w:rPr>
        <w:t>Principal payments due in the next five fiscal years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amount of all short and long-term debt, excluding capitalized interest in connection with the exchanged notes,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payment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Fiscal year ending</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143,266</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Other Non-Operating Income, Net</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non-operating income, net consists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34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Change in fair value of derivative liabilities </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11,490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33,986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FACT public, private placement and working capital warrants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(2,800)</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conversion of SAFE agreements to common stock with related party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SAFE Agreement with related party</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Change in fair value of forward purchase agreement liabilities </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(471)</w:t>
            </w: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Loss on issuance of derivative liabilities </w:t>
            </w:r>
            <w:r>
              <w:rPr>
                <w:rFonts w:ascii="Times New Roman" w:cs="Times New Roman" w:eastAsia="Times New Roman" w:hAnsi="Times New Roman"/>
                <w:sz w:val="29"/>
                <w:szCs w:val="29"/>
                <w:color w:val="auto"/>
                <w:vertAlign w:val="superscript"/>
              </w:rPr>
              <w:t>(3)</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(24,688)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Carlyle Warrants with related party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redeemable convertible preferred stock warrant liability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(3,769)</w:t>
            </w:r>
          </w:p>
        </w:tc>
        <w:tc>
          <w:tcPr>
            <w:tcW w:w="0" w:type="dxa"/>
            <w:vAlign w:val="bottom"/>
          </w:tcPr>
          <w:p>
            <w:pPr>
              <w:spacing w:after="0"/>
              <w:rPr>
                <w:sz w:val="1"/>
                <w:szCs w:val="1"/>
                <w:color w:val="auto"/>
              </w:rPr>
            </w:pPr>
          </w:p>
        </w:tc>
      </w:tr>
      <w:tr>
        <w:trPr>
          <w:trHeight w:val="277"/>
        </w:trPr>
        <w:tc>
          <w:tcPr>
            <w:tcW w:w="86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Other, net </w:t>
            </w:r>
            <w:r>
              <w:rPr>
                <w:rFonts w:ascii="Times New Roman" w:cs="Times New Roman" w:eastAsia="Times New Roman" w:hAnsi="Times New Roman"/>
                <w:sz w:val="29"/>
                <w:szCs w:val="29"/>
                <w:color w:val="auto"/>
                <w:vertAlign w:val="superscript"/>
              </w:rPr>
              <w:t>(4)</w:t>
            </w:r>
          </w:p>
        </w:tc>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1,279</w:t>
            </w:r>
          </w:p>
        </w:tc>
        <w:tc>
          <w:tcPr>
            <w:tcW w:w="14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non-operating income, net</w:t>
            </w: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a gain of $3.5 million and $0.3 million on the change in the fair value of derivative liabilities with related parties in the fiscal years ended December 28, 2025 and December 29, 2024, respectively. Refer to </w:t>
      </w:r>
      <w:r>
        <w:rPr>
          <w:rFonts w:ascii="Times New Roman" w:cs="Times New Roman" w:eastAsia="Times New Roman" w:hAnsi="Times New Roman"/>
          <w:sz w:val="18"/>
          <w:szCs w:val="18"/>
          <w:b w:val="1"/>
          <w:bCs w:val="1"/>
          <w:color w:val="auto"/>
        </w:rPr>
        <w:t>Note 10 – Borrowings and Derivative Liabilities</w:t>
      </w:r>
      <w:r>
        <w:rPr>
          <w:rFonts w:ascii="Times New Roman" w:cs="Times New Roman" w:eastAsia="Times New Roman" w:hAnsi="Times New Roman"/>
          <w:sz w:val="18"/>
          <w:szCs w:val="18"/>
          <w:color w:val="auto"/>
        </w:rPr>
        <w:t xml:space="preserve"> for details.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income of $0.1 million in each of the years ended December 28, 2025 and December 29, 2024.</w:t>
      </w:r>
    </w:p>
    <w:p>
      <w:pPr>
        <w:spacing w:after="0" w:line="221"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a loss of $3.0 million on the issuance of a derivative liability with a related party in the fiscal year ended December 29, 2024. Refer to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10 – Borrowings and Derivative Liabilities </w:t>
      </w:r>
      <w:r>
        <w:rPr>
          <w:rFonts w:ascii="Times New Roman" w:cs="Times New Roman" w:eastAsia="Times New Roman" w:hAnsi="Times New Roman"/>
          <w:sz w:val="18"/>
          <w:szCs w:val="18"/>
          <w:color w:val="auto"/>
        </w:rPr>
        <w:t>for details.</w:t>
      </w:r>
    </w:p>
    <w:p>
      <w:pPr>
        <w:spacing w:after="0" w:line="15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income with related party of $0.1 million in the fiscal year ended December 28,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its facilities under non-cancelable operating lease agreements. The Company leases vehicles under finance lease agreements.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and financing lease activity was as follows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gridSpan w:val="8"/>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0" w:type="dxa"/>
            <w:vAlign w:val="bottom"/>
          </w:tcPr>
          <w:p>
            <w:pPr>
              <w:spacing w:after="0"/>
              <w:rPr>
                <w:sz w:val="1"/>
                <w:szCs w:val="1"/>
                <w:color w:val="auto"/>
              </w:rPr>
            </w:pPr>
          </w:p>
        </w:tc>
      </w:tr>
      <w:tr>
        <w:trPr>
          <w:trHeight w:val="194"/>
        </w:trPr>
        <w:tc>
          <w:tcPr>
            <w:tcW w:w="8600" w:type="dxa"/>
            <w:vAlign w:val="bottom"/>
          </w:tcPr>
          <w:p>
            <w:pPr>
              <w:spacing w:after="0"/>
              <w:rPr>
                <w:sz w:val="16"/>
                <w:szCs w:val="16"/>
                <w:color w:val="auto"/>
              </w:rPr>
            </w:pPr>
          </w:p>
        </w:tc>
        <w:tc>
          <w:tcPr>
            <w:tcW w:w="1380" w:type="dxa"/>
            <w:vAlign w:val="bottom"/>
            <w:tcBorders>
              <w:top w:val="single" w:sz="8" w:color="auto"/>
            </w:tcBorders>
            <w:gridSpan w:val="5"/>
          </w:tcPr>
          <w:p>
            <w:pPr>
              <w:jc w:val="right"/>
              <w:ind w:right="300"/>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100" w:type="dxa"/>
            <w:vAlign w:val="bottom"/>
            <w:tcBorders>
              <w:top w:val="single" w:sz="8" w:color="auto"/>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29,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Lease cost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2,008</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finance lease cost</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lease cost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1,754</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lease cost</w:t>
            </w: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1,754</w:t>
            </w:r>
          </w:p>
        </w:tc>
        <w:tc>
          <w:tcPr>
            <w:tcW w:w="1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1,003</w:t>
            </w:r>
          </w:p>
        </w:tc>
        <w:tc>
          <w:tcPr>
            <w:tcW w:w="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60" w:type="dxa"/>
            <w:vAlign w:val="bottom"/>
            <w:tcBorders>
              <w:bottom w:val="single" w:sz="8" w:color="auto"/>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26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2,292</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432"/>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Future minimum lease payments under non-cancellable leases are as follows as of December 28, 2025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Finance</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245"/>
        </w:trPr>
        <w:tc>
          <w:tcPr>
            <w:tcW w:w="8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Fiscal year ending</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2,090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2,330</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609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1,642</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5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03"/>
        </w:trPr>
        <w:tc>
          <w:tcPr>
            <w:tcW w:w="86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undiscounted liabilities</w:t>
            </w: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3,303</w:t>
            </w: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5,810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10"/>
        </w:trPr>
        <w:tc>
          <w:tcPr>
            <w:tcW w:w="86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lease liabilities</w:t>
            </w: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3,126</w:t>
            </w: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5,186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The Company’s consolidated balance sheet includes the following lease liabilities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40" w:type="dxa"/>
            <w:vAlign w:val="bottom"/>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 (Accrued expenses and other current liabilities)</w:t>
            </w:r>
          </w:p>
        </w:tc>
        <w:tc>
          <w:tcPr>
            <w:tcW w:w="2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1,412</w:t>
            </w:r>
          </w:p>
        </w:tc>
        <w:tc>
          <w:tcPr>
            <w:tcW w:w="0" w:type="dxa"/>
            <w:vAlign w:val="bottom"/>
          </w:tcPr>
          <w:p>
            <w:pPr>
              <w:spacing w:after="0"/>
              <w:rPr>
                <w:sz w:val="1"/>
                <w:szCs w:val="1"/>
                <w:color w:val="auto"/>
              </w:rPr>
            </w:pPr>
          </w:p>
        </w:tc>
      </w:tr>
      <w:tr>
        <w:trPr>
          <w:trHeight w:val="23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 (Other long-term liabilities)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3,156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2,263</w:t>
            </w:r>
          </w:p>
        </w:tc>
        <w:tc>
          <w:tcPr>
            <w:tcW w:w="0" w:type="dxa"/>
            <w:vAlign w:val="bottom"/>
          </w:tcPr>
          <w:p>
            <w:pPr>
              <w:spacing w:after="0"/>
              <w:rPr>
                <w:sz w:val="1"/>
                <w:szCs w:val="1"/>
                <w:color w:val="auto"/>
              </w:rPr>
            </w:pPr>
          </w:p>
        </w:tc>
      </w:tr>
      <w:tr>
        <w:trPr>
          <w:trHeight w:val="223"/>
        </w:trPr>
        <w:tc>
          <w:tcPr>
            <w:tcW w:w="8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(Accrued expenses and other current liabilities)</w:t>
            </w:r>
          </w:p>
        </w:tc>
        <w:tc>
          <w:tcPr>
            <w:tcW w:w="2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1,977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2,053</w:t>
            </w:r>
          </w:p>
        </w:tc>
        <w:tc>
          <w:tcPr>
            <w:tcW w:w="0" w:type="dxa"/>
            <w:vAlign w:val="bottom"/>
          </w:tcPr>
          <w:p>
            <w:pPr>
              <w:spacing w:after="0"/>
              <w:rPr>
                <w:sz w:val="1"/>
                <w:szCs w:val="1"/>
                <w:color w:val="auto"/>
              </w:rPr>
            </w:pPr>
          </w:p>
        </w:tc>
      </w:tr>
      <w:tr>
        <w:trPr>
          <w:trHeight w:val="23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 liabilities, noncurrent (Other long-term liabilities)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1,149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1,907</w:t>
            </w:r>
          </w:p>
        </w:tc>
        <w:tc>
          <w:tcPr>
            <w:tcW w:w="0" w:type="dxa"/>
            <w:vAlign w:val="bottom"/>
          </w:tcPr>
          <w:p>
            <w:pPr>
              <w:spacing w:after="0"/>
              <w:rPr>
                <w:sz w:val="1"/>
                <w:szCs w:val="1"/>
                <w:color w:val="auto"/>
              </w:rPr>
            </w:pPr>
          </w:p>
        </w:tc>
      </w:tr>
      <w:tr>
        <w:trPr>
          <w:trHeight w:val="223"/>
        </w:trPr>
        <w:tc>
          <w:tcPr>
            <w:tcW w:w="8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F-94</w:t>
            </w: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0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219" w:name="page220"/>
    <w:bookmarkEnd w:id="2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Provision</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Warranty activity by period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340" w:type="dxa"/>
            <w:vAlign w:val="bottom"/>
            <w:tcBorders>
              <w:top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provision, beginning of period</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Warranty liability from Business Combination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 for new warranties issued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Settlements and other</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(1,561)</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provision, end of period</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Accrued warranty current (Classified in Accrued expenses and other current liabilities)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2,531</w:t>
            </w:r>
          </w:p>
        </w:tc>
        <w:tc>
          <w:tcPr>
            <w:tcW w:w="0" w:type="dxa"/>
            <w:vAlign w:val="bottom"/>
          </w:tcPr>
          <w:p>
            <w:pPr>
              <w:spacing w:after="0"/>
              <w:rPr>
                <w:sz w:val="1"/>
                <w:szCs w:val="1"/>
                <w:color w:val="auto"/>
              </w:rPr>
            </w:pPr>
          </w:p>
        </w:tc>
      </w:tr>
      <w:tr>
        <w:trPr>
          <w:trHeight w:val="237"/>
        </w:trPr>
        <w:tc>
          <w:tcPr>
            <w:tcW w:w="8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Warranty provision, noncurrent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3,437</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warranty liability</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breach of representation, covenant or third-party infringement claims. It may not be possible to determine the maximum potential amount of liability under such indemnification agreements due to the unique facts and circumstances that are likely to be involved in each particular claim and indemnification provision. Historically, there have been no such indemnification claims. In the opinion of management, any liabilities resulting from these agreements would not have a material adverse effect on the business, financial position, results of operations, or cash flows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of dispute with SunPower Debtors Bankruptcy Estate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Following the consummation of the acquisition of certain assets and assumption of certain liabilities of SunPower Debtors on September 30, 2024, certain matters pertaining to the acquisition were under dispute which included 1) amounts owed to and from the buyer and seller with respect to amounts held in escrow related to the consideration transferred, 2) the right to the cash acquired in the acquisition, and 3) the right for the Company to sell and collect for certain solar systems that were acquired as a part of the acquisition that were sold or are to be sold to homebuilders within the New Homes Business. On June 25, 2025, all matters under dispute were resolved by the Company and the SunPower Bankruptcy Estate. Matters 1) and 2) were resolved with such that no amounts were required to be paid (or received) by the Company. Matter 3) was resolved such that the Company has the right to sell the related inventory acquired and collect the underlying sales price for the sale of the solar system. In connection with each system sold, the Company is required to remit a portion of the sales price to the SunPower Bankruptcy Estate. The impact of the related settlement is not anticipated to be material.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a party to various legal proceedings and claims which arise in the ordinary course of business. The Company records a liability when it is probable that a loss has been incurred and the amount of the loss can be reasonably estimated. If the Company determines that a loss is reasonably possible and the loss or range of loss can be reasonably estimated, the Company discloses the reasonably possible loss. The Company adjusts its accruals to reflect the impact of negotiations, settlements, rulings, advice of legal counsel and other information and events pertaining to a particular case. Legal costs are expensed as incurred. Although claims are inherently unpredictable, the Company is not aware of any matters that may have a material adverse effect on the Company’s business, financial position, results of operations, or cash flows. The Company has a loss contingency for legal settlements of $9.5 million and $7.7 million recorded within accrued expenses and other current liabilities on its consolidated balance sheets as of December 28, 2025 and December 29, 2024, respectively.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i w:val="1"/>
          <w:iCs w:val="1"/>
          <w:color w:val="auto"/>
        </w:rPr>
        <w:t>SolarPark Litigation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2023, SolarPark Korea Co., LTD (“SolarPark”) demanded approximately $80.0 million during discussions between the Company and SolarPark. In February 2023, the Company submitted its statement of claim seeking approximately $26.4 million in damages against SolarPark. The ultimate outcome of this arbitration is currently unknown and could result in a material liability to the Company. However, the Company believes that the allegations lack merit and intends to vigorously defend all claims asserted.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16, 2023, SolarPark filed a complaint against the Company in the U.S. District Court for the Northern District of California (“the Court”). The complaint alleges a civil conspiracy involving misappropriation of trade secrets, defamation, tortious interference with contractual relations, inducement to breach of contract, and violation of California’s Unfair Competition Law. The complaint indicates that SolarPark has suffered in excess of $220.0 million in damages.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May 11, 2023, SolarPark filed a motion for preliminary injunction to seek an order restraining the Company from using or disclosing SolarPark’s trade secrets, making or selling shingled modules other than those produced by SolarPark, and from soliciting solar module manufacturers to produce shingled modules using Solaria’s shingled patents. On May 18, 2023, the Company responded by filing a motion for partial dismissal and stay. On June 1, 2023, SolarPark filed an opposition to the Company’s motion for dismissal and stay and a reply in support of their motion for preliminary injunction. On June 8, 2023, the Company replied in support of its motion for partial dismissal and stay. On July 11, 2023, the Court conducted a hearing to consider SolarPark’s and the Company’s respective motions. On August 3, 2023, the Court issued a ruling, which granted the preliminary injunction motion with respect to any purported misappropriation of SolarPark’s trade secrets. The Court’s ruling does not prohibit the Company from producing shingled modules or from utilizing its own patents for the manufacture of shingled modules. The Court denied SolarPark’s motion seeking a defamation injunction. The Court denied the Company’s motion to dismiss and granted the Company’s motion to stay the entire litigation pending the arbitration in Singapore. On September 1, 2023, the Company filed a Limited Notice of Appeal to appeal the August 2023 order granting SolarPark’s motion for preliminary injunction. On September 26, 2023, the Company filed a Notice of Withdrawal of Appeal and will not appeal the Court’s Preliminary Injunction Order. Between August 2023 and March 2024, the parties were engaged in discovery negotiations and the Company produced documents to SolarPark. The Company produced its last set of documents on March 14, 2024. On August 14, 2025, the Court held a virtual hearing and revived the case. SolarPark subsequently amended the complaint, and the Company responded on October 14, 2025, with a motion to dismiss the complaint in its entirety. The Company also believes it has valid counterclaims to pursue against SolarPark. The litigation remains ongoing.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liability has been recorded on the Company’s consolidated financial statements as the likelihood of a loss is not probable at this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Siemens Litigation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22, 2021, Siemens Government Technologies, Inc. (“Siemens Government Technologies”) filed a lawsuit against Solaria Corporation in Fairfax Circuit Court (the “Circuit Court”) in Fairfax, Virginia. On July 27, 2023, Siemens Government Technologies moved to amend the complaint to add Siemens Industry Inc. as a co-plaintiff. This motion was granted on August 25, 2023. On October 23, 2023, Siemens Government Technologies and Siemens Industry Inc. (collectively, “Siemens”) and Solaria Corporation stipulated to add Solar CA, LLC as a co-defendant. Solaria Corporation and Solar CA, LLC (collectively, the “Subsidiaries”) are both wholly-owned subsidiaries of the Company. In the lawsuit, Siemens alleged that the Subsidiaries breached express and implied warranties under a purchase order that Siemens placed with the Subsidiaries for a solar module system. Siemens claimed damages of approximately $6.9 million, inclusive of amounts of the Subsidiaries’ indemnity obligations to Siemens, plus attorneys’ fees.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1" w:name="page222"/>
    <w:bookmarkEnd w:id="221"/>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22, 2024, the Circuit Court issued an order against the Subsidiaries which awarded Siemens approximately $6.9 million, inclusive of the amounts of the Subsidiaries’ indemnity obligations to Siemens, plus attorneys’ fees, the amount of which would be determined at a later hearing. On March 15, 2024, Siemens filed a motion seeking to recover $2.67 million for attorneys’ fees, expenses, and pre-and post-judgment interest. The Company opposed Siemens’ motion for attorneys’ fees, expenses, and pre- and post-judgment interest on April 5, 2024. On June 17, 2024, the Circuit Court entered a final order which awarded Siemens a total of $2.0 million in attorneys’ fees and costs. The Company appealed these judgments.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above, on August 19, 2024, Siemens applied for the enforcement to a sister state judgment in the Superior Court of Alameda, California and the court entered a judgement in favor of Siemens. On December 9, 2024, Siemens moved to amend the judgment to add the Company as a judgement debtor. The Subsidiaries opposed the Siemens motion. On June 30, 2025, the California court found that the Company should be added as a judgment debtor party in California. In addition, the parties argued the appeal of the underlying Virginia litigation on July 24, 2025. On September 23, 2025, the Virginia Court of Appeals issued a decision on the appeal, affirming the original lower court decision and judgment against the Company. The Alameda County litigation has continued with several upcoming deadlines related to the already-noticed appeal and Siemens’ motion for fees and costs.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recognized $6.9 million as a legal settlement loss related to this litigation as of December 31, 2023. The Company recorded additional expense of $1.1 million and $2.0 million within discontinued operations in the years ended December 28, 2025 and December 29, 2024, respectively, for attorneys’ fees, expenses, and pre-judgment interest related to this matter. The legal settlement liability associated with this matter is included within accrued expenses and other current liabilities on the Company’s consolidated balance sheet as of December 28, 2025.</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4, 2025, the Company entered into a global Settlement Agreement (“Settlement Agreement”) with Siemens to resolve the case and other related cases as well as to resolve potential claims related to Siemens’ Atwater Wastewater Treatment Plant. In exchange for full releases, the Company agreed to pay Siemens $9.5 million spread across four payments to be made at the end of each calendar quarter during 2026. If the Company successfully engages in any form of new financing or new debt worth $1.0 million or more, or successfully obtains shareholder approval for the issuance of additional shares in connection with the raise of additional funds and/or any merger or acquisition activity, the next due quarterly payment to Siemens (if any) becomes immediately due and payable. The settlement payment to Siemens is secured by a first-priority continuing security interest in $9.5 million of Company collateral. This security interest is reduced on a one-to-one basis as the settlement payments are made.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LGCY Power, LLC Matter</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LGCY Power, LLC (“LGCY”) markets and sells residential solar energy systems throughout the United States, and is a competitor of the Company. In 2019, LGCY filed suit against Sunder and several individuals associated with Sunder. LGCY asserts claims of over $16.0 million against Sunder and its associated individuals. LGCY’s claims against Sunder and its associated individuals center on the alleged misappropriation of LGCY’s confidential information, the alleged wrongful solicitation of LGCY’s customers and potential customers, and the alleged wrongful solicitation of LGCY’s sales representatives. In addition, several of the Sunder associated individuals have filed counterclaims against LGCY for declaratory relief, unjust enrichment, and breach of contract based on LGCY’s failure to pay these individuals earned sales commissions following their resignations as LGCY sales managers. LGCY denies these claims. The Company denies LGCY’s claims.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assumed the defense of the case, including the costs of defense, following the Company’s acquisition of Sunder in September 2025. Under the terms of the Sunder MIPA, the Seller agreed to indemnify the Company in the event of damages (such as a settlement or an adverse judgement) stemming from LGCY’s claims, separate and apart from their other indemnification obligations or limitations in the Sunder MIPA. Discovery is complete and no trial date has been set. Both sides have filed various summary judgment motions, and oral arguments for these motions are scheduled for July 2, 2026.</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upon information currently available, management is unable to determine the probability of an adverse outcome or to reasonably estimate the amount or range of potential loss, if any. Accordingly, no provision for loss has been recorded in the accompanying consolidated financial statements. While the ultimate resolution of these matters could have a material effect on the Company’s results of operations, cash flows, or financial position, management believes that the resolution will not have a material adverse effect on the Company’s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had $3.5 million of outstanding letters of credit as of December 28, 2025 and December 29, 2024. The Company is required to maintain specified amounts of cash as collateral in segregated accounts to support the letters of credit issued thereunder. As discussed in </w:t>
      </w:r>
      <w:r>
        <w:rPr>
          <w:rFonts w:ascii="Times New Roman" w:cs="Times New Roman" w:eastAsia="Times New Roman" w:hAnsi="Times New Roman"/>
          <w:sz w:val="18"/>
          <w:szCs w:val="18"/>
          <w:b w:val="1"/>
          <w:bCs w:val="1"/>
          <w:color w:val="auto"/>
        </w:rPr>
        <w:t>Note 2 – 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Significant Accounting Policies</w:t>
      </w:r>
      <w:r>
        <w:rPr>
          <w:rFonts w:ascii="Times New Roman" w:cs="Times New Roman" w:eastAsia="Times New Roman" w:hAnsi="Times New Roman"/>
          <w:sz w:val="18"/>
          <w:szCs w:val="18"/>
          <w:color w:val="auto"/>
        </w:rPr>
        <w:t>, the cash collateral in these restricted cash accounts was $3.8 million at each of December 28, 2025 and December 29,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loss from continuing and discontinued operations before provision for income taxes for the fiscal years ended December 28,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December 29, 2024,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29,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(54,444</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(1,100)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components of income tax benefit from continuing and discontinued operations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278</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income tax expense</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278</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1,200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income tax expense</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Income tax expense from continuing operations</w:t>
            </w:r>
          </w:p>
        </w:tc>
        <w:tc>
          <w:tcPr>
            <w:tcW w:w="24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1,578</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as a component of discontinued operations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adopted ASU 2023-09 prospectively for the fiscal year ended December 28, 2025. The following table presents required disclosure pursuant of ASU 2023-09 and reconciles the Company’s federal statutory tax amount and rate, based on its results from continuing operations, to its actual effective amount and rate: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Effect on</w:t>
            </w:r>
          </w:p>
        </w:tc>
      </w:tr>
      <w:tr>
        <w:trPr>
          <w:trHeight w:val="216"/>
        </w:trPr>
        <w:tc>
          <w:tcPr>
            <w:tcW w:w="8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Dollars (</w:t>
            </w:r>
            <w:r>
              <w:rPr>
                <w:rFonts w:ascii="Times New Roman" w:cs="Times New Roman" w:eastAsia="Times New Roman" w:hAnsi="Times New Roman"/>
                <w:sz w:val="18"/>
                <w:szCs w:val="18"/>
                <w:b w:val="1"/>
                <w:bCs w:val="1"/>
                <w:i w:val="1"/>
                <w:iCs w:val="1"/>
                <w:color w:val="auto"/>
              </w:rPr>
              <w:t>in</w:t>
            </w:r>
          </w:p>
        </w:tc>
        <w:tc>
          <w:tcPr>
            <w:tcW w:w="140" w:type="dxa"/>
            <w:vAlign w:val="bottom"/>
          </w:tcPr>
          <w:p>
            <w:pPr>
              <w:spacing w:after="0"/>
              <w:rPr>
                <w:sz w:val="18"/>
                <w:szCs w:val="18"/>
                <w:color w:val="auto"/>
              </w:rPr>
            </w:pPr>
          </w:p>
        </w:tc>
        <w:tc>
          <w:tcPr>
            <w:tcW w:w="11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Effective</w:t>
            </w:r>
          </w:p>
        </w:tc>
      </w:tr>
      <w:tr>
        <w:trPr>
          <w:trHeight w:val="245"/>
        </w:trPr>
        <w:tc>
          <w:tcPr>
            <w:tcW w:w="86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i w:val="1"/>
                <w:iCs w:val="1"/>
                <w:color w:val="auto"/>
                <w:w w:val="99"/>
              </w:rPr>
              <w:t>thousands</w:t>
            </w:r>
            <w:r>
              <w:rPr>
                <w:rFonts w:ascii="Times New Roman" w:cs="Times New Roman" w:eastAsia="Times New Roman" w:hAnsi="Times New Roman"/>
                <w:sz w:val="18"/>
                <w:szCs w:val="18"/>
                <w:b w:val="1"/>
                <w:bCs w:val="1"/>
                <w:color w:val="auto"/>
                <w:w w:val="99"/>
              </w:rPr>
              <w:t>)</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Tax Rate</w:t>
            </w:r>
          </w:p>
        </w:tc>
        <w:tc>
          <w:tcPr>
            <w:tcW w:w="22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tax (benefit) at statutory rate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57"/>
        </w:trPr>
        <w:tc>
          <w:tcPr>
            <w:tcW w:w="86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State income taxes, net of federal tax benefit </w:t>
            </w:r>
            <w:r>
              <w:rPr>
                <w:rFonts w:ascii="Times New Roman" w:cs="Times New Roman" w:eastAsia="Times New Roman" w:hAnsi="Times New Roman"/>
                <w:sz w:val="29"/>
                <w:szCs w:val="29"/>
                <w:color w:val="auto"/>
                <w:vertAlign w:val="superscript"/>
              </w:rPr>
              <w:t>(1)</w:t>
            </w:r>
          </w:p>
        </w:tc>
        <w:tc>
          <w:tcPr>
            <w:tcW w:w="1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w:t>
            </w:r>
          </w:p>
        </w:tc>
        <w:tc>
          <w:tcPr>
            <w:tcW w:w="140" w:type="dxa"/>
            <w:vAlign w:val="bottom"/>
          </w:tcPr>
          <w:p>
            <w:pPr>
              <w:spacing w:after="0"/>
              <w:rPr>
                <w:sz w:val="22"/>
                <w:szCs w:val="22"/>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Tax law changes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11,328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items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liability</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nondeductible items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tcPr>
          <w:p>
            <w:pPr>
              <w:spacing w:after="0"/>
              <w:rPr>
                <w:sz w:val="18"/>
                <w:szCs w:val="18"/>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true-up</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tcPr>
          <w:p>
            <w:pPr>
              <w:spacing w:after="0"/>
              <w:rPr>
                <w:sz w:val="20"/>
                <w:szCs w:val="20"/>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8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provision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8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ind w:left="5460" w:right="3420" w:hanging="5452"/>
        <w:spacing w:after="0" w:line="623" w:lineRule="auto"/>
        <w:tabs>
          <w:tab w:leader="none" w:pos="338" w:val="left"/>
        </w:tabs>
        <w:numPr>
          <w:ilvl w:val="0"/>
          <w:numId w:val="10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State taxes in California made up the majority (greater than 50 percent) of the tax effect in this category. 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3" w:name="page224"/>
    <w:bookmarkEnd w:id="223"/>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following table represents the required disclosures prior to the Company’s adoption of ASU 2023-09 and is a reconciliation of the Company’s income tax applied at the federal statutory income tax rate compared to the income tax provision reported on its consolidated statements of operations for continuing operations.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Fiscal Year</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items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Debt extinguishment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(6,571)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earnings taxed at different rates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Forward purchase agreements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changes in tax rates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Prior year adjustments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16,171</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Provision</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Significant components of deferred tax assets and liabilities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34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29,</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income tax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35,792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34,749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Debt derivatives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27,508</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24,591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Bad debt reserve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10,543</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1,657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4,633</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carryover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7,267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1,447</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2,556</w:t>
            </w: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92,877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77,560</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(70,253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(55,714</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22,624</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21,846</w:t>
            </w: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Deferred income tax liabilities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loan discount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(21,731)</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(19,175)</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(2,193)</w:t>
            </w:r>
          </w:p>
        </w:tc>
        <w:tc>
          <w:tcPr>
            <w:tcW w:w="12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(2,671)</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deferred tax liability</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(1,300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regularly assesses its ability to realize deferred tax assets recorded based upon the weight of available evidence, including such factors as recent earnings history and expected future taxable income on a jurisdiction by jurisdiction basis. In the event that the Company changes its determination as to the amount or realizable deferred tax assets, the Company will adjust its valuation allowance with a corresponding impact to the provision for income taxes in the period in which such determination is made. The Company’s management believes that, based upon a number of factors, it is more likely than not that all or some portion of the deferred tax assets will not be realized. Accordingly, for the fiscal years ended December 28, 2025 and December 29, 2024, the Company provided a valuation allowance against its U.S. net deferred tax assets of $70.3 million and $55.7 million, respectively. The net change in the valuation allowance was an increase of $14.6 million and $17.3 million in the fiscal years ended December 28, 2025 and 2024,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4" w:name="page225"/>
    <w:bookmarkEnd w:id="224"/>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28, 2025, the Company had net operating loss carryforwards for federal and state income tax purposes of approximately $131.4 million and $114.8 million, respectively. Excluding $115.3 million of federal net operating losses which carryforward indefinitely, the net operating loss carryforwards will expire between 2030 and 2044.</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Internal Revenue Code (“IRC”) of 1986, as amended, imposes restrictions on the utilization of net operating losses in the event of an “ownership change” of a corporation. Accordingly, a company’s ability to use net operating losses may be limited as prescribed under IRC Section 382. Events which may cause limitations in the amount of the net operating losses that the Company may use in any one year include, but are not limited to, a cumulative ownership change of more than 50% over a three-year period. Utilization of the federal and state net operating losses may be subject to substantial annual limitation due to the ownership change limitations provided by IRC Section 382 and similar provisions. Such limitations may result in the expiration of these carryforwards before their utilization. The Company’s acquired net operating loss carryforwards have been reduced based on the estimated amount which will be lost due to these limitations. If the Company has experienced subsequent ownership changes, the Company’s losses may be further limited, which may result in the expiration of net operating losses before utilization. To date, Company has not yet completed a Section 382 ownership change analysis. During the fiscal year ended December 29, 2024, the Company had undergone restructuring and strategic transformation, including the completion of the SunPower Businesses. As a result of the change in facts and lack of certainty regarding the acquired losses of the legacy Solaria business, the Company wrote off the remaining acquired net operating losses as the Company does not intend to pursue the potential tax benefits as it believes those benefits will be lost due to the continuation of business enterprise rules. As a result, the corresponding uncertain tax position was also reversed as the Company does not intend to pursue utilization of those attributes.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U.S for federal and various state jurisdictions as well as foreign jurisdictions each of which have varying statutes of limitations. The Company is in the process of filing returns for prior years, and the penalties related to the delinquent filings are not material. Due to the history of losses, the Company’s tax years remain open for examination by all tax authorities since inception. The Company is not currently under examination in any tax jurisdictions.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no unrecognized tax benefits as of December 28, 2025 and December 29, 2024, respectively. The reversal of the uncertain tax benefits would not affect the Company’s effective tax rate to the extent that it continues to maintain a full valuation allowance against its deferred tax assets. As outlined above, the reduction in the uncertain tax positions during the fiscal year ended December 29, 2024, is a result of the Company’s decision to forgo the right to certain acquired attributes for which the Company does not intend to claim any tax benefits.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the provisions set forth in FASB ASC Topic 740, Income Taxes, to account for the uncertainty in income taxes. In the preparation of income tax returns in federal and state jurisdictions, the Company asserts certain tax positions based on its understanding and interpretation of income tax laws.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following is a tabular reconciliation of the total amounts of unrecognized tax benefits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3"/>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6"/>
                <w:szCs w:val="16"/>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as of beginning of year</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24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240" w:type="dxa"/>
            <w:vAlign w:val="bottom"/>
          </w:tcPr>
          <w:p>
            <w:pPr>
              <w:spacing w:after="0"/>
              <w:rPr>
                <w:sz w:val="20"/>
                <w:szCs w:val="20"/>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(53,153)</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as of end of year</w:t>
            </w: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within the income tax expense line in its consolidated statements of operations and comprehensive loss. Accrued interest and penalties are included as part of income tax payable in the consolidated balance sheets. No accrued interest or penalties have been recorded for the fiscal years ended December 28, 2025 and December 29,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color w:val="auto"/>
        </w:rPr>
        <w:t>The Company did not pay any federal, state or foreign income taxes during the fiscal year ended December 28, 2025.</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not provided U.S. income or foreign withholding taxes on the undistributed earnings of its foreign subsidiary as of December 28, 2025 or December 29, 2024, as there are no undistributed earnings within the foreign subsidiaries, which were inactive throughout the years ended December 28, 2025 and December 29, 2024.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OBBBA enacted on July 4, 2025 contains significant changes to corporate taxation, including accelerated deductions for capital expenditures, expensing of research and development costs incurred in the U.S., and increased deductibility of interest expense. As the Company maintains a full valuation allowance against its deferred tax assets, any adjustments to the gross value of these assets resulting from the enactment of the OBBBA were offset by a corresponding change in the valuation allowance, resulting in no net impact to the consolidated financial statements. The Company will continue to monitor the impact of the OBBBA as additional guidance is issued and further provisions become effective in future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Common Stock and Common Stock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authorized the issuance of 1,000,000,000 shares of common stock and 10,000,000 shares of preferred stock as of December 28,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preferred stock has been issued and none are outstanding as of December 28, 2025 and December 29,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purchase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16, 2024, the Company entered into a common stock purchase agreement with White Lion Capital, LLC (“White Lion”), as amended on July 24, 2024 (“White Lion SPA”), and a related registration rights agreement for an equity line of credit financing facility. Pursuant to the White Lion SPA, the Company has the right, but not the obligation, to require White Lion to purchase, from time to time, up to $30 million in aggregate gross purchase price of newly issued shares of the Company’s common stock, subject to the caps and certain limitations and conditions set forth in the White Lion SPA, including terms that restrict the ability of the Company to issue shares of common stock to White Lion that would result in White Lion beneficially owning more than 9.99% of the Company’s outstanding common stock.</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14, 2024, the Company entered into Amendment No. 2 to the White Lion SPA (collectively with the White Lion SPA “White Lion Amended SPA”). The White Lion Amended SPA provides that the Company may notify White Lion to exercise the Company’s right to sell shares of its common stock by delivering an Hour Rapid Purchase Notice. If the Company delivers an Hour Rapid Purchase Notice, the Company shall deliver to White Lion shares of common stock not to exceed the lesser of (i) five percent of the Average Daily Trading Volume on the date of an Hour Rapid Purchase Notice and</w:t>
      </w:r>
    </w:p>
    <w:p>
      <w:pPr>
        <w:spacing w:after="0" w:line="3" w:lineRule="exact"/>
        <w:rPr>
          <w:sz w:val="20"/>
          <w:szCs w:val="20"/>
          <w:color w:val="auto"/>
        </w:rPr>
      </w:pPr>
    </w:p>
    <w:p>
      <w:pPr>
        <w:jc w:val="both"/>
        <w:ind w:firstLine="8"/>
        <w:spacing w:after="0" w:line="253" w:lineRule="auto"/>
        <w:tabs>
          <w:tab w:leader="none" w:pos="26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shares of common stock. The closing of the transactions under an Hour Rapid Purchase Notice will occur one Business Day following the date on which the Hour Rapid Purchase Notice is delivered. At such closing, White Lion will pay the Company the Hour Rapid Purchase Investment Amount equal to the number of shares of common stock subject to the applicable Hour Rapid Purchase Notice multiplied by the lowest traded price of the Company’s common stock during the one-hour period following White Lion’s consent to the acceptance of the applicable Hour Rapid Purchase Notice.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White Lion Amended SPA, the Company issued 4.0 million and 2.9 million shares of the Company’s common stock for proceeds of $6.7 million and $6.7 million in the years ended December 28, 2025 and December 29, 2024, respectively.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b w:val="1"/>
          <w:bCs w:val="1"/>
          <w:color w:val="auto"/>
        </w:rPr>
        <w:t>Note 20 – Subsequent Events</w:t>
      </w:r>
      <w:r>
        <w:rPr>
          <w:rFonts w:ascii="Times New Roman" w:cs="Times New Roman" w:eastAsia="Times New Roman" w:hAnsi="Times New Roman"/>
          <w:sz w:val="18"/>
          <w:szCs w:val="18"/>
          <w:color w:val="auto"/>
        </w:rPr>
        <w:t xml:space="preserve"> for information regarding an amendment to the White Lion SPA entered into on after the fiscal year ended December 28, 2025.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adopted the Employee Stock Purchase Plan (the “ESPP Plan”) in July 2023. All qualified employees may voluntarily enroll to purchase the Company’s common stock through payroll deductions at a price equal to 85% of the lower of the fair market value of the stock in the offering period or the applicable purchase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potential number of shares of the Company’s common stock for outstanding warrants were as follows: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520" w:type="dxa"/>
            <w:vAlign w:val="bottom"/>
          </w:tcPr>
          <w:p>
            <w:pPr>
              <w:spacing w:after="0"/>
              <w:rPr>
                <w:sz w:val="24"/>
                <w:szCs w:val="24"/>
                <w:color w:val="auto"/>
              </w:rPr>
            </w:pPr>
          </w:p>
        </w:tc>
        <w:tc>
          <w:tcPr>
            <w:tcW w:w="27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Potential shares of common</w:t>
            </w:r>
          </w:p>
        </w:tc>
        <w:tc>
          <w:tcPr>
            <w:tcW w:w="160" w:type="dxa"/>
            <w:vAlign w:val="bottom"/>
          </w:tcPr>
          <w:p>
            <w:pPr>
              <w:spacing w:after="0"/>
              <w:rPr>
                <w:sz w:val="24"/>
                <w:szCs w:val="24"/>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520" w:type="dxa"/>
            <w:vAlign w:val="bottom"/>
          </w:tcPr>
          <w:p>
            <w:pPr>
              <w:spacing w:after="0"/>
              <w:rPr>
                <w:sz w:val="21"/>
                <w:szCs w:val="21"/>
                <w:color w:val="auto"/>
              </w:rPr>
            </w:pPr>
          </w:p>
        </w:tc>
        <w:tc>
          <w:tcPr>
            <w:tcW w:w="168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stock as of</w:t>
            </w:r>
          </w:p>
        </w:tc>
        <w:tc>
          <w:tcPr>
            <w:tcW w:w="8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1380" w:type="dxa"/>
            <w:vAlign w:val="bottom"/>
            <w:gridSpan w:val="2"/>
          </w:tcPr>
          <w:p>
            <w:pPr>
              <w:jc w:val="right"/>
              <w:ind w:right="280"/>
              <w:spacing w:after="0" w:line="202"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340" w:type="dxa"/>
            <w:vAlign w:val="bottom"/>
            <w:gridSpan w:val="3"/>
          </w:tcPr>
          <w:p>
            <w:pPr>
              <w:jc w:val="right"/>
              <w:ind w:right="260"/>
              <w:spacing w:after="0" w:line="202" w:lineRule="exact"/>
              <w:rPr>
                <w:sz w:val="20"/>
                <w:szCs w:val="20"/>
                <w:color w:val="auto"/>
              </w:rPr>
            </w:pPr>
            <w:r>
              <w:rPr>
                <w:rFonts w:ascii="Times New Roman" w:cs="Times New Roman" w:eastAsia="Times New Roman" w:hAnsi="Times New Roman"/>
                <w:sz w:val="18"/>
                <w:szCs w:val="18"/>
                <w:b w:val="1"/>
                <w:bCs w:val="1"/>
                <w:color w:val="auto"/>
              </w:rPr>
              <w:t>December 29,</w:t>
            </w:r>
          </w:p>
        </w:tc>
        <w:tc>
          <w:tcPr>
            <w:tcW w:w="160" w:type="dxa"/>
            <w:vAlign w:val="bottom"/>
          </w:tcPr>
          <w:p>
            <w:pPr>
              <w:spacing w:after="0"/>
              <w:rPr>
                <w:sz w:val="17"/>
                <w:szCs w:val="17"/>
                <w:color w:val="auto"/>
              </w:rPr>
            </w:pPr>
          </w:p>
        </w:tc>
        <w:tc>
          <w:tcPr>
            <w:tcW w:w="1160" w:type="dxa"/>
            <w:vAlign w:val="bottom"/>
            <w:gridSpan w:val="2"/>
          </w:tcPr>
          <w:p>
            <w:pPr>
              <w:jc w:val="center"/>
              <w:ind w:right="380"/>
              <w:spacing w:after="0" w:line="202" w:lineRule="exact"/>
              <w:rPr>
                <w:sz w:val="20"/>
                <w:szCs w:val="20"/>
                <w:color w:val="auto"/>
              </w:rPr>
            </w:pPr>
            <w:r>
              <w:rPr>
                <w:rFonts w:ascii="Times New Roman" w:cs="Times New Roman" w:eastAsia="Times New Roman" w:hAnsi="Times New Roman"/>
                <w:sz w:val="18"/>
                <w:szCs w:val="18"/>
                <w:b w:val="1"/>
                <w:bCs w:val="1"/>
                <w:color w:val="auto"/>
              </w:rPr>
              <w:t>price per</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5520" w:type="dxa"/>
            <w:vAlign w:val="bottom"/>
          </w:tcPr>
          <w:p>
            <w:pPr>
              <w:spacing w:after="0"/>
              <w:rPr>
                <w:sz w:val="24"/>
                <w:szCs w:val="24"/>
                <w:color w:val="auto"/>
              </w:rPr>
            </w:pPr>
          </w:p>
        </w:tc>
        <w:tc>
          <w:tcPr>
            <w:tcW w:w="1140" w:type="dxa"/>
            <w:vAlign w:val="bottom"/>
          </w:tcPr>
          <w:p>
            <w:pPr>
              <w:jc w:val="right"/>
              <w:ind w:right="19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2025 </w:t>
            </w:r>
            <w:r>
              <w:rPr>
                <w:rFonts w:ascii="Times New Roman" w:cs="Times New Roman" w:eastAsia="Times New Roman" w:hAnsi="Times New Roman"/>
                <w:sz w:val="29"/>
                <w:szCs w:val="29"/>
                <w:b w:val="1"/>
                <w:bCs w:val="1"/>
                <w:color w:val="auto"/>
                <w:vertAlign w:val="superscript"/>
              </w:rPr>
              <w:t>(1)</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Expiration date</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Liability classified warrants</w:t>
            </w: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Public Warrants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8,625,000</w:t>
            </w: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8,625,000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11.50</w:t>
            </w:r>
          </w:p>
        </w:tc>
        <w:tc>
          <w:tcPr>
            <w:tcW w:w="1680" w:type="dxa"/>
            <w:vAlign w:val="bottom"/>
            <w:shd w:val="clear" w:color="auto" w:fill="CCEE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 xml:space="preserve">July 18, 2028 </w:t>
            </w:r>
            <w:r>
              <w:rPr>
                <w:rFonts w:ascii="Times New Roman" w:cs="Times New Roman" w:eastAsia="Times New Roman" w:hAnsi="Times New Roman"/>
                <w:sz w:val="29"/>
                <w:szCs w:val="29"/>
                <w:color w:val="auto"/>
                <w:w w:val="96"/>
                <w:vertAlign w:val="superscript"/>
              </w:rPr>
              <w:t>(2)</w:t>
            </w:r>
          </w:p>
        </w:tc>
        <w:tc>
          <w:tcPr>
            <w:tcW w:w="0" w:type="dxa"/>
            <w:vAlign w:val="bottom"/>
          </w:tcPr>
          <w:p>
            <w:pPr>
              <w:spacing w:after="0"/>
              <w:rPr>
                <w:sz w:val="1"/>
                <w:szCs w:val="1"/>
                <w:color w:val="auto"/>
              </w:rPr>
            </w:pPr>
          </w:p>
        </w:tc>
      </w:tr>
      <w:tr>
        <w:trPr>
          <w:trHeight w:val="25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6,266,667</w:t>
            </w:r>
          </w:p>
        </w:tc>
        <w:tc>
          <w:tcPr>
            <w:tcW w:w="3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6,266,667</w:t>
            </w:r>
          </w:p>
        </w:tc>
        <w:tc>
          <w:tcPr>
            <w:tcW w:w="16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11.50</w:t>
            </w:r>
          </w:p>
        </w:tc>
        <w:tc>
          <w:tcPr>
            <w:tcW w:w="168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 xml:space="preserve">July 18, 2028 </w:t>
            </w:r>
            <w:r>
              <w:rPr>
                <w:rFonts w:ascii="Times New Roman" w:cs="Times New Roman" w:eastAsia="Times New Roman" w:hAnsi="Times New Roman"/>
                <w:sz w:val="29"/>
                <w:szCs w:val="29"/>
                <w:color w:val="auto"/>
                <w:w w:val="96"/>
                <w:vertAlign w:val="superscript"/>
              </w:rPr>
              <w:t>(2)</w:t>
            </w:r>
          </w:p>
        </w:tc>
        <w:tc>
          <w:tcPr>
            <w:tcW w:w="0" w:type="dxa"/>
            <w:vAlign w:val="bottom"/>
          </w:tcPr>
          <w:p>
            <w:pPr>
              <w:spacing w:after="0"/>
              <w:rPr>
                <w:sz w:val="1"/>
                <w:szCs w:val="1"/>
                <w:color w:val="auto"/>
              </w:rPr>
            </w:pPr>
          </w:p>
        </w:tc>
      </w:tr>
      <w:tr>
        <w:trPr>
          <w:trHeight w:val="290"/>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Working Capital Warrants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716,668</w:t>
            </w:r>
          </w:p>
        </w:tc>
        <w:tc>
          <w:tcPr>
            <w:tcW w:w="3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716,668</w:t>
            </w:r>
          </w:p>
        </w:tc>
        <w:tc>
          <w:tcPr>
            <w:tcW w:w="1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11.50</w:t>
            </w:r>
          </w:p>
        </w:tc>
        <w:tc>
          <w:tcPr>
            <w:tcW w:w="1680" w:type="dxa"/>
            <w:vAlign w:val="bottom"/>
            <w:shd w:val="clear" w:color="auto" w:fill="CCEEFF"/>
          </w:tcPr>
          <w:p>
            <w:pPr>
              <w:jc w:val="center"/>
              <w:spacing w:after="0" w:line="270" w:lineRule="exact"/>
              <w:rPr>
                <w:sz w:val="20"/>
                <w:szCs w:val="20"/>
                <w:color w:val="auto"/>
              </w:rPr>
            </w:pPr>
            <w:r>
              <w:rPr>
                <w:rFonts w:ascii="Times New Roman" w:cs="Times New Roman" w:eastAsia="Times New Roman" w:hAnsi="Times New Roman"/>
                <w:sz w:val="18"/>
                <w:szCs w:val="18"/>
                <w:color w:val="auto"/>
                <w:w w:val="96"/>
              </w:rPr>
              <w:t xml:space="preserve">July 18, 2028 </w:t>
            </w:r>
            <w:r>
              <w:rPr>
                <w:rFonts w:ascii="Times New Roman" w:cs="Times New Roman" w:eastAsia="Times New Roman" w:hAnsi="Times New Roman"/>
                <w:sz w:val="29"/>
                <w:szCs w:val="29"/>
                <w:color w:val="auto"/>
                <w:w w:val="96"/>
                <w:vertAlign w:val="superscript"/>
              </w:rPr>
              <w:t>(2)</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shares of common stock – liability classified warrants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15,608,335</w:t>
            </w:r>
          </w:p>
        </w:tc>
        <w:tc>
          <w:tcPr>
            <w:tcW w:w="24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15,608,335</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6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classified warrants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B Warrants (converted to common stock warrants)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5,054</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2026</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Series C Warrants (converted to common stock warrants)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482,969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482,969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2026</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C-1 Warrants (converted to common stock warrants)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173,067</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173,067</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2030</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SVB Common Stock Warrants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2,473</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0.38</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2033</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SVB Common Stock Warrants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2,525</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2,525</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0.62</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2033</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Promissory Note Common Stock Warrants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24,148</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24,148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October 2031</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July 2023 Common Stock Warrants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38,981</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38,981</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2028</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Warrants Issued in 2023 (“Merger Warrants”)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6,266,572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6,266,572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11.50</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18, 2033</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Ayna Warrant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6,000,000</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2029</w:t>
            </w:r>
          </w:p>
        </w:tc>
        <w:tc>
          <w:tcPr>
            <w:tcW w:w="0" w:type="dxa"/>
            <w:vAlign w:val="bottom"/>
          </w:tcPr>
          <w:p>
            <w:pPr>
              <w:spacing w:after="0"/>
              <w:rPr>
                <w:sz w:val="1"/>
                <w:szCs w:val="1"/>
                <w:color w:val="auto"/>
              </w:rPr>
            </w:pPr>
          </w:p>
        </w:tc>
      </w:tr>
      <w:tr>
        <w:trPr>
          <w:trHeight w:val="250"/>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Cantor Warrant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3,066,141</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3,066,141</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1.68</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2029</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shares of common stock – equity classified warrants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10,061,930</w:t>
            </w:r>
          </w:p>
        </w:tc>
        <w:tc>
          <w:tcPr>
            <w:tcW w:w="24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16,061,930</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6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potential shares of common stock</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25,670,265</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31,670,265</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ind w:left="340" w:hanging="332"/>
        <w:spacing w:after="0"/>
        <w:tabs>
          <w:tab w:leader="none" w:pos="340" w:val="left"/>
        </w:tabs>
        <w:numPr>
          <w:ilvl w:val="0"/>
          <w:numId w:val="10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Excludes the 2025 Cantor Warrant (as defined below) which was not issued as of December 28, 2025.</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94" w:lineRule="auto"/>
        <w:tabs>
          <w:tab w:leader="none" w:pos="340" w:val="left"/>
        </w:tabs>
        <w:numPr>
          <w:ilvl w:val="0"/>
          <w:numId w:val="10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warrants expire five years after the Closing date of the Mergers, which date was July 18, 2023, or earlier upon redemption or liquidation.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Ayna warrant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17, 2024, a warrant to purchase 6,000,000 shares of the Company’s common stock (“Ayna Warrant”) was issued to Ayna.AI LLC (“Ayna”) at an exercise price per share of $0.01, subject to the provisions and upon the terms and conditions set forth in the Ayna Warrant. At issuance, the fair value of the Ayna Warrant was determined to be $9.2 million, based on the intrinsic value of the Ayna Warrant and the $0.01 per share exercise price. The Ayna Warrant was set to expire on June 17, 2029. The issuance of the Ayna Warrant by the Company was in satisfaction of the compensation for services provided to the Company by Ayna under the terms of a statement of work (“Ayna SOW”), signed May 21, 2024 (and effective as of March 12, 2024), as incorporated into a master services agreement dated March 12, 2024. Under the Ayna SOW, Ayna provided services in connection with the anticipated return of the Company to cash-flow positive performance.</w:t>
      </w:r>
    </w:p>
    <w:p>
      <w:pPr>
        <w:spacing w:after="0" w:line="18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The Ayna Warrant was accounted for under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 it met the conditions for equity classification, and therefore, the Ayna Warrant was not subsequently remeasured in future periods. The Company recognized expense of $9.2 million in the year ended December 29, 2024 for the Ayna Warrant.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Ayna Warrant became fully exercisable for the 6,000,000 shares of the Company’s common stock on September 9, 2024. The Ayna Warrant was exercised in full for cash of $0.06 million in January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u w:val="single" w:color="auto"/>
          <w:color w:val="auto"/>
        </w:rPr>
        <w:t>Cantor warrant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July 2024, the Company issued a warrant (“Cantor Warrant”) to a Cantor Fitzgerald &amp; Co., (“Cantor”) to purchase 3,066,141 shares of the Company’s common stock in exchange for services provided in the issuance of the July 2024 Notes (refer to </w:t>
      </w:r>
      <w:r>
        <w:rPr>
          <w:rFonts w:ascii="Times New Roman" w:cs="Times New Roman" w:eastAsia="Times New Roman" w:hAnsi="Times New Roman"/>
          <w:sz w:val="18"/>
          <w:szCs w:val="18"/>
          <w:b w:val="1"/>
          <w:bCs w:val="1"/>
          <w:color w:val="auto"/>
        </w:rPr>
        <w:t>Note 10 – Borrowings and Derivative Liabilities</w:t>
      </w:r>
      <w:r>
        <w:rPr>
          <w:rFonts w:ascii="Times New Roman" w:cs="Times New Roman" w:eastAsia="Times New Roman" w:hAnsi="Times New Roman"/>
          <w:sz w:val="18"/>
          <w:szCs w:val="18"/>
          <w:color w:val="auto"/>
        </w:rPr>
        <w:t xml:space="preserve">). The Cantor Warrant was immediately exercisable at a price of $1.68 per share and has an expiration date in July 2029. At issuance, the fair value of the Cantor Warrant was determined to be $1.4 million, of which $0.9 million was recorded as a debt discount and $0.5 million was attributable to the convertible notes issued in the </w:t>
      </w:r>
      <w:r>
        <w:rPr>
          <w:rFonts w:ascii="Times New Roman" w:cs="Times New Roman" w:eastAsia="Times New Roman" w:hAnsi="Times New Roman"/>
          <w:sz w:val="18"/>
          <w:szCs w:val="18"/>
          <w:i w:val="1"/>
          <w:iCs w:val="1"/>
          <w:color w:val="auto"/>
        </w:rPr>
        <w:t>Exchange Agreement</w:t>
      </w:r>
      <w:r>
        <w:rPr>
          <w:rFonts w:ascii="Times New Roman" w:cs="Times New Roman" w:eastAsia="Times New Roman" w:hAnsi="Times New Roman"/>
          <w:sz w:val="18"/>
          <w:szCs w:val="18"/>
          <w:color w:val="auto"/>
        </w:rPr>
        <w:t xml:space="preserve"> (as described in </w:t>
      </w:r>
      <w:r>
        <w:rPr>
          <w:rFonts w:ascii="Times New Roman" w:cs="Times New Roman" w:eastAsia="Times New Roman" w:hAnsi="Times New Roman"/>
          <w:sz w:val="18"/>
          <w:szCs w:val="18"/>
          <w:b w:val="1"/>
          <w:bCs w:val="1"/>
          <w:color w:val="auto"/>
        </w:rPr>
        <w:t>Note 10 – Borrowings and Derivative Liabilities)</w:t>
      </w:r>
      <w:r>
        <w:rPr>
          <w:rFonts w:ascii="Times New Roman" w:cs="Times New Roman" w:eastAsia="Times New Roman" w:hAnsi="Times New Roman"/>
          <w:sz w:val="18"/>
          <w:szCs w:val="18"/>
          <w:color w:val="auto"/>
        </w:rPr>
        <w:t xml:space="preserve"> and reduced the gain on the troubled debt restructuring recognized in the Company’s annual consolidated statement of operations and comprehensive loss for fiscal 2024 as described in </w:t>
      </w:r>
      <w:r>
        <w:rPr>
          <w:rFonts w:ascii="Times New Roman" w:cs="Times New Roman" w:eastAsia="Times New Roman" w:hAnsi="Times New Roman"/>
          <w:sz w:val="18"/>
          <w:szCs w:val="18"/>
          <w:b w:val="1"/>
          <w:bCs w:val="1"/>
          <w:color w:val="auto"/>
        </w:rPr>
        <w:t>Note 10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Borrowings and Derivative Liabilities</w:t>
      </w:r>
      <w:r>
        <w:rPr>
          <w:rFonts w:ascii="Times New Roman" w:cs="Times New Roman" w:eastAsia="Times New Roman" w:hAnsi="Times New Roman"/>
          <w:sz w:val="18"/>
          <w:szCs w:val="18"/>
          <w:color w:val="auto"/>
        </w:rPr>
        <w:t>. The fair value of the Cantor Warrant was derived using the Black-Scholes model with the following assumptions: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volatility of 55%; risk-free interest rate of 4.2%; expected term of 5 years; and no dividend yield. The fair value of this warrant is recorded within additional paid-in capital on the Company’s consolidated balance sheets and has not been subsequently remeasured in future periods as it met the conditions for equity classification.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Shares of common stock reserved for future issuance</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Company has reserved shares of common stock for issuance related to the following:</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680" w:type="dxa"/>
            <w:vAlign w:val="bottom"/>
          </w:tcPr>
          <w:p>
            <w:pPr>
              <w:spacing w:after="0"/>
              <w:rPr>
                <w:sz w:val="24"/>
                <w:szCs w:val="24"/>
                <w:color w:val="auto"/>
              </w:rPr>
            </w:pPr>
          </w:p>
        </w:tc>
        <w:tc>
          <w:tcPr>
            <w:tcW w:w="2560" w:type="dxa"/>
            <w:vAlign w:val="bottom"/>
            <w:gridSpan w:val="4"/>
          </w:tcPr>
          <w:p>
            <w:pPr>
              <w:ind w:left="102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07"/>
        </w:trPr>
        <w:tc>
          <w:tcPr>
            <w:tcW w:w="8680" w:type="dxa"/>
            <w:vAlign w:val="bottom"/>
          </w:tcPr>
          <w:p>
            <w:pPr>
              <w:spacing w:after="0"/>
              <w:rPr>
                <w:sz w:val="18"/>
                <w:szCs w:val="18"/>
                <w:color w:val="auto"/>
              </w:rPr>
            </w:pPr>
          </w:p>
        </w:tc>
        <w:tc>
          <w:tcPr>
            <w:tcW w:w="134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25,670,265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31,670,265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3,174,434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2,628,996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RSUs, issued and outstanding</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19,164,660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11,979,368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and RSUs, authorized for future issuance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11,603,508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2,577,895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 Agreement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2,750,000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Forward purchase agreements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6,720,000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82,460,428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58,579,636</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purchase price consideration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11,640,506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reserved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163,183,801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116,906,160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2023, the Company’s Board of Directors adopted and stockholders approved the 2023 Incentive Equity Plan (the “2023 Plan”). The 2023 Plan became effective immediately upon the closing of the Amended and Restated Business Combination Agreement. Initially, a maximum number of 8,763,322 shares of the Company’s common stock may be issued under the 2023 Plan. In addition, the number of shares of the Company’s common stock reserved for issuance under the 2023 Plan automatically increases on January 1 of each year, effective January 1, 2024 through January 1, 2033, in an amount equal to the lesser of (1) 4% of the total number of shares of the Company’s common stock outstanding on December 31 of the preceding year, or</w:t>
      </w:r>
    </w:p>
    <w:p>
      <w:pPr>
        <w:spacing w:after="0" w:line="3" w:lineRule="exact"/>
        <w:rPr>
          <w:sz w:val="20"/>
          <w:szCs w:val="20"/>
          <w:color w:val="auto"/>
        </w:rPr>
      </w:pPr>
    </w:p>
    <w:p>
      <w:pPr>
        <w:jc w:val="both"/>
        <w:ind w:firstLine="8"/>
        <w:spacing w:after="0" w:line="255" w:lineRule="auto"/>
        <w:tabs>
          <w:tab w:leader="none" w:pos="27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lesser number of shares of the Company’s common stock determined by the Company’s Board of Directors prior to the date of the increase. The maximum number of shares of the Company’s common stock that may be issued on the exercise of incentive stock options (“ISOs”) under the 2023 Plan is three times the number of shares available for issuance upon the 2023 Plan becoming effective (or 26,289,966 shares).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8" w:name="page229"/>
    <w:bookmarkEnd w:id="228"/>
    <w:p>
      <w:pPr>
        <w:jc w:val="both"/>
        <w:spacing w:after="0" w:line="256" w:lineRule="auto"/>
        <w:rPr>
          <w:sz w:val="20"/>
          <w:szCs w:val="20"/>
          <w:color w:val="auto"/>
        </w:rPr>
      </w:pPr>
      <w:r>
        <w:rPr>
          <w:rFonts w:ascii="Times New Roman" w:cs="Times New Roman" w:eastAsia="Times New Roman" w:hAnsi="Times New Roman"/>
          <w:sz w:val="18"/>
          <w:szCs w:val="18"/>
          <w:color w:val="auto"/>
        </w:rPr>
        <w:t>Historically, awards were granted under the Amended and Restated Complete Solaria Omnibus Incentive Plan (“2022 Plan”), the Complete Solar 2011 Stock Plan (“2011 Plan”), the Solaria Corporation 2016 Stock Plan (“2016 Plan”) and the Solaria Corporation 2006 Stock Plan (“2006 Plan”) (collectively with the 2023 Plan, “the Plans”). Under the Plans, the Company has granted service-based stock options and restricted stock units (“RSUs”). Compensation expense for stock options under the Company’s cliff vesting schedule is generally recognized equally over the vesting period of five years. RSUs granted during the fiscal year ended December 28, 2025 are also generally recognized under the cliff vesting schedule that is recognized equally over the vesting period of five years.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The information below summarizes the stock option activity under the Plans.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11,716,646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8.53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6,121,251</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0.93</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(398,883)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0.77</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(7,441,781)</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0.17</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29,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9,997,233</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w:t>
            </w:r>
          </w:p>
        </w:tc>
        <w:tc>
          <w:tcPr>
            <w:tcW w:w="1320" w:type="dxa"/>
            <w:vAlign w:val="bottom"/>
            <w:tcBorders>
              <w:top w:val="single" w:sz="8" w:color="CCEEFF"/>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5.29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6,356</w:t>
            </w:r>
          </w:p>
        </w:tc>
        <w:tc>
          <w:tcPr>
            <w:tcW w:w="0" w:type="dxa"/>
            <w:vAlign w:val="bottom"/>
          </w:tcPr>
          <w:p>
            <w:pPr>
              <w:spacing w:after="0"/>
              <w:rPr>
                <w:sz w:val="1"/>
                <w:szCs w:val="1"/>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Options granted</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(712,467)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0.72</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(4,354,466)</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28,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4,930,300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w:t>
            </w:r>
          </w:p>
        </w:tc>
        <w:tc>
          <w:tcPr>
            <w:tcW w:w="1320" w:type="dxa"/>
            <w:vAlign w:val="bottom"/>
            <w:tcBorders>
              <w:top w:val="single" w:sz="8" w:color="CCEEFF"/>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5.58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1,903</w:t>
            </w: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December 28, 2025</w:t>
            </w: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4.62</w:t>
            </w:r>
          </w:p>
        </w:tc>
        <w:tc>
          <w:tcPr>
            <w:tcW w:w="132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rPr>
              <w:t>5.58</w:t>
            </w:r>
          </w:p>
        </w:tc>
        <w:tc>
          <w:tcPr>
            <w:tcW w:w="140" w:type="dxa"/>
            <w:vAlign w:val="bottom"/>
          </w:tcPr>
          <w:p>
            <w:pPr>
              <w:spacing w:after="0" w:line="20" w:lineRule="exact"/>
              <w:rPr>
                <w:sz w:val="1"/>
                <w:szCs w:val="1"/>
                <w:color w:val="auto"/>
              </w:rPr>
            </w:pP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1,903</w:t>
            </w: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4,930,300</w:t>
            </w:r>
          </w:p>
        </w:tc>
        <w:tc>
          <w:tcPr>
            <w:tcW w:w="2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gridSpan w:val="2"/>
            <w:vMerge w:val="continue"/>
          </w:tcPr>
          <w:p>
            <w:pPr>
              <w:spacing w:after="0"/>
              <w:rPr>
                <w:sz w:val="22"/>
                <w:szCs w:val="22"/>
                <w:color w:val="auto"/>
              </w:rPr>
            </w:pPr>
          </w:p>
        </w:tc>
        <w:tc>
          <w:tcPr>
            <w:tcW w:w="1320" w:type="dxa"/>
            <w:vAlign w:val="bottom"/>
            <w:tcBorders>
              <w:bottom w:val="single" w:sz="8" w:color="CCEEFF"/>
            </w:tcBorders>
            <w:gridSpan w:val="2"/>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Vested and exercisable— December 28, 2025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1,909,809</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5.94</w:t>
            </w:r>
          </w:p>
        </w:tc>
        <w:tc>
          <w:tcPr>
            <w:tcW w:w="1320" w:type="dxa"/>
            <w:vAlign w:val="bottom"/>
            <w:tcBorders>
              <w:bottom w:val="single" w:sz="8" w:color="CCEEFF"/>
            </w:tcBorders>
            <w:gridSpan w:val="2"/>
            <w:shd w:val="clear" w:color="auto" w:fill="CCEEFF"/>
          </w:tcPr>
          <w:p>
            <w:pPr>
              <w:ind w:left="800"/>
              <w:spacing w:after="0" w:line="202" w:lineRule="exact"/>
              <w:rPr>
                <w:sz w:val="20"/>
                <w:szCs w:val="20"/>
                <w:color w:val="auto"/>
              </w:rPr>
            </w:pPr>
            <w:r>
              <w:rPr>
                <w:rFonts w:ascii="Times New Roman" w:cs="Times New Roman" w:eastAsia="Times New Roman" w:hAnsi="Times New Roman"/>
                <w:sz w:val="18"/>
                <w:szCs w:val="18"/>
                <w:color w:val="auto"/>
              </w:rPr>
              <w:t>5.87</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fair value of the Company’s stock options that vested during the fiscal years ended 2025 and 2024 was $0.4 million and $1.9 million, respectively.</w:t>
      </w:r>
    </w:p>
    <w:p>
      <w:pPr>
        <w:sectPr>
          <w:pgSz w:w="11900" w:h="16838" w:orient="portrait"/>
          <w:cols w:equalWidth="0" w:num="1">
            <w:col w:w="11240"/>
          </w:cols>
          <w:pgMar w:left="320" w:top="688"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below summarizes the RSU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Vested and released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Cancelled or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December 29,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Vested and released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Cancelled or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December 28,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13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45"/>
        </w:trPr>
        <w:tc>
          <w:tcPr>
            <w:tcW w:w="134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00" w:type="dxa"/>
            <w:vAlign w:val="bottom"/>
          </w:tcPr>
          <w:p>
            <w:pPr>
              <w:spacing w:after="0"/>
              <w:rPr>
                <w:sz w:val="21"/>
                <w:szCs w:val="21"/>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198"/>
        </w:trPr>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58,097</w:t>
            </w:r>
          </w:p>
        </w:tc>
        <w:tc>
          <w:tcPr>
            <w:tcW w:w="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2.07</w:t>
            </w:r>
          </w:p>
        </w:tc>
        <w:tc>
          <w:tcPr>
            <w:tcW w:w="20" w:type="dxa"/>
            <w:vAlign w:val="bottom"/>
          </w:tcPr>
          <w:p>
            <w:pPr>
              <w:spacing w:after="0"/>
              <w:rPr>
                <w:sz w:val="17"/>
                <w:szCs w:val="17"/>
                <w:color w:val="auto"/>
              </w:rPr>
            </w:pPr>
          </w:p>
        </w:tc>
      </w:tr>
      <w:tr>
        <w:trPr>
          <w:trHeight w:val="216"/>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2,593,097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13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(669,059)</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r>
      <w:tr>
        <w:trPr>
          <w:trHeight w:val="241"/>
        </w:trPr>
        <w:tc>
          <w:tcPr>
            <w:tcW w:w="13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1,982,135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w:t>
            </w:r>
          </w:p>
        </w:tc>
      </w:tr>
      <w:tr>
        <w:trPr>
          <w:trHeight w:val="198"/>
        </w:trPr>
        <w:tc>
          <w:tcPr>
            <w:tcW w:w="114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22,235,871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1.73</w:t>
            </w:r>
          </w:p>
        </w:tc>
      </w:tr>
      <w:tr>
        <w:trPr>
          <w:trHeight w:val="216"/>
        </w:trPr>
        <w:tc>
          <w:tcPr>
            <w:tcW w:w="13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(4,632,212)</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r>
      <w:tr>
        <w:trPr>
          <w:trHeight w:val="241"/>
        </w:trPr>
        <w:tc>
          <w:tcPr>
            <w:tcW w:w="13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(5,351,434)</w:t>
            </w: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w:t>
            </w:r>
          </w:p>
        </w:tc>
      </w:tr>
      <w:tr>
        <w:trPr>
          <w:trHeight w:val="223"/>
        </w:trPr>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14,234,360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r>
      <w:tr>
        <w:trPr>
          <w:trHeight w:val="34"/>
        </w:trPr>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68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aggregate fair value of the Company’s RSUs that vested during the fiscal years ended 2025 and 2024 was $8.1 million and $1.2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estimated the grant-date fair value of stock options using the Black-Scholes-Merton option-pricing model. The determination of the fair value of each stock award using this option-pricing model is affected by the Company’s assumptions regarding a number of complex and subjective variables. These variables include, but are not limited to, the expected stock price volatility over the term of the awards. Stock-based compensation is measured at the grant date based on the fair value of the award and is recognized as expense on a straight-line basis over the requisite service period, which is generally the vesting period of the respective award.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29" w:name="page230"/>
    <w:bookmarkEnd w:id="229"/>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assumptions were used to calculate the fair value of stock-based compensation for the options granted in the fiscal year ended December 29, 2024: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6.32</w:t>
            </w:r>
          </w:p>
        </w:tc>
      </w:tr>
      <w:tr>
        <w:trPr>
          <w:trHeight w:val="198"/>
        </w:trPr>
        <w:tc>
          <w:tcPr>
            <w:tcW w:w="5940" w:type="dxa"/>
            <w:vAlign w:val="bottom"/>
          </w:tcPr>
          <w:p>
            <w:pPr>
              <w:spacing w:after="0"/>
              <w:rPr>
                <w:sz w:val="17"/>
                <w:szCs w:val="17"/>
                <w:color w:val="auto"/>
              </w:rPr>
            </w:pPr>
          </w:p>
        </w:tc>
        <w:tc>
          <w:tcPr>
            <w:tcW w:w="5300" w:type="dxa"/>
            <w:vAlign w:val="bottom"/>
            <w:gridSpan w:val="2"/>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58.45% –</w:t>
            </w: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6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62.39%</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4.71%</w:t>
            </w: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46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Company uses the simplified method to calculate the expected term of stock option grants to employees as the Company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sufficient comparable historical exercise data to provide a reasonable basis upon which to estimate the expected term of stock options granted to employees. The expected term equals the arithmetic average of the vesting term and the original contractual term of the option (generally 10 years).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Due to the Company’s limited operating history and a lack of company specific historical and implied volatility data,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based its estimate of expected volatility on the historical volatility of a group of peer companies that are publicly traded. The historical volatility data was computed using the daily closing prices for the selected companies’ shares during the equivalent period of the calculated expected term of the stock-based awards.</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rate assumption is based on U.S. Treasury instruments with maturities similar to the expected term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dividends </w:t>
      </w:r>
      <w:r>
        <w:rPr>
          <w:rFonts w:ascii="Times New Roman" w:cs="Times New Roman" w:eastAsia="Times New Roman" w:hAnsi="Times New Roman"/>
          <w:sz w:val="18"/>
          <w:szCs w:val="18"/>
          <w:color w:val="auto"/>
        </w:rPr>
        <w:t>— The Company has not issued any dividends in its history and does not expect to issue dividends over the life of the options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therefore has estimated the dividend yield to be zero.</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Fair value of common stock </w:t>
      </w:r>
      <w:r>
        <w:rPr>
          <w:rFonts w:ascii="Times New Roman" w:cs="Times New Roman" w:eastAsia="Times New Roman" w:hAnsi="Times New Roman"/>
          <w:sz w:val="18"/>
          <w:szCs w:val="18"/>
          <w:color w:val="auto"/>
        </w:rPr>
        <w:t>— The fair value of the shares of common stock underlying the stock-based awards is based on the price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in the open market on the date of the grant.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summarizes stock-based compensation expense and its allocation within the accompanying consolidated statements of operations and comprehensive loss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207"/>
        </w:trPr>
        <w:tc>
          <w:tcPr>
            <w:tcW w:w="8680" w:type="dxa"/>
            <w:vAlign w:val="bottom"/>
          </w:tcPr>
          <w:p>
            <w:pPr>
              <w:spacing w:after="0"/>
              <w:rPr>
                <w:sz w:val="18"/>
                <w:szCs w:val="18"/>
                <w:color w:val="auto"/>
              </w:rPr>
            </w:pPr>
          </w:p>
        </w:tc>
        <w:tc>
          <w:tcPr>
            <w:tcW w:w="134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gridSpan w:val="2"/>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3"/>
              </w:rPr>
              <w:t>3,003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8"/>
                <w:szCs w:val="18"/>
                <w:color w:val="auto"/>
              </w:rPr>
            </w:pPr>
          </w:p>
        </w:tc>
        <w:tc>
          <w:tcPr>
            <w:tcW w:w="11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2,618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598</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4,867</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2,312</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ind w:left="400"/>
              <w:spacing w:after="0" w:line="203" w:lineRule="exact"/>
              <w:rPr>
                <w:sz w:val="20"/>
                <w:szCs w:val="20"/>
                <w:color w:val="auto"/>
              </w:rPr>
            </w:pPr>
            <w:r>
              <w:rPr>
                <w:rFonts w:ascii="Times New Roman" w:cs="Times New Roman" w:eastAsia="Times New Roman" w:hAnsi="Times New Roman"/>
                <w:sz w:val="18"/>
                <w:szCs w:val="18"/>
                <w:color w:val="auto"/>
                <w:w w:val="92"/>
              </w:rPr>
              <w:t>10,488</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3,067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28, 2025, there was a total of $1.1 million and $23.1 million of unrecognized stock-based compensation costs related to service-based options and RSUs, respectively. Such compensation cost is expected to be recognized over a weighted-average period of approximately 2.4 years and 4.0 years,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fiscal 2024, the Company’s Board of Directors approved the modification to accelerate the vesting of 788,192 options, for employees that were terminated. Additionally, the Board of Directors approved an extension of the post termination exercise period for 4,343,172 vested options of terminated employees in the fiscal years ended December 29, 2024. In connection with the modifications, the Company recorded incremental stock-based compensation expense of $0.7 million in the fiscal year ended December 29,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color w:val="auto"/>
        </w:rPr>
        <w:t>(16) Basic and Diluted Net Loss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the two-class method to calculate net loss per share. No dividends were declared or paid in the fiscal years ended December 28, 2025, or December 29, 2024.</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following table sets forth the computation of the Company’s basic and diluted net loss per share attributable to common stockholders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except share and per share amounts)</w:t>
      </w:r>
      <w:r>
        <w:rPr>
          <w:rFonts w:ascii="Times New Roman" w:cs="Times New Roman" w:eastAsia="Times New Roman" w:hAnsi="Times New Roman"/>
          <w:sz w:val="18"/>
          <w:szCs w:val="18"/>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60" w:type="dxa"/>
            <w:vAlign w:val="bottom"/>
            <w:gridSpan w:val="5"/>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340" w:type="dxa"/>
            <w:vAlign w:val="bottom"/>
            <w:tcBorders>
              <w:top w:val="single" w:sz="8" w:color="auto"/>
            </w:tcBorders>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 for basic loss per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(44,254)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(54,444)</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(1,100)</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Numerator for diluted loss per share</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Impact of September 2024 Notes derivative liability and interest expense, net of tax</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(35,886)</w:t>
            </w:r>
          </w:p>
        </w:tc>
        <w:tc>
          <w:tcPr>
            <w:tcW w:w="0" w:type="dxa"/>
            <w:vAlign w:val="bottom"/>
          </w:tcPr>
          <w:p>
            <w:pPr>
              <w:spacing w:after="0"/>
              <w:rPr>
                <w:sz w:val="1"/>
                <w:szCs w:val="1"/>
                <w:color w:val="auto"/>
              </w:rPr>
            </w:pPr>
          </w:p>
        </w:tc>
      </w:tr>
      <w:tr>
        <w:trPr>
          <w:trHeight w:val="251"/>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(45,354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(92,337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Denominator for basic loss per share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87,108,928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66,655,837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September 2024 Notes derivative liability</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9,137,711</w:t>
            </w:r>
          </w:p>
        </w:tc>
        <w:tc>
          <w:tcPr>
            <w:tcW w:w="0" w:type="dxa"/>
            <w:vAlign w:val="bottom"/>
          </w:tcPr>
          <w:p>
            <w:pPr>
              <w:spacing w:after="0"/>
              <w:rPr>
                <w:sz w:val="1"/>
                <w:szCs w:val="1"/>
                <w:color w:val="auto"/>
              </w:rPr>
            </w:pPr>
          </w:p>
        </w:tc>
      </w:tr>
      <w:tr>
        <w:trPr>
          <w:trHeight w:val="251"/>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Denominator for diluted loss per share</w:t>
            </w: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87,108,928</w:t>
            </w:r>
          </w:p>
        </w:tc>
        <w:tc>
          <w:tcPr>
            <w:tcW w:w="22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75,793,548</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(0.51)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(0.51)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computation of basic net loss per share attributable to common stockholders is inclusive of warrants with an insignificant exercise price and the minimum number of shares to be issued in connection with the deferred consideration related to the Ambia acquisition. The Company’s calculation of the weighted average shares outstanding with an insignificant exercise price was 234,610 and 3,427,324 warrants (which assumes that the warrants were outstanding as of the beginning of the period or the date of the grant, whichever is earlier) for the fiscal years ended December 28, 2025, and December 29, 2024, respectively. The computation of diluted net loss per share attributable to common stockholders is inclusive of the impact of the Company’s September 2024 Notes (which were dilutive) using the if-converted method for the year ended December 29, 2024.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1" w:name="page232"/>
    <w:bookmarkEnd w:id="231"/>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common shares outstanding that were excluded from the computation of diluted net loss per share of common stock as of the periods presented because including them would have been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80" w:type="dxa"/>
            <w:vAlign w:val="bottom"/>
            <w:gridSpan w:val="5"/>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0" w:type="dxa"/>
            <w:vAlign w:val="bottom"/>
          </w:tcPr>
          <w:p>
            <w:pPr>
              <w:spacing w:after="0"/>
              <w:rPr>
                <w:sz w:val="1"/>
                <w:szCs w:val="1"/>
                <w:color w:val="auto"/>
              </w:rPr>
            </w:pPr>
          </w:p>
        </w:tc>
      </w:tr>
      <w:tr>
        <w:trPr>
          <w:trHeight w:val="207"/>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8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218,847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25,434,069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82,460,428</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27,364,717</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RSUs issued and outstanding</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8,084,064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11,979,368</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SAFE Agreement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2,750,000</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consideration shares</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11,640,506</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Potential common shares excluded from diluted net loss per share</w:t>
            </w: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105,153,845</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64,778,154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(17) Segment Information</w:t>
            </w: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9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9"/>
          </w:tcPr>
          <w:p>
            <w:pPr>
              <w:ind w:left="1020"/>
              <w:spacing w:after="0"/>
              <w:rPr>
                <w:sz w:val="20"/>
                <w:szCs w:val="20"/>
                <w:color w:val="auto"/>
              </w:rPr>
            </w:pPr>
            <w:r>
              <w:rPr>
                <w:rFonts w:ascii="Times New Roman" w:cs="Times New Roman" w:eastAsia="Times New Roman" w:hAnsi="Times New Roman"/>
                <w:sz w:val="18"/>
                <w:szCs w:val="18"/>
                <w:b w:val="1"/>
                <w:bCs w:val="1"/>
                <w:color w:val="auto"/>
                <w:w w:val="99"/>
              </w:rPr>
              <w:t>Fiscal Year Ended December 28, 2025</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Residential</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Solar</w:t>
            </w:r>
          </w:p>
        </w:tc>
        <w:tc>
          <w:tcPr>
            <w:tcW w:w="13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New Homes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 w:type="dxa"/>
            <w:vAlign w:val="bottom"/>
          </w:tcPr>
          <w:p>
            <w:pPr>
              <w:spacing w:after="0"/>
              <w:rPr>
                <w:sz w:val="21"/>
                <w:szCs w:val="21"/>
                <w:color w:val="auto"/>
              </w:rPr>
            </w:pPr>
          </w:p>
        </w:tc>
        <w:tc>
          <w:tcPr>
            <w:tcW w:w="128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Installation</w:t>
            </w:r>
          </w:p>
        </w:tc>
        <w:tc>
          <w:tcPr>
            <w:tcW w:w="160" w:type="dxa"/>
            <w:vAlign w:val="bottom"/>
          </w:tcPr>
          <w:p>
            <w:pPr>
              <w:spacing w:after="0"/>
              <w:rPr>
                <w:sz w:val="21"/>
                <w:szCs w:val="21"/>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Business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Dealer</w:t>
            </w:r>
          </w:p>
        </w:tc>
        <w:tc>
          <w:tcPr>
            <w:tcW w:w="200" w:type="dxa"/>
            <w:vAlign w:val="bottom"/>
          </w:tcPr>
          <w:p>
            <w:pPr>
              <w:spacing w:after="0"/>
              <w:rPr>
                <w:sz w:val="21"/>
                <w:szCs w:val="21"/>
                <w:color w:val="auto"/>
              </w:rPr>
            </w:pPr>
          </w:p>
        </w:tc>
        <w:tc>
          <w:tcPr>
            <w:tcW w:w="10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160,987</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124,595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9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Cost of revenues </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2"/>
                <w:szCs w:val="22"/>
                <w:color w:val="auto"/>
              </w:rPr>
            </w:pP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88,400</w:t>
            </w:r>
          </w:p>
        </w:tc>
        <w:tc>
          <w:tcPr>
            <w:tcW w:w="16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82,288</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commissions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26,298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5,032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5,679</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18"/>
                <w:szCs w:val="18"/>
                <w:color w:val="auto"/>
              </w:rPr>
            </w:pP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25,154</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3,253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623</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5980" w:type="dxa"/>
            <w:vAlign w:val="bottom"/>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58,597</w:t>
            </w:r>
          </w:p>
        </w:tc>
        <w:tc>
          <w:tcPr>
            <w:tcW w:w="1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29,648</w:t>
            </w: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1,859</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Segment operating income (loss)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(37,462</w:t>
            </w:r>
          </w:p>
        </w:tc>
        <w:tc>
          <w:tcPr>
            <w:tcW w:w="2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4,374</w:t>
            </w:r>
          </w:p>
        </w:tc>
        <w:tc>
          <w:tcPr>
            <w:tcW w:w="20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6,157</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(26,931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9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Reconciliation of segment income (loss) from continuing operations before</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income taxes: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amounts: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(25,095)</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non-operating income, net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9,347</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 before taxes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10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the year ended December 28, 2025, depreciation and amortization expense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Residential</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Solar</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New Homes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Installation</w:t>
            </w:r>
          </w:p>
        </w:tc>
        <w:tc>
          <w:tcPr>
            <w:tcW w:w="100" w:type="dxa"/>
            <w:vAlign w:val="bottom"/>
          </w:tcPr>
          <w:p>
            <w:pPr>
              <w:spacing w:after="0"/>
              <w:rPr>
                <w:sz w:val="21"/>
                <w:szCs w:val="21"/>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Business</w:t>
            </w:r>
          </w:p>
        </w:tc>
        <w:tc>
          <w:tcPr>
            <w:tcW w:w="200" w:type="dxa"/>
            <w:vAlign w:val="bottom"/>
          </w:tcPr>
          <w:p>
            <w:pPr>
              <w:spacing w:after="0"/>
              <w:rPr>
                <w:sz w:val="21"/>
                <w:szCs w:val="21"/>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Dealer</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Depreciation and amortization classified in:</w:t>
            </w:r>
          </w:p>
        </w:tc>
        <w:tc>
          <w:tcPr>
            <w:tcW w:w="1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37"/>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spacing w:after="0"/>
              <w:rPr>
                <w:sz w:val="20"/>
                <w:szCs w:val="20"/>
                <w:color w:val="auto"/>
              </w:rPr>
            </w:pPr>
          </w:p>
        </w:tc>
        <w:tc>
          <w:tcPr>
            <w:tcW w:w="11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r>
      <w:tr>
        <w:trPr>
          <w:trHeight w:val="223"/>
        </w:trPr>
        <w:tc>
          <w:tcPr>
            <w:tcW w:w="4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7.3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82"/>
        </w:trPr>
        <w:tc>
          <w:tcPr>
            <w:tcW w:w="4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8"/>
                <w:szCs w:val="18"/>
                <w:color w:val="auto"/>
              </w:rPr>
              <w:t>F-107</w:t>
            </w: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32" w:name="page233"/>
    <w:bookmarkEnd w:id="2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0" w:type="dxa"/>
            <w:vAlign w:val="bottom"/>
            <w:gridSpan w:val="9"/>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Fiscal Year Ended December 29, 2024</w:t>
            </w:r>
          </w:p>
        </w:tc>
      </w:tr>
      <w:tr>
        <w:trPr>
          <w:trHeight w:val="194"/>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281"/>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Residential</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Solar</w:t>
            </w:r>
          </w:p>
        </w:tc>
        <w:tc>
          <w:tcPr>
            <w:tcW w:w="100" w:type="dxa"/>
            <w:vAlign w:val="bottom"/>
          </w:tcPr>
          <w:p>
            <w:pPr>
              <w:spacing w:after="0"/>
              <w:rPr>
                <w:sz w:val="18"/>
                <w:szCs w:val="18"/>
                <w:color w:val="auto"/>
              </w:rPr>
            </w:pPr>
          </w:p>
        </w:tc>
        <w:tc>
          <w:tcPr>
            <w:tcW w:w="12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98"/>
              </w:rPr>
              <w:t>New Homes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Pr>
          <w:p>
            <w:pPr>
              <w:spacing w:after="0"/>
              <w:rPr>
                <w:sz w:val="21"/>
                <w:szCs w:val="21"/>
                <w:color w:val="auto"/>
              </w:rPr>
            </w:pPr>
          </w:p>
        </w:tc>
        <w:tc>
          <w:tcPr>
            <w:tcW w:w="126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Installation</w:t>
            </w:r>
          </w:p>
        </w:tc>
        <w:tc>
          <w:tcPr>
            <w:tcW w:w="100" w:type="dxa"/>
            <w:vAlign w:val="bottom"/>
          </w:tcPr>
          <w:p>
            <w:pPr>
              <w:spacing w:after="0"/>
              <w:rPr>
                <w:sz w:val="21"/>
                <w:szCs w:val="21"/>
                <w:color w:val="auto"/>
              </w:rPr>
            </w:pPr>
          </w:p>
        </w:tc>
        <w:tc>
          <w:tcPr>
            <w:tcW w:w="122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Business</w:t>
            </w:r>
          </w:p>
        </w:tc>
        <w:tc>
          <w:tcPr>
            <w:tcW w:w="220" w:type="dxa"/>
            <w:vAlign w:val="bottom"/>
          </w:tcPr>
          <w:p>
            <w:pPr>
              <w:spacing w:after="0"/>
              <w:rPr>
                <w:sz w:val="21"/>
                <w:szCs w:val="21"/>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108,742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45,266</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23,974</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commissions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23,388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1,202</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6,827</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90"/>
        </w:trPr>
        <w:tc>
          <w:tcPr>
            <w:tcW w:w="7320" w:type="dxa"/>
            <w:vAlign w:val="bottom"/>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57,641</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18,953</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10"/>
        </w:trPr>
        <w:tc>
          <w:tcPr>
            <w:tcW w:w="732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Segment operating (loss)</w:t>
            </w: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(65,662</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(2,847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(68,509</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Reconciliation of segment loss from continuing operations before income taxes: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Unallocated amounts: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(16,223)</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non-operating income, net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80" w:type="dxa"/>
            <w:vAlign w:val="bottom"/>
          </w:tcPr>
          <w:p>
            <w:pPr>
              <w:spacing w:after="0"/>
              <w:rPr>
                <w:sz w:val="18"/>
                <w:szCs w:val="18"/>
                <w:color w:val="auto"/>
              </w:rPr>
            </w:pPr>
          </w:p>
        </w:tc>
      </w:tr>
      <w:tr>
        <w:trPr>
          <w:trHeight w:val="249"/>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troubled debt restructuring</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22,337</w:t>
            </w:r>
          </w:p>
        </w:tc>
        <w:tc>
          <w:tcPr>
            <w:tcW w:w="8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Loss from continuing operations before taxes</w:t>
            </w: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(54,444</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10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the year ended December 29, 2024, depreciation and amortization expense was $2.6 million and $0.1 million for the Residential Solar Installation and New Homes Business reportable segments, respectively.</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10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General corporate expense represents costs primarily legacy costs that were not expected to be ongoing subsequent to the acquisition of the SunPower Businesses.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recast its general and administrative expenses within results of operations by reportable segment for the fiscal year ended December 29, 2024 to conform to the fiscal 2025 presentation. In fiscal 2024, the Company allocated those costs which were specifically associated with the specific reportable segment with the remainder being presented as unallocated. Beginning in fiscal 2025, the Company changed its method to an allocation of general and administrative costs based upon relative revenue of each reportable segment consistent with the presentation of fiscal 2025 results segment results of operations.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Employee Benefit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sponsors a 401(k) defined contribution and profit-sharing plan (“401(k) Plan”) for its eligible employees. This 401(k) Plan provides for tax-deferred salary deductions for all eligible employees. Employee contributions are voluntary. Employees may contribute the maximum amount allowed by law, as limited by the annual maximum amount as determined by the Internal Revenue Service. The Company may match employee contributions in amounts to be determined at the Company’s sole discretion. The Company made no contributions to the 401(k) Plan for the fiscal years ended December 28, 2025 and December 29,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Related Party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Refer to the consolidated financial statements and the following notes to the consolidated financial statements for details and disclosures relating to related party transactions entered into by the Company; </w:t>
      </w:r>
      <w:r>
        <w:rPr>
          <w:rFonts w:ascii="Times New Roman" w:cs="Times New Roman" w:eastAsia="Times New Roman" w:hAnsi="Times New Roman"/>
          <w:sz w:val="18"/>
          <w:szCs w:val="18"/>
          <w:b w:val="1"/>
          <w:bCs w:val="1"/>
          <w:color w:val="auto"/>
        </w:rPr>
        <w:t>Note 2 – Basis of Presentation and Summary of Significant Accounting Policies; Note 6 –</w:t>
      </w: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Supplemental Balance Sheet Information; Note 8 – Forward Purchase Agreements, Note 9 – SAFE Agreements, Note 10 – Borrowings and Derivative Liabilities,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Note 11 – Other Non-Operating Income, Net</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White Lion SPA</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11, 2026, the Company and White Lion entered into Amendment No. 3 (“Amendment No. 3”) to the White Lion SPA. Amendment No. 3 extends the commitment period under the White Lion SPA (the “Commitment Period”) to the earlier of December 31,2027 and the date on which White Lion has purchased an aggregate number of shares of the Company’s common stock equal to the Commitment Amount (as defined below). Further, Amendment No. 3 increases, subject to approval by the Company’s stockholders, the commitment amount under the Purchase Agreement to $55.0 million of shares of its common stock (the “Commitment Amount”), which the Company may elect to sell to White Lion pursuant to the White Lion SPA, from time to time in the Company’s sole discretion, during the Commitment Period.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Amendment No. 3 adds an option for the Company to submit three hour rapid purchase notices to White Lion that, if accepted by White Lion and otherwise delivered in accordance with the Purchase Agreement, would enable the Company to sell shares of its common stock to White Lion based on the lowest traded price of the Company’s common stock during the three-hour valuation period following White Lion’s written acceptance of a three hour purchase notice.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Equity Purchase Agreement; Convertible Note; Convertible Debenture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27, 2026 (the “Effective Date”), SunPower entered into a Standby Equity Purchase Agreement (the “SEPA”) with YA II PN, LTD., a Cayman Islands exempt limited company (the “Investor”). Pursuant to the SEPA, the Investor will advance up to $20.0 million to the Company in the form of a promissory note (“Promissory Note”). Promissory Notes will accrue interest on the outstanding principal balance at an annual rate equal to 0%, which will increase to an annual rate of 18% upon the occurrence of an Event of Default (as defined in the Promissory Notes) for so long as such event remains uncured. The Promissory Notes will mature on January 27, 2027, which may be extended at the option of the Investor. The Promissory Notes are convertible into shares of the Company’s common stock. Each tranche of a Promissory Note will be advanced less a discount in the amount equal to 10% of the principal amount of such tranche. The first tranche was disbursed on January 27, 2026 in the principal amount of $1.9 million.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SEPA the Company will have the right, from time to time, until January 27, 2029 (unless the SEPA is terminated earlier), to require the Investor to purchase up to $25.0 million of shares of the Company’s common stock (“Commitment Amount”) subject to certain limitations and conditions set forth in the SEPA.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paid the Investor a structuring and due diligence fee of $0.05 million and agreed to issue to the Investor 175,000 shares of the Company’s common stock within three days of the Effective Date as a commitment fee.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SEPA will automatically terminate on the earliest to occur of (i) January 27, 2029 or (ii) the date on which the Investor has purchased from the Company under the SEPA the Commitment Amount in full. The Company may terminate the SEPA at any time upon five trading days’ prior written notice to the Investor, provided that there are no outstanding advance notices under which the Company is yet to issue shares of its common stock, there are no amounts outstanding under the Promissory Notes, and provided that the Company has paid all amounts owed to the Investor pursuant to the SEPA. The Company and the Investor may also agree to terminate the SEPA by mutual written consent.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6, 2026 the Company entered into a further Purchase Agreement pursuant to which the Investor purchased and the Company issued a convertible debenture in the principal amount of $10.0 million (the “Debenture”). At the closing under such purchase agreement, the Company issued the Debenture to the Investor in the original principal amount of $10.0 million for a purchase price of $9.0 million less certain fees payable under the purchase agreement. The Debenture accrues interest on the outstanding principal balance at an annual rate equal to 0%, which will increase to an annual rate of 18% upon the occurrence of an event of default under the Debenture for so long as such event remains uncured. The Debenture will mature on March 6, 2027, which may be extended at the option of the Investor.</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each of May 6, 2026, June 6, 2026, July 6, 2026, August 6, 2026 and September 6, 2026 (each an “Installment Date”), the Company is required to pay an installment amount under the Debenture equal to (i) $2.0 million, plus (ii) a $0.06 million payment premium, and plus (iii) any accrued and unpaid interest (collectively, the “Installment Amount”). The Company may repay each applicable Installment Amount, at the Company’s option, (a) in cash on or before the applicable Installment Date or (b) by submitting an advance notice under the SEPA, or a combination of a payment in cash and delivery of such advance notice. At any time after the Effective Date, the Investor may convert any portion of the outstanding balance under the Debenture into shares of the Company’s common stock at a fixed price of $2.50 per share (the “Fixed Price”). Additionally, at any time on or after any Installment Date, the Investor may convert any portion of any due and unpaid Installment Amount outstanding under the Debenture into shares of the Company’s common stock at a price equal to 95% of the volume weighted average price (“VWAP”) of the common stock during the five trading days prior to the conversion date (but the conversion price will not be lower than the “Floor Price” then in effect.</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at its option, shall have the right to redeem early all or a portion of the amounts outstanding under the Debenture upon written notice to the Investor (an “Optional Redemption”), provided, that the Company may only deliver a notice of Optional Redemption if the VWAP of the Common Stock at the time the notice is delivered is less than the Fixed Price. In connection with an Optional Redemption, the redemption price payable by the Company will be equal to (i) the outstanding principal amount of the Debenture being redeemed, plus (ii) a payment premium equal to 3% of the principal amount being repaid, and plus (iii) accrued and unpaid interest under the Debenture; however, the prepayment premium shall not apply to any Optional Redemption of the Debenture if the redemption price is paid on or before April 30, 2026.</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i w:val="1"/>
          <w:iCs w:val="1"/>
          <w:color w:val="auto"/>
        </w:rPr>
        <w:t>12.0% Convertible Promissory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received a deposit of $2.0 million from the Rodgers Revocable Trust, a related party, in the fiscal year ended December 28, 2025. In January 2026, the Company received an additional $1.3 million in proceeds from the Rodgers Revocable Trust. On January 29, 2026, the Company issued a convertible promissory note in the original principal amount of $3.3 million (the “January 2026 Note”) with respect to the aggregate proceeds received.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January 2026 Note bears an interest rate of 12.0% and is a general unsecured obligation of the Company. The January 2026 Note will mature on July 1, 2029, unless earlier converted, redeemed or repurchased. Interest on the January 2026 Note is payable semiannually in arrears on January1 and July 1 of each year, beginning on July 1, 2026. The January 2026 Note is convertible at the option of the holder at any time prior to the payment of the principal amount of the January 2026 Note in full. The conversion rate of the January 2026 Note is initially equal to 540.5405 shares of the Company’s common stock per $1,000 of principal amount due under the January 2026 Note. The conversion rate is subject to adjustment from time to time pursuant to the terms of the January 2026 Note.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Cobalt Power Systems,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30, 2026, the Company entered into a share purchase agreement (“Share Purchase Agreement”) with Cobalt Power Systems, Inc., a California corporation (“Cobalt”) and its stockholders to acquire all of the outstanding stock of Cobalt (“Cobalt Acquisition”). The Company completed the Cobalt Acquisition on February 2, 2026 (“Cobalt Closing”) for (a) 1.8 million shares of the Company’s common stock issued at the Cobalt Closing and (ii) an agreement to issue an additional $3.33 million shares of the Company’s common stock on each of the 12-month and 18-month anniversaries of the Cobalt Closing. Additionally, the Company agreed to issue up to $2.0 million of restricted stock units to those Cobalt employees who continue their employment with the Company following the Cobalt Closing, and 850,000 restricted stock units will be issued as inducement grants to certain Cobalt key employees. Cobalt designs and installs solar systems. The initial accounting for the business combination is incomplete as a result of the timing of the acquisition.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Seller Note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5, 2026, the Company entered into an amendment of the Seller Note (“Amendment”) that if the SEPA Debenture restricts repayment of the Seller Note on May 15, 2026, then the maturity date of the Seller Note will be extended to the earlier of (a) the date that is two business days following the date on which the Seller Note may be repaid pursuant to the restrictions set forth in the SEPA Debenture and (b) September 30, 2026 (or, if the registration statement required to be filed pursuant to the Registration Rights Agreement has not been declared effective prior to April 30, 2026, then the outside maturity date will extend to December 31, 2026). Additionally, the Company and the Member agreed that the interest rate applicable to the Seller Note will increase to 10.0% per annum if the principal amount of the Seller Note remains outstanding after May 15, 2026. As an inducement to the Member’s agreement to the foregoing, the Amendment also provides that, within two business days following approval by the Company’s stockholders of the issuance of shares under the Sunder MIPA in accordance with applicable Nasdaq rules, the Company will issue the remaining shares of common stock otherwise issuable to the Member pursuant to the Sunder MIPA. On April 8, 2026, the Company issued the remaining shares due under the Seller Note, 6.7 million shares of its common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Deposit by a Related Party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received a deposit of $5.0 million (“Purchase Amount”) from the Rodgers Revocable Trust on March 27, 2026. On April 8, 2026, the Company entered into a SAFE with the Rodgers Revocable Trust in exchange for the $5.0 million received. The SAFE is automatically convertible into equity securities of the Company in an amount equal to the Purchase Amount divided by the applicable price per share, unit or other increment of the equity securities issued by the Company in its next equity financing transaction.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of September 2024 Notes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to December 28, 2025, $2.8 million of the September 2024 Notes were converted by holders into 1.6 million shares of common stock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5" w:name="page236"/>
    <w:bookmarkEnd w:id="2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SUNDER ENERGY LLC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6" w:name="page237"/>
    <w:bookmarkEnd w:id="236"/>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980" w:type="dxa"/>
            <w:vAlign w:val="bottom"/>
            <w:gridSpan w:val="4"/>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2600" w:type="dxa"/>
            <w:vAlign w:val="bottom"/>
          </w:tcPr>
          <w:p>
            <w:pPr>
              <w:spacing w:after="0"/>
              <w:rPr>
                <w:sz w:val="20"/>
                <w:szCs w:val="20"/>
                <w:color w:val="auto"/>
              </w:rPr>
            </w:pPr>
          </w:p>
        </w:tc>
      </w:tr>
      <w:tr>
        <w:trPr>
          <w:trHeight w:val="216"/>
        </w:trPr>
        <w:tc>
          <w:tcPr>
            <w:tcW w:w="2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196"/>
        </w:trPr>
        <w:tc>
          <w:tcPr>
            <w:tcW w:w="864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Independent Auditor’s Report</w:t>
            </w:r>
          </w:p>
        </w:tc>
        <w:tc>
          <w:tcPr>
            <w:tcW w:w="2600" w:type="dxa"/>
            <w:vAlign w:val="bottom"/>
            <w:shd w:val="clear" w:color="auto" w:fill="CCEEFF"/>
          </w:tcPr>
          <w:p>
            <w:pPr>
              <w:ind w:left="1880"/>
              <w:spacing w:after="0" w:line="176" w:lineRule="exact"/>
              <w:rPr>
                <w:sz w:val="20"/>
                <w:szCs w:val="20"/>
                <w:color w:val="auto"/>
              </w:rPr>
            </w:pPr>
            <w:r>
              <w:rPr>
                <w:rFonts w:ascii="Times New Roman" w:cs="Times New Roman" w:eastAsia="Times New Roman" w:hAnsi="Times New Roman"/>
                <w:sz w:val="18"/>
                <w:szCs w:val="18"/>
                <w:color w:val="auto"/>
              </w:rPr>
              <w:t>F-113</w:t>
            </w:r>
          </w:p>
        </w:tc>
      </w:tr>
      <w:tr>
        <w:trPr>
          <w:trHeight w:val="216"/>
        </w:trPr>
        <w:tc>
          <w:tcPr>
            <w:tcW w:w="2160" w:type="dxa"/>
            <w:vAlign w:val="bottom"/>
            <w:tcBorders>
              <w:top w:val="single" w:sz="8" w:color="0000EE"/>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6"/>
        </w:trPr>
        <w:tc>
          <w:tcPr>
            <w:tcW w:w="864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Balance Sheets as of December 31, 2024 and 2023</w:t>
            </w:r>
          </w:p>
        </w:tc>
        <w:tc>
          <w:tcPr>
            <w:tcW w:w="2600" w:type="dxa"/>
            <w:vAlign w:val="bottom"/>
            <w:shd w:val="clear" w:color="auto" w:fill="CCEEFF"/>
          </w:tcPr>
          <w:p>
            <w:pPr>
              <w:ind w:left="1880"/>
              <w:spacing w:after="0" w:line="176" w:lineRule="exact"/>
              <w:rPr>
                <w:sz w:val="20"/>
                <w:szCs w:val="20"/>
                <w:color w:val="auto"/>
              </w:rPr>
            </w:pPr>
            <w:r>
              <w:rPr>
                <w:rFonts w:ascii="Times New Roman" w:cs="Times New Roman" w:eastAsia="Times New Roman" w:hAnsi="Times New Roman"/>
                <w:sz w:val="18"/>
                <w:szCs w:val="18"/>
                <w:color w:val="auto"/>
              </w:rPr>
              <w:t>F-115</w:t>
            </w:r>
          </w:p>
        </w:tc>
      </w:tr>
      <w:tr>
        <w:trPr>
          <w:trHeight w:val="216"/>
        </w:trPr>
        <w:tc>
          <w:tcPr>
            <w:tcW w:w="21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6"/>
        </w:trPr>
        <w:tc>
          <w:tcPr>
            <w:tcW w:w="864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Operations for the years ended December 31, 2024 and 2023</w:t>
            </w:r>
          </w:p>
        </w:tc>
        <w:tc>
          <w:tcPr>
            <w:tcW w:w="2600" w:type="dxa"/>
            <w:vAlign w:val="bottom"/>
            <w:shd w:val="clear" w:color="auto" w:fill="CCEEFF"/>
          </w:tcPr>
          <w:p>
            <w:pPr>
              <w:ind w:left="1880"/>
              <w:spacing w:after="0" w:line="176" w:lineRule="exact"/>
              <w:rPr>
                <w:sz w:val="20"/>
                <w:szCs w:val="20"/>
                <w:color w:val="auto"/>
              </w:rPr>
            </w:pPr>
            <w:r>
              <w:rPr>
                <w:rFonts w:ascii="Times New Roman" w:cs="Times New Roman" w:eastAsia="Times New Roman" w:hAnsi="Times New Roman"/>
                <w:sz w:val="18"/>
                <w:szCs w:val="18"/>
                <w:color w:val="auto"/>
              </w:rPr>
              <w:t>F-116</w:t>
            </w:r>
          </w:p>
        </w:tc>
      </w:tr>
      <w:tr>
        <w:trPr>
          <w:trHeight w:val="216"/>
        </w:trPr>
        <w:tc>
          <w:tcPr>
            <w:tcW w:w="21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6"/>
        </w:trPr>
        <w:tc>
          <w:tcPr>
            <w:tcW w:w="864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Changes in Member’s Deficit for the years ended December 31, 2024 and 2023</w:t>
            </w:r>
          </w:p>
        </w:tc>
        <w:tc>
          <w:tcPr>
            <w:tcW w:w="2600" w:type="dxa"/>
            <w:vAlign w:val="bottom"/>
            <w:shd w:val="clear" w:color="auto" w:fill="CCEEFF"/>
          </w:tcPr>
          <w:p>
            <w:pPr>
              <w:ind w:left="1880"/>
              <w:spacing w:after="0" w:line="176" w:lineRule="exact"/>
              <w:rPr>
                <w:sz w:val="20"/>
                <w:szCs w:val="20"/>
                <w:color w:val="auto"/>
              </w:rPr>
            </w:pPr>
            <w:r>
              <w:rPr>
                <w:rFonts w:ascii="Times New Roman" w:cs="Times New Roman" w:eastAsia="Times New Roman" w:hAnsi="Times New Roman"/>
                <w:sz w:val="18"/>
                <w:szCs w:val="18"/>
                <w:color w:val="auto"/>
              </w:rPr>
              <w:t>F-117</w:t>
            </w:r>
          </w:p>
        </w:tc>
      </w:tr>
      <w:tr>
        <w:trPr>
          <w:trHeight w:val="216"/>
        </w:trPr>
        <w:tc>
          <w:tcPr>
            <w:tcW w:w="21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6"/>
        </w:trPr>
        <w:tc>
          <w:tcPr>
            <w:tcW w:w="864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 for the years ended December 31, 2024 and 2023</w:t>
            </w:r>
          </w:p>
        </w:tc>
        <w:tc>
          <w:tcPr>
            <w:tcW w:w="2600" w:type="dxa"/>
            <w:vAlign w:val="bottom"/>
            <w:shd w:val="clear" w:color="auto" w:fill="CCEEFF"/>
          </w:tcPr>
          <w:p>
            <w:pPr>
              <w:ind w:left="1880"/>
              <w:spacing w:after="0" w:line="176" w:lineRule="exact"/>
              <w:rPr>
                <w:sz w:val="20"/>
                <w:szCs w:val="20"/>
                <w:color w:val="auto"/>
              </w:rPr>
            </w:pPr>
            <w:r>
              <w:rPr>
                <w:rFonts w:ascii="Times New Roman" w:cs="Times New Roman" w:eastAsia="Times New Roman" w:hAnsi="Times New Roman"/>
                <w:sz w:val="18"/>
                <w:szCs w:val="18"/>
                <w:color w:val="auto"/>
              </w:rPr>
              <w:t>F-118</w:t>
            </w:r>
          </w:p>
        </w:tc>
      </w:tr>
      <w:tr>
        <w:trPr>
          <w:trHeight w:val="216"/>
        </w:trPr>
        <w:tc>
          <w:tcPr>
            <w:tcW w:w="21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6"/>
        </w:trPr>
        <w:tc>
          <w:tcPr>
            <w:tcW w:w="864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2600" w:type="dxa"/>
            <w:vAlign w:val="bottom"/>
            <w:shd w:val="clear" w:color="auto" w:fill="CCEEFF"/>
          </w:tcPr>
          <w:p>
            <w:pPr>
              <w:ind w:left="1880"/>
              <w:spacing w:after="0" w:line="176" w:lineRule="exact"/>
              <w:rPr>
                <w:sz w:val="20"/>
                <w:szCs w:val="20"/>
                <w:color w:val="auto"/>
              </w:rPr>
            </w:pPr>
            <w:r>
              <w:rPr>
                <w:rFonts w:ascii="Times New Roman" w:cs="Times New Roman" w:eastAsia="Times New Roman" w:hAnsi="Times New Roman"/>
                <w:sz w:val="18"/>
                <w:szCs w:val="18"/>
                <w:color w:val="auto"/>
              </w:rPr>
              <w:t>F-119</w:t>
            </w:r>
          </w:p>
        </w:tc>
      </w:tr>
      <w:tr>
        <w:trPr>
          <w:trHeight w:val="655"/>
        </w:trPr>
        <w:tc>
          <w:tcPr>
            <w:tcW w:w="2160" w:type="dxa"/>
            <w:vAlign w:val="bottom"/>
            <w:tcBorders>
              <w:top w:val="single" w:sz="8" w:color="0000EE"/>
              <w:bottom w:val="single" w:sz="8" w:color="auto"/>
            </w:tcBorders>
          </w:tcPr>
          <w:p>
            <w:pPr>
              <w:spacing w:after="0"/>
              <w:rPr>
                <w:sz w:val="24"/>
                <w:szCs w:val="24"/>
                <w:color w:val="auto"/>
              </w:rPr>
            </w:pPr>
          </w:p>
        </w:tc>
        <w:tc>
          <w:tcPr>
            <w:tcW w:w="1500" w:type="dxa"/>
            <w:vAlign w:val="bottom"/>
            <w:tcBorders>
              <w:top w:val="single" w:sz="8" w:color="CCEEFF"/>
              <w:bottom w:val="single" w:sz="8" w:color="auto"/>
            </w:tcBorders>
          </w:tcPr>
          <w:p>
            <w:pPr>
              <w:spacing w:after="0"/>
              <w:rPr>
                <w:sz w:val="24"/>
                <w:szCs w:val="24"/>
                <w:color w:val="auto"/>
              </w:rPr>
            </w:pPr>
          </w:p>
        </w:tc>
        <w:tc>
          <w:tcPr>
            <w:tcW w:w="4980" w:type="dxa"/>
            <w:vAlign w:val="bottom"/>
            <w:tcBorders>
              <w:top w:val="single" w:sz="8" w:color="CCEEFF"/>
              <w:bottom w:val="single" w:sz="8" w:color="auto"/>
            </w:tcBorders>
            <w:gridSpan w:val="4"/>
          </w:tcPr>
          <w:p>
            <w:pPr>
              <w:jc w:val="center"/>
              <w:ind w:right="1040"/>
              <w:spacing w:after="0"/>
              <w:rPr>
                <w:sz w:val="20"/>
                <w:szCs w:val="20"/>
                <w:color w:val="auto"/>
              </w:rPr>
            </w:pPr>
            <w:r>
              <w:rPr>
                <w:rFonts w:ascii="Times New Roman" w:cs="Times New Roman" w:eastAsia="Times New Roman" w:hAnsi="Times New Roman"/>
                <w:sz w:val="18"/>
                <w:szCs w:val="18"/>
                <w:color w:val="auto"/>
                <w:w w:val="97"/>
              </w:rPr>
              <w:t>F-112</w:t>
            </w:r>
          </w:p>
        </w:tc>
        <w:tc>
          <w:tcPr>
            <w:tcW w:w="26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37" w:name="page238"/>
    <w:bookmarkEnd w:id="237"/>
    <w:p>
      <w:pPr>
        <w:jc w:val="center"/>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of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SunPower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Fremont, California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financial statements of Sunder Energy LLC (the Company), which comprise the balance sheets as of December 31, 2024 and 2023, and the related statements of operations, changes in member’s deficit, and cash flows for the years ended December 31, 2024 and 2023, and the related notes to the financial statements.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our opinion, the accompanying financial statements present fairly, in all material respects, the financial position of the Company as of December 31, 2024 and 2023, and the results of its operations and its cash flows for the years then ended in accordance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Doubt About the Company’s Ability to Continue as a 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described in Note 2 to the financial statements, the Company has suffered recurring losses from operations, has a net capital deficiency, and has stated that substantial doubt exists about the Company’s ability to continue as a going concern. Management’s evaluation of the events and conditions and management’s plans regarding these matters are also described in Note 2. The financial statements do not include any adjustments that might result from the outcome of this uncertainty. Our opinion is not modified with respect to this matter.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Responsibilities of Management for the Financial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available to be issued.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i w:val="1"/>
          <w:iCs w:val="1"/>
          <w:color w:val="auto"/>
        </w:rPr>
        <w:t>Auditor’s Responsibilities for the Audit of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performing an audit in accordance with GAAS, we:</w:t>
      </w:r>
    </w:p>
    <w:p>
      <w:pPr>
        <w:spacing w:after="0" w:line="225" w:lineRule="exact"/>
        <w:rPr>
          <w:sz w:val="20"/>
          <w:szCs w:val="20"/>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264"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108"/>
        </w:numPr>
        <w:rPr>
          <w:rFonts w:ascii="Arial" w:cs="Arial" w:eastAsia="Arial" w:hAnsi="Arial"/>
          <w:sz w:val="18"/>
          <w:szCs w:val="18"/>
          <w:color w:val="auto"/>
        </w:rPr>
      </w:pPr>
      <w:r>
        <w:rPr>
          <w:rFonts w:ascii="Times New Roman" w:cs="Times New Roman" w:eastAsia="Times New Roman" w:hAnsi="Times New Roman"/>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204"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08"/>
        </w:numPr>
        <w:rPr>
          <w:rFonts w:ascii="Arial" w:cs="Arial" w:eastAsia="Arial" w:hAnsi="Arial"/>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89"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08"/>
        </w:numPr>
        <w:rPr>
          <w:rFonts w:ascii="Arial" w:cs="Arial" w:eastAsia="Arial" w:hAnsi="Arial"/>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financial statements.</w:t>
      </w:r>
    </w:p>
    <w:p>
      <w:pPr>
        <w:spacing w:after="0" w:line="189"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08"/>
        </w:numPr>
        <w:rPr>
          <w:rFonts w:ascii="Arial" w:cs="Arial" w:eastAsia="Arial" w:hAnsi="Arial"/>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9, 2026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9" w:name="page240"/>
    <w:bookmarkEnd w:id="239"/>
    <w:p>
      <w:pPr>
        <w:jc w:val="center"/>
        <w:spacing w:after="0"/>
        <w:rPr>
          <w:sz w:val="20"/>
          <w:szCs w:val="20"/>
          <w:color w:val="auto"/>
        </w:rPr>
      </w:pPr>
      <w:r>
        <w:rPr>
          <w:rFonts w:ascii="Times New Roman" w:cs="Times New Roman" w:eastAsia="Times New Roman" w:hAnsi="Times New Roman"/>
          <w:sz w:val="18"/>
          <w:szCs w:val="18"/>
          <w:b w:val="1"/>
          <w:bCs w:val="1"/>
          <w:color w:val="auto"/>
        </w:rPr>
        <w:t>SUNDER ENERGY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$588 and $54 as of December 31, 2024 and 2023,</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2,991</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from related party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13,508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1,839</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20,600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3,872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r>
      <w:tr>
        <w:trPr>
          <w:trHeight w:val="25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21,528</w:t>
            </w:r>
          </w:p>
        </w:tc>
        <w:tc>
          <w:tcPr>
            <w:tcW w:w="22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4,977</w:t>
            </w:r>
          </w:p>
        </w:tc>
        <w:tc>
          <w:tcPr>
            <w:tcW w:w="100" w:type="dxa"/>
            <w:vAlign w:val="bottom"/>
            <w:tcBorders>
              <w:top w:val="single" w:sz="8" w:color="CCEEFF"/>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DEFICIT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3,487</w:t>
            </w:r>
          </w:p>
        </w:tc>
      </w:tr>
      <w:tr>
        <w:trPr>
          <w:trHeight w:val="25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6,511</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Line of credit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17,231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2,381</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27,513</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8,231</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27,815</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8,652</w:t>
            </w:r>
          </w:p>
        </w:tc>
        <w:tc>
          <w:tcPr>
            <w:tcW w:w="100" w:type="dxa"/>
            <w:vAlign w:val="bottom"/>
            <w:tcBorders>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Member’s deficit</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(6,287)</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(3,675)</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member’s deficit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0" w:name="page241"/>
    <w:bookmarkEnd w:id="240"/>
    <w:p>
      <w:pPr>
        <w:jc w:val="center"/>
        <w:spacing w:after="0"/>
        <w:rPr>
          <w:sz w:val="20"/>
          <w:szCs w:val="20"/>
          <w:color w:val="auto"/>
        </w:rPr>
      </w:pPr>
      <w:r>
        <w:rPr>
          <w:rFonts w:ascii="Times New Roman" w:cs="Times New Roman" w:eastAsia="Times New Roman" w:hAnsi="Times New Roman"/>
          <w:sz w:val="18"/>
          <w:szCs w:val="18"/>
          <w:b w:val="1"/>
          <w:bCs w:val="1"/>
          <w:color w:val="auto"/>
        </w:rPr>
        <w:t>SUNDER ENERGY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56,928</w:t>
            </w:r>
          </w:p>
        </w:tc>
        <w:tc>
          <w:tcPr>
            <w:tcW w:w="1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commissions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37,554</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46,815</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1,170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989</w:t>
            </w:r>
          </w:p>
        </w:tc>
      </w:tr>
      <w:tr>
        <w:trPr>
          <w:trHeight w:val="250"/>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16,146</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15,851</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54,870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63,655</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(6,727</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w:t>
            </w:r>
          </w:p>
        </w:tc>
        <w:tc>
          <w:tcPr>
            <w:tcW w:w="100" w:type="dxa"/>
            <w:vAlign w:val="bottom"/>
            <w:gridSpan w:val="2"/>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4,525</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from continuing operations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(6,214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(6,743</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(6,214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(6,803</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1" w:name="page242"/>
    <w:bookmarkEnd w:id="241"/>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7160" w:type="dxa"/>
            <w:vAlign w:val="bottom"/>
            <w:gridSpan w:val="2"/>
          </w:tcPr>
          <w:p>
            <w:pPr>
              <w:jc w:val="center"/>
              <w:ind w:right="2310"/>
              <w:spacing w:after="0"/>
              <w:rPr>
                <w:sz w:val="20"/>
                <w:szCs w:val="20"/>
                <w:color w:val="auto"/>
              </w:rPr>
            </w:pPr>
            <w:r>
              <w:rPr>
                <w:rFonts w:ascii="Times New Roman" w:cs="Times New Roman" w:eastAsia="Times New Roman" w:hAnsi="Times New Roman"/>
                <w:sz w:val="18"/>
                <w:szCs w:val="18"/>
                <w:b w:val="1"/>
                <w:bCs w:val="1"/>
                <w:color w:val="auto"/>
                <w:w w:val="99"/>
              </w:rPr>
              <w:t>SUNDER ENERGY LLC</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8"/>
        </w:trPr>
        <w:tc>
          <w:tcPr>
            <w:tcW w:w="3240" w:type="dxa"/>
            <w:vAlign w:val="bottom"/>
          </w:tcPr>
          <w:p>
            <w:pPr>
              <w:spacing w:after="0"/>
              <w:rPr>
                <w:sz w:val="18"/>
                <w:szCs w:val="18"/>
                <w:color w:val="auto"/>
              </w:rPr>
            </w:pPr>
          </w:p>
        </w:tc>
        <w:tc>
          <w:tcPr>
            <w:tcW w:w="7160" w:type="dxa"/>
            <w:vAlign w:val="bottom"/>
            <w:gridSpan w:val="2"/>
          </w:tcPr>
          <w:p>
            <w:pPr>
              <w:jc w:val="center"/>
              <w:ind w:right="2290"/>
              <w:spacing w:after="0"/>
              <w:rPr>
                <w:sz w:val="20"/>
                <w:szCs w:val="20"/>
                <w:color w:val="auto"/>
              </w:rPr>
            </w:pPr>
            <w:r>
              <w:rPr>
                <w:rFonts w:ascii="Times New Roman" w:cs="Times New Roman" w:eastAsia="Times New Roman" w:hAnsi="Times New Roman"/>
                <w:sz w:val="18"/>
                <w:szCs w:val="18"/>
                <w:b w:val="1"/>
                <w:bCs w:val="1"/>
                <w:color w:val="auto"/>
                <w:w w:val="99"/>
              </w:rPr>
              <w:t>STATEMENTS OF CHANGES IN MEMBER’S DEFICIT</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3240" w:type="dxa"/>
            <w:vAlign w:val="bottom"/>
          </w:tcPr>
          <w:p>
            <w:pPr>
              <w:spacing w:after="0"/>
              <w:rPr>
                <w:sz w:val="20"/>
                <w:szCs w:val="20"/>
                <w:color w:val="auto"/>
              </w:rPr>
            </w:pPr>
          </w:p>
        </w:tc>
        <w:tc>
          <w:tcPr>
            <w:tcW w:w="7160" w:type="dxa"/>
            <w:vAlign w:val="bottom"/>
            <w:gridSpan w:val="2"/>
          </w:tcPr>
          <w:p>
            <w:pPr>
              <w:jc w:val="center"/>
              <w:ind w:right="231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2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equity as of January 1, 2023</w:t>
            </w:r>
          </w:p>
        </w:tc>
        <w:tc>
          <w:tcPr>
            <w:tcW w:w="71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8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6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(6,803)</w:t>
            </w:r>
          </w:p>
        </w:tc>
      </w:tr>
      <w:tr>
        <w:trPr>
          <w:trHeight w:val="25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w:t>
            </w:r>
          </w:p>
        </w:tc>
        <w:tc>
          <w:tcPr>
            <w:tcW w:w="67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(3,202)</w:t>
            </w:r>
          </w:p>
        </w:tc>
      </w:tr>
      <w:tr>
        <w:trPr>
          <w:trHeight w:val="210"/>
        </w:trPr>
        <w:tc>
          <w:tcPr>
            <w:tcW w:w="32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Member’s deficit as of December 31, 2023</w:t>
            </w:r>
          </w:p>
        </w:tc>
        <w:tc>
          <w:tcPr>
            <w:tcW w:w="678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(3,675</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100" w:type="dxa"/>
            <w:vAlign w:val="bottom"/>
            <w:gridSpan w:val="2"/>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Capital contribution</w:t>
            </w:r>
          </w:p>
        </w:tc>
        <w:tc>
          <w:tcPr>
            <w:tcW w:w="6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80" w:type="dxa"/>
            <w:vAlign w:val="bottom"/>
          </w:tcPr>
          <w:p>
            <w:pPr>
              <w:spacing w:after="0"/>
              <w:rPr>
                <w:sz w:val="18"/>
                <w:szCs w:val="18"/>
                <w:color w:val="auto"/>
              </w:rPr>
            </w:pPr>
          </w:p>
        </w:tc>
      </w:tr>
      <w:tr>
        <w:trPr>
          <w:trHeight w:val="25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w:t>
            </w:r>
          </w:p>
        </w:tc>
        <w:tc>
          <w:tcPr>
            <w:tcW w:w="67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(457)</w:t>
            </w:r>
          </w:p>
        </w:tc>
      </w:tr>
      <w:tr>
        <w:trPr>
          <w:trHeight w:val="210"/>
        </w:trPr>
        <w:tc>
          <w:tcPr>
            <w:tcW w:w="32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Member’s deficit as of December 31, 2024</w:t>
            </w:r>
          </w:p>
        </w:tc>
        <w:tc>
          <w:tcPr>
            <w:tcW w:w="67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(6,287</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32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2" w:name="page243"/>
    <w:bookmarkEnd w:id="242"/>
    <w:p>
      <w:pPr>
        <w:jc w:val="center"/>
        <w:spacing w:after="0"/>
        <w:rPr>
          <w:sz w:val="20"/>
          <w:szCs w:val="20"/>
          <w:color w:val="auto"/>
        </w:rPr>
      </w:pPr>
      <w:r>
        <w:rPr>
          <w:rFonts w:ascii="Times New Roman" w:cs="Times New Roman" w:eastAsia="Times New Roman" w:hAnsi="Times New Roman"/>
          <w:sz w:val="18"/>
          <w:szCs w:val="18"/>
          <w:b w:val="1"/>
          <w:bCs w:val="1"/>
          <w:color w:val="auto"/>
        </w:rPr>
        <w:t>SUNDER ENERGY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3"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8"/>
          <w:szCs w:val="18"/>
          <w:b w:val="1"/>
          <w:bCs w:val="1"/>
          <w:color w:val="auto"/>
        </w:rPr>
        <w:t>Years Ended</w:t>
      </w:r>
    </w:p>
    <w:p>
      <w:pPr>
        <w:spacing w:after="0" w:line="31"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 from continuing operations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(6,214)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(6,803)</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operations, net of tax</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Adjustments to reconcile net loss from continuing operations to net cash from operating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1,759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3,677</w:t>
            </w: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operating lease right-of-use asset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Due from related party</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(11,669)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3,380</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6,256</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14,850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2,381</w:t>
            </w:r>
          </w:p>
        </w:tc>
      </w:tr>
      <w:tr>
        <w:trPr>
          <w:trHeight w:val="237"/>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 from continuing operations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purchase of property and equipment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 from continuing operations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distribution to member</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(457)</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contributions from member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Borrowings on the line of credit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2,000</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on the line of credit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provided by (used in) financing activities from continuing operations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3,852</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Cash and restricted cash beginning of year</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2,732</w:t>
            </w:r>
          </w:p>
        </w:tc>
        <w:tc>
          <w:tcPr>
            <w:tcW w:w="100" w:type="dxa"/>
            <w:vAlign w:val="bottom"/>
            <w:tcBorders>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end of year</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1,710</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restricted cash</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acquired in exchange for operating lease liability</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3" w:name="page244"/>
    <w:bookmarkEnd w:id="243"/>
    <w:p>
      <w:pPr>
        <w:jc w:val="center"/>
        <w:spacing w:after="0"/>
        <w:rPr>
          <w:sz w:val="20"/>
          <w:szCs w:val="20"/>
          <w:color w:val="auto"/>
        </w:rPr>
      </w:pPr>
      <w:r>
        <w:rPr>
          <w:rFonts w:ascii="Times New Roman" w:cs="Times New Roman" w:eastAsia="Times New Roman" w:hAnsi="Times New Roman"/>
          <w:sz w:val="18"/>
          <w:szCs w:val="18"/>
          <w:b w:val="1"/>
          <w:bCs w:val="1"/>
          <w:color w:val="auto"/>
        </w:rPr>
        <w:t>SUNDER ENERGY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b w:val="1"/>
          <w:bCs w:val="1"/>
          <w:i w:val="1"/>
          <w:iCs w:val="1"/>
          <w:color w:val="auto"/>
        </w:rPr>
        <w:t>BUSINESS AND 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 and Organization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Sunder Energy LLC (“the Company”) was established as a limited liability company in 2019 under the laws of the State of Delaware. The Company provides a third-party solar energy sales force to initiate and execute contracts with customers throughout the United States. The Company’s sales force works with solar installation companies in which the Company acts as the agent for each transaction entered.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2023, the Company began selling internally developed software as a service (“SaaS”). On October 20, 2023, the Company spun off the internally developed software assets into a separate entity under common ownership. The Company accounted for these activities as discontinued operations within its financial statements for the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and accompanying notes have been prepared in accordance with generally accepted accounting principles (“U.S. GAAP”).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U.S. GAAP requires management to make estimates and assumptions that affect the amounts of assets and liabilities and disclosures of contingent assets and liabilities reported in these financial statements and accompanying notes. The Company bases its estimates on historical experience and various other assumptions believed to be reasonable. Actual financial results could materially differ from those estimates. Significant estimates include financial credit losses, valuation of contingencies such as litigation and the incremental borrowing rate used in discounting of lease liabilities.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financial instruments that may be exposed to concentrations of credit risk consist primarily of temporary cash investments and trade accounts receivable. The Company maintains its cash balances at financial institutions. At times, such balances may exceed federally insured limits. The Company has not experienced any losses in such accounts. The Company believes it is not exposed to any significant credit risk on cash. For the year ended December 31, 2024, the Company earned virtually all of its revenue from solar installation companies. Customer A, Customer B and Customer C accounted for 23%, 15%, and 10%, respectively, of the Company’s revenue for the year ended December 31, 2024. For part of the year ended December 31, 2023, the Company’s sales force worked exclusively with one solar installation company. The exclusive agreement, originally expiring in August 2024, was terminated on September 30, 2023. For the year ended December 31, 2023, 99% of total revenues was earned from this installation company. As of December 31, 2024, Customer D and Customer E accounted for 50% and 12%, respectively, of the Company’s trade accounts receivable. As of December 31, 2023, there were no trade accounts receivable concentrations.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cash represents cash balances that are subject to contractual restrictions related to the Company’s litigation financing agreement. Restricted cash is included with cash when reconciling beginning and ending balances on the Statements of Cash Flows and is classified as current on the Balance Sheets based on the expected timing of its use.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Trade accounts receivable represent amounts reported by the installation companies where revenue has been recognized but that have not been paid. The Company has amounts due from sales representatives related to transaction fees on advances to the sales representatives, commission and bonus overpayments, and contractor advances. Contractor advances have no set repayment terms and have been included as a current asset based on when repayment is expected.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an allowance for credit losses attributable to customers. These allowances are based upon current market conditions such as how installation partners are performing, if the installation partner is known to have financial or other performance issues, and historical losses incurred by the Company related to installation partners. The Company also maintains an allowance for credit losses attributable to amounts due from its sales representatives. The allowance for credit losses due from its sales representatives is estimated based upon an understanding of sales representatives’ selling activity, whether the sales representative is currently active, or if departed from the Company, the length of time that such sales representative was last active. Actual credit losses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from Related Party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from related party represents a loan receivable from Enzy Technologies LLC (“Enzy”) an entity related to the Company by common ownership. The Company collected revenues for Enzy and paid certain shared expenses for Enzy’s benefit.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Prepaid expenses and other current assets include amounts paid in advance for services to be received within one year, such as prepaid commissions, bonuses paid to sales representatives, and other customary prepaid expenses arising in the ordinary course of business. These amounts are recognized as expense when the associated services are utilized. Commissions are paid to sales representatives and recorded as prepaid commissions prior to the respective sale’s recognition as revenue by the Company. If the sale is cancelled, these commissions must be refunded to the Company. Commissions are recognized as Sales commissions within the Company’s statement of operations when the related revenue is recognized.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and are composed of personal property used in the business. Depreciation is computed using the straight- line method over the assets’ estimated useful lives that are estimated at 5 years or the remaining term of the lease for leasehold improvements, 5 years for computer equipment, and 7 years for furniture and fixtures. Expenditures for repairs and maintenance are charged to expense when incurred. Expenses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statements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at the inception of a contract. The lease classification is determined at the commencement date. Right-of-use assets represent the Company’s right to use an underlying asset for the lease term and lease liabilities represent the Company’s obligation to make lease payments arising from the lease during the lease term. Right-of-use assets and lease liabilities are recognized at the commencement date based on the present value of the remaining future minimum lease payments during the lease term. Lease commencement is the date the Company has the right to control the property. The Company utilizes its incremental borrowing rate to discount the lease payments. Operating leases are expensed on a straight-line basis over the lease term. Short-term leases with an initial term of 12 months or less (of which there were none during the years ended December 31, 2024 and 2023) are not recorded on the balance sheets, and related lease payments are expensed on a straight-line basis over the term of the lease.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assets represent a security deposit for the operating lease, noncurrent prepaid expenses, and bonus install commitments.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liabilities consist of deferred revenue and customer advances, which represent consideration received from a customer for revenue not yet recognized. Through October 2023, such consideration was accounted as contract liabilities prior to having the project installed. Thereafter, such consideration was accounted for as contract liabilities prior to achieving permission to operate (“PTO”).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Financial Accounting Standards Board (“FASB”) Accounting Standards Codification (“ASC”) Topic 606, Revenue from Contracts with Customers and related amendments, revenue is recognized when promised goods or services are transferred to customers in an amount that reflects the consideration to which the Company expects to be entitled in exchange for those goods and services.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earns sales revenue based on residential solar installation contracts for residential homeowners that are sold to installation companies in accordance with the Company’s contracts with those installation companies (the “Customer”). Through October 2023, upon entering into a sales contract, the requisite performance obligation of the Company was to assist the customer in the progress of the installation. Subsequent to October 2023, upon entering into a sales contract, the requisite performance obligation of the Company is to assist the customer in the progress of the installation and obtain PTO. PTO typically occurs within 3 to 6 months after the initial sale, but can happen as early as two months or as late as twelve months after the sale.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contracts are signed by customers, initial payments are received from the installation companies and are subsequently passed down directly to the sales representative who made the sale. If the homeowner in the end decides not to go through with the installation, this amount will be returned to the installation companies. Sales representatives are not entitled to receive commissions on a sale unless funds are received from the installation company for that sale. Total sales revenue for each contract is based on the size of the system, baseline rate, and funding method used. The Company records sales revenue at a point in time when the homeowner has received permission to turn the system on. The Company records revenue as the total amount to be paid out by the installation company to the Company. As the Company is only acting as the agent in the situation, it records revenue on a net basis.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6" w:name="page247"/>
    <w:bookmarkEnd w:id="246"/>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For the year ended December 31, 2023, the Company also had revenue from the sale of software as a service (these operations were discontinued, See Note 14 –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This revenue is considered earned by the Company based on the contract period and is recognized over time. For the year ended December 31, 2023, the Company had gross revenue of $321 that was earned over time. Because of the spin off, there was no further revenue earned for the sale of software as a service for the year ended December 31,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have any significant financing components. Due to being a service provider, the Company is not obligated to warranty installed systems and therefore the Company has not recorded a reserve for warranty work.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 liabilities as of December 31, 2024 and 2023 consist of deferred revenue of $17,231 and $2,381, respectively. The deferred revenue balance increased $14,850 from December 31, 2023 to December 31, 2024 primarily due to the Company’s transition to a new business model following the termination of its partnership with Freedom Forever LLC at the end of September 2023. Revenue for the year ended December 31, 2024 that was included in the contract liability balance at the beginning of the period was approximately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income is passed through to the members for income tax purposes and therefore, no provision for federal and state income taxes has been provided for in these statements.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Tax penalties and interest, if any, would be classified with income tax expenses in the financial statements. No tax penalties or interest have been incurred or are recognized in the financial statements. Generally, three tax years remain subject to examination by tax jurisdictions.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Promotions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costs associated with advertising and promotions are expensed in the year incurred. Advertising and promotions expense totaled $1,393 and $1,791 for the years ended December 31,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Member Ownership Interest and Limited Liability of Member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October 30, 2023, ownership interest in the Company consisted of multiple members. On October 30, 2023, the members of the Company (consisting of common and incentive unit holders) executed multiple simultaneous actions to effectuate the transfer of their interests in the Company from themselves to a new entity, Chicken Parm Pizza LLC (“CPP”). Among these actions was to create the new entity, CPP, with a membership structure that mirrored the Company’s membership structure. Additionally, the Company’s members unanimously consented to the transfer of their interests in the Company from themselves to CPP. Finally, each unit holder executed a “Unit Transfer Power” agreement in which they transferred their personal units in the Company to CPP. Upon completion of the transfer of their interests, CPP became the sole member of Sunder.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rights and obligations of Chicken Parm Pizza, LLC as the sole member (“Parent”, “Sole Member” or “Member”) of the Company are governed by the Second Amended and Restated Limited Liability Company Agreement of Sunder Energy LLC dated as of October 30, 2023 (the “Operating Agreement”). The Operating Agreement provides that the liabilities of the Company shall be solely the liabilities of the Company, and the member shall not be obligated for any such liability solely by reason of being a member of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entered into a Compensation Award plan and a liquidity-based bonus plan award with a cash settlement feature conditioned upon the closing of a liquidity event. These awards are classified as liability awards. Liability classified stock awards are remeasured at fair value each reporting period until settlement, with changes in fair value recognized in compensation expense.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also entered into incentive award agreements with certain employees under which the Parent company’s incentive units may be issued upon satisfaction of specified service and/or performance conditions. The awards are classified as equity awards in accordance with ASC 718,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b w:val="1"/>
          <w:bCs w:val="1"/>
          <w:i w:val="1"/>
          <w:iCs w:val="1"/>
          <w:color w:val="auto"/>
        </w:rPr>
        <w:t>GOING CONCERN AND SALE OF COMPANY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of the Company has assessed the Company’s liquidity position. As of December 31, 2024, the Company has incurred net losses for the past two years and is experiencing liquidity constraints. The members intend to provide additional capital contributions, as necessary, to fund operations and meet the Company’s financial obligations, however, there can be no assurance that such contributions will be made or if made, sufficient to fund the Company’s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Therefore, there is substantial doubt about the Company’s ability to continue as a going concern within one year after the date that the unaudited financial statements are issued. The accompanying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September 21, 2025, the Company entered into a Membership Interest Purchase Agreement (“MIPA”) between the Company, the Sole Member and Complete Solaria, Inc., and Complete Solar, Inc., a subsidiary of Complete Solaria (collectively “Complete Solaria”) to sell all of the Member’s interest in Sunder. The sale of Sunder was completed on September 24, 2025. Refer to Note 15 –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for a further discussion of the sale of the Company.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b w:val="1"/>
                <w:bCs w:val="1"/>
                <w:i w:val="1"/>
                <w:iCs w:val="1"/>
                <w:color w:val="auto"/>
              </w:rPr>
              <w:t>ACCOUNTS RECEIVABLE,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Amounts comprising accounts receivable, net are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Contractor advances receivable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fee receivable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Commissions overpayment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(302)</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due from sales representatives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 accounts receivable, net</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2,991</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4. ALLOWANCE FOR CREDIT LOSSES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allowance for credit losses for receivables by portfolio segment and the related activity for the year ended December 31, 2024 are as follows</w:t>
      </w:r>
      <w:r>
        <w:rPr>
          <w:rFonts w:ascii="Times New Roman" w:cs="Times New Roman" w:eastAsia="Times New Roman" w:hAnsi="Times New Roman"/>
          <w:sz w:val="18"/>
          <w:szCs w:val="18"/>
          <w:i w:val="1"/>
          <w:iCs w:val="1"/>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gridSpan w:val="9"/>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As of and for the year ended December 31, 2024</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Accounts</w:t>
            </w:r>
          </w:p>
        </w:tc>
        <w:tc>
          <w:tcPr>
            <w:tcW w:w="100" w:type="dxa"/>
            <w:vAlign w:val="bottom"/>
          </w:tcPr>
          <w:p>
            <w:pPr>
              <w:spacing w:after="0"/>
              <w:rPr>
                <w:sz w:val="16"/>
                <w:szCs w:val="16"/>
                <w:color w:val="auto"/>
              </w:rPr>
            </w:pPr>
          </w:p>
        </w:tc>
        <w:tc>
          <w:tcPr>
            <w:tcW w:w="1280" w:type="dxa"/>
            <w:vAlign w:val="bottom"/>
            <w:gridSpan w:val="2"/>
          </w:tcPr>
          <w:p>
            <w:pPr>
              <w:jc w:val="right"/>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6"/>
              </w:rPr>
              <w:t>Transaction</w:t>
            </w:r>
          </w:p>
        </w:tc>
        <w:tc>
          <w:tcPr>
            <w:tcW w:w="100" w:type="dxa"/>
            <w:vAlign w:val="bottom"/>
          </w:tcPr>
          <w:p>
            <w:pPr>
              <w:spacing w:after="0"/>
              <w:rPr>
                <w:sz w:val="16"/>
                <w:szCs w:val="16"/>
                <w:color w:val="auto"/>
              </w:rPr>
            </w:pPr>
          </w:p>
        </w:tc>
        <w:tc>
          <w:tcPr>
            <w:tcW w:w="1220" w:type="dxa"/>
            <w:vAlign w:val="bottom"/>
            <w:gridSpan w:val="2"/>
          </w:tcPr>
          <w:p>
            <w:pPr>
              <w:jc w:val="right"/>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Contractor</w:t>
            </w:r>
          </w:p>
        </w:tc>
        <w:tc>
          <w:tcPr>
            <w:tcW w:w="1320" w:type="dxa"/>
            <w:vAlign w:val="bottom"/>
            <w:gridSpan w:val="3"/>
          </w:tcPr>
          <w:p>
            <w:pPr>
              <w:jc w:val="right"/>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Commissions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100" w:type="dxa"/>
            <w:vAlign w:val="bottom"/>
          </w:tcPr>
          <w:p>
            <w:pPr>
              <w:spacing w:after="0"/>
              <w:rPr>
                <w:sz w:val="21"/>
                <w:szCs w:val="21"/>
                <w:color w:val="auto"/>
              </w:rPr>
            </w:pPr>
          </w:p>
        </w:tc>
        <w:tc>
          <w:tcPr>
            <w:tcW w:w="12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fees</w:t>
            </w:r>
          </w:p>
        </w:tc>
        <w:tc>
          <w:tcPr>
            <w:tcW w:w="100" w:type="dxa"/>
            <w:vAlign w:val="bottom"/>
          </w:tcPr>
          <w:p>
            <w:pPr>
              <w:spacing w:after="0"/>
              <w:rPr>
                <w:sz w:val="21"/>
                <w:szCs w:val="21"/>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advances</w:t>
            </w:r>
          </w:p>
        </w:tc>
        <w:tc>
          <w:tcPr>
            <w:tcW w:w="120" w:type="dxa"/>
            <w:vAlign w:val="bottom"/>
          </w:tcPr>
          <w:p>
            <w:pPr>
              <w:spacing w:after="0"/>
              <w:rPr>
                <w:sz w:val="21"/>
                <w:szCs w:val="21"/>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1,813</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(1,225)</w:t>
            </w:r>
          </w:p>
        </w:tc>
      </w:tr>
      <w:tr>
        <w:trPr>
          <w:trHeight w:val="23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allowance for credit losses for receivables by portfolio segment and the related activity for the year ended December 31, 2023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gridSpan w:val="9"/>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As of and for the year ended December 31, 2023</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Accounts</w:t>
            </w:r>
          </w:p>
        </w:tc>
        <w:tc>
          <w:tcPr>
            <w:tcW w:w="100" w:type="dxa"/>
            <w:vAlign w:val="bottom"/>
          </w:tcPr>
          <w:p>
            <w:pPr>
              <w:spacing w:after="0"/>
              <w:rPr>
                <w:sz w:val="16"/>
                <w:szCs w:val="16"/>
                <w:color w:val="auto"/>
              </w:rPr>
            </w:pPr>
          </w:p>
        </w:tc>
        <w:tc>
          <w:tcPr>
            <w:tcW w:w="128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6"/>
              </w:rPr>
              <w:t>Transaction</w:t>
            </w:r>
          </w:p>
        </w:tc>
        <w:tc>
          <w:tcPr>
            <w:tcW w:w="100" w:type="dxa"/>
            <w:vAlign w:val="bottom"/>
          </w:tcPr>
          <w:p>
            <w:pPr>
              <w:spacing w:after="0"/>
              <w:rPr>
                <w:sz w:val="16"/>
                <w:szCs w:val="16"/>
                <w:color w:val="auto"/>
              </w:rPr>
            </w:pPr>
          </w:p>
        </w:tc>
        <w:tc>
          <w:tcPr>
            <w:tcW w:w="1220" w:type="dxa"/>
            <w:vAlign w:val="bottom"/>
            <w:gridSpan w:val="2"/>
          </w:tcPr>
          <w:p>
            <w:pPr>
              <w:jc w:val="right"/>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Contractor</w:t>
            </w:r>
          </w:p>
        </w:tc>
        <w:tc>
          <w:tcPr>
            <w:tcW w:w="1320" w:type="dxa"/>
            <w:vAlign w:val="bottom"/>
            <w:gridSpan w:val="3"/>
          </w:tcPr>
          <w:p>
            <w:pPr>
              <w:jc w:val="right"/>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Commissions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100" w:type="dxa"/>
            <w:vAlign w:val="bottom"/>
          </w:tcPr>
          <w:p>
            <w:pPr>
              <w:spacing w:after="0"/>
              <w:rPr>
                <w:sz w:val="21"/>
                <w:szCs w:val="21"/>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fees</w:t>
            </w:r>
          </w:p>
        </w:tc>
        <w:tc>
          <w:tcPr>
            <w:tcW w:w="100" w:type="dxa"/>
            <w:vAlign w:val="bottom"/>
          </w:tcPr>
          <w:p>
            <w:pPr>
              <w:spacing w:after="0"/>
              <w:rPr>
                <w:sz w:val="21"/>
                <w:szCs w:val="21"/>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advances</w:t>
            </w:r>
          </w:p>
        </w:tc>
        <w:tc>
          <w:tcPr>
            <w:tcW w:w="120" w:type="dxa"/>
            <w:vAlign w:val="bottom"/>
          </w:tcPr>
          <w:p>
            <w:pPr>
              <w:spacing w:after="0"/>
              <w:rPr>
                <w:sz w:val="21"/>
                <w:szCs w:val="21"/>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5,206</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(5,152)</w:t>
            </w:r>
          </w:p>
        </w:tc>
      </w:tr>
      <w:tr>
        <w:trPr>
          <w:trHeight w:val="23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b w:val="1"/>
                <w:bCs w:val="1"/>
                <w:i w:val="1"/>
                <w:iCs w:val="1"/>
                <w:color w:val="auto"/>
              </w:rPr>
              <w:t>PREPAID EXPENSES AND OTHER 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Amounts comprising prepaid expenses and other current assets are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6"/>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commissions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Bonus install commitment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13,508</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1,839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recognized $1,247 of commission expense in the year ended December 31, 2024 that was included in the deferred commission balance at the beginning of the period.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b w:val="1"/>
                <w:bCs w:val="1"/>
                <w:i w:val="1"/>
                <w:iCs w:val="1"/>
                <w:color w:val="auto"/>
              </w:rPr>
              <w:t>PROPERTY AND EQUIPMENT, NET</w:t>
            </w: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8680" w:type="dxa"/>
            <w:vAlign w:val="bottom"/>
          </w:tcPr>
          <w:p>
            <w:pPr>
              <w:spacing w:after="0"/>
              <w:rPr>
                <w:sz w:val="24"/>
                <w:szCs w:val="24"/>
                <w:color w:val="auto"/>
              </w:rPr>
            </w:pPr>
          </w:p>
        </w:tc>
        <w:tc>
          <w:tcPr>
            <w:tcW w:w="214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78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780" w:type="dxa"/>
            <w:vAlign w:val="bottom"/>
          </w:tcPr>
          <w:p>
            <w:pPr>
              <w:spacing w:after="0"/>
              <w:rPr>
                <w:sz w:val="18"/>
                <w:szCs w:val="18"/>
                <w:color w:val="auto"/>
              </w:rPr>
            </w:pPr>
          </w:p>
        </w:tc>
        <w:tc>
          <w:tcPr>
            <w:tcW w:w="5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188</w:t>
            </w:r>
          </w:p>
        </w:tc>
        <w:tc>
          <w:tcPr>
            <w:tcW w:w="8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78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w:t>
            </w:r>
          </w:p>
        </w:tc>
        <w:tc>
          <w:tcPr>
            <w:tcW w:w="8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cost</w:t>
            </w:r>
          </w:p>
        </w:tc>
        <w:tc>
          <w:tcPr>
            <w:tcW w:w="7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463</w:t>
            </w:r>
          </w:p>
        </w:tc>
        <w:tc>
          <w:tcPr>
            <w:tcW w:w="220" w:type="dxa"/>
            <w:vAlign w:val="bottom"/>
            <w:tcBorders>
              <w:top w:val="single" w:sz="8" w:color="CCEEFF"/>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7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Property and equipment, net</w:t>
            </w:r>
          </w:p>
        </w:tc>
        <w:tc>
          <w:tcPr>
            <w:tcW w:w="7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298</w:t>
            </w:r>
          </w:p>
        </w:tc>
        <w:tc>
          <w:tcPr>
            <w:tcW w:w="220" w:type="dxa"/>
            <w:vAlign w:val="bottom"/>
          </w:tcPr>
          <w:p>
            <w:pPr>
              <w:spacing w:after="0"/>
              <w:rPr>
                <w:sz w:val="18"/>
                <w:szCs w:val="18"/>
                <w:color w:val="auto"/>
              </w:rPr>
            </w:pPr>
          </w:p>
        </w:tc>
        <w:tc>
          <w:tcPr>
            <w:tcW w:w="800" w:type="dxa"/>
            <w:vAlign w:val="bottom"/>
            <w:tcBorders>
              <w:bottom w:val="single" w:sz="8" w:color="auto"/>
            </w:tcBorders>
          </w:tcPr>
          <w:p>
            <w:pPr>
              <w:jc w:val="right"/>
              <w:ind w:right="6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for the years ended December 31, 2024 and 2023 was $79 and $160, respectively</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b w:val="1"/>
                <w:bCs w:val="1"/>
                <w:i w:val="1"/>
                <w:iCs w:val="1"/>
                <w:color w:val="auto"/>
              </w:rPr>
              <w:t>ACCRUED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2"/>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salaries, wages and related expenses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Legal fees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4,136</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Credit card obligation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6,511</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b w:val="1"/>
          <w:bCs w:val="1"/>
          <w:i w:val="1"/>
          <w:iCs w:val="1"/>
          <w:color w:val="auto"/>
        </w:rPr>
        <w:t>LINE OF CREDIT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entered into an unsecured line of credit (“LOC”) agreement with a borrowing limit of $3,000. The LOC had a fixed interest rate of 7.5% and was scheduled to mature on June 30, 2025. The outstanding balance on the line was $2,250 and $2,000 as of December 31, 2024, and 2023, respectively. The remaining available balance under the facility as of December 31, 2024 was $750.</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2024, the Company was not in compliance with certain financial covenants under its LOC agreement with SolarEdge Technologies, Inc, specifically related to the maximum additional external financing covenant. The breach in compliance was related to the litigation financing the Company received of $3,325 during 2024 discussed in Note 9 – </w:t>
      </w:r>
      <w:r>
        <w:rPr>
          <w:rFonts w:ascii="Times New Roman" w:cs="Times New Roman" w:eastAsia="Times New Roman" w:hAnsi="Times New Roman"/>
          <w:sz w:val="18"/>
          <w:szCs w:val="18"/>
          <w:i w:val="1"/>
          <w:iCs w:val="1"/>
          <w:color w:val="auto"/>
        </w:rPr>
        <w:t>Litigation Financing and Settlement</w:t>
      </w:r>
      <w:r>
        <w:rPr>
          <w:rFonts w:ascii="Times New Roman" w:cs="Times New Roman" w:eastAsia="Times New Roman" w:hAnsi="Times New Roman"/>
          <w:sz w:val="18"/>
          <w:szCs w:val="18"/>
          <w:color w:val="auto"/>
        </w:rPr>
        <w:t xml:space="preserve">. The covenant violation provided the lender the right to accelerate repayment of the outstanding balance at its discretion. The LOC was repaid in full in September 2025 in connection with the sale of the membership interest in the Company. Refer to Note 15 –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for details of the sale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b w:val="1"/>
          <w:bCs w:val="1"/>
          <w:i w:val="1"/>
          <w:iCs w:val="1"/>
          <w:color w:val="auto"/>
        </w:rPr>
        <w:t>LITIGATION FINANCING AND SETTLEMENT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filed suit against the former exclusive installation company, Freedom Forever, LLC (“Freedom Forever”) for breach of contract. Freedom Forever filed a counter suit based on a similar claim. The parties completed discovery, and a hearing commenced on May 5,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During the year ended December 31, 2024, the Company filed a claim for, and received, $800 in insurance proceeds for loss of key employees and for business litigation in connection with the dispute with Freedom Forever. Of this amount $500 was received from the Company’s insurance captive, a related party. Refer to Note 11 –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for detail. These proceeds are presented within Other income, net on the statement of operations and member’s deficit.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0" w:name="page251"/>
    <w:bookmarkEnd w:id="250"/>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October 2024, the Company obtained litigation funding of $3,400 via a funding and investment agreement from a third party. The investment will be repaid upon settlement of the associated Freedom Forever lawsuit. If the outcome is in favor of the Company, then the investor will be repaid the full investment amount plus a multiple of the investment, dependent on timing between the closing date and the date of repayment. If the lawsuit is mutually settled or is in favor of the defendant, the Company may be liable to pay up to $2,000 to the investor and a portion of proceeds up to the original investment amount. The investor has a security interest in the proceeds of the lawsuit and the Company may not encumber or pledge the proceeds to any other party. The repayment of the funding received is contingent upon future events which does not meet the criteria under ASC 470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(“ASC 470”), to be accounted for as debt. Accordingly, the Company concluded that while the litigation funding did not meet the criteria to be accounted for as debt under ASC 470, it may be accounted for as a contingent obligation under ASC 450 –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with no balance sheet recognition as of the reporting dates. The cash received via the funding and investment agreement has been recorded as other income on the Statement of Operations for the fiscal year December 31, 2024.</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15, 2025, the arbitrator issued a final and binding award in the Company’s arbitration proceeding against Freedom Forever. The Company was awarded $6,772 in net damages inclusive of interest of 10%. The decision fully resolves all claims between the parties as it relates to this matter and provides a clear and enforceable outcome in the Company’s favor. The Company is required to pay these proceeds to the investor that provided litigation funding. On September 22, 2025, the Company entered into a settlement agreement (“Settlement Agreement”) with Freedom Forever with respect to the Company’s outstanding litigation matters with Freedom Forever. The Settlement Agreement became a global settlement to include further resolution on the amount owed by Freedom Forever as a result of the arbitration decision. In full settlement of all pending matters, the Company subsequently agreed to a modification of the damage award from $6,772 to a $4,000 settlement with Freedom Forever. Freedom Forever agreed to pay the Company in four installments of $1,000 on or about October 6, 2025, November 5, 2025, December 5, 2025 and January 4, 2026. Management worked with the litigation finance investor and agreed that the Company would pay any of the $4,000 received from Freedom Forever to the litigation finance investor, plus an additional $250. The Company remitted the $250 on September 24, 2025. To date, none of the installment payments has been received from Freedom Forever, and no amounts have been recorded in the Company’s financial statements related to the Settlement Agreement or payment of the litigation funding investment. The Company’s obligation to pay the litigation finance investor is only required when Freedom Forever makes a payment to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w:t>
      </w: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leases certain office space through a non-cancelable operating lease. The Company assesses whether an arrangement qualifies as a lease (i.e., conveys the right to control the use of an identified asset for a period of time in exchange for consideration) at inception and only reassesses its determination if the terms and conditions of the arrangement are changed. Leases with an initial term of 12 months or less are not recorded on the balances sheet. Lease expense is recognized for these leases on a straight-line basis over the lease term. Leases may include one or more options to renew. The exercise of any lease renewal option is at the Company’s sole discretion.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line items in the balance sheets which include amounts for operating leases: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6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214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360" w:type="dxa"/>
            <w:vAlign w:val="bottom"/>
            <w:tcBorders>
              <w:bottom w:val="single" w:sz="8" w:color="CCEEFF"/>
            </w:tcBorders>
          </w:tcPr>
          <w:p>
            <w:pPr>
              <w:spacing w:after="0"/>
              <w:rPr>
                <w:sz w:val="20"/>
                <w:szCs w:val="20"/>
                <w:color w:val="auto"/>
              </w:rPr>
            </w:pPr>
          </w:p>
        </w:tc>
        <w:tc>
          <w:tcPr>
            <w:tcW w:w="43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2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43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397</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5120" w:type="dxa"/>
            <w:vAlign w:val="bottom"/>
            <w:gridSpan w:val="2"/>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119</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r>
      <w:tr>
        <w:trPr>
          <w:trHeight w:val="23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operating lease liability</w:t>
            </w:r>
          </w:p>
        </w:tc>
        <w:tc>
          <w:tcPr>
            <w:tcW w:w="4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302</w:t>
            </w:r>
          </w:p>
        </w:tc>
        <w:tc>
          <w:tcPr>
            <w:tcW w:w="800" w:type="dxa"/>
            <w:vAlign w:val="bottom"/>
          </w:tcPr>
          <w:p>
            <w:pPr>
              <w:spacing w:after="0"/>
              <w:rPr>
                <w:sz w:val="20"/>
                <w:szCs w:val="20"/>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w:t>
            </w:r>
          </w:p>
        </w:tc>
      </w:tr>
      <w:tr>
        <w:trPr>
          <w:trHeight w:val="223"/>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43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421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36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gridSpan w:val="2"/>
          </w:tcPr>
          <w:p>
            <w:pPr>
              <w:jc w:val="right"/>
              <w:ind w:right="3553"/>
              <w:spacing w:after="0"/>
              <w:rPr>
                <w:sz w:val="20"/>
                <w:szCs w:val="20"/>
                <w:color w:val="auto"/>
              </w:rPr>
            </w:pPr>
            <w:r>
              <w:rPr>
                <w:rFonts w:ascii="Times New Roman" w:cs="Times New Roman" w:eastAsia="Times New Roman" w:hAnsi="Times New Roman"/>
                <w:sz w:val="18"/>
                <w:szCs w:val="18"/>
                <w:color w:val="auto"/>
              </w:rPr>
              <w:t>F-126</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51" w:name="page252"/>
    <w:bookmarkEnd w:id="251"/>
    <w:p>
      <w:pPr>
        <w:jc w:val="both"/>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totaled $108 and $80 for the years ended December 31, 2024 and 2023, respectively.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Because the Company generally does not have access to the rate implicit in a lease, the Company uses its incremental borrowing rate to determine the present value of its leases.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summarizes the weighted average remaining lease terms and discount rates:</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00" w:type="dxa"/>
            <w:vAlign w:val="bottom"/>
          </w:tcPr>
          <w:p>
            <w:pPr>
              <w:spacing w:after="0"/>
              <w:rPr>
                <w:sz w:val="24"/>
                <w:szCs w:val="24"/>
                <w:color w:val="auto"/>
              </w:rPr>
            </w:pPr>
          </w:p>
        </w:tc>
        <w:tc>
          <w:tcPr>
            <w:tcW w:w="2640" w:type="dxa"/>
            <w:vAlign w:val="bottom"/>
            <w:gridSpan w:val="7"/>
          </w:tcPr>
          <w:p>
            <w:pPr>
              <w:ind w:left="50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7"/>
        </w:trPr>
        <w:tc>
          <w:tcPr>
            <w:tcW w:w="8600" w:type="dxa"/>
            <w:vAlign w:val="bottom"/>
            <w:tcBorders>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CCEEFF"/>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3.17 years</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7"/>
              </w:rPr>
              <w:t>4.17 years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41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The future maturities of the operating lease liabilities as of December 31, 2024, were as follows:</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Year ending:</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151</w:t>
            </w:r>
          </w:p>
        </w:tc>
      </w:tr>
      <w:tr>
        <w:trPr>
          <w:trHeight w:val="237"/>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25</w:t>
            </w:r>
          </w:p>
        </w:tc>
      </w:tr>
      <w:tr>
        <w:trPr>
          <w:trHeight w:val="236"/>
        </w:trPr>
        <w:tc>
          <w:tcPr>
            <w:tcW w:w="8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0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Less: imputed interest</w:t>
            </w:r>
          </w:p>
        </w:tc>
        <w:tc>
          <w:tcPr>
            <w:tcW w:w="1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8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expense is presented as rent under operating expenses on the statements of operations and member’s deficit.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w:t>
      </w:r>
      <w:r>
        <w:rPr>
          <w:rFonts w:ascii="Times New Roman" w:cs="Times New Roman" w:eastAsia="Times New Roman" w:hAnsi="Times New Roman"/>
          <w:sz w:val="18"/>
          <w:szCs w:val="18"/>
          <w:b w:val="1"/>
          <w:bCs w:val="1"/>
          <w:i w:val="1"/>
          <w:iCs w:val="1"/>
          <w:color w:val="auto"/>
        </w:rPr>
        <w:t>RELATED PARTY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obtained a number of insurance policies to help protect the Company from potential losses through a captive insurance company related by common ownership. For the years ended December 31, 2024 and 2023, the Company had insurance expense to the captive of $0 and $651, respectively, which is presented within general and administrative expenses in the statements of operations. As discussed in Note 9 – </w:t>
      </w:r>
      <w:r>
        <w:rPr>
          <w:rFonts w:ascii="Times New Roman" w:cs="Times New Roman" w:eastAsia="Times New Roman" w:hAnsi="Times New Roman"/>
          <w:sz w:val="18"/>
          <w:szCs w:val="18"/>
          <w:i w:val="1"/>
          <w:iCs w:val="1"/>
          <w:color w:val="auto"/>
        </w:rPr>
        <w:t>Litigation Financing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Settlement</w:t>
      </w:r>
      <w:r>
        <w:rPr>
          <w:rFonts w:ascii="Times New Roman" w:cs="Times New Roman" w:eastAsia="Times New Roman" w:hAnsi="Times New Roman"/>
          <w:sz w:val="18"/>
          <w:szCs w:val="18"/>
          <w:color w:val="auto"/>
        </w:rPr>
        <w:t>, the Company received $500 in the year ended December 31, 2024, from this insurance captive in connection with a claim related to loss of key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and business litigation related to its dispute with Freedom Forever.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1, 2024, the Company entered into a 41-month subscription agreement with Enzy for use of Enzy’s proprietary SaaS platform, for which monthly subscription fees were incurred. Furthermore, as Enzy was formerly part of the Company, the two entities continue to work closely together. The Company collected revenues for Enzy and paid certain shared expenses for Enzy’s benefit. Collections for Enzy and services received from Enzy totaled $653 and $237 for the years ended December 31, 2024 and 2023, respectively. Expenses incurred for Enzy and fees charged to Enzy totaled $1,015 and $409 for the years ended December 31, 2024 and 2023, respectively. These transactions have resulted in a balance due to the Company from Enzy of $559 and $94 as of December 31, 2024 and 2023, respectively. This balance is presented as due from related party on the Company’s balance sheets.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2" w:name="page253"/>
    <w:bookmarkEnd w:id="252"/>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paid certain beneficial owners of the Company $17 per week, plus bonus compensation, in exchange for services provided as independent contractors. These payments are recorded within general and administrative expenses in the accompanying statements of operations and member’s deficit. The Company recognized expenses of $884 and $926 in the years ended December 31, 2024 and 2023, respectively, related to these arrangements.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w:t>
      </w: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be involved in legal proceedings arising in the normal course of business. Management has concluded that no material legal reserves are required to be recorded as of December 31, 2024 and 2023.</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2019, LGCY Power, LLC filed suit against the Company and certain of its officers alleging the violation of Utah Uniform Trade Secrets Act, intentional interference with existing and prospective economic relations, violation of the Lanham Act (15 U.S.C. § 1125), common law unfair competition, violation of state deceptive trade practices laws, violation of the Utah Computer Abuse and Data Recovery Act (Utah Code § 63D-3-101), and civil conspiracy. The plaintiff seeks damages of over $16,000. The Company disputes these claims and is vigorously defending this action. There is no trial date set. Losses associated with this litigation cannot be estimated and no loss has been recorded as of December 31, 2024 and 2023.</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filed suit against the former exclusive installation company, Freedom Forever, for breach of contract. Freedom Forever filed a counter suit based on a similar claim. The parties completed discovery, and a hearing commenced on May 5,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9 – </w:t>
      </w:r>
      <w:r>
        <w:rPr>
          <w:rFonts w:ascii="Times New Roman" w:cs="Times New Roman" w:eastAsia="Times New Roman" w:hAnsi="Times New Roman"/>
          <w:sz w:val="18"/>
          <w:szCs w:val="18"/>
          <w:i w:val="1"/>
          <w:iCs w:val="1"/>
          <w:color w:val="auto"/>
        </w:rPr>
        <w:t>Litigation Financing and Settlement</w:t>
      </w:r>
      <w:r>
        <w:rPr>
          <w:rFonts w:ascii="Times New Roman" w:cs="Times New Roman" w:eastAsia="Times New Roman" w:hAnsi="Times New Roman"/>
          <w:sz w:val="18"/>
          <w:szCs w:val="18"/>
          <w:color w:val="auto"/>
        </w:rPr>
        <w:t xml:space="preserve"> for further detail on the resolution of the matter with Freedom Forever.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13. </w:t>
      </w:r>
      <w:r>
        <w:rPr>
          <w:rFonts w:ascii="Times New Roman" w:cs="Times New Roman" w:eastAsia="Times New Roman" w:hAnsi="Times New Roman"/>
          <w:sz w:val="18"/>
          <w:szCs w:val="18"/>
          <w:b w:val="1"/>
          <w:bCs w:val="1"/>
          <w:i w:val="1"/>
          <w:iCs w:val="1"/>
          <w:color w:val="auto"/>
        </w:rPr>
        <w:t>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Stock Units (“Incentive Units”)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Parent granted Incentive Units to certain employees of the Company commencing after October 2023 onwards pursuant to the Limited Liability Agreement of Chicken Parm Pizza LLC (the “Agreement”). The Incentive Units granted represent a right to participate in the future appreciation above a predetermined “hurdle amount”. The awards are subject to forfeiture and Company purchase rights based on the terms of the Incentive grant award. The Incentive Units are classified as equity-based awards due to the legal form and participation features of the awards. Any Incentive Units granted by the Company prior to October 2023 were all assigned over to the Parent as Units in the Parent. In respect of the Incentive Units issued by the Parent subsequent to October 2023, the related expense was pushed down to the Company.</w:t>
      </w:r>
    </w:p>
    <w:p>
      <w:pPr>
        <w:sectPr>
          <w:pgSz w:w="11900" w:h="16838" w:orient="portrait"/>
          <w:cols w:equalWidth="0" w:num="1">
            <w:col w:w="11240"/>
          </w:cols>
          <w:pgMar w:left="320" w:top="688" w:right="339" w:bottom="1440" w:gutter="0" w:footer="0" w:header="0"/>
        </w:sectPr>
      </w:pP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Incentive Units for the years ended December 31, 2024 and 2023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543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units outstanding, January 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Forfeited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units outstanding, December 31, 2023</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units outstanding,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Incentive</w:t>
      </w:r>
    </w:p>
    <w:p>
      <w:pPr>
        <w:spacing w:after="0" w:line="3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1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51,087</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1,045</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(8,000)</w:t>
      </w:r>
    </w:p>
    <w:p>
      <w:pPr>
        <w:spacing w:after="0" w:line="3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44,132</w:t>
      </w:r>
    </w:p>
    <w:p>
      <w:pPr>
        <w:spacing w:after="0" w:line="3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2,442</w:t>
      </w:r>
    </w:p>
    <w:p>
      <w:pPr>
        <w:spacing w:after="0" w:line="3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46,574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17145</wp:posOffset>
            </wp:positionV>
            <wp:extent cx="70294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-123190</wp:posOffset>
            </wp:positionH>
            <wp:positionV relativeFrom="paragraph">
              <wp:posOffset>43180</wp:posOffset>
            </wp:positionV>
            <wp:extent cx="70294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00" w:space="720"/>
            <w:col w:w="1020"/>
          </w:cols>
          <w:pgMar w:left="320" w:top="688" w:right="339" w:bottom="1440" w:gutter="0" w:footer="0" w:header="0"/>
          <w:type w:val="continuous"/>
        </w:sect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53" w:name="page254"/>
    <w:bookmarkEnd w:id="253"/>
    <w:p>
      <w:pPr>
        <w:jc w:val="both"/>
        <w:spacing w:after="0" w:line="261" w:lineRule="auto"/>
        <w:rPr>
          <w:sz w:val="20"/>
          <w:szCs w:val="20"/>
          <w:color w:val="auto"/>
        </w:rPr>
      </w:pPr>
      <w:r>
        <w:rPr>
          <w:rFonts w:ascii="Times New Roman" w:cs="Times New Roman" w:eastAsia="Times New Roman" w:hAnsi="Times New Roman"/>
          <w:sz w:val="18"/>
          <w:szCs w:val="18"/>
          <w:color w:val="auto"/>
        </w:rPr>
        <w:t>The Incentive Units were estimated to have de minimis value at the time of the grant due to the high hurdle amount associated with these units and other factors relevant to valuation relating to the Company’s future growth and industry prospects. As such, the Company did not recognize any stock-based compensation relating to these Incentive Units for the years ended December 31, 2024, and 2023. As of December 31, 2024, and 2023, unrecognized compensation cost related to unvested Incentive Units was de minimis.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Award (“Compensation Award”)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Compensation Award provides for a percentage ownership in the Company. These awards entitle the holder to receive a payment from the Company with respect to each vested award held by the holder upon the closing of a Company transaction event (liquidity event) or distribution event, provided such holder is in continuous service with the Company upon the liquidity event or distribution event or was terminated during the thirty (30) calendar days prior to the closing of a Company transaction event as a result of his or her death or permanent disability. The Compensation Award and the liquidity-based bonus plan are liability-classified awards as the settlement at the time of a liquidity event will be in the same form of consideration as received, making the Compensation Award considered to have a cash settlement feature. A liquidity event is defined as including a sale of substantially all of the Company’s assets or more than 90% of outstanding securities of the Company, merger or a consolidation or a similar transaction.</w:t>
      </w:r>
    </w:p>
    <w:p>
      <w:pPr>
        <w:sectPr>
          <w:pgSz w:w="11900" w:h="16838" w:orient="portrait"/>
          <w:cols w:equalWidth="0" w:num="1">
            <w:col w:w="11240"/>
          </w:cols>
          <w:pgMar w:left="320" w:top="688" w:right="3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the Compensation Award for the years ended December 31, 2024, and 2023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543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award outstanding, January 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award outstanding,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award outstanding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Percentage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ownership</w:t>
      </w:r>
    </w:p>
    <w:p>
      <w:pPr>
        <w:spacing w:after="0" w:line="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0%</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0</w:t>
      </w:r>
    </w:p>
    <w:p>
      <w:pPr>
        <w:spacing w:after="0" w:line="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10</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48895</wp:posOffset>
            </wp:positionV>
            <wp:extent cx="70294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80" w:space="720"/>
            <w:col w:w="1140"/>
          </w:cols>
          <w:pgMar w:left="320" w:top="688" w:right="339" w:bottom="1440" w:gutter="0" w:footer="0" w:header="0"/>
          <w:type w:val="continuous"/>
        </w:sectPr>
      </w:pPr>
    </w:p>
    <w:p>
      <w:pPr>
        <w:spacing w:after="0" w:line="1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these awards at the grant date were estimated based on a number of factors including enterprise value, state of the industry and other relevant business conditions. The Company determined that the performance condition as it related to a liquidity event, was not probable, as such, no compensation cost was recognized for these Compensation Awards for the years ended December 31, 2024, and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Based Bonus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liquidity-based bonus plan requires a liquidity event for any payout to happen. The payment will be calculated based on a percentage of Incentive Units held by the employee at the time of the liquidity event multiplied by the amount of net proceeds from an equity sale or an asset sale, in either case capped to the hurdle amount per the Incentive Unit agreement with the employee. The liquidity-based bonus plan requires a liquidity event in order for any payout to happen. A liquidity event is defined as including a sale of substantially all of the Company’s assets or more than 90% of outstanding securities of the Company, merger or a consolidation or a similar transaction. The Company determined that the performance condition as it related to a liquidity event was not probable, as such, no compensation cost was recognized for the bonus plan for the years ended December 31, 2024 and 2023.</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color w:val="auto"/>
        </w:rPr>
        <w:t xml:space="preserve">Note 14. </w:t>
      </w:r>
      <w:r>
        <w:rPr>
          <w:rFonts w:ascii="Times New Roman" w:cs="Times New Roman" w:eastAsia="Times New Roman" w:hAnsi="Times New Roman"/>
          <w:sz w:val="18"/>
          <w:szCs w:val="18"/>
          <w:b w:val="1"/>
          <w:bCs w:val="1"/>
          <w:i w:val="1"/>
          <w:iCs w:val="1"/>
          <w:color w:val="auto"/>
        </w:rPr>
        <w:t>DISCONTINUED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October 30, 2023, the Company discontinued operations of SaaS sales through a spin-off of internally developed software to a related party. In connection with this transaction, the Company entered into a shared services agreement (see Note 11 –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The Company will continue to provide administrative support to the new company for a set monthly fee.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flows related to discontinued operations were not material. The discontinued operations included in the statement of operations and member’s deficit for the year ended December 31, 2023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(6,743)</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321</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10"/>
        </w:trPr>
        <w:tc>
          <w:tcPr>
            <w:tcW w:w="100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from discontinued operations</w:t>
            </w: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10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15. </w:t>
      </w:r>
      <w:r>
        <w:rPr>
          <w:rFonts w:ascii="Times New Roman" w:cs="Times New Roman" w:eastAsia="Times New Roman" w:hAnsi="Times New Roman"/>
          <w:sz w:val="18"/>
          <w:szCs w:val="18"/>
          <w:b w:val="1"/>
          <w:bCs w:val="1"/>
          <w:i w:val="1"/>
          <w:iCs w:val="1"/>
          <w:color w:val="auto"/>
        </w:rPr>
        <w:t>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Management of the Company has evaluated subsequent events through January 9, 2026, which is also the date the financial statements were available to be issued. Except as noted in Note 2 – </w:t>
      </w:r>
      <w:r>
        <w:rPr>
          <w:rFonts w:ascii="Times New Roman" w:cs="Times New Roman" w:eastAsia="Times New Roman" w:hAnsi="Times New Roman"/>
          <w:sz w:val="18"/>
          <w:szCs w:val="18"/>
          <w:i w:val="1"/>
          <w:iCs w:val="1"/>
          <w:color w:val="auto"/>
        </w:rPr>
        <w:t>Liquidity Considerations and Sale of Company,</w:t>
      </w:r>
      <w:r>
        <w:rPr>
          <w:rFonts w:ascii="Times New Roman" w:cs="Times New Roman" w:eastAsia="Times New Roman" w:hAnsi="Times New Roman"/>
          <w:sz w:val="18"/>
          <w:szCs w:val="18"/>
          <w:color w:val="auto"/>
        </w:rPr>
        <w:t xml:space="preserve"> Note 8 </w:t>
      </w:r>
      <w:r>
        <w:rPr>
          <w:rFonts w:ascii="Times New Roman" w:cs="Times New Roman" w:eastAsia="Times New Roman" w:hAnsi="Times New Roman"/>
          <w:sz w:val="18"/>
          <w:szCs w:val="18"/>
          <w:i w:val="1"/>
          <w:iCs w:val="1"/>
          <w:color w:val="auto"/>
        </w:rPr>
        <w:t>– Line of Credit,</w:t>
      </w:r>
      <w:r>
        <w:rPr>
          <w:rFonts w:ascii="Times New Roman" w:cs="Times New Roman" w:eastAsia="Times New Roman" w:hAnsi="Times New Roman"/>
          <w:sz w:val="18"/>
          <w:szCs w:val="18"/>
          <w:color w:val="auto"/>
        </w:rPr>
        <w:t xml:space="preserve"> Note 9 </w:t>
      </w:r>
      <w:r>
        <w:rPr>
          <w:rFonts w:ascii="Times New Roman" w:cs="Times New Roman" w:eastAsia="Times New Roman" w:hAnsi="Times New Roman"/>
          <w:sz w:val="18"/>
          <w:szCs w:val="18"/>
          <w:i w:val="1"/>
          <w:iCs w:val="1"/>
          <w:color w:val="auto"/>
        </w:rPr>
        <w:t>– Litigation Financing and Settlement</w:t>
      </w:r>
      <w:r>
        <w:rPr>
          <w:rFonts w:ascii="Times New Roman" w:cs="Times New Roman" w:eastAsia="Times New Roman" w:hAnsi="Times New Roman"/>
          <w:sz w:val="18"/>
          <w:szCs w:val="18"/>
          <w:color w:val="auto"/>
        </w:rPr>
        <w:t xml:space="preserve"> and below, no other subsequent events were noted during this evaluation that require recognition or disclosure in these financial statements.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19, 2025, the Company was loaned $1,000 by its sole member, who in turn was loaned the funds by one of its owners under a convertible promissory note. This transaction was accounted for as a capital contribution.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24, 2025 (“Closing”), the Member completed the sale of all assets and assumption of all liabilities of its Membership Interests in Sunder to Complete Solaria for aggregate consideration of $57,789. Per the terms of the MIPA, the Member sold all of the outstanding membership interest of Sunder for (1) $20,689 in cash, subject to certain working capital and other adjustments; (2) a promissory note to the Sole Member in the principal amount of $20,000; (3) and 10,000,000 shares of Complete Solaria’s common stock (valued at the closing share price on September 24, 2025, of $1.71 per share), consisting of (i) 3,333,334 shares of Complete Solaria’s common stock and (ii) subject to approval of such issuances by the Complete Solaria’s stockholders, (x) an additional 3,333,333 shares of the Complete Solaria’s common stock to be issued on the 12-month anniversary of the Closing and (y) a further 3,333,333 shares of Complete Solaria’s common stock to be issued on the 18-month anniversary of the Closing.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5" w:name="page256"/>
    <w:bookmarkEnd w:id="2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SUNDER ENERGY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of June 30, 2025 and December 31, 2024 and the six months ended June 30,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6" w:name="page257"/>
    <w:bookmarkEnd w:id="256"/>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4580" w:type="dxa"/>
            <w:vAlign w:val="bottom"/>
            <w:gridSpan w:val="4"/>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3700" w:type="dxa"/>
            <w:vAlign w:val="bottom"/>
          </w:tcPr>
          <w:p>
            <w:pPr>
              <w:spacing w:after="0"/>
              <w:rPr>
                <w:sz w:val="20"/>
                <w:szCs w:val="20"/>
                <w:color w:val="auto"/>
              </w:rPr>
            </w:pPr>
          </w:p>
        </w:tc>
      </w:tr>
      <w:tr>
        <w:trPr>
          <w:trHeight w:val="216"/>
        </w:trPr>
        <w:tc>
          <w:tcPr>
            <w:tcW w:w="2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196"/>
        </w:trPr>
        <w:tc>
          <w:tcPr>
            <w:tcW w:w="75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Balance Sheets as of June 30, 2025 (Unaudited) and December 31, 2024</w:t>
            </w:r>
          </w:p>
        </w:tc>
        <w:tc>
          <w:tcPr>
            <w:tcW w:w="3700" w:type="dxa"/>
            <w:vAlign w:val="bottom"/>
            <w:shd w:val="clear" w:color="auto" w:fill="CCEEFF"/>
          </w:tcPr>
          <w:p>
            <w:pPr>
              <w:ind w:left="2980"/>
              <w:spacing w:after="0" w:line="176" w:lineRule="exact"/>
              <w:rPr>
                <w:sz w:val="20"/>
                <w:szCs w:val="20"/>
                <w:color w:val="auto"/>
              </w:rPr>
            </w:pPr>
            <w:r>
              <w:rPr>
                <w:rFonts w:ascii="Times New Roman" w:cs="Times New Roman" w:eastAsia="Times New Roman" w:hAnsi="Times New Roman"/>
                <w:sz w:val="18"/>
                <w:szCs w:val="18"/>
                <w:color w:val="auto"/>
              </w:rPr>
              <w:t>F-133</w:t>
            </w:r>
          </w:p>
        </w:tc>
      </w:tr>
      <w:tr>
        <w:trPr>
          <w:trHeight w:val="216"/>
        </w:trPr>
        <w:tc>
          <w:tcPr>
            <w:tcW w:w="2960" w:type="dxa"/>
            <w:vAlign w:val="bottom"/>
            <w:tcBorders>
              <w:top w:val="single" w:sz="8" w:color="0000EE"/>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r>
      <w:tr>
        <w:trPr>
          <w:trHeight w:val="196"/>
        </w:trPr>
        <w:tc>
          <w:tcPr>
            <w:tcW w:w="75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Statements of Operations for the six months ended June 30, 2025 and June 30, 2024</w:t>
            </w:r>
          </w:p>
        </w:tc>
        <w:tc>
          <w:tcPr>
            <w:tcW w:w="3700" w:type="dxa"/>
            <w:vAlign w:val="bottom"/>
            <w:shd w:val="clear" w:color="auto" w:fill="CCEEFF"/>
          </w:tcPr>
          <w:p>
            <w:pPr>
              <w:ind w:left="2980"/>
              <w:spacing w:after="0" w:line="176" w:lineRule="exact"/>
              <w:rPr>
                <w:sz w:val="20"/>
                <w:szCs w:val="20"/>
                <w:color w:val="auto"/>
              </w:rPr>
            </w:pPr>
            <w:r>
              <w:rPr>
                <w:rFonts w:ascii="Times New Roman" w:cs="Times New Roman" w:eastAsia="Times New Roman" w:hAnsi="Times New Roman"/>
                <w:sz w:val="18"/>
                <w:szCs w:val="18"/>
                <w:color w:val="auto"/>
              </w:rPr>
              <w:t>F-134</w:t>
            </w:r>
          </w:p>
        </w:tc>
      </w:tr>
      <w:tr>
        <w:trPr>
          <w:trHeight w:val="216"/>
        </w:trPr>
        <w:tc>
          <w:tcPr>
            <w:tcW w:w="2960" w:type="dxa"/>
            <w:vAlign w:val="bottom"/>
            <w:tcBorders>
              <w:top w:val="single" w:sz="8" w:color="0000EE"/>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r>
      <w:tr>
        <w:trPr>
          <w:trHeight w:val="201"/>
        </w:trPr>
        <w:tc>
          <w:tcPr>
            <w:tcW w:w="75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Statements of Changes in Member’s Deficit for the six months ended June 30, 2025 and 2024</w:t>
            </w:r>
          </w:p>
        </w:tc>
        <w:tc>
          <w:tcPr>
            <w:tcW w:w="3700" w:type="dxa"/>
            <w:vAlign w:val="bottom"/>
            <w:tcBorders>
              <w:bottom w:val="single" w:sz="8" w:color="CCEEFF"/>
            </w:tcBorders>
            <w:shd w:val="clear" w:color="auto" w:fill="CCEEFF"/>
          </w:tcPr>
          <w:p>
            <w:pPr>
              <w:ind w:left="2980"/>
              <w:spacing w:after="0" w:line="176" w:lineRule="exact"/>
              <w:rPr>
                <w:sz w:val="20"/>
                <w:szCs w:val="20"/>
                <w:color w:val="auto"/>
              </w:rPr>
            </w:pPr>
            <w:r>
              <w:rPr>
                <w:rFonts w:ascii="Times New Roman" w:cs="Times New Roman" w:eastAsia="Times New Roman" w:hAnsi="Times New Roman"/>
                <w:sz w:val="18"/>
                <w:szCs w:val="18"/>
                <w:color w:val="auto"/>
              </w:rPr>
              <w:t>F-135</w:t>
            </w:r>
          </w:p>
        </w:tc>
      </w:tr>
      <w:tr>
        <w:trPr>
          <w:trHeight w:val="216"/>
        </w:trPr>
        <w:tc>
          <w:tcPr>
            <w:tcW w:w="296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r>
      <w:tr>
        <w:trPr>
          <w:trHeight w:val="196"/>
        </w:trPr>
        <w:tc>
          <w:tcPr>
            <w:tcW w:w="75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Statements of Cash Flows for the six months ended June 30, 2025</w:t>
            </w:r>
          </w:p>
        </w:tc>
        <w:tc>
          <w:tcPr>
            <w:tcW w:w="3700" w:type="dxa"/>
            <w:vAlign w:val="bottom"/>
            <w:shd w:val="clear" w:color="auto" w:fill="CCEEFF"/>
          </w:tcPr>
          <w:p>
            <w:pPr>
              <w:ind w:left="2980"/>
              <w:spacing w:after="0" w:line="176" w:lineRule="exact"/>
              <w:rPr>
                <w:sz w:val="20"/>
                <w:szCs w:val="20"/>
                <w:color w:val="auto"/>
              </w:rPr>
            </w:pPr>
            <w:r>
              <w:rPr>
                <w:rFonts w:ascii="Times New Roman" w:cs="Times New Roman" w:eastAsia="Times New Roman" w:hAnsi="Times New Roman"/>
                <w:sz w:val="18"/>
                <w:szCs w:val="18"/>
                <w:color w:val="auto"/>
              </w:rPr>
              <w:t>F-136</w:t>
            </w:r>
          </w:p>
        </w:tc>
      </w:tr>
      <w:tr>
        <w:trPr>
          <w:trHeight w:val="216"/>
        </w:trPr>
        <w:tc>
          <w:tcPr>
            <w:tcW w:w="2960" w:type="dxa"/>
            <w:vAlign w:val="bottom"/>
            <w:tcBorders>
              <w:top w:val="single" w:sz="8" w:color="0000EE"/>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r>
      <w:tr>
        <w:trPr>
          <w:trHeight w:val="196"/>
        </w:trPr>
        <w:tc>
          <w:tcPr>
            <w:tcW w:w="75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Financial Statements</w:t>
            </w:r>
          </w:p>
        </w:tc>
        <w:tc>
          <w:tcPr>
            <w:tcW w:w="3700" w:type="dxa"/>
            <w:vAlign w:val="bottom"/>
            <w:shd w:val="clear" w:color="auto" w:fill="CCEEFF"/>
          </w:tcPr>
          <w:p>
            <w:pPr>
              <w:ind w:left="2980"/>
              <w:spacing w:after="0" w:line="176" w:lineRule="exact"/>
              <w:rPr>
                <w:sz w:val="20"/>
                <w:szCs w:val="20"/>
                <w:color w:val="auto"/>
              </w:rPr>
            </w:pPr>
            <w:r>
              <w:rPr>
                <w:rFonts w:ascii="Times New Roman" w:cs="Times New Roman" w:eastAsia="Times New Roman" w:hAnsi="Times New Roman"/>
                <w:sz w:val="18"/>
                <w:szCs w:val="18"/>
                <w:color w:val="auto"/>
              </w:rPr>
              <w:t>F-137</w:t>
            </w:r>
          </w:p>
        </w:tc>
      </w:tr>
      <w:tr>
        <w:trPr>
          <w:trHeight w:val="655"/>
        </w:trPr>
        <w:tc>
          <w:tcPr>
            <w:tcW w:w="2960" w:type="dxa"/>
            <w:vAlign w:val="bottom"/>
            <w:tcBorders>
              <w:top w:val="single" w:sz="8" w:color="0000EE"/>
              <w:bottom w:val="single" w:sz="8" w:color="auto"/>
            </w:tcBorders>
          </w:tcPr>
          <w:p>
            <w:pPr>
              <w:spacing w:after="0"/>
              <w:rPr>
                <w:sz w:val="24"/>
                <w:szCs w:val="24"/>
                <w:color w:val="auto"/>
              </w:rPr>
            </w:pPr>
          </w:p>
        </w:tc>
        <w:tc>
          <w:tcPr>
            <w:tcW w:w="2260" w:type="dxa"/>
            <w:vAlign w:val="bottom"/>
            <w:tcBorders>
              <w:top w:val="single" w:sz="8" w:color="CCEEFF"/>
              <w:bottom w:val="single" w:sz="8" w:color="auto"/>
            </w:tcBorders>
          </w:tcPr>
          <w:p>
            <w:pPr>
              <w:spacing w:after="0"/>
              <w:rPr>
                <w:sz w:val="24"/>
                <w:szCs w:val="24"/>
                <w:color w:val="auto"/>
              </w:rPr>
            </w:pPr>
          </w:p>
        </w:tc>
        <w:tc>
          <w:tcPr>
            <w:tcW w:w="2320" w:type="dxa"/>
            <w:vAlign w:val="bottom"/>
            <w:tcBorders>
              <w:top w:val="single" w:sz="8" w:color="CCEEFF"/>
              <w:bottom w:val="single" w:sz="8" w:color="auto"/>
            </w:tcBorders>
            <w:gridSpan w:val="3"/>
          </w:tcPr>
          <w:p>
            <w:pPr>
              <w:jc w:val="center"/>
              <w:ind w:right="1520"/>
              <w:spacing w:after="0"/>
              <w:rPr>
                <w:sz w:val="20"/>
                <w:szCs w:val="20"/>
                <w:color w:val="auto"/>
              </w:rPr>
            </w:pPr>
            <w:r>
              <w:rPr>
                <w:rFonts w:ascii="Times New Roman" w:cs="Times New Roman" w:eastAsia="Times New Roman" w:hAnsi="Times New Roman"/>
                <w:sz w:val="18"/>
                <w:szCs w:val="18"/>
                <w:color w:val="auto"/>
              </w:rPr>
              <w:t>F-132</w:t>
            </w:r>
          </w:p>
        </w:tc>
        <w:tc>
          <w:tcPr>
            <w:tcW w:w="37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57" w:name="page258"/>
    <w:bookmarkEnd w:id="257"/>
    <w:p>
      <w:pPr>
        <w:jc w:val="center"/>
        <w:spacing w:after="0"/>
        <w:rPr>
          <w:sz w:val="20"/>
          <w:szCs w:val="20"/>
          <w:color w:val="auto"/>
        </w:rPr>
      </w:pPr>
      <w:r>
        <w:rPr>
          <w:rFonts w:ascii="Times New Roman" w:cs="Times New Roman" w:eastAsia="Times New Roman" w:hAnsi="Times New Roman"/>
          <w:sz w:val="18"/>
          <w:szCs w:val="18"/>
          <w:b w:val="1"/>
          <w:bCs w:val="1"/>
          <w:color w:val="auto"/>
        </w:rPr>
        <w:t>SUNDER ENERGY LLC</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5,315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Due from related party</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9,830</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13,508</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17,923</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20,600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CEEFF"/>
          </w:tcPr>
          <w:p>
            <w:pPr>
              <w:spacing w:after="0"/>
              <w:rPr>
                <w:sz w:val="21"/>
                <w:szCs w:val="21"/>
                <w:color w:val="auto"/>
              </w:rPr>
            </w:pPr>
          </w:p>
        </w:tc>
      </w:tr>
      <w:tr>
        <w:trPr>
          <w:trHeight w:val="251"/>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18,750</w:t>
            </w:r>
          </w:p>
        </w:tc>
        <w:tc>
          <w:tcPr>
            <w:tcW w:w="22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21,528</w:t>
            </w:r>
          </w:p>
        </w:tc>
        <w:tc>
          <w:tcPr>
            <w:tcW w:w="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DEFICIT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1,402</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11,881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6,511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Line of credit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14,431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17,231</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237</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deficit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(10,984)</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(6,287)</w:t>
            </w:r>
          </w:p>
        </w:tc>
      </w:tr>
      <w:tr>
        <w:trPr>
          <w:trHeight w:val="210"/>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liabilities and member’s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18,750</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21,528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8" w:name="page259"/>
    <w:bookmarkEnd w:id="258"/>
    <w:p>
      <w:pPr>
        <w:jc w:val="center"/>
        <w:spacing w:after="0"/>
        <w:rPr>
          <w:sz w:val="20"/>
          <w:szCs w:val="20"/>
          <w:color w:val="auto"/>
        </w:rPr>
      </w:pPr>
      <w:r>
        <w:rPr>
          <w:rFonts w:ascii="Times New Roman" w:cs="Times New Roman" w:eastAsia="Times New Roman" w:hAnsi="Times New Roman"/>
          <w:sz w:val="18"/>
          <w:szCs w:val="18"/>
          <w:b w:val="1"/>
          <w:bCs w:val="1"/>
          <w:color w:val="auto"/>
        </w:rPr>
        <w:t>SUNDER ENERGY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7"/>
        </w:trPr>
        <w:tc>
          <w:tcPr>
            <w:tcW w:w="86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commissions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33,339</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10,765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771</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628</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11,458</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45,568</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17,279</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(86)</w:t>
            </w:r>
          </w:p>
        </w:tc>
        <w:tc>
          <w:tcPr>
            <w:tcW w:w="100" w:type="dxa"/>
            <w:vAlign w:val="bottom"/>
            <w:gridSpan w:val="2"/>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815</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10"/>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(5,681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(4,620</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9" w:name="page260"/>
    <w:bookmarkEnd w:id="259"/>
    <w:p>
      <w:pPr>
        <w:jc w:val="center"/>
        <w:spacing w:after="0"/>
        <w:rPr>
          <w:sz w:val="20"/>
          <w:szCs w:val="20"/>
          <w:color w:val="auto"/>
        </w:rPr>
      </w:pPr>
      <w:r>
        <w:rPr>
          <w:rFonts w:ascii="Times New Roman" w:cs="Times New Roman" w:eastAsia="Times New Roman" w:hAnsi="Times New Roman"/>
          <w:sz w:val="18"/>
          <w:szCs w:val="18"/>
          <w:b w:val="1"/>
          <w:bCs w:val="1"/>
          <w:color w:val="auto"/>
        </w:rPr>
        <w:t>SUNDER ENERGY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STATEMENTS OF CHANGES IN MEMBER’S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deficit as of January 1, 2025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(5,681)</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contribution</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1,000</w:t>
            </w: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w:t>
            </w:r>
          </w:p>
        </w:tc>
        <w:tc>
          <w:tcPr>
            <w:tcW w:w="3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deficit as of June 30, 2025</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deficit as of January 1, 2024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contribution</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1,800</w:t>
            </w: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w:t>
            </w:r>
          </w:p>
        </w:tc>
        <w:tc>
          <w:tcPr>
            <w:tcW w:w="3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deficit as of June 30, 2024</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0" w:name="page261"/>
    <w:bookmarkEnd w:id="260"/>
    <w:p>
      <w:pPr>
        <w:jc w:val="center"/>
        <w:spacing w:after="0"/>
        <w:rPr>
          <w:sz w:val="20"/>
          <w:szCs w:val="20"/>
          <w:color w:val="auto"/>
        </w:rPr>
      </w:pPr>
      <w:r>
        <w:rPr>
          <w:rFonts w:ascii="Times New Roman" w:cs="Times New Roman" w:eastAsia="Times New Roman" w:hAnsi="Times New Roman"/>
          <w:sz w:val="18"/>
          <w:szCs w:val="18"/>
          <w:b w:val="1"/>
          <w:bCs w:val="1"/>
          <w:color w:val="auto"/>
        </w:rPr>
        <w:t>SUNDER ENERGY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gridSpan w:val="5"/>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7"/>
        </w:trPr>
        <w:tc>
          <w:tcPr>
            <w:tcW w:w="8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(5,681)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from related entity</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559</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5,370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1,796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10,957</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Borrowing on line of credit</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contributions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1,800</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w:t>
            </w:r>
          </w:p>
        </w:tc>
        <w:tc>
          <w:tcPr>
            <w:tcW w:w="14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at beginning of period</w:t>
            </w: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5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Cash and restricted cash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2,778</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1,994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762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1,524</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2,016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2,018</w:t>
            </w:r>
          </w:p>
        </w:tc>
      </w:tr>
      <w:tr>
        <w:trPr>
          <w:trHeight w:val="25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Cash and restricted cash</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2,778</w:t>
            </w:r>
          </w:p>
        </w:tc>
        <w:tc>
          <w:tcPr>
            <w:tcW w:w="22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3,542</w:t>
            </w:r>
          </w:p>
        </w:tc>
        <w:tc>
          <w:tcPr>
            <w:tcW w:w="100" w:type="dxa"/>
            <w:vAlign w:val="bottom"/>
            <w:tcBorders>
              <w:top w:val="single" w:sz="8" w:color="CCEEFF"/>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1" w:name="page262"/>
    <w:bookmarkEnd w:id="261"/>
    <w:p>
      <w:pPr>
        <w:jc w:val="center"/>
        <w:spacing w:after="0"/>
        <w:rPr>
          <w:sz w:val="20"/>
          <w:szCs w:val="20"/>
          <w:color w:val="auto"/>
        </w:rPr>
      </w:pPr>
      <w:r>
        <w:rPr>
          <w:rFonts w:ascii="Times New Roman" w:cs="Times New Roman" w:eastAsia="Times New Roman" w:hAnsi="Times New Roman"/>
          <w:sz w:val="18"/>
          <w:szCs w:val="18"/>
          <w:b w:val="1"/>
          <w:bCs w:val="1"/>
          <w:color w:val="auto"/>
        </w:rPr>
        <w:t>SUNDER ENERGY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b w:val="1"/>
          <w:bCs w:val="1"/>
          <w:i w:val="1"/>
          <w:iCs w:val="1"/>
          <w:color w:val="auto"/>
        </w:rPr>
        <w:t>BUSINESS AND 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 and Organization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Sunder Energy LLC (“the Company”) was established as a limited liability company in 2019 under the laws of the State of Delaware. The Company provides a third-party solar energy sales force to initiate and execute contracts with customers throughout the United States. The Company’s sales force works with solar installation companies in which the Company acts as the agent for each transaction entered.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and accompanying notes have been prepared in accordance with generally accepted accounting principles (“U.S. GAAP”).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U.S. GAAP requires management to make estimates and assumptions that affect the amounts of assets and liabilities and disclosures of contingent assets and liabilities reported in these financial statements and accompanying notes. The Company bases its estimates on historical experience and various other assumptions believed to be reasonable. Actual financial results could materially differ from those estimates. Significant estimates include financial credit losses, valuation of contingencies such as litigation and the incremental borrowing rate used in discounting of lease liabilities.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that may be exposed to concentrations of credit risk consist primarily of temporary cash investments and accounts receivable. The Company maintains its cash balances at financial institutions. At times, such balances may exceed federally insured limits. The Company has not experienced any losses in such accounts. The Company believes it is not exposed to any significant credit risk on cash.</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Customers, A, B and C accounted for 20%, 15% and 11%, of the Company’s revenue, respectively, for the six months ended June 30, 2025. Customers A, B and D accounted for 27%, 12% and 10% of the Company’s revenue, respectively, for the six months ended June 30,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Customers E and F accounted for 27% and 12%, respectively, of the Company’s trade accounts receivable balance. As of December 31, 2024, Customers E and G accounted for 50% and 12%, respectively, of the Company’s trade accounts receivable. As of December 31, 2023, there were no trade accounts receivable concentrations.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cash represents cash balances that are subject to contractual restrictions related to the Company’s litigation financing agreement. Restricted cash is included with cash and cash equivalents when reconciling beginning and ending balances on the Company’s statements of cash flows and is classified as current on the Company’s balance sheet based on the expected timing of its accessibility.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Trade accounts receivable represent amounts reported by the installation companies where revenue has been recognized but that have not been paid. The Company has amounts due from sales representatives related to transaction fees on advances to the sales representatives, commission and bonus overpayments, and contractor advances. Contractor advances have no set repayment terms and have been included as a current asset based on when repayment is expected.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an allowance for credit losses attributable to customers. These allowances are based upon current market conditions such as how installation partners are performing, if the installation partner is known to have financial or other performance issues, and historical losses incurred by the Company related to installation partners. The Company also maintains an allowance for credit losses attributable to amounts due from its sales representatives. The allowance for credit losses due from its sales representatives is estimated based upon an understanding of sales representatives’ selling activity, whether the sales representative is currently active, or if departed from the Company, the length of time that such sales representative was last active. Actual credit losses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Prepaid expenses and other current assets include amounts paid in advance for services to be received within one year, such as prepaid commissions, bonuses paid to sales representatives, and other customary prepaid expenses arising in the ordinary course of business. These amounts are recognized as expense when the associated services are utilized. Commissions are paid to sales representatives and recorded as prepaid commissions prior to the respective sale’s recognition as revenue by the Company. If the sale is cancelled, these commissions must be refunded to the Company. Commissions are recognized as Sales commissions within the Company’s statement of operations when the related revenue is recognized.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and are composed of personal property used in the business. Depreciation is computed using the straight- line method over the assets’ estimated useful lives that are estimated at 5 years or the remaining term of the lease for leasehold improvements, 5 years for computer equipment, and 7 years for furniture and fixtures. Expenditures for repairs and maintenance are charged to expense when incurred. Expenses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statement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at the inception of a contract. The lease classification is determined at the commencement date. Right-of-use assets represent the Company’s right to use an underlying asset for the lease term and lease liabilities represent the Company’s obligation to make lease payments arising from the lease during the lease term. Right-of-use assets and lease liabilities are recognized at the commencement date based on the present value of the remaining future minimum lease payments during the lease term. Lease commencement is the date the Company has the right to control the property. The Company utilizes its incremental borrowing rate to discount the lease payments. Operating leases are expensed on a straight-line basis over the lease term. The Company recognizes an expense for these leases on a straight-line basis over the lease term. Short-term leases are those leases with an initial term of 12 months or less and are not recorded on the Company’s balance sheet. The Company did not have any short-term leases as of and for the periods ended June 30, 2025 and 2024.</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consist of deferred revenue and customer advances, which represent consideration received from a customer for revenue not yet recognized. Such consideration is accounted for as contract liabilities prior to achieving permission to operate (“PTO”).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Financial Accounting Standards Board (“FASB”) Accounting Standards Codification (“ASC”) Topic 606, Revenue from Contracts with Customers and related amendments, revenue is recognized when promised goods or services are transferred to customers in an amount that reflects the consideration to which the Company expects to be entitled in exchange for those goods and services.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earns sales revenue based on residential solar installation contracts for residential homeowners that are sold to installation companies in accordance with the Company’s contracts with those installation companies (the “Customer”). Upon entering into a sales contract, the requisite performance obligation of the Company is to assist the customer in the progress of the installation and obtain PTO. PTO typically occurs within 3 to 6 months after the initial sale, but can happen as early as two months or as late as twelve months after the sale.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contracts are signed by customers, initial payments are received from the installation companies and are subsequently passed down directly to the sales representative who made the sale. If the homeowner in the end decides not to go through with the installation, this amount will be returned to the installation companies. Sales representatives are not entitled to receive commissions on a sale unless funds are received from the installation company for that sale. Total sales revenue for each contract is based on the size of the system, baseline rate, and funding method used. The Company records sales revenue at a point in time when the homeowner has received permission to turn the system on. The Company records revenue as the total amount to be paid out by the installation company to the Company. As the Company is only acting as the agent in the situation, it records revenue on a net basis.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have any significant financing components. Due to being a service provider, the Company is not obligated to warranty installed systems, and therefore the Company has not recorded a reserve for warranty work.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as of June 30, 2025 and December 31,2024 consist of deferred revenue of $14,431 and $17,231, respectively. Revenue for the six months ended June 30, 2025 that was included in the contract liabilities balance at the beginning of the period was $14,644.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income is passed through to the members for income tax purposes and therefore, no provision for federal and state income taxes has been provided for in these statements.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Tax penalties and interest, if any, would be classified with income tax expenses in the financial statements. No tax penalties or interest have been incurred or are recognized in the financial statements. Generally, three tax years remain subject to examination by tax jurisdictions.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Promotions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costs associated with advertising and promoting the Company’s goods and services are expensed in the years incurred. Advertising expense totaled $766 and $806 for the six months ended June 30, 2025 and 2024,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Liability of Member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Chicken Parm Pizza, LLC is the sole member (“Parent”, “Sole Member” or “Member”) of the Company. The rights and obligations as the Sole Member of the Company are governed by the Second Amended and Restated Limited Liability Company Agreement of Sunder Energy LLC dated as of October 30, 2023 (the “Operating Agreement”). The Operating Agreement provides that the liabilities of the Company shall be solely the liabilities of the Company, and the member shall not be obligated for any such liability solely by reason of being a member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entered into a Compensation Award plan and a liquidity-based bonus plan award with a cash settlement feature conditioned upon the closing of a liquidity event. These awards are classified as liability awards. Liability classified stock awards are remeasured at fair value each reporting period until settlement, with changes in fair value recognized in compensation expense.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also entered incentive award agreements with certain employees under which the Parent company’s incentive units may be issued upon satisfaction of specified service and/or performance conditions. The awards are classified as equity awards in accordance with ASC 718,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b w:val="1"/>
          <w:bCs w:val="1"/>
          <w:i w:val="1"/>
          <w:iCs w:val="1"/>
          <w:color w:val="auto"/>
        </w:rPr>
        <w:t>GOING CONCERN AND SALE OF COMPANY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of the Company has assessed the Company’s liquidity position. As of June 30, 2025, the Company has incurred net losses for the past two years and the six months ended June 30, 2025, and is experiencing liquidity constraints. The members intend to provide additional capital contributions, as necessary, to fund operations and meet the Company’s financial obligations, however, there can be no assurance that such contributions will be made or if made, sufficient to fund the Company’s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Therefore, there is substantial doubt about the Company’s ability to continue as a going concern within one year after the date that the unaudited financial statements are issued. The accompanying unaudited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September 21, 2025, the Company entered into a Membership Interest Purchase Agreement (“MIPA”) between the Company, the Sole Member and Complete Solaria, Inc., and Complete Solar, Inc., a subsidiary of Complete Solaria (collectively “Complete Solaria”) to sell all of the member’s interest in Sunder. The sale of Sunder was completed on September 24, 2025. Refer to Note 14 –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for a further discussion of the sale of the Company.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5" w:name="page266"/>
    <w:bookmarkEnd w:id="265"/>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b w:val="1"/>
                <w:bCs w:val="1"/>
                <w:i w:val="1"/>
                <w:iCs w:val="1"/>
                <w:color w:val="auto"/>
              </w:rPr>
              <w:t>ACCOUNTS RECEIVABLE, NET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Amounts comprising accounts receivable are as follows</w:t>
            </w:r>
            <w:r>
              <w:rPr>
                <w:rFonts w:ascii="Times New Roman" w:cs="Times New Roman" w:eastAsia="Times New Roman" w:hAnsi="Times New Roman"/>
                <w:sz w:val="18"/>
                <w:szCs w:val="18"/>
                <w:i w:val="1"/>
                <w:iCs w:val="1"/>
                <w:color w:val="auto"/>
              </w:rPr>
              <w: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8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7"/>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gridSpan w:val="2"/>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(548)</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(286)</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Contractor advances receivable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fee receivable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Commissions overpayment receivable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1,574</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(487)</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due from sales representatives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 accounts receivable,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5,315</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2,991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w:t>
      </w:r>
      <w:r>
        <w:rPr>
          <w:rFonts w:ascii="Times New Roman" w:cs="Times New Roman" w:eastAsia="Times New Roman" w:hAnsi="Times New Roman"/>
          <w:sz w:val="18"/>
          <w:szCs w:val="18"/>
          <w:b w:val="1"/>
          <w:bCs w:val="1"/>
          <w:i w:val="1"/>
          <w:iCs w:val="1"/>
          <w:color w:val="auto"/>
        </w:rPr>
        <w:t>. ALLOWANCE FOR CREDIT LOSSES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allowances for credit losses for receivables by portfolio segment and the related activity for the six months ended June 30, 2025 and 2024, are as follows</w:t>
      </w:r>
      <w:r>
        <w:rPr>
          <w:rFonts w:ascii="Times New Roman" w:cs="Times New Roman" w:eastAsia="Times New Roman" w:hAnsi="Times New Roman"/>
          <w:sz w:val="18"/>
          <w:szCs w:val="18"/>
          <w:i w:val="1"/>
          <w:iCs w:val="1"/>
          <w:color w:val="auto"/>
        </w:rPr>
        <w: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140" w:type="dxa"/>
            <w:vAlign w:val="bottom"/>
            <w:tcBorders>
              <w:bottom w:val="single" w:sz="8" w:color="auto"/>
            </w:tcBorders>
            <w:gridSpan w:val="10"/>
          </w:tcPr>
          <w:p>
            <w:pPr>
              <w:ind w:left="120"/>
              <w:spacing w:after="0"/>
              <w:rPr>
                <w:sz w:val="20"/>
                <w:szCs w:val="20"/>
                <w:color w:val="auto"/>
              </w:rPr>
            </w:pPr>
            <w:r>
              <w:rPr>
                <w:rFonts w:ascii="Times New Roman" w:cs="Times New Roman" w:eastAsia="Times New Roman" w:hAnsi="Times New Roman"/>
                <w:sz w:val="18"/>
                <w:szCs w:val="18"/>
                <w:b w:val="1"/>
                <w:bCs w:val="1"/>
                <w:color w:val="auto"/>
              </w:rPr>
              <w:t>As of and for the six months ended June 30, 2025</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Accounts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6"/>
              </w:rPr>
              <w:t>Transaction</w:t>
            </w:r>
          </w:p>
        </w:tc>
        <w:tc>
          <w:tcPr>
            <w:tcW w:w="100" w:type="dxa"/>
            <w:vAlign w:val="bottom"/>
          </w:tcPr>
          <w:p>
            <w:pPr>
              <w:spacing w:after="0"/>
              <w:rPr>
                <w:sz w:val="16"/>
                <w:szCs w:val="16"/>
                <w:color w:val="auto"/>
              </w:rPr>
            </w:pPr>
          </w:p>
        </w:tc>
        <w:tc>
          <w:tcPr>
            <w:tcW w:w="1220" w:type="dxa"/>
            <w:vAlign w:val="bottom"/>
            <w:gridSpan w:val="2"/>
          </w:tcPr>
          <w:p>
            <w:pPr>
              <w:jc w:val="right"/>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Contractor</w:t>
            </w:r>
          </w:p>
        </w:tc>
        <w:tc>
          <w:tcPr>
            <w:tcW w:w="1320" w:type="dxa"/>
            <w:vAlign w:val="bottom"/>
            <w:gridSpan w:val="3"/>
          </w:tcPr>
          <w:p>
            <w:pPr>
              <w:jc w:val="right"/>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Commissions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receivable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fees</w:t>
            </w:r>
          </w:p>
        </w:tc>
        <w:tc>
          <w:tcPr>
            <w:tcW w:w="100" w:type="dxa"/>
            <w:vAlign w:val="bottom"/>
          </w:tcPr>
          <w:p>
            <w:pPr>
              <w:spacing w:after="0"/>
              <w:rPr>
                <w:sz w:val="21"/>
                <w:szCs w:val="21"/>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advances</w:t>
            </w:r>
          </w:p>
        </w:tc>
        <w:tc>
          <w:tcPr>
            <w:tcW w:w="120" w:type="dxa"/>
            <w:vAlign w:val="bottom"/>
          </w:tcPr>
          <w:p>
            <w:pPr>
              <w:spacing w:after="0"/>
              <w:rPr>
                <w:sz w:val="21"/>
                <w:szCs w:val="21"/>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100" w:type="dxa"/>
            <w:vAlign w:val="bottom"/>
            <w:tcBorders>
              <w:bottom w:val="single" w:sz="8" w:color="auto"/>
            </w:tcBorders>
            <w:gridSpan w:val="11"/>
          </w:tcPr>
          <w:p>
            <w:pPr>
              <w:ind w:left="80"/>
              <w:spacing w:after="0"/>
              <w:rPr>
                <w:sz w:val="20"/>
                <w:szCs w:val="20"/>
                <w:color w:val="auto"/>
              </w:rPr>
            </w:pPr>
            <w:r>
              <w:rPr>
                <w:rFonts w:ascii="Times New Roman" w:cs="Times New Roman" w:eastAsia="Times New Roman" w:hAnsi="Times New Roman"/>
                <w:sz w:val="18"/>
                <w:szCs w:val="18"/>
                <w:b w:val="1"/>
                <w:bCs w:val="1"/>
                <w:color w:val="auto"/>
              </w:rPr>
              <w:t>As of and for the six months ended June 30, 2024</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21"/>
              <w:spacing w:after="0" w:line="194" w:lineRule="exact"/>
              <w:rPr>
                <w:sz w:val="20"/>
                <w:szCs w:val="20"/>
                <w:color w:val="auto"/>
              </w:rPr>
            </w:pPr>
            <w:r>
              <w:rPr>
                <w:rFonts w:ascii="Times New Roman" w:cs="Times New Roman" w:eastAsia="Times New Roman" w:hAnsi="Times New Roman"/>
                <w:sz w:val="18"/>
                <w:szCs w:val="18"/>
                <w:b w:val="1"/>
                <w:bCs w:val="1"/>
                <w:color w:val="auto"/>
                <w:w w:val="98"/>
              </w:rPr>
              <w:t>Accounts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6"/>
              </w:rPr>
              <w:t>Transaction</w:t>
            </w:r>
          </w:p>
        </w:tc>
        <w:tc>
          <w:tcPr>
            <w:tcW w:w="100" w:type="dxa"/>
            <w:vAlign w:val="bottom"/>
          </w:tcPr>
          <w:p>
            <w:pPr>
              <w:spacing w:after="0"/>
              <w:rPr>
                <w:sz w:val="16"/>
                <w:szCs w:val="16"/>
                <w:color w:val="auto"/>
              </w:rPr>
            </w:pPr>
          </w:p>
        </w:tc>
        <w:tc>
          <w:tcPr>
            <w:tcW w:w="120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Contractor</w:t>
            </w:r>
          </w:p>
        </w:tc>
        <w:tc>
          <w:tcPr>
            <w:tcW w:w="20" w:type="dxa"/>
            <w:vAlign w:val="bottom"/>
          </w:tcPr>
          <w:p>
            <w:pPr>
              <w:spacing w:after="0"/>
              <w:rPr>
                <w:sz w:val="16"/>
                <w:szCs w:val="16"/>
                <w:color w:val="auto"/>
              </w:rPr>
            </w:pPr>
          </w:p>
        </w:tc>
        <w:tc>
          <w:tcPr>
            <w:tcW w:w="132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5"/>
        </w:trPr>
        <w:tc>
          <w:tcPr>
            <w:tcW w:w="4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receivable</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fees</w:t>
            </w:r>
          </w:p>
        </w:tc>
        <w:tc>
          <w:tcPr>
            <w:tcW w:w="100" w:type="dxa"/>
            <w:vAlign w:val="bottom"/>
          </w:tcPr>
          <w:p>
            <w:pPr>
              <w:spacing w:after="0"/>
              <w:rPr>
                <w:sz w:val="21"/>
                <w:szCs w:val="21"/>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advances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receivable</w:t>
            </w:r>
          </w:p>
        </w:tc>
        <w:tc>
          <w:tcPr>
            <w:tcW w:w="220" w:type="dxa"/>
            <w:vAlign w:val="bottom"/>
          </w:tcPr>
          <w:p>
            <w:pPr>
              <w:spacing w:after="0"/>
              <w:rPr>
                <w:sz w:val="21"/>
                <w:szCs w:val="21"/>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4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2"/>
        </w:trPr>
        <w:tc>
          <w:tcPr>
            <w:tcW w:w="5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Note 5</w:t>
            </w:r>
            <w:r>
              <w:rPr>
                <w:rFonts w:ascii="Times New Roman" w:cs="Times New Roman" w:eastAsia="Times New Roman" w:hAnsi="Times New Roman"/>
                <w:sz w:val="18"/>
                <w:szCs w:val="18"/>
                <w:b w:val="1"/>
                <w:bCs w:val="1"/>
                <w:i w:val="1"/>
                <w:iCs w:val="1"/>
                <w:color w:val="auto"/>
              </w:rPr>
              <w:t>. PREPAID EXPENSES AND OTHER CURRENT ASSETS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Amounts comprising prepaid expenses and other current assets are as follows</w:t>
            </w:r>
            <w:r>
              <w:rPr>
                <w:rFonts w:ascii="Times New Roman" w:cs="Times New Roman" w:eastAsia="Times New Roman" w:hAnsi="Times New Roman"/>
                <w:sz w:val="18"/>
                <w:szCs w:val="18"/>
                <w:i w:val="1"/>
                <w:iCs w:val="1"/>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2"/>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1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gridSpan w:val="2"/>
          </w:tcPr>
          <w:p>
            <w:pPr>
              <w:spacing w:after="0"/>
              <w:rPr>
                <w:sz w:val="16"/>
                <w:szCs w:val="16"/>
                <w:color w:val="auto"/>
              </w:rPr>
            </w:pPr>
          </w:p>
        </w:tc>
      </w:tr>
      <w:tr>
        <w:trPr>
          <w:trHeight w:val="245"/>
        </w:trPr>
        <w:tc>
          <w:tcPr>
            <w:tcW w:w="46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commissions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Bonus install commitment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tcPr>
          <w:p>
            <w:pPr>
              <w:spacing w:after="0"/>
              <w:rPr>
                <w:sz w:val="18"/>
                <w:szCs w:val="18"/>
                <w:color w:val="auto"/>
              </w:rPr>
            </w:pPr>
          </w:p>
        </w:tc>
      </w:tr>
      <w:tr>
        <w:trPr>
          <w:trHeight w:val="24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CEEFF"/>
          </w:tcPr>
          <w:p>
            <w:pPr>
              <w:spacing w:after="0"/>
              <w:rPr>
                <w:sz w:val="21"/>
                <w:szCs w:val="21"/>
                <w:color w:val="auto"/>
              </w:rPr>
            </w:pPr>
          </w:p>
        </w:tc>
      </w:tr>
      <w:tr>
        <w:trPr>
          <w:trHeight w:val="210"/>
        </w:trPr>
        <w:tc>
          <w:tcPr>
            <w:tcW w:w="46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9,830</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13,508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recognized $10,527 of commission expense in the six months ended June 30, 2025, that was included in the deferred commission balance at the beginning of the period.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6" w:name="page267"/>
    <w:bookmarkEnd w:id="266"/>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w:t>
            </w:r>
            <w:r>
              <w:rPr>
                <w:rFonts w:ascii="Times New Roman" w:cs="Times New Roman" w:eastAsia="Times New Roman" w:hAnsi="Times New Roman"/>
                <w:sz w:val="18"/>
                <w:szCs w:val="18"/>
                <w:b w:val="1"/>
                <w:bCs w:val="1"/>
                <w:i w:val="1"/>
                <w:iCs w:val="1"/>
                <w:color w:val="auto"/>
              </w:rPr>
              <w:t>. PROPERTY AND EQUIPMENT, NET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cost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260</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Depreciation expense for the six months ended June 30, 2025 and 2024 was $40 and $39, respectively</w:t>
            </w: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b w:val="1"/>
                <w:bCs w:val="1"/>
                <w:i w:val="1"/>
                <w:iCs w:val="1"/>
                <w:color w:val="auto"/>
              </w:rPr>
              <w:t>ACCRUED EXPENSES AND OTHER CURRENT LIABILITIES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are as follows: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salaries, wages and related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Commissions payable</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3,177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1,814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payable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8,195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4,136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card obligation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317</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b w:val="1"/>
          <w:bCs w:val="1"/>
          <w:i w:val="1"/>
          <w:iCs w:val="1"/>
          <w:color w:val="auto"/>
        </w:rPr>
        <w:t>LINE OF CREDIT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During the year ended December 31, 2023, the Company entered into an unsecured line of credit (“LOC”) agreement with a borrowing limit of $3,000. The LOC had a fixed interest rate of 7.5% and was scheduled to mature on June 30, 2025. The outstanding balance on the line was $2,250 as of June 30, 2025 and December 31, 2024. The LOC was repaid in September 2025 in connection with the sale of the membership interest in the Company. Refer to Note 2 – </w:t>
      </w:r>
      <w:r>
        <w:rPr>
          <w:rFonts w:ascii="Times New Roman" w:cs="Times New Roman" w:eastAsia="Times New Roman" w:hAnsi="Times New Roman"/>
          <w:sz w:val="18"/>
          <w:szCs w:val="18"/>
          <w:i w:val="1"/>
          <w:iCs w:val="1"/>
          <w:color w:val="auto"/>
        </w:rPr>
        <w:t xml:space="preserve">Liquidity Considerations and Sale of Company </w:t>
      </w:r>
      <w:r>
        <w:rPr>
          <w:rFonts w:ascii="Times New Roman" w:cs="Times New Roman" w:eastAsia="Times New Roman" w:hAnsi="Times New Roman"/>
          <w:sz w:val="18"/>
          <w:szCs w:val="18"/>
          <w:color w:val="auto"/>
        </w:rPr>
        <w:t>for discussion of the sale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b w:val="1"/>
          <w:bCs w:val="1"/>
          <w:i w:val="1"/>
          <w:iCs w:val="1"/>
          <w:color w:val="auto"/>
        </w:rPr>
        <w:t>LITIGATION FINANCING AND SETTLEMENT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filed suit against the former exclusive installation company, Freedom Forever, LLC (“Freedom Forever”) for breach of contract. Freedom Forever filed a counter suit based on a similar claim. The parties completed discovery, and a hearing commenced on May 5,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During the six months ended June 30, 2024, the Company filed a claim for, and received, $800 in insurance proceeds for loss of key employees and for business litigation in connection with the dispute with Freedom Forever. Of this amount $500 was received from the Company’s insurance captive, a related party. Refer to Note 11 –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for detail. These proceeds are presented within Other income, net on the statement of operations and member’s deficit.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7" w:name="page268"/>
    <w:bookmarkEnd w:id="267"/>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October 2024, the Company obtained litigation funding of $3,400 via a funding and investment agreement from a third party. The investment will be repaid upon settlement of the associated Freedom Forever lawsuit. If the outcome is in favor of the Company, then the investor will be repaid the full investment amount plus a multiple of the investment, dependent on timing between the closing date and the date of repayment. If the lawsuit is mutually settled or is in favor of the defendant, the Company may be liable to pay up to $2,000 to the investor and a portion of proceeds up to the original investment amount. The investor has a security interest in the proceeds of the lawsuit, and the Company may not encumber or pledge the proceeds to any other party. The repayment of the funding received is contingent upon future events which does not meet the criteria under ASC 470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(“ASC 470”), to be accounted for as debt. Accordingly, the Company concluded that while the litigation funding did not meet the criteria to be accounted for as debt under ASC 470, it may be accounted for as a contingent obligation under ASC 450 –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with no balance sheet recognition as of the reporting date. The cash received via the funding and investment agreement has been recorded as other income on the Statement of Operations for the fiscal year December 31, 2024.</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15, 2025, the arbitrator issued a final and binding award in the Company’s arbitration proceeding against Freedom Forever. The Company was awarded $6,772 in net damages inclusive of interest of 10%. The decision fully resolves all claims between the parties as it relates to this matter and provides a clear and enforceable outcome in the Company’s favor. The Company is required to pay these proceeds to the investor that provided litigation funding. On September 22, 2025, the Company entered into a settlement agreement (“Settlement Agreement”) with Freedom Forever with respect to the Company’s outstanding litigation matters with Freedom Forever. The Settlement Agreement became a global settlement to include further resolution on the amount owed by Freedom Forever as a result of the arbitration decision. In full settlement of all pending matters, the Company subsequently agreed to a modification of the damage award from $6,772 to a $4,000 settlement with Freedom Forever. Freedom Forever agreed to pay the Company in four installments of $1,000 on or about October 6, 2025, November 5, 2025, December 5, 2025 and January 4, 2026. Management worked with the litigation finance investor and agreed that the Company would pay any of the $4,000 received from Freedom Forever to the litigation finance investor, plus an additional $250. The Company remitted the $250 on September 24, 2025. To date, none of the installment payments has been received from Freedom Forever and no amounts have been recognized in the financial statements related to the Settlement Agreement or payment of the litigation funding investment. The Company’s obligation to pay the litigation finance investor is only required when Freedom Forever makes a payment to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w:t>
      </w:r>
      <w:r>
        <w:rPr>
          <w:rFonts w:ascii="Times New Roman" w:cs="Times New Roman" w:eastAsia="Times New Roman" w:hAnsi="Times New Roman"/>
          <w:sz w:val="18"/>
          <w:szCs w:val="18"/>
          <w:b w:val="1"/>
          <w:bCs w:val="1"/>
          <w:i w:val="1"/>
          <w:iCs w:val="1"/>
          <w:color w:val="auto"/>
        </w:rPr>
        <w:t>. 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certain office space through a non-cancelable operating lease. The Company assesses whether an arrangement qualifies as a lease (i.e., conveys the right to control the use of an identified asset for a period of time in exchange for consideration) at inception and only reassesses its determination if the terms and conditions of the arrangement are changed. Leases may include one or more options to renew. The exercise of any lease renewal option is at the Company’s sole discretion.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the operating lease components recorded in the Company’s balance sheets as of June 30, 2025 and December 31, 2024</w:t>
      </w:r>
      <w:r>
        <w:rPr>
          <w:rFonts w:ascii="Times New Roman" w:cs="Times New Roman" w:eastAsia="Times New Roman" w:hAnsi="Times New Roman"/>
          <w:sz w:val="18"/>
          <w:szCs w:val="18"/>
          <w:i w:val="1"/>
          <w:iCs w:val="1"/>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340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operating lease liability</w:t>
            </w:r>
          </w:p>
        </w:tc>
        <w:tc>
          <w:tcPr>
            <w:tcW w:w="160" w:type="dxa"/>
            <w:vAlign w:val="bottom"/>
          </w:tcPr>
          <w:p>
            <w:pPr>
              <w:spacing w:after="0"/>
              <w:rPr>
                <w:sz w:val="20"/>
                <w:szCs w:val="20"/>
                <w:color w:val="auto"/>
              </w:rPr>
            </w:pPr>
          </w:p>
        </w:tc>
        <w:tc>
          <w:tcPr>
            <w:tcW w:w="11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362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totaled $58 and $53 for the six months ended June 30, 2025 and 2024,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8" w:name="page269"/>
    <w:bookmarkEnd w:id="26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Because the Company generally does not have access to the rate implicit in a lease, the Company uses its incremental borrowing rate to determine the present value of its leases.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weighted average remaining lease term and discount rates for the Company’s operating leases: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tcPr>
          <w:p>
            <w:pPr>
              <w:spacing w:after="0"/>
              <w:rPr>
                <w:sz w:val="21"/>
                <w:szCs w:val="21"/>
                <w:color w:val="auto"/>
              </w:rPr>
            </w:pPr>
          </w:p>
        </w:tc>
        <w:tc>
          <w:tcPr>
            <w:tcW w:w="1620" w:type="dxa"/>
            <w:vAlign w:val="bottom"/>
            <w:tcBorders>
              <w:bottom w:val="single" w:sz="8" w:color="auto"/>
            </w:tcBorders>
            <w:gridSpan w:val="4"/>
          </w:tcPr>
          <w:p>
            <w:pPr>
              <w:ind w:left="10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8600" w:type="dxa"/>
            <w:vAlign w:val="bottom"/>
          </w:tcPr>
          <w:p>
            <w:pPr>
              <w:spacing w:after="0"/>
              <w:rPr>
                <w:sz w:val="18"/>
                <w:szCs w:val="18"/>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86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2.67 years</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7"/>
              </w:rPr>
              <w:t>3.17 years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3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41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The future maturities of the operating lease liabilities as of June 30, 2025, were as follows</w:t>
            </w:r>
            <w:r>
              <w:rPr>
                <w:rFonts w:ascii="Times New Roman" w:cs="Times New Roman" w:eastAsia="Times New Roman" w:hAnsi="Times New Roman"/>
                <w:sz w:val="18"/>
                <w:szCs w:val="18"/>
                <w:i w:val="1"/>
                <w:iCs w:val="1"/>
                <w:color w:val="auto"/>
              </w:rPr>
              <w:t>:</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Years ending:</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151</w:t>
            </w:r>
          </w:p>
        </w:tc>
      </w:tr>
      <w:tr>
        <w:trPr>
          <w:trHeight w:val="23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25</w:t>
            </w:r>
          </w:p>
        </w:tc>
      </w:tr>
      <w:tr>
        <w:trPr>
          <w:trHeight w:val="236"/>
        </w:trPr>
        <w:tc>
          <w:tcPr>
            <w:tcW w:w="8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0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Less: imputed interest</w:t>
            </w:r>
          </w:p>
        </w:tc>
        <w:tc>
          <w:tcPr>
            <w:tcW w:w="1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8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
        </w:trPr>
        <w:tc>
          <w:tcPr>
            <w:tcW w:w="8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expense is presented as rent under operating expenses on the statements of operations and member’s deficit.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w:t>
      </w:r>
      <w:r>
        <w:rPr>
          <w:rFonts w:ascii="Times New Roman" w:cs="Times New Roman" w:eastAsia="Times New Roman" w:hAnsi="Times New Roman"/>
          <w:sz w:val="18"/>
          <w:szCs w:val="18"/>
          <w:b w:val="1"/>
          <w:bCs w:val="1"/>
          <w:i w:val="1"/>
          <w:iCs w:val="1"/>
          <w:color w:val="auto"/>
        </w:rPr>
        <w:t>RELATED PARTY TRANSACTIONS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Enzy Technologies LLC (Enzy) is an entity related to the Company by common ownership. On April 1, 2024, the Company entered into a 41-month subscription agreement with Enzy for use of Enzy’s proprietary SaaS platform, for which monthly subscription fees were incurred. Furthermore, as Enzy was formerly part of the Company, the two entities continue to work closely together. The Company collected revenues for Enzy and paid certain shared expenses for Enzy’s benefit. Collections for Enzy and services received from Enzy totaled $50 and $536 for the six months ended June 30, 2025 and 2024, respectively. Expenses incurred for Enzy and fees charged to Enzy totaled $Nil and $924 for the six months ended June 30, 2025 and 2024, respectively. The Company has balances due from Enzy of $Nil and $559 as of June 30, 2025 and December 31, 2024, respectively. This balance is presented as due from related party on the Company’s balance sheets.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had obtained a number of insurance policies to help protect the Company from potential losses through a captive insurance company related by common ownership. As discussed in Note 9 – </w:t>
      </w:r>
      <w:r>
        <w:rPr>
          <w:rFonts w:ascii="Times New Roman" w:cs="Times New Roman" w:eastAsia="Times New Roman" w:hAnsi="Times New Roman"/>
          <w:sz w:val="18"/>
          <w:szCs w:val="18"/>
          <w:i w:val="1"/>
          <w:iCs w:val="1"/>
          <w:color w:val="auto"/>
        </w:rPr>
        <w:t>Litigation Financing and Settlement</w:t>
      </w:r>
      <w:r>
        <w:rPr>
          <w:rFonts w:ascii="Times New Roman" w:cs="Times New Roman" w:eastAsia="Times New Roman" w:hAnsi="Times New Roman"/>
          <w:sz w:val="18"/>
          <w:szCs w:val="18"/>
          <w:color w:val="auto"/>
        </w:rPr>
        <w:t>, the Company received $500 in the year ended December 31, 2024, from this insurance captive in connection with a claim related to loss of key employees and business litigation related to its dispute with Freedom Forever.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paid certain beneficial owners of the Company $17 per week, plus bonus compensation, in exchange for services provided as independent contractors. These payments are recorded within general and administrative expenses in the accompanying statements of operations and member’s equity deficit. The Company recognized expenses of $486 and $442 for the six months ended June 30, 2025 and 2024, respectively, related to these arrangements.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9" w:name="page270"/>
    <w:bookmarkEnd w:id="269"/>
    <w:p>
      <w:pPr>
        <w:jc w:val="both"/>
        <w:spacing w:after="0" w:line="266" w:lineRule="auto"/>
        <w:rPr>
          <w:sz w:val="20"/>
          <w:szCs w:val="20"/>
          <w:color w:val="auto"/>
        </w:rPr>
      </w:pPr>
      <w:r>
        <w:rPr>
          <w:rFonts w:ascii="Times New Roman" w:cs="Times New Roman" w:eastAsia="Times New Roman" w:hAnsi="Times New Roman"/>
          <w:sz w:val="18"/>
          <w:szCs w:val="18"/>
          <w:color w:val="auto"/>
        </w:rPr>
        <w:t>In 2025, the Company’s CEO directly paid $1,000 to certain legal firms for services provided to the Company. The Company’s CEO and the Sole Member entered into an arrangement on or around March 19, 2025 that resulted in the Sole Member and the Company recognizing this payment on behalf of the Company as a capital contribution to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w:t>
      </w: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be involved in legal proceedings arising in the normal course of business. Management has concluded that no material legal reserves are required to be recorded as of June 30, 2025 and December 31, 2024.</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2019, LGCY Power, LLC filed suit against the Company and certain of its officers alleging the violation of Utah Uniform Trade Secrets Act, intentional interference with existing and prospective economic relations, violation of the Lanham Act (15 U.S.C. § 1125), common law unfair competition, violation of state deceptive trade practices laws, violation of the Utah Computer Abuse and Data Recovery Act (Utah Code § 63D-3-101), and civil conspiracy. The plaintiff seeks damages of over $16,000. The Company disputes these claims and is vigorously defending this action. There is no trial date set. Losses associated with this litigation cannot be estimated.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13. </w:t>
      </w:r>
      <w:r>
        <w:rPr>
          <w:rFonts w:ascii="Times New Roman" w:cs="Times New Roman" w:eastAsia="Times New Roman" w:hAnsi="Times New Roman"/>
          <w:sz w:val="18"/>
          <w:szCs w:val="18"/>
          <w:b w:val="1"/>
          <w:bCs w:val="1"/>
          <w:i w:val="1"/>
          <w:iCs w:val="1"/>
          <w:color w:val="auto"/>
        </w:rPr>
        <w:t>STOCK 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Stock Units (“Incentive Units”)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Parent granted Incentive Units to certain employees of the Company commencing after October 2023 onwards pursuant to the Limited Liability Agreement of Chicken Parm Pizza LLC (the “Agreement”). The Incentive Units granted represent a right to participate in the future appreciation above a predetermined “hurdle amount”. The awards are subject to forfeiture and Company purchase rights based on the terms of the Incentive grant award. The Incentive Units are classified as equity-based awards due to the legal form and participation features of the awards. Any Incentive Units granted by the Company prior to October 2023 were all assigned over to the Parent as Units in the Parent. In respect of the Incentive Units issued by the Parent subsequent to October 2023, the related expense was pushed down to the Company.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activity in the Incentive Units during the six months ended June 30, 2025. The number of outstanding Incentive Units was 46,574 at each of June 30, 2025, and December 31,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Incentive Units were estimated to have $0 value at the time of the grant due to the high hurdle amount associated with these units and other factors relevant to valuation relating to the Company’s future growth and industry prospects. As such, the Company did not recognize any stock-based compensation relating to these Incentive Units for the six months ended June 30, 2025 and 2024. As of June 30, 2025 and December 31, 2024, unrecognized compensation cost related to unvested Incentive Units was $0.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Award (“Compensation Award”)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Compensation Award provides for a percentage ownership in the Company. These awards entitle the holder to receive a payment from the Company with respect to each vested award held by the holder upon the closing of a Company transaction event (liquidity event) or distribution event, provided such holder is in continuous service with the Company upon the liquidity event or distribution event or was terminated during the thirty (30) calendar days prior to the closing of a Company transaction event as a result of his or her death or permanent disability. The Compensation Award and the liquidity-based bonus plan are liability-classified awards as the settlement at the time of a liquidity event will be in the same form of consideration as received, making the Compensation Award considered to have a cash settlement feature. A liquidity event is defined as including a sale of substantially all of the Company’s assets or more than 90% of outstanding securities of the Company, merger or a consolidation or a similar transaction.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0" w:name="page271"/>
    <w:bookmarkEnd w:id="270"/>
    <w:tbl>
      <w:tblPr>
        <w:tblLayout w:type="fixed"/>
        <w:tblInd w:w="0" w:type="dxa"/>
        <w:tblCellMar>
          <w:top w:w="0" w:type="dxa"/>
          <w:left w:w="0" w:type="dxa"/>
          <w:bottom w:w="0" w:type="dxa"/>
          <w:right w:w="0" w:type="dxa"/>
        </w:tblCellMar>
      </w:tblPr>
      <w:tr>
        <w:trPr>
          <w:trHeight w:val="23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Compensation Award activity for the six months ended June 30, 2025 is presented below:</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0"/>
        </w:trPr>
        <w:tc>
          <w:tcPr>
            <w:tcW w:w="9980" w:type="dxa"/>
            <w:vAlign w:val="bottom"/>
          </w:tcPr>
          <w:p>
            <w:pPr>
              <w:spacing w:after="0"/>
              <w:rPr>
                <w:sz w:val="24"/>
                <w:szCs w:val="24"/>
                <w:color w:val="auto"/>
              </w:rPr>
            </w:pPr>
          </w:p>
        </w:tc>
        <w:tc>
          <w:tcPr>
            <w:tcW w:w="12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45"/>
        </w:trPr>
        <w:tc>
          <w:tcPr>
            <w:tcW w:w="99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60" w:type="dxa"/>
            <w:vAlign w:val="bottom"/>
            <w:tcBorders>
              <w:bottom w:val="single" w:sz="8" w:color="CCEEFF"/>
            </w:tcBorders>
            <w:gridSpan w:val="2"/>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award outstanding, December 31, 2024</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8"/>
                <w:szCs w:val="18"/>
                <w:color w:val="auto"/>
              </w:rPr>
            </w:pPr>
          </w:p>
        </w:tc>
      </w:tr>
      <w:tr>
        <w:trPr>
          <w:trHeight w:val="249"/>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9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Compensation award outstanding, June 30, 2025</w:t>
            </w: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top w:val="single" w:sz="8" w:color="CCEEFF"/>
            </w:tcBorders>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w w:val="79"/>
              </w:rPr>
              <w:t>%</w:t>
            </w:r>
          </w:p>
        </w:tc>
      </w:tr>
      <w:tr>
        <w:trPr>
          <w:trHeight w:val="21"/>
        </w:trPr>
        <w:tc>
          <w:tcPr>
            <w:tcW w:w="99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these awards at the grant date were estimated based on a number of factors including enterprise value, state of the industry and other relevant business conditions. The Company determined that the performance condition as it related to a liquidity event, was not probable, as such, no compensation cost was recognized for these Compensation Awards for the six months ended June 30, 2025 and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Based Bonus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liquidity-based bonus plan requires a liquidity event for any payout to happen. The payment will be calculated based on a percentage of Incentive Units held by the employee at the time of the liquidity event multiplied by the amount of net proceeds from an equity sale or an asset sale, in either case capped to the hurdle amount per the Incentive Unit agreement with the employee. The liquidity-based bonus plan requires a liquidity event in order for any payout to happen. A liquidity event is defined as including a sale of substantially all of the Company’s assets or more than 90% of outstanding securities of the Company, merger or a consolidation or a similar transaction. The Company determined that the performance condition as it related to a liquidity event was not probable, as such, no compensation cost was recognized for the bonus plan in either of the six months ended June 30, 2025 and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14. </w:t>
      </w:r>
      <w:r>
        <w:rPr>
          <w:rFonts w:ascii="Times New Roman" w:cs="Times New Roman" w:eastAsia="Times New Roman" w:hAnsi="Times New Roman"/>
          <w:sz w:val="18"/>
          <w:szCs w:val="18"/>
          <w:b w:val="1"/>
          <w:bCs w:val="1"/>
          <w:i w:val="1"/>
          <w:iCs w:val="1"/>
          <w:color w:val="auto"/>
        </w:rPr>
        <w:t>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Management of the Company has evaluated subsequent events through January 9, 2026, which is also the date the financial statements were available to be issued. Except as noted in Note 2 – </w:t>
      </w:r>
      <w:r>
        <w:rPr>
          <w:rFonts w:ascii="Times New Roman" w:cs="Times New Roman" w:eastAsia="Times New Roman" w:hAnsi="Times New Roman"/>
          <w:sz w:val="18"/>
          <w:szCs w:val="18"/>
          <w:i w:val="1"/>
          <w:iCs w:val="1"/>
          <w:color w:val="auto"/>
        </w:rPr>
        <w:t>Liquidity Considerations and Sale of Company,</w:t>
      </w:r>
      <w:r>
        <w:rPr>
          <w:rFonts w:ascii="Times New Roman" w:cs="Times New Roman" w:eastAsia="Times New Roman" w:hAnsi="Times New Roman"/>
          <w:sz w:val="18"/>
          <w:szCs w:val="18"/>
          <w:color w:val="auto"/>
        </w:rPr>
        <w:t xml:space="preserve"> Note 8 </w:t>
      </w:r>
      <w:r>
        <w:rPr>
          <w:rFonts w:ascii="Times New Roman" w:cs="Times New Roman" w:eastAsia="Times New Roman" w:hAnsi="Times New Roman"/>
          <w:sz w:val="18"/>
          <w:szCs w:val="18"/>
          <w:i w:val="1"/>
          <w:iCs w:val="1"/>
          <w:color w:val="auto"/>
        </w:rPr>
        <w:t>– Line of Credit,</w:t>
      </w:r>
      <w:r>
        <w:rPr>
          <w:rFonts w:ascii="Times New Roman" w:cs="Times New Roman" w:eastAsia="Times New Roman" w:hAnsi="Times New Roman"/>
          <w:sz w:val="18"/>
          <w:szCs w:val="18"/>
          <w:color w:val="auto"/>
        </w:rPr>
        <w:t xml:space="preserve"> Note 9 </w:t>
      </w:r>
      <w:r>
        <w:rPr>
          <w:rFonts w:ascii="Times New Roman" w:cs="Times New Roman" w:eastAsia="Times New Roman" w:hAnsi="Times New Roman"/>
          <w:sz w:val="18"/>
          <w:szCs w:val="18"/>
          <w:i w:val="1"/>
          <w:iCs w:val="1"/>
          <w:color w:val="auto"/>
        </w:rPr>
        <w:t>– Litigation Financing and Settlement</w:t>
      </w:r>
      <w:r>
        <w:rPr>
          <w:rFonts w:ascii="Times New Roman" w:cs="Times New Roman" w:eastAsia="Times New Roman" w:hAnsi="Times New Roman"/>
          <w:sz w:val="18"/>
          <w:szCs w:val="18"/>
          <w:color w:val="auto"/>
        </w:rPr>
        <w:t xml:space="preserve"> and below, no other subsequent events were noted during this evaluation that require recognition or disclosure in these financial statements.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24, 2025 (“Closing”), the Member completed the sale of all assets and assumption of all liabilities of its Membership Interests in Sunder to Complete Solaria for aggregate consideration of $57,800. Per the terms of the MIPA, the Member sold all of the outstanding membership interest of Sunder for (1) $20,700 in cash, subject to certain working capital and other adjustments; (2) a promissory note to the Sole Member in the principal amount of $20,000; (3) and 10,000,000 shares of Complete Solaria’s common stock (valued at the closing share price on September 24, 2025, of $1.71 per share), consisting of (i) 3,333,334 shares of Complete Solaria’s common stock and (ii) subject to approval of such issuances by the Complete Solaria’s stockholders, (x) an additional 3,333,333 shares of the Complete Solaria’s common stock to be issued on the 12-month anniversary of the Closing and (y) a further 3,333,333 shares of Complete Solaria’s common stock to be issued on the 18-month anniversary of the Closing.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1" w:name="page272"/>
    <w:bookmarkEnd w:id="2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448945</wp:posOffset>
            </wp:positionV>
            <wp:extent cx="6951980" cy="90011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clrChange>
                        <a:clrFrom>
                          <a:srgbClr val="FFFFFF"/>
                        </a:clrFrom>
                        <a:clrTo>
                          <a:srgbClr val="FFFFFF">
                            <a:alpha val="0"/>
                          </a:srgbClr>
                        </a:clrTo>
                      </a:clrChange>
                      <a:extLst>
                        <a:ext uri="{28A0092B-C50C-407E-A947-70E740481C1C}"/>
                      </a:extLst>
                    </a:blip>
                    <a:srcRect/>
                    <a:stretch>
                      <a:fillRect/>
                    </a:stretch>
                  </pic:blipFill>
                  <pic:spPr bwMode="auto">
                    <a:xfrm>
                      <a:off x="0" y="0"/>
                      <a:ext cx="6951980" cy="9001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933" w:gutter="0" w:footer="0" w:header="0"/>
        </w:sectPr>
      </w:pPr>
    </w:p>
    <w:bookmarkStart w:id="272" w:name="page273"/>
    <w:bookmarkEnd w:id="2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6429375" cy="8401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429375" cy="84010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Members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Ambia Energy, LLC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audited the accompanying financial statements of Ambia Energy, LLC (the Company), which comprise the balance sheet as of December 31, 2024, and the related statement of operations and member’s deficit , and cash flows for the year then ended, and the related notes to financial statements.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financial position of the Company as of December 31, 2024 and the results of its operations and its cash flows for the year then ended in accordance with accounting principles generally accepted in the United States of America (US GAAP).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conducted our audit in accordance with auditing standards generally accepted in the United States of America (US GAAS). Our responsibilities under those standards are further described in the </w:t>
      </w:r>
      <w:r>
        <w:rPr>
          <w:rFonts w:ascii="Times New Roman" w:cs="Times New Roman" w:eastAsia="Times New Roman" w:hAnsi="Times New Roman"/>
          <w:sz w:val="18"/>
          <w:szCs w:val="18"/>
          <w:i w:val="1"/>
          <w:iCs w:val="1"/>
          <w:color w:val="auto"/>
        </w:rPr>
        <w:t>Auditors’ Responsibilities for the Audit of the Financial Statements</w:t>
      </w:r>
      <w:r>
        <w:rPr>
          <w:rFonts w:ascii="Times New Roman" w:cs="Times New Roman" w:eastAsia="Times New Roman" w:hAnsi="Times New Roman"/>
          <w:sz w:val="18"/>
          <w:szCs w:val="18"/>
          <w:color w:val="auto"/>
        </w:rPr>
        <w:t xml:space="preserve">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Responsibilities of Management for the Financial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financial statements in accordance with US GAAP, and for the design, implementation, and maintenance of internal control relevant to the preparation and fair presentation of financial statements that are free from material misstatement, whether due to fraud or error.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available to be issued.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Responsibilities for the Audit of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generally accepted auditing standards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3300 N. Triumph Blvd., Suite 410, Lehi, UT 84043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429375" cy="514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clrChange>
                        <a:clrFrom>
                          <a:srgbClr val="FFFFFF"/>
                        </a:clrFrom>
                        <a:clrTo>
                          <a:srgbClr val="FFFFFF">
                            <a:alpha val="0"/>
                          </a:srgbClr>
                        </a:clrTo>
                      </a:clrChange>
                      <a:extLst>
                        <a:ext uri="{28A0092B-C50C-407E-A947-70E740481C1C}"/>
                      </a:extLst>
                    </a:blip>
                    <a:srcRect/>
                    <a:stretch>
                      <a:fillRect/>
                    </a:stretch>
                  </pic:blipFill>
                  <pic:spPr bwMode="auto">
                    <a:xfrm>
                      <a:off x="0" y="0"/>
                      <a:ext cx="6429375" cy="51435"/>
                    </a:xfrm>
                    <a:prstGeom prst="rect">
                      <a:avLst/>
                    </a:prstGeom>
                    <a:noFill/>
                  </pic:spPr>
                </pic:pic>
              </a:graphicData>
            </a:graphic>
          </wp:anchor>
        </w:drawing>
        <w:t>In performing an audit in accordance with generally accepted auditing standards, we:</w:t>
      </w:r>
    </w:p>
    <w:p>
      <w:pPr>
        <w:spacing w:after="0" w:line="225" w:lineRule="exact"/>
        <w:rPr>
          <w:sz w:val="20"/>
          <w:szCs w:val="20"/>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financial statements.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 related matters that we identified during the audit.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Tanner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22, 2025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3300 N. Triumph Blvd., Suite 410, Lehi, UT 84043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429375" cy="514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429375" cy="5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right="8160"/>
        <w:spacing w:after="0"/>
        <w:rPr>
          <w:sz w:val="20"/>
          <w:szCs w:val="20"/>
          <w:color w:val="auto"/>
        </w:rPr>
      </w:pPr>
      <w:r>
        <w:rPr>
          <w:rFonts w:ascii="Times New Roman" w:cs="Times New Roman" w:eastAsia="Times New Roman" w:hAnsi="Times New Roman"/>
          <w:sz w:val="18"/>
          <w:szCs w:val="18"/>
          <w:b w:val="1"/>
          <w:bCs w:val="1"/>
          <w:u w:val="single" w:color="auto"/>
          <w:color w:val="auto"/>
        </w:rPr>
        <w:t>Assets</w:t>
      </w:r>
    </w:p>
    <w:p>
      <w:pPr>
        <w:spacing w:after="0" w:line="31" w:lineRule="exact"/>
        <w:rPr>
          <w:sz w:val="20"/>
          <w:szCs w:val="20"/>
          <w:color w:val="auto"/>
        </w:rPr>
      </w:pPr>
    </w:p>
    <w:p>
      <w:pPr>
        <w:jc w:val="right"/>
        <w:ind w:right="8220"/>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Cash</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Contract assets - unbilled revenues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Sales commissions receivable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Deferred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Deferred costs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Deposits</w:t>
      </w:r>
    </w:p>
    <w:p>
      <w:pPr>
        <w:spacing w:after="0" w:line="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625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Liabilities and Member’s Deficit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Accrued commissions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Related-party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Deferred revenue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Current portion of finance lease liabilities</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lease liabilities,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Related-party lines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Related-party notes payable</w:t>
      </w:r>
    </w:p>
    <w:p>
      <w:pPr>
        <w:spacing w:after="0" w:line="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deficit</w:t>
      </w:r>
    </w:p>
    <w:p>
      <w:pPr>
        <w:spacing w:after="0" w:line="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liabilities and member’s deficit</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right"/>
        <w:ind w:right="3460"/>
        <w:spacing w:after="0"/>
        <w:rPr>
          <w:sz w:val="20"/>
          <w:szCs w:val="20"/>
          <w:color w:val="auto"/>
        </w:rPr>
      </w:pPr>
      <w:r>
        <w:rPr>
          <w:rFonts w:ascii="Times New Roman" w:cs="Times New Roman" w:eastAsia="Times New Roman" w:hAnsi="Times New Roman"/>
          <w:sz w:val="18"/>
          <w:szCs w:val="18"/>
          <w:color w:val="auto"/>
        </w:rPr>
        <w:t>F-150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i w:val="1"/>
          <w:iCs w:val="1"/>
          <w:color w:val="auto"/>
        </w:rPr>
        <w:t>As of</w:t>
      </w:r>
    </w:p>
    <w:p>
      <w:pPr>
        <w:spacing w:after="0" w:line="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i w:val="1"/>
          <w:iCs w:val="1"/>
          <w:color w:val="auto"/>
        </w:rPr>
        <w:t>December 31,</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02945"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400" w:hanging="395"/>
        <w:spacing w:after="0"/>
        <w:tabs>
          <w:tab w:leader="none" w:pos="4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1,043,269</w:t>
      </w:r>
    </w:p>
    <w:p>
      <w:pPr>
        <w:spacing w:after="0" w:line="27"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1,010,295</w:t>
      </w:r>
    </w:p>
    <w:p>
      <w:pPr>
        <w:spacing w:after="0" w:line="9"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4,601,890</w:t>
      </w:r>
    </w:p>
    <w:p>
      <w:pPr>
        <w:spacing w:after="0" w:line="9"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366,027</w:t>
      </w:r>
    </w:p>
    <w:p>
      <w:pPr>
        <w:spacing w:after="0" w:line="9"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423,719</w:t>
      </w:r>
    </w:p>
    <w:p>
      <w:pPr>
        <w:spacing w:after="0" w:line="9"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3,511,328</w:t>
      </w:r>
    </w:p>
    <w:p>
      <w:pPr>
        <w:spacing w:after="0" w:line="9"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6,137,615</w:t>
      </w:r>
    </w:p>
    <w:p>
      <w:pPr>
        <w:spacing w:after="0" w:line="9"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531,238</w:t>
      </w:r>
    </w:p>
    <w:p>
      <w:pPr>
        <w:spacing w:after="0" w:line="3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17,625,381</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385,192</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740,654</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1,971,170</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116,819</w:t>
      </w:r>
    </w:p>
    <w:p>
      <w:pPr>
        <w:spacing w:after="0" w:line="31" w:lineRule="exact"/>
        <w:rPr>
          <w:sz w:val="20"/>
          <w:szCs w:val="20"/>
          <w:color w:val="auto"/>
        </w:rPr>
      </w:pPr>
    </w:p>
    <w:p>
      <w:pPr>
        <w:ind w:left="300" w:hanging="295"/>
        <w:spacing w:after="0"/>
        <w:tabs>
          <w:tab w:leader="none" w:pos="300" w:val="left"/>
        </w:tabs>
        <w:numPr>
          <w:ilvl w:val="0"/>
          <w:numId w:val="11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20,839,216</w:t>
      </w:r>
    </w:p>
    <w:p>
      <w:pPr>
        <w:spacing w:after="0" w:line="200" w:lineRule="exact"/>
        <w:rPr>
          <w:sz w:val="20"/>
          <w:szCs w:val="20"/>
          <w:color w:val="auto"/>
        </w:rPr>
      </w:pPr>
    </w:p>
    <w:p>
      <w:pPr>
        <w:spacing w:after="0" w:line="309" w:lineRule="exact"/>
        <w:rPr>
          <w:sz w:val="20"/>
          <w:szCs w:val="20"/>
          <w:color w:val="auto"/>
        </w:rPr>
      </w:pPr>
    </w:p>
    <w:p>
      <w:pPr>
        <w:ind w:left="400" w:hanging="395"/>
        <w:spacing w:after="0"/>
        <w:tabs>
          <w:tab w:leader="none" w:pos="4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2,168,566</w:t>
      </w:r>
    </w:p>
    <w:p>
      <w:pPr>
        <w:spacing w:after="0" w:line="27"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2,799,860</w:t>
      </w:r>
    </w:p>
    <w:p>
      <w:pPr>
        <w:spacing w:after="0" w:line="9"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180,114</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509,649</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10,585,293</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401,456</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315,541</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16,960,479</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367,346</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1,228,546</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2,175,000</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7,140,109</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27,871,480</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(7,032,264)</w:t>
      </w:r>
    </w:p>
    <w:p>
      <w:pPr>
        <w:spacing w:after="0" w:line="50" w:lineRule="exact"/>
        <w:rPr>
          <w:sz w:val="20"/>
          <w:szCs w:val="20"/>
          <w:color w:val="auto"/>
        </w:rPr>
      </w:pPr>
    </w:p>
    <w:p>
      <w:pPr>
        <w:ind w:left="300" w:hanging="295"/>
        <w:spacing w:after="0"/>
        <w:tabs>
          <w:tab w:leader="none" w:pos="300" w:val="left"/>
        </w:tabs>
        <w:numPr>
          <w:ilvl w:val="0"/>
          <w:numId w:val="11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20,839,216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ectPr>
          <w:pgSz w:w="11900" w:h="16838" w:orient="portrait"/>
          <w:cols w:equalWidth="0" w:num="2">
            <w:col w:w="9300" w:space="720"/>
            <w:col w:w="1180"/>
          </w:cols>
          <w:pgMar w:left="320" w:top="684" w:right="379" w:bottom="1440" w:gutter="0" w:footer="0" w:header="0"/>
        </w:sectPr>
      </w:pPr>
    </w:p>
    <w:bookmarkStart w:id="275" w:name="page276"/>
    <w:bookmarkEnd w:id="275"/>
    <w:tbl>
      <w:tblPr>
        <w:tblLayout w:type="fixed"/>
        <w:tblInd w:w="0" w:type="dxa"/>
        <w:tblCellMar>
          <w:top w:w="0" w:type="dxa"/>
          <w:left w:w="0" w:type="dxa"/>
          <w:bottom w:w="0" w:type="dxa"/>
          <w:right w:w="0" w:type="dxa"/>
        </w:tblCellMar>
      </w:tblPr>
      <w:tr>
        <w:trPr>
          <w:trHeight w:val="23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 of Operations and Member’s Deficit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8"/>
        </w:trPr>
        <w:tc>
          <w:tcPr>
            <w:tcW w:w="10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i w:val="1"/>
                <w:iCs w:val="1"/>
                <w:color w:val="auto"/>
                <w:w w:val="99"/>
              </w:rPr>
              <w:t>For the Year</w:t>
            </w:r>
          </w:p>
        </w:tc>
        <w:tc>
          <w:tcPr>
            <w:tcW w:w="0" w:type="dxa"/>
            <w:vAlign w:val="bottom"/>
          </w:tcPr>
          <w:p>
            <w:pPr>
              <w:spacing w:after="0"/>
              <w:rPr>
                <w:sz w:val="1"/>
                <w:szCs w:val="1"/>
                <w:color w:val="auto"/>
              </w:rPr>
            </w:pPr>
          </w:p>
        </w:tc>
      </w:tr>
      <w:tr>
        <w:trPr>
          <w:trHeight w:val="228"/>
        </w:trPr>
        <w:tc>
          <w:tcPr>
            <w:tcW w:w="10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i w:val="1"/>
                <w:iCs w:val="1"/>
                <w:color w:val="auto"/>
                <w:w w:val="99"/>
              </w:rPr>
              <w:t>Ended</w:t>
            </w:r>
          </w:p>
        </w:tc>
        <w:tc>
          <w:tcPr>
            <w:tcW w:w="0" w:type="dxa"/>
            <w:vAlign w:val="bottom"/>
          </w:tcPr>
          <w:p>
            <w:pPr>
              <w:spacing w:after="0"/>
              <w:rPr>
                <w:sz w:val="1"/>
                <w:szCs w:val="1"/>
                <w:color w:val="auto"/>
              </w:rPr>
            </w:pPr>
          </w:p>
        </w:tc>
      </w:tr>
      <w:tr>
        <w:trPr>
          <w:trHeight w:val="245"/>
        </w:trPr>
        <w:tc>
          <w:tcPr>
            <w:tcW w:w="100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54,273,721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31,932,462</w:t>
            </w:r>
          </w:p>
        </w:tc>
        <w:tc>
          <w:tcPr>
            <w:tcW w:w="0" w:type="dxa"/>
            <w:vAlign w:val="bottom"/>
          </w:tcPr>
          <w:p>
            <w:pPr>
              <w:spacing w:after="0"/>
              <w:rPr>
                <w:sz w:val="1"/>
                <w:szCs w:val="1"/>
                <w:color w:val="auto"/>
              </w:rPr>
            </w:pPr>
          </w:p>
        </w:tc>
      </w:tr>
      <w:tr>
        <w:trPr>
          <w:trHeight w:val="236"/>
        </w:trPr>
        <w:tc>
          <w:tcPr>
            <w:tcW w:w="1002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22,341,259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00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11,156,319</w:t>
            </w: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Commissions</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14,399,701</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1,198,814</w:t>
            </w:r>
          </w:p>
        </w:tc>
        <w:tc>
          <w:tcPr>
            <w:tcW w:w="0" w:type="dxa"/>
            <w:vAlign w:val="bottom"/>
          </w:tcPr>
          <w:p>
            <w:pPr>
              <w:spacing w:after="0"/>
              <w:rPr>
                <w:sz w:val="1"/>
                <w:szCs w:val="1"/>
                <w:color w:val="auto"/>
              </w:rPr>
            </w:pP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401,665</w:t>
            </w:r>
          </w:p>
        </w:tc>
        <w:tc>
          <w:tcPr>
            <w:tcW w:w="0" w:type="dxa"/>
            <w:vAlign w:val="bottom"/>
          </w:tcPr>
          <w:p>
            <w:pPr>
              <w:spacing w:after="0"/>
              <w:rPr>
                <w:sz w:val="1"/>
                <w:szCs w:val="1"/>
                <w:color w:val="auto"/>
              </w:rPr>
            </w:pPr>
          </w:p>
        </w:tc>
      </w:tr>
      <w:tr>
        <w:trPr>
          <w:trHeight w:val="236"/>
        </w:trPr>
        <w:tc>
          <w:tcPr>
            <w:tcW w:w="1002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27,156,499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20" w:type="dxa"/>
            <w:vAlign w:val="bottom"/>
            <w:tcBorders>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(4,815,240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(1,233,685)</w:t>
            </w:r>
          </w:p>
        </w:tc>
        <w:tc>
          <w:tcPr>
            <w:tcW w:w="0" w:type="dxa"/>
            <w:vAlign w:val="bottom"/>
          </w:tcPr>
          <w:p>
            <w:pPr>
              <w:spacing w:after="0"/>
              <w:rPr>
                <w:sz w:val="1"/>
                <w:szCs w:val="1"/>
                <w:color w:val="auto"/>
              </w:rPr>
            </w:pPr>
          </w:p>
        </w:tc>
      </w:tr>
      <w:tr>
        <w:trPr>
          <w:trHeight w:val="249"/>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(204,126)</w:t>
            </w:r>
          </w:p>
        </w:tc>
        <w:tc>
          <w:tcPr>
            <w:tcW w:w="0" w:type="dxa"/>
            <w:vAlign w:val="bottom"/>
          </w:tcPr>
          <w:p>
            <w:pPr>
              <w:spacing w:after="0"/>
              <w:rPr>
                <w:sz w:val="1"/>
                <w:szCs w:val="1"/>
                <w:color w:val="auto"/>
              </w:rPr>
            </w:pPr>
          </w:p>
        </w:tc>
      </w:tr>
      <w:tr>
        <w:trPr>
          <w:trHeight w:val="210"/>
        </w:trPr>
        <w:tc>
          <w:tcPr>
            <w:tcW w:w="1002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other expense</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(1,437,811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10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(6,253,051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Member’s deficit, beginning of the year</w:t>
            </w: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002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(5,112,377)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Member’s contribution</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4,333,164</w:t>
            </w:r>
          </w:p>
        </w:tc>
        <w:tc>
          <w:tcPr>
            <w:tcW w:w="0" w:type="dxa"/>
            <w:vAlign w:val="bottom"/>
          </w:tcPr>
          <w:p>
            <w:pPr>
              <w:spacing w:after="0"/>
              <w:rPr>
                <w:sz w:val="1"/>
                <w:szCs w:val="1"/>
                <w:color w:val="auto"/>
              </w:rPr>
            </w:pPr>
          </w:p>
        </w:tc>
      </w:tr>
      <w:tr>
        <w:trPr>
          <w:trHeight w:val="23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(6,253,051)</w:t>
            </w:r>
          </w:p>
        </w:tc>
        <w:tc>
          <w:tcPr>
            <w:tcW w:w="0" w:type="dxa"/>
            <w:vAlign w:val="bottom"/>
          </w:tcPr>
          <w:p>
            <w:pPr>
              <w:spacing w:after="0"/>
              <w:rPr>
                <w:sz w:val="1"/>
                <w:szCs w:val="1"/>
                <w:color w:val="auto"/>
              </w:rPr>
            </w:pP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deficit, end of the year</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(7,032,264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10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-3522345</wp:posOffset>
            </wp:positionV>
            <wp:extent cx="6429375" cy="514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429375" cy="5143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6" w:name="page277"/>
    <w:bookmarkEnd w:id="276"/>
    <w:tbl>
      <w:tblPr>
        <w:tblLayout w:type="fixed"/>
        <w:tblInd w:w="0" w:type="dxa"/>
        <w:tblCellMar>
          <w:top w:w="0" w:type="dxa"/>
          <w:left w:w="0" w:type="dxa"/>
          <w:bottom w:w="0" w:type="dxa"/>
          <w:right w:w="0" w:type="dxa"/>
        </w:tblCellMar>
      </w:tblPr>
      <w:tr>
        <w:trPr>
          <w:trHeight w:val="23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 of Cash Flows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8"/>
        </w:trPr>
        <w:tc>
          <w:tcPr>
            <w:tcW w:w="10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i w:val="1"/>
                <w:iCs w:val="1"/>
                <w:color w:val="auto"/>
                <w:w w:val="99"/>
              </w:rPr>
              <w:t>For the Year</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i w:val="1"/>
                <w:iCs w:val="1"/>
                <w:color w:val="auto"/>
                <w:w w:val="99"/>
              </w:rPr>
              <w:t>Ended</w:t>
            </w:r>
          </w:p>
        </w:tc>
        <w:tc>
          <w:tcPr>
            <w:tcW w:w="0" w:type="dxa"/>
            <w:vAlign w:val="bottom"/>
          </w:tcPr>
          <w:p>
            <w:pPr>
              <w:spacing w:after="0"/>
              <w:rPr>
                <w:sz w:val="1"/>
                <w:szCs w:val="1"/>
                <w:color w:val="auto"/>
              </w:rPr>
            </w:pPr>
          </w:p>
        </w:tc>
      </w:tr>
      <w:tr>
        <w:trPr>
          <w:trHeight w:val="228"/>
        </w:trPr>
        <w:tc>
          <w:tcPr>
            <w:tcW w:w="10020" w:type="dxa"/>
            <w:vAlign w:val="bottom"/>
          </w:tcPr>
          <w:p>
            <w:pPr>
              <w:spacing w:after="0"/>
              <w:rPr>
                <w:sz w:val="19"/>
                <w:szCs w:val="19"/>
                <w:color w:val="auto"/>
              </w:rPr>
            </w:pP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i w:val="1"/>
                <w:iCs w:val="1"/>
                <w:color w:val="auto"/>
                <w:w w:val="98"/>
              </w:rPr>
              <w:t>December 31,</w:t>
            </w:r>
          </w:p>
        </w:tc>
        <w:tc>
          <w:tcPr>
            <w:tcW w:w="0" w:type="dxa"/>
            <w:vAlign w:val="bottom"/>
          </w:tcPr>
          <w:p>
            <w:pPr>
              <w:spacing w:after="0"/>
              <w:rPr>
                <w:sz w:val="1"/>
                <w:szCs w:val="1"/>
                <w:color w:val="auto"/>
              </w:rPr>
            </w:pPr>
          </w:p>
        </w:tc>
      </w:tr>
      <w:tr>
        <w:trPr>
          <w:trHeight w:val="245"/>
        </w:trPr>
        <w:tc>
          <w:tcPr>
            <w:tcW w:w="100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(6,253,051)</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operating right-of-use assets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759,705</w:t>
            </w: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401,665</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(854,494)</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assets - unbilled revenues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(685,328)</w:t>
            </w:r>
          </w:p>
        </w:tc>
        <w:tc>
          <w:tcPr>
            <w:tcW w:w="0" w:type="dxa"/>
            <w:vAlign w:val="bottom"/>
          </w:tcPr>
          <w:p>
            <w:pPr>
              <w:spacing w:after="0"/>
              <w:rPr>
                <w:sz w:val="1"/>
                <w:szCs w:val="1"/>
                <w:color w:val="auto"/>
              </w:rPr>
            </w:pPr>
          </w:p>
        </w:tc>
      </w:tr>
      <w:tr>
        <w:trPr>
          <w:trHeight w:val="216"/>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receivables</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(70,215)</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commissions receivable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143,272</w:t>
            </w:r>
          </w:p>
        </w:tc>
        <w:tc>
          <w:tcPr>
            <w:tcW w:w="0" w:type="dxa"/>
            <w:vAlign w:val="bottom"/>
          </w:tcPr>
          <w:p>
            <w:pPr>
              <w:spacing w:after="0"/>
              <w:rPr>
                <w:sz w:val="1"/>
                <w:szCs w:val="1"/>
                <w:color w:val="auto"/>
              </w:rPr>
            </w:pPr>
          </w:p>
        </w:tc>
      </w:tr>
      <w:tr>
        <w:trPr>
          <w:trHeight w:val="216"/>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74,447</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costs and commissions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(701,857)</w:t>
            </w:r>
          </w:p>
        </w:tc>
        <w:tc>
          <w:tcPr>
            <w:tcW w:w="0" w:type="dxa"/>
            <w:vAlign w:val="bottom"/>
          </w:tcPr>
          <w:p>
            <w:pPr>
              <w:spacing w:after="0"/>
              <w:rPr>
                <w:sz w:val="1"/>
                <w:szCs w:val="1"/>
                <w:color w:val="auto"/>
              </w:rPr>
            </w:pPr>
          </w:p>
        </w:tc>
      </w:tr>
      <w:tr>
        <w:trPr>
          <w:trHeight w:val="216"/>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(323,190)</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Deposits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(14,304)</w:t>
            </w:r>
          </w:p>
        </w:tc>
        <w:tc>
          <w:tcPr>
            <w:tcW w:w="0" w:type="dxa"/>
            <w:vAlign w:val="bottom"/>
          </w:tcPr>
          <w:p>
            <w:pPr>
              <w:spacing w:after="0"/>
              <w:rPr>
                <w:sz w:val="1"/>
                <w:szCs w:val="1"/>
                <w:color w:val="auto"/>
              </w:rPr>
            </w:pPr>
          </w:p>
        </w:tc>
      </w:tr>
      <w:tr>
        <w:trPr>
          <w:trHeight w:val="216"/>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696,549</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2,009,806</w:t>
            </w:r>
          </w:p>
        </w:tc>
        <w:tc>
          <w:tcPr>
            <w:tcW w:w="0" w:type="dxa"/>
            <w:vAlign w:val="bottom"/>
          </w:tcPr>
          <w:p>
            <w:pPr>
              <w:spacing w:after="0"/>
              <w:rPr>
                <w:sz w:val="1"/>
                <w:szCs w:val="1"/>
                <w:color w:val="auto"/>
              </w:rPr>
            </w:pPr>
          </w:p>
        </w:tc>
      </w:tr>
      <w:tr>
        <w:trPr>
          <w:trHeight w:val="216"/>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commissions</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180,114</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Related-party accounts payable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89,561</w:t>
            </w:r>
          </w:p>
        </w:tc>
        <w:tc>
          <w:tcPr>
            <w:tcW w:w="0" w:type="dxa"/>
            <w:vAlign w:val="bottom"/>
          </w:tcPr>
          <w:p>
            <w:pPr>
              <w:spacing w:after="0"/>
              <w:rPr>
                <w:sz w:val="1"/>
                <w:szCs w:val="1"/>
                <w:color w:val="auto"/>
              </w:rPr>
            </w:pPr>
          </w:p>
        </w:tc>
      </w:tr>
      <w:tr>
        <w:trPr>
          <w:trHeight w:val="216"/>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(1,076,155)</w:t>
            </w:r>
          </w:p>
        </w:tc>
        <w:tc>
          <w:tcPr>
            <w:tcW w:w="0" w:type="dxa"/>
            <w:vAlign w:val="bottom"/>
          </w:tcPr>
          <w:p>
            <w:pPr>
              <w:spacing w:after="0"/>
              <w:rPr>
                <w:sz w:val="1"/>
                <w:szCs w:val="1"/>
                <w:color w:val="auto"/>
              </w:rPr>
            </w:pPr>
          </w:p>
        </w:tc>
      </w:tr>
      <w:tr>
        <w:trPr>
          <w:trHeight w:val="250"/>
        </w:trPr>
        <w:tc>
          <w:tcPr>
            <w:tcW w:w="10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(698,091)</w:t>
            </w:r>
          </w:p>
        </w:tc>
        <w:tc>
          <w:tcPr>
            <w:tcW w:w="0" w:type="dxa"/>
            <w:vAlign w:val="bottom"/>
          </w:tcPr>
          <w:p>
            <w:pPr>
              <w:spacing w:after="0"/>
              <w:rPr>
                <w:sz w:val="1"/>
                <w:szCs w:val="1"/>
                <w:color w:val="auto"/>
              </w:rPr>
            </w:pPr>
          </w:p>
        </w:tc>
      </w:tr>
      <w:tr>
        <w:trPr>
          <w:trHeight w:val="210"/>
        </w:trPr>
        <w:tc>
          <w:tcPr>
            <w:tcW w:w="10020" w:type="dxa"/>
            <w:vAlign w:val="bottom"/>
            <w:tcBorders>
              <w:top w:val="single" w:sz="8" w:color="CCEEFF"/>
              <w:bottom w:val="single" w:sz="8" w:color="CCEEFF"/>
            </w:tcBorders>
          </w:tcPr>
          <w:p>
            <w:pPr>
              <w:ind w:left="660"/>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(6,321,566</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(335,303)</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related-party notes payable and revolving lines of credit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8,925,000</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related-party notes payable and revolving lines of credit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(3,305,747)</w:t>
            </w: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finance lease liabilities</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(530,918)</w:t>
            </w:r>
          </w:p>
        </w:tc>
        <w:tc>
          <w:tcPr>
            <w:tcW w:w="0" w:type="dxa"/>
            <w:vAlign w:val="bottom"/>
          </w:tcPr>
          <w:p>
            <w:pPr>
              <w:spacing w:after="0"/>
              <w:rPr>
                <w:sz w:val="1"/>
                <w:szCs w:val="1"/>
                <w:color w:val="auto"/>
              </w:rPr>
            </w:pPr>
          </w:p>
        </w:tc>
      </w:tr>
      <w:tr>
        <w:trPr>
          <w:trHeight w:val="250"/>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members’ contribution</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1,883,164</w:t>
            </w:r>
          </w:p>
        </w:tc>
        <w:tc>
          <w:tcPr>
            <w:tcW w:w="0" w:type="dxa"/>
            <w:vAlign w:val="bottom"/>
          </w:tcPr>
          <w:p>
            <w:pPr>
              <w:spacing w:after="0"/>
              <w:rPr>
                <w:sz w:val="1"/>
                <w:szCs w:val="1"/>
                <w:color w:val="auto"/>
              </w:rPr>
            </w:pPr>
          </w:p>
        </w:tc>
      </w:tr>
      <w:tr>
        <w:trPr>
          <w:trHeight w:val="210"/>
        </w:trPr>
        <w:tc>
          <w:tcPr>
            <w:tcW w:w="10020" w:type="dxa"/>
            <w:vAlign w:val="bottom"/>
            <w:tcBorders>
              <w:top w:val="single" w:sz="8" w:color="CCEEFF"/>
              <w:bottom w:val="single" w:sz="8" w:color="CCEEFF"/>
            </w:tcBorders>
          </w:tcPr>
          <w:p>
            <w:pPr>
              <w:ind w:left="660"/>
              <w:spacing w:after="0" w:line="203"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6,971,499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year</w:t>
            </w:r>
          </w:p>
        </w:tc>
        <w:tc>
          <w:tcPr>
            <w:tcW w:w="10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728,639</w:t>
            </w:r>
          </w:p>
        </w:tc>
        <w:tc>
          <w:tcPr>
            <w:tcW w:w="0" w:type="dxa"/>
            <w:vAlign w:val="bottom"/>
          </w:tcPr>
          <w:p>
            <w:pPr>
              <w:spacing w:after="0"/>
              <w:rPr>
                <w:sz w:val="1"/>
                <w:szCs w:val="1"/>
                <w:color w:val="auto"/>
              </w:rPr>
            </w:pP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year</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1,043,269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0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235,503</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61,313</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 obtained in exchange for finance lease liabilities</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1,477,040</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related-party notes payable to members’ equity</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-6205855</wp:posOffset>
            </wp:positionV>
            <wp:extent cx="6429375" cy="514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429375" cy="5143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6429375" cy="514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429375" cy="5143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40" w:hanging="332"/>
        <w:spacing w:after="0"/>
        <w:tabs>
          <w:tab w:leader="none" w:pos="3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Ambia Energy, LLC was organized on March 24, 2021 as a Utah limited liability company. The Company is a residential solar energy system installer and operates in various markets throughout the United States. The Company is a wholly owned subsidiary of Ambia Holdings, Inc.</w:t>
      </w:r>
    </w:p>
    <w:p>
      <w:pPr>
        <w:spacing w:after="0" w:line="158" w:lineRule="exact"/>
        <w:rPr>
          <w:sz w:val="20"/>
          <w:szCs w:val="20"/>
          <w:color w:val="auto"/>
        </w:rPr>
      </w:pPr>
    </w:p>
    <w:p>
      <w:pPr>
        <w:ind w:left="340" w:hanging="332"/>
        <w:spacing w:after="0"/>
        <w:tabs>
          <w:tab w:leader="none" w:pos="34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reported amounts and disclosures. Accordingly, actual results could differ from those estimates.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its cash in bank deposit accounts which, at times, exceeds federally insured limits. To date, the Company has not experienced a loss or lack of access to its invested cash; however, no assurance can be provided that access to the Company’s invested cash will not be impacted by adverse conditions in the financial markets.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provides credit terms to its customers and generally requires no collateral. Customers that comprise more than 10% of the Company’s accounts receivable or annual net sales are considered to be major customers. No residential customer accounted for more than 10% of sales or accounts receivable as of and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residential customers generally pay for the transaction with financing. Significant lenders were as follows for the year ended December 31: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9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Lender A</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Lender B</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50"/>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Lender C</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419"/>
        </w:trPr>
        <w:tc>
          <w:tcPr>
            <w:tcW w:w="9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   Lender funded less than 10% of sales for the year.</w:t>
            </w: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32"/>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Additionally, the following lenders owed a significant portion of the Company’s account receivable balance as of December 31:</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3"/>
        </w:trPr>
        <w:tc>
          <w:tcPr>
            <w:tcW w:w="998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4"/>
                <w:szCs w:val="24"/>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Lender A</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Lender B</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Lender D</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99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Lender accounted for less than 10% of the accounts receivable balance.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Major vendors are defined as those vendors to which expenditures made by the Company are 10% or more of the Company’s total purchases. The following was a major vendor for the year ended December 31:</w:t>
      </w:r>
    </w:p>
    <w:p>
      <w:pPr>
        <w:spacing w:after="0" w:line="171"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Vendor A</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6429375" cy="514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clrChange>
                        <a:clrFrom>
                          <a:srgbClr val="FFFFFF"/>
                        </a:clrFrom>
                        <a:clrTo>
                          <a:srgbClr val="FFFFFF">
                            <a:alpha val="0"/>
                          </a:srgbClr>
                        </a:clrTo>
                      </a:clrChange>
                      <a:extLst>
                        <a:ext uri="{28A0092B-C50C-407E-A947-70E740481C1C}"/>
                      </a:extLst>
                    </a:blip>
                    <a:srcRect/>
                    <a:stretch>
                      <a:fillRect/>
                    </a:stretch>
                  </pic:blipFill>
                  <pic:spPr bwMode="auto">
                    <a:xfrm>
                      <a:off x="0" y="0"/>
                      <a:ext cx="6429375" cy="51435"/>
                    </a:xfrm>
                    <a:prstGeom prst="rect">
                      <a:avLst/>
                    </a:prstGeom>
                    <a:noFill/>
                  </pic:spPr>
                </pic:pic>
              </a:graphicData>
            </a:graphic>
          </wp:anchor>
        </w:drawing>
        <w:t>Lease Commitments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leases certain office and warehouse space, and vehicles. The Company assesses whether an arrangement qualifies as a lease (i.e., conveys the right to control the use of an identified asset for a period of time in exchange for consideration) at inception and whether the arrangement is an operating or finance lease, and only reassesses its determination if the terms and conditions of the arrangement are changed. For all arrangements where it is determined that a lease exists, the related right-of-use assets and lease liabilities are recorded within the balance sheet as either operating or finance leases. At inception or modification, the Company calculates the present value of lease payments using the implicit rate determined from the contract or the Company’s incremental borrowing rate applicable to the lease, which is determined by estimating what it would cost the Company to borrow a collateralized amount equal to the total lease payments over the lease term based on the contractual terms of the lease and the location of the leased asset. The present value is adjusted for prepaid lease payments, lease incentives, and initial direct costs (e.g. commissions). The Company’s leases may require fixed rental payments, variable lease payments based on usage or sales and fixed non-lease costs relating to the leased asset.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Variable lease payments are generally not included in the measurement of the right-of-use assets and lease liabilities. Leases with an initial term of 12 months or less are not recorded on the balance sheet. Lease expense is recognized for these leases on a straight-line basis over the lease term. Fixed non-lease costs, for example common-area maintenance costs, taxes, insurance, and maintenance, are excluded from the measurement of the right-of-use asset and lease liability as the Company separates lease and non-lease components.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leases include one or more options to renew, with renewal terms that can extend the lease term for up to three years. The exercise of lease renewal options is at the Company’s sole discretion. The depreciable life of the assets and leasehold improvements are limited by the expected term unless there is a transfer of title or purchase option reasonably certain of exercise.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Contract Assets, and Allowance for Credit Losses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records its accounts receivable and contract assets at sales value. The Company’s contract assets consist of revenues recognized by the Company, but for which the Company has not yet been able to contractually invoice for final payment. The Company has tracked historical loss information for its accounts receivable and contract assets and compiled historical credit loss percentages for customers who share similar risk characteristics considering current trends and forecasts. Management believes that the historical loss information it has compiled is a reasonable basis on which to determine expected credit losses for accounts receivable and contract assets held as of year end because the composition of the accounts receivable and contract assets at that date is consistent with that used in developing the historical credit-loss percentages (i.e. the similar risk characteristics of its customers and its lending practices have not changed significantly over time). Final payment of the Company’s accounts receivable is considered past due when payment has not been received within 30 days of the invoice date. Account balances are charged off against the allowance for credit losses when the probability for recovery is remote. Recoveries of receivables previously charged off are recorded when cash payment is received. As of December 31, 2024, the allowance for credit losses was $123,000.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are calculated using the straight-line method over the estimated economic useful lives of the assets or over the related lease terms (if shorter)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Tools and gear</w:t>
            </w:r>
          </w:p>
        </w:tc>
        <w:tc>
          <w:tcPr>
            <w:tcW w:w="5380" w:type="dxa"/>
            <w:vAlign w:val="bottom"/>
            <w:shd w:val="clear" w:color="auto" w:fill="CCEEFF"/>
          </w:tcPr>
          <w:p>
            <w:pPr>
              <w:jc w:val="center"/>
              <w:ind w:left="329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5380" w:type="dxa"/>
            <w:vAlign w:val="bottom"/>
          </w:tcPr>
          <w:p>
            <w:pPr>
              <w:jc w:val="center"/>
              <w:ind w:left="329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w:t>
            </w:r>
          </w:p>
        </w:tc>
        <w:tc>
          <w:tcPr>
            <w:tcW w:w="5380" w:type="dxa"/>
            <w:vAlign w:val="bottom"/>
            <w:shd w:val="clear" w:color="auto" w:fill="CCEEFF"/>
          </w:tcPr>
          <w:p>
            <w:pPr>
              <w:jc w:val="center"/>
              <w:ind w:left="329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5380" w:type="dxa"/>
            <w:vAlign w:val="bottom"/>
          </w:tcPr>
          <w:p>
            <w:pPr>
              <w:jc w:val="center"/>
              <w:ind w:left="329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380" w:type="dxa"/>
            <w:vAlign w:val="bottom"/>
            <w:shd w:val="clear" w:color="auto" w:fill="CCEEFF"/>
          </w:tcPr>
          <w:p>
            <w:pPr>
              <w:jc w:val="center"/>
              <w:ind w:left="3270"/>
              <w:spacing w:after="0"/>
              <w:rPr>
                <w:sz w:val="20"/>
                <w:szCs w:val="20"/>
                <w:color w:val="auto"/>
              </w:rPr>
            </w:pPr>
            <w:r>
              <w:rPr>
                <w:rFonts w:ascii="Times New Roman" w:cs="Times New Roman" w:eastAsia="Times New Roman" w:hAnsi="Times New Roman"/>
                <w:sz w:val="18"/>
                <w:szCs w:val="18"/>
                <w:color w:val="auto"/>
                <w:w w:val="99"/>
              </w:rPr>
              <w:t>1-3 years</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Expenditures that materially increase values or capacities or extend useful lives of property and equipment are capitalized. Routine maintenance, repairs, and renewal costs are expensed as incurred. Upon sale or retirement of depreciable property, the costs and accumulated depreciation and amortization are removed from the related accounts and any gain or loss is reflected in the statement of operations and member’s deficit.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429375" cy="514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clrChange>
                        <a:clrFrom>
                          <a:srgbClr val="FFFFFF"/>
                        </a:clrFrom>
                        <a:clrTo>
                          <a:srgbClr val="FFFFFF">
                            <a:alpha val="0"/>
                          </a:srgbClr>
                        </a:clrTo>
                      </a:clrChange>
                      <a:extLst>
                        <a:ext uri="{28A0092B-C50C-407E-A947-70E740481C1C}"/>
                      </a:extLst>
                    </a:blip>
                    <a:srcRect/>
                    <a:stretch>
                      <a:fillRect/>
                    </a:stretch>
                  </pic:blipFill>
                  <pic:spPr bwMode="auto">
                    <a:xfrm>
                      <a:off x="0" y="0"/>
                      <a:ext cx="6429375" cy="51435"/>
                    </a:xfrm>
                    <a:prstGeom prst="rect">
                      <a:avLst/>
                    </a:prstGeom>
                    <a:noFill/>
                  </pic:spPr>
                </pic:pic>
              </a:graphicData>
            </a:graphic>
          </wp:anchor>
        </w:drawing>
        <w:t>Impairment of Long-Lived Tangible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Long-lived assets held and used by the Company are reviewed for impairment whenever events or changes in circumstances indicate that the carrying amount of the assets may be impaired. When such factors and circumstances exist, the Company compares the estimated undiscounted future cash flows associated with the related asset or group of assets over their estimated useful lives against their respective carrying amounts. Impairment, if any, is based on the excess of the carrying amounts over the fair values of those assets and is recorded in the period in which the determination is made. As of December 31, 2024, management determined that the Company’s tangible assets were not impaired.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organized as a limited liability company and is generally not subject to income taxed pertaining to operations; rather, the members of the limited liability company are taxed on their proportionate share of the Company’s taxable income. Therefore, no provision for income taxes has been included in the accompanying financial statements. The Company makes distributions to it member to pay income tax liabilities.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Generally accepted accounting principles require tax effects from an uncertain tax position to be recognized in the financial statements only if the position is more likely than not to be sustained if the position were to be challenged by a taxing authority. The assessment of the tax position is based solely on the technical merits of the position, without regard to the likelihood that the tax position may be challenged. If an uncertain tax position meets the more-likely-than-not threshold, the largest amount of tax benefit that is greater than 50% likely to be recognized upon ultimate settlement with the taxing authority is recorded. As of December 31, 2024, the Company had no uncertain tax positions that qualified for either recognition or disclosure in the financial statements. The Company is subject to routine audits by tax jurisdictions; however, there are currently no audits in progress.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Deferred Revenue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primarily generates its revenues from selling and installing solar energy systems. Revenues are recognized when control of installed solar systems are transferred to customers in an amount that reflects the consideration expected to be received by the Company in exchange for the installed solar system. The Company determines revenue recognition through the following steps:</w:t>
      </w:r>
    </w:p>
    <w:p>
      <w:pPr>
        <w:spacing w:after="0" w:line="176" w:lineRule="exact"/>
        <w:rPr>
          <w:sz w:val="20"/>
          <w:szCs w:val="20"/>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each performance obligation is satisfied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service or product to the client, and it is the unit of account in the guidance for revenue recognition. The Company’s contracts have a single performance obligation, which is to either a) install a solar energy system or b) orchestrate the sale of a solar energy system which will be installed by a third party. The promise to transfer the services is not separately identifiable from other promises in those contracts, and therefore, those other promises are not distinct performance obligations.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429375" cy="514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clrChange>
                        <a:clrFrom>
                          <a:srgbClr val="FFFFFF"/>
                        </a:clrFrom>
                        <a:clrTo>
                          <a:srgbClr val="FFFFFF">
                            <a:alpha val="0"/>
                          </a:srgbClr>
                        </a:clrTo>
                      </a:clrChange>
                      <a:extLst>
                        <a:ext uri="{28A0092B-C50C-407E-A947-70E740481C1C}"/>
                      </a:extLst>
                    </a:blip>
                    <a:srcRect/>
                    <a:stretch>
                      <a:fillRect/>
                    </a:stretch>
                  </pic:blipFill>
                  <pic:spPr bwMode="auto">
                    <a:xfrm>
                      <a:off x="0" y="0"/>
                      <a:ext cx="6429375" cy="51435"/>
                    </a:xfrm>
                    <a:prstGeom prst="rect">
                      <a:avLst/>
                    </a:prstGeom>
                    <a:noFill/>
                  </pic:spPr>
                </pic:pic>
              </a:graphicData>
            </a:graphic>
          </wp:anchor>
        </w:drawing>
        <w:t>Installation Services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principal performance obligation is to install a solar energy system. The Company recognizes revenue upon receiving notice of the completion of the final inspection of the respective solar energy system.</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at the total contract price that the end residential customer has agreed to pay before any cost of financing incurred by customer. The Company arranges financing for the customer with third-party financing companies. These third-party financing companies often withhold amounts to pay for solar panels and other materials for added security. The Company is the primary obligor in the transaction as it controls the price charged to end residential customers, bears the responsibility to install solar panels that meet regulatory requirements, and bears collection risk unless the customer is approved to finance the transaction with a third-party financing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Sales Dealer Services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principal performance obligation is to complete the sale of solar energy systems for third parties who then perform the installation. The Company recognizes revenue upon the closing of each sale in the amount of the fee they earn for closing the sale, as that is when the performance obligation is satisfied.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 disaggregated by revenue source (recognized at a point in time) for the year ended December 31: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Installation services revenue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54,164,441</w:t>
            </w:r>
          </w:p>
        </w:tc>
        <w:tc>
          <w:tcPr>
            <w:tcW w:w="100" w:type="dxa"/>
            <w:vAlign w:val="bottom"/>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Sales dealer revenue</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109,280</w:t>
            </w:r>
          </w:p>
        </w:tc>
      </w:tr>
      <w:tr>
        <w:trPr>
          <w:trHeight w:val="223"/>
        </w:trPr>
        <w:tc>
          <w:tcPr>
            <w:tcW w:w="100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54,273,721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Balances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revenue (contract assets), and deferred revenue (contract liabilities) on the balance sheet. Amounts are billed as specific milestones are met, which may or may not align with when revenue is recognized. Specific billing milestones include: 1) 10% - 20% of the contract value is billed to the third-party lender upon contract signing; 2) an additional 70% of the contract value is billed to the third-party lender upon the solar system being installed; and 3) the final 10% - 20% of the contract value is billed to the third-party lender upon system receiving its permission to operate from the local jurisdiction. All revenue from solar system installations is recognized upon the system passing inspection by the local jurisdiction, which generally does not coincide with receiving a permission to operate and as a result the third payment for the final 10% - 20% from the lender is recorded as a contract asset – unbilled revenue until the permission to operate is received from the local jurisdiction.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The beginning and ending contract balances were as follows:</w:t>
            </w:r>
          </w:p>
        </w:tc>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49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January 1,</w:t>
            </w:r>
          </w:p>
        </w:tc>
      </w:tr>
      <w:tr>
        <w:trPr>
          <w:trHeight w:val="245"/>
        </w:trPr>
        <w:tc>
          <w:tcPr>
            <w:tcW w:w="4900" w:type="dxa"/>
            <w:vAlign w:val="bottom"/>
            <w:tcBorders>
              <w:bottom w:val="single" w:sz="8" w:color="CCEEFF"/>
            </w:tcBorders>
          </w:tcPr>
          <w:p>
            <w:pPr>
              <w:spacing w:after="0"/>
              <w:rPr>
                <w:sz w:val="21"/>
                <w:szCs w:val="21"/>
                <w:color w:val="auto"/>
              </w:rPr>
            </w:pPr>
          </w:p>
        </w:tc>
        <w:tc>
          <w:tcPr>
            <w:tcW w:w="37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7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1,010,295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155,801</w:t>
            </w: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receivables</w:t>
            </w: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4,601,890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3,916,562</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10,585,293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11,661,448</w:t>
            </w:r>
          </w:p>
        </w:tc>
      </w:tr>
      <w:tr>
        <w:trPr>
          <w:trHeight w:val="655"/>
        </w:trPr>
        <w:tc>
          <w:tcPr>
            <w:tcW w:w="49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2"/>
          </w:tcPr>
          <w:p>
            <w:pPr>
              <w:jc w:val="right"/>
              <w:ind w:right="2953"/>
              <w:spacing w:after="0"/>
              <w:rPr>
                <w:sz w:val="20"/>
                <w:szCs w:val="20"/>
                <w:color w:val="auto"/>
              </w:rPr>
            </w:pPr>
            <w:r>
              <w:rPr>
                <w:rFonts w:ascii="Times New Roman" w:cs="Times New Roman" w:eastAsia="Times New Roman" w:hAnsi="Times New Roman"/>
                <w:sz w:val="18"/>
                <w:szCs w:val="18"/>
                <w:color w:val="auto"/>
              </w:rPr>
              <w:t>F-156</w:t>
            </w: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0" w:right="3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429375" cy="514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clrChange>
                        <a:clrFrom>
                          <a:srgbClr val="FFFFFF"/>
                        </a:clrFrom>
                        <a:clrTo>
                          <a:srgbClr val="FFFFFF">
                            <a:alpha val="0"/>
                          </a:srgbClr>
                        </a:clrTo>
                      </a:clrChange>
                      <a:extLst>
                        <a:ext uri="{28A0092B-C50C-407E-A947-70E740481C1C}"/>
                      </a:extLst>
                    </a:blip>
                    <a:srcRect/>
                    <a:stretch>
                      <a:fillRect/>
                    </a:stretch>
                  </pic:blipFill>
                  <pic:spPr bwMode="auto">
                    <a:xfrm>
                      <a:off x="0" y="0"/>
                      <a:ext cx="6429375" cy="51435"/>
                    </a:xfrm>
                    <a:prstGeom prst="rect">
                      <a:avLst/>
                    </a:prstGeom>
                    <a:noFill/>
                  </pic:spPr>
                </pic:pic>
              </a:graphicData>
            </a:graphic>
          </wp:anchor>
        </w:drawing>
        <w:t>Limited Warranty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a limited warranty of workmanship on its installation products for a period of ten years beginning on the date of installation completion. This warranty is limited to defects in materials and workmanship caused during installation, and to roof penetrations caused in the installation that they will be watertight. The Company bases its estimates on historical estimates and known conditions at the time. To date, warranty claims have been nominal. Accordingly, there was no warranty accrual recorded as of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Commissions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Incurred to Acquire Customer Contracts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recognizes an asset for incremental costs of obtaining a contract with the customer if management expects to recover these costs. Incremental costs are those that would not have been incurred if the contract did not exist. Examples of incremental costs often capitalized are sales commissions whereas examples of costs that would not be included are internal employee salaries, standard benefits, travel costs, and other / general legal costs. Sales commissions and related payroll taxes are the only incremental contract costs the Company incurs, which are paid out when installation is complete. As installations of customer solar systems are generally installed within 3 months resulting in the commissions being earned at that point-in-time, the Company applies the practical expedient under ASC 340-40, </w:t>
      </w:r>
      <w:r>
        <w:rPr>
          <w:rFonts w:ascii="Times New Roman" w:cs="Times New Roman" w:eastAsia="Times New Roman" w:hAnsi="Times New Roman"/>
          <w:sz w:val="18"/>
          <w:szCs w:val="18"/>
          <w:i w:val="1"/>
          <w:iCs w:val="1"/>
          <w:color w:val="auto"/>
        </w:rPr>
        <w:t>Other Assets and Deferred Costs: Contracts with Customers</w:t>
      </w:r>
      <w:r>
        <w:rPr>
          <w:rFonts w:ascii="Times New Roman" w:cs="Times New Roman" w:eastAsia="Times New Roman" w:hAnsi="Times New Roman"/>
          <w:sz w:val="18"/>
          <w:szCs w:val="18"/>
          <w:color w:val="auto"/>
        </w:rPr>
        <w:t xml:space="preserve"> and expenses all incremental costs to acquire customers contracts upon installation of the solar system.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Fulfillment Costs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installation and final inspection of a customer solar system, the Company incurs costs for design, equipment, permits, and other similar costs. These contract fulfillment costs are contract specific, enhance the asset (solar system) that will eventually be transferred to the customer, and are expected to be recovered as part of the transaction price associated with the contract. As a result, the Company capitalizes these costs as they are incurred, and expenses them once the solar system passes final inspection. The Company had $6,137,615 in deferred contract fulfillment costs classified as deferred costs in the accompanying balance sheet as of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costs are expensed as incurred. Advertising expense for the year ended December 31, 2024 totaled approximately $291,000.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Tax</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collects sales and other taxes from certain customers and remits those taxes to governmental agencies. The Company reports the collection of these taxes on a net basis and such taxes are excluded from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has evaluated events and transactions for potential recognition or disclosure through December 22, 2025, which is the date the financial statements were available to be issued.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82" w:name="page283"/>
    <w:bookmarkEnd w:id="282"/>
    <w:p>
      <w:pPr>
        <w:ind w:left="340" w:hanging="332"/>
        <w:spacing w:after="0"/>
        <w:tabs>
          <w:tab w:leader="none" w:pos="34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429375" cy="514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clrChange>
                        <a:clrFrom>
                          <a:srgbClr val="FFFFFF"/>
                        </a:clrFrom>
                        <a:clrTo>
                          <a:srgbClr val="FFFFFF">
                            <a:alpha val="0"/>
                          </a:srgbClr>
                        </a:clrTo>
                      </a:clrChange>
                      <a:extLst>
                        <a:ext uri="{28A0092B-C50C-407E-A947-70E740481C1C}"/>
                      </a:extLst>
                    </a:blip>
                    <a:srcRect/>
                    <a:stretch>
                      <a:fillRect/>
                    </a:stretch>
                  </pic:blipFill>
                  <pic:spPr bwMode="auto">
                    <a:xfrm>
                      <a:off x="0" y="0"/>
                      <a:ext cx="6429375" cy="51435"/>
                    </a:xfrm>
                    <a:prstGeom prst="rect">
                      <a:avLst/>
                    </a:prstGeom>
                    <a:noFill/>
                  </pic:spPr>
                </pic:pic>
              </a:graphicData>
            </a:graphic>
          </wp:anchor>
        </w:drawing>
        <w:t>Liquidity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assessing the Company’s liquidity, the Company monitors and analyzes its cash and its ability to generate sufficient cash flow in the future to support its operating and capital expenditure commitments. The Company’s liquidity needs are to meet its operating expense obligations.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a working capital surplus of approximately $665,000 and stockholders’ deficit of approximately $7,032,000. For the year ended December 31, 2024, the Company had a net loss of approximately $6,253,000 and used cash in operating activities of approximately $6,322,000.</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11, 2025, the Company entered a non-binding letter of intent with SunPower, Inc. to be acquired for $37,500,000. The transaction closed on November 21, 2025.</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of the Company has evaluated these conditions and believes the Company’s working capital and sales from operations will allow the Company to fund operations and pay current liabilities. Additionally, the Company raised additional funds in 2025 (See Note 13) that will assist the Company with liquidity needs, and finally, management believes the pending acquisition of the Company as previously mentioned will provide sufficient liquidity for the Company’s needs. The financial statements do not include any adjustments that might be necessary if the Company is unable to continue as a going concern. Although there can be no assurances, management believes that the capital raised and pending acquisition of the Company, combined with continued operational improvements as needed will provide the Company with the resources necessary to meet its liquidity needs for 12 months from the date the financial statements were available to be issued.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as of December 31: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100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Tools and gear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76,701</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52,552</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54,392</w:t>
            </w: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30,946</w:t>
            </w:r>
          </w:p>
        </w:tc>
      </w:tr>
      <w:tr>
        <w:trPr>
          <w:trHeight w:val="203"/>
        </w:trPr>
        <w:tc>
          <w:tcPr>
            <w:tcW w:w="100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510,676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(125,484)</w:t>
            </w:r>
          </w:p>
        </w:tc>
      </w:tr>
      <w:tr>
        <w:trPr>
          <w:trHeight w:val="210"/>
        </w:trPr>
        <w:tc>
          <w:tcPr>
            <w:tcW w:w="100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385,192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on property and equipment was calculated on a straight-line basis and for the year ended December 31, 2024 was $101,680. Amortization of right-of-use assets held under finance leases was $299,985 for the year ended December 31, 2024; and is included in depreciation and amortization expense in the statement of operations and member’s deficit.</w:t>
      </w:r>
    </w:p>
    <w:p>
      <w:pPr>
        <w:spacing w:after="0" w:line="172" w:lineRule="exact"/>
        <w:rPr>
          <w:sz w:val="20"/>
          <w:szCs w:val="20"/>
          <w:color w:val="auto"/>
        </w:rPr>
      </w:pPr>
    </w:p>
    <w:p>
      <w:pPr>
        <w:ind w:left="340" w:hanging="332"/>
        <w:spacing w:after="0"/>
        <w:tabs>
          <w:tab w:leader="none" w:pos="34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Notes Payable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notes payable agreements with various related parties. Interest rates on these notes payable range from 8% to 13%. Some notes require quarterly interest payments, while others do not require interest to be paid until the maturity date. For all related-party notes payable, the principal amounts are not due until the maturity date which ranges from December 2026 to April 2033.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future maturities of related-party notes payable are as follows: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 ending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718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3,100,000</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6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4,040,109</w:t>
            </w:r>
          </w:p>
        </w:tc>
      </w:tr>
      <w:tr>
        <w:trPr>
          <w:trHeight w:val="223"/>
        </w:trPr>
        <w:tc>
          <w:tcPr>
            <w:tcW w:w="3080" w:type="dxa"/>
            <w:vAlign w:val="bottom"/>
            <w:tcBorders>
              <w:top w:val="single" w:sz="8" w:color="CCEEFF"/>
              <w:bottom w:val="single" w:sz="8" w:color="CCEEFF"/>
            </w:tcBorders>
            <w:shd w:val="clear" w:color="auto" w:fill="CCEEFF"/>
          </w:tcPr>
          <w:p>
            <w:pPr>
              <w:spacing w:after="0"/>
              <w:rPr>
                <w:sz w:val="19"/>
                <w:szCs w:val="19"/>
                <w:color w:val="auto"/>
              </w:rPr>
            </w:pPr>
          </w:p>
        </w:tc>
        <w:tc>
          <w:tcPr>
            <w:tcW w:w="69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7,140,109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08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gridSpan w:val="2"/>
          </w:tcPr>
          <w:p>
            <w:pPr>
              <w:jc w:val="right"/>
              <w:ind w:right="4330"/>
              <w:spacing w:after="0"/>
              <w:rPr>
                <w:sz w:val="20"/>
                <w:szCs w:val="20"/>
                <w:color w:val="auto"/>
              </w:rPr>
            </w:pPr>
            <w:r>
              <w:rPr>
                <w:rFonts w:ascii="Times New Roman" w:cs="Times New Roman" w:eastAsia="Times New Roman" w:hAnsi="Times New Roman"/>
                <w:sz w:val="18"/>
                <w:szCs w:val="18"/>
                <w:color w:val="auto"/>
              </w:rPr>
              <w:t>F-158</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6" w:right="339" w:bottom="1440" w:gutter="0" w:footer="0" w:header="0"/>
        </w:sectPr>
      </w:pPr>
    </w:p>
    <w:bookmarkStart w:id="283" w:name="page284"/>
    <w:bookmarkEnd w:id="283"/>
    <w:p>
      <w:pPr>
        <w:ind w:left="340" w:hanging="332"/>
        <w:spacing w:after="0"/>
        <w:tabs>
          <w:tab w:leader="none" w:pos="3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429375" cy="514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clrChange>
                        <a:clrFrom>
                          <a:srgbClr val="FFFFFF"/>
                        </a:clrFrom>
                        <a:clrTo>
                          <a:srgbClr val="FFFFFF">
                            <a:alpha val="0"/>
                          </a:srgbClr>
                        </a:clrTo>
                      </a:clrChange>
                      <a:extLst>
                        <a:ext uri="{28A0092B-C50C-407E-A947-70E740481C1C}"/>
                      </a:extLst>
                    </a:blip>
                    <a:srcRect/>
                    <a:stretch>
                      <a:fillRect/>
                    </a:stretch>
                  </pic:blipFill>
                  <pic:spPr bwMode="auto">
                    <a:xfrm>
                      <a:off x="0" y="0"/>
                      <a:ext cx="6429375" cy="51435"/>
                    </a:xfrm>
                    <a:prstGeom prst="rect">
                      <a:avLst/>
                    </a:prstGeom>
                    <a:noFill/>
                  </pic:spPr>
                </pic:pic>
              </a:graphicData>
            </a:graphic>
          </wp:anchor>
        </w:drawing>
        <w:t>Related-Party Lines of Credit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verbal line of credit agreements with related parties. These lines of credit have maximum balances of $250,000 to $1,400,000 and bear interest on their outstanding individual balances at an interest rate of 13%. Principal and interest are not due until the maturity date which range from May to July 2027.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future maturities of related-party lines of credit are as follows: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 ending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20" w:type="dxa"/>
            <w:vAlign w:val="bottom"/>
            <w:tcBorders>
              <w:top w:val="single" w:sz="8" w:color="auto"/>
            </w:tcBorders>
            <w:shd w:val="clear" w:color="auto" w:fill="CCEEFF"/>
          </w:tcPr>
          <w:p>
            <w:pPr>
              <w:jc w:val="right"/>
              <w:ind w:right="9570"/>
              <w:spacing w:after="0"/>
              <w:rPr>
                <w:sz w:val="20"/>
                <w:szCs w:val="20"/>
                <w:color w:val="auto"/>
              </w:rPr>
            </w:pPr>
            <w:r>
              <w:rPr>
                <w:rFonts w:ascii="Times New Roman" w:cs="Times New Roman" w:eastAsia="Times New Roman" w:hAnsi="Times New Roman"/>
                <w:sz w:val="18"/>
                <w:szCs w:val="18"/>
                <w:color w:val="auto"/>
                <w:w w:val="94"/>
              </w:rPr>
              <w:t>2025</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9"/>
                <w:szCs w:val="19"/>
                <w:color w:val="auto"/>
              </w:rPr>
            </w:pPr>
          </w:p>
        </w:tc>
      </w:tr>
      <w:tr>
        <w:trPr>
          <w:trHeight w:val="216"/>
        </w:trPr>
        <w:tc>
          <w:tcPr>
            <w:tcW w:w="10020" w:type="dxa"/>
            <w:vAlign w:val="bottom"/>
          </w:tcPr>
          <w:p>
            <w:pPr>
              <w:jc w:val="right"/>
              <w:ind w:right="9570"/>
              <w:spacing w:after="0"/>
              <w:rPr>
                <w:sz w:val="20"/>
                <w:szCs w:val="20"/>
                <w:color w:val="auto"/>
              </w:rPr>
            </w:pPr>
            <w:r>
              <w:rPr>
                <w:rFonts w:ascii="Times New Roman" w:cs="Times New Roman" w:eastAsia="Times New Roman" w:hAnsi="Times New Roman"/>
                <w:sz w:val="18"/>
                <w:szCs w:val="18"/>
                <w:color w:val="auto"/>
                <w:w w:val="94"/>
              </w:rPr>
              <w:t>2026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10020" w:type="dxa"/>
            <w:vAlign w:val="bottom"/>
            <w:shd w:val="clear" w:color="auto" w:fill="CCEEFF"/>
          </w:tcPr>
          <w:p>
            <w:pPr>
              <w:jc w:val="right"/>
              <w:ind w:right="9570"/>
              <w:spacing w:after="0"/>
              <w:rPr>
                <w:sz w:val="20"/>
                <w:szCs w:val="20"/>
                <w:color w:val="auto"/>
              </w:rPr>
            </w:pPr>
            <w:r>
              <w:rPr>
                <w:rFonts w:ascii="Times New Roman" w:cs="Times New Roman" w:eastAsia="Times New Roman" w:hAnsi="Times New Roman"/>
                <w:sz w:val="18"/>
                <w:szCs w:val="18"/>
                <w:color w:val="auto"/>
                <w:w w:val="94"/>
              </w:rPr>
              <w:t>2027</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2,175,000</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2,175,000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Member’s Deficit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wholly owned by Ambia Holdings, Inc. and a 100% of the membership interests outstanding are held by Ambia Holdings, Inc.</w:t>
      </w:r>
    </w:p>
    <w:p>
      <w:pPr>
        <w:spacing w:after="0" w:line="221" w:lineRule="exact"/>
        <w:rPr>
          <w:sz w:val="20"/>
          <w:szCs w:val="20"/>
          <w:color w:val="auto"/>
        </w:rPr>
      </w:pPr>
    </w:p>
    <w:p>
      <w:pPr>
        <w:ind w:left="340" w:hanging="332"/>
        <w:spacing w:after="0"/>
        <w:tabs>
          <w:tab w:leader="none" w:pos="3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involved in legal proceedings from time to time arising in the normal course of business. Management, after consultation with legal counsel, believes that the outcome of these proceedings will not have a material impact on the Company’s financial position, results of operations, or liquidity.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 to Former Employee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7, 2024, the Company entered into a separation and release of claims agreement with an employee wherein the employee was paid a severance payment of approximately $42,000 in exchange for the employee’s release of claims and agreement to restrictive covenants. Contemporaneously with this agreement, the Company entered a loan agreement with this employee and committed to lend to this former employee up to $600,000 with draws occurring at a pre-defined rate during 2025 and 2026. Interest on the draw amounts earn 3% of the outstanding balance. Each draw will be fully forgiven 5 months after the disbursement if the former employee abides by the restrictive covenants, which are primarily non-compete and non-solicitation agreements. This former employee holds a less than 1% interest in the Company.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2024 no amounts were forgiven. As of December 31, 2024, the outstanding balance under this loan agreement was $400,000, and is included within accrued liabilities on the balance sheet. If not forgiven, the entire balance under this agreement is due on January 15, 2028.</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84" w:name="page285"/>
    <w:bookmarkEnd w:id="284"/>
    <w:p>
      <w:pPr>
        <w:ind w:left="340" w:hanging="332"/>
        <w:spacing w:after="0"/>
        <w:tabs>
          <w:tab w:leader="none" w:pos="3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429375" cy="514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clrChange>
                        <a:clrFrom>
                          <a:srgbClr val="FFFFFF"/>
                        </a:clrFrom>
                        <a:clrTo>
                          <a:srgbClr val="FFFFFF">
                            <a:alpha val="0"/>
                          </a:srgbClr>
                        </a:clrTo>
                      </a:clrChange>
                      <a:extLst>
                        <a:ext uri="{28A0092B-C50C-407E-A947-70E740481C1C}"/>
                      </a:extLst>
                    </a:blip>
                    <a:srcRect/>
                    <a:stretch>
                      <a:fillRect/>
                    </a:stretch>
                  </pic:blipFill>
                  <pic:spPr bwMode="auto">
                    <a:xfrm>
                      <a:off x="0" y="0"/>
                      <a:ext cx="6429375" cy="51435"/>
                    </a:xfrm>
                    <a:prstGeom prst="rect">
                      <a:avLst/>
                    </a:prstGeom>
                    <a:noFill/>
                  </pic:spPr>
                </pic:pic>
              </a:graphicData>
            </a:graphic>
          </wp:anchor>
        </w:drawing>
        <w:t>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lease assets are recorded net of accumulated amortization of $313,445 as of December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 for the year ended December 31:</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5840" w:type="dxa"/>
            <w:vAlign w:val="bottom"/>
            <w:gridSpan w:val="2"/>
          </w:tcPr>
          <w:p>
            <w:pPr>
              <w:ind w:left="234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w:t>
            </w:r>
          </w:p>
        </w:tc>
        <w:tc>
          <w:tcPr>
            <w:tcW w:w="120" w:type="dxa"/>
            <w:vAlign w:val="bottom"/>
            <w:tcBorders>
              <w:top w:val="single" w:sz="8" w:color="CCEEFF"/>
            </w:tcBorders>
            <w:shd w:val="clear" w:color="auto" w:fill="CCEEFF"/>
          </w:tcPr>
          <w:p>
            <w:pPr>
              <w:spacing w:after="0"/>
              <w:rPr>
                <w:sz w:val="18"/>
                <w:szCs w:val="18"/>
                <w:color w:val="auto"/>
              </w:rPr>
            </w:pPr>
          </w:p>
        </w:tc>
        <w:tc>
          <w:tcPr>
            <w:tcW w:w="57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w:t>
            </w: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amortization</w:t>
            </w:r>
          </w:p>
        </w:tc>
        <w:tc>
          <w:tcPr>
            <w:tcW w:w="5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299,985</w:t>
            </w:r>
          </w:p>
        </w:tc>
      </w:tr>
      <w:tr>
        <w:trPr>
          <w:trHeight w:val="237"/>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on liability</w:t>
            </w: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interest expense</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44,223</w:t>
            </w:r>
          </w:p>
        </w:tc>
      </w:tr>
      <w:tr>
        <w:trPr>
          <w:trHeight w:val="223"/>
        </w:trPr>
        <w:tc>
          <w:tcPr>
            <w:tcW w:w="4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lease cost</w:t>
            </w:r>
          </w:p>
        </w:tc>
        <w:tc>
          <w:tcPr>
            <w:tcW w:w="57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1,103,913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weighted average remaining lease terms and interest rates were as follows as of December 31,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Lease Term and Discount Rate</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r>
      <w:tr>
        <w:trPr>
          <w:trHeight w:val="216"/>
        </w:trPr>
        <w:tc>
          <w:tcPr>
            <w:tcW w:w="9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4.36</w:t>
            </w: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8"/>
              </w:rPr>
              <w:t>4.07%</w:t>
            </w: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leaess</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8"/>
              </w:rPr>
              <w:t>4.31%</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undiscounted future cash flows for the next five years to the operating and finance lease liabilities recorded within the balance sheet as of December 31,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year ending December 31:</w:t>
            </w:r>
          </w:p>
        </w:tc>
        <w:tc>
          <w:tcPr>
            <w:tcW w:w="120" w:type="dxa"/>
            <w:vAlign w:val="bottom"/>
          </w:tcPr>
          <w:p>
            <w:pPr>
              <w:spacing w:after="0"/>
              <w:rPr>
                <w:sz w:val="21"/>
                <w:szCs w:val="21"/>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80" w:type="dxa"/>
            <w:vAlign w:val="bottom"/>
          </w:tcPr>
          <w:p>
            <w:pPr>
              <w:spacing w:after="0"/>
              <w:rPr>
                <w:sz w:val="21"/>
                <w:szCs w:val="21"/>
                <w:color w:val="auto"/>
              </w:rPr>
            </w:pPr>
          </w:p>
        </w:tc>
        <w:tc>
          <w:tcPr>
            <w:tcW w:w="10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Finance</w:t>
            </w: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424,140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215,620</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374,183</w:t>
            </w:r>
          </w:p>
        </w:tc>
        <w:tc>
          <w:tcPr>
            <w:tcW w:w="8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93,048</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374,183</w:t>
            </w:r>
          </w:p>
        </w:tc>
        <w:tc>
          <w:tcPr>
            <w:tcW w:w="8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70,521</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353,318</w:t>
            </w:r>
          </w:p>
        </w:tc>
        <w:tc>
          <w:tcPr>
            <w:tcW w:w="80" w:type="dxa"/>
            <w:vAlign w:val="bottom"/>
          </w:tcPr>
          <w:p>
            <w:pPr>
              <w:spacing w:after="0"/>
              <w:rPr>
                <w:sz w:val="18"/>
                <w:szCs w:val="18"/>
                <w:color w:val="auto"/>
              </w:rPr>
            </w:pPr>
          </w:p>
        </w:tc>
      </w:tr>
      <w:tr>
        <w:trPr>
          <w:trHeight w:val="250"/>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231,674</w:t>
            </w:r>
          </w:p>
        </w:tc>
        <w:tc>
          <w:tcPr>
            <w:tcW w:w="80" w:type="dxa"/>
            <w:vAlign w:val="bottom"/>
            <w:shd w:val="clear" w:color="auto" w:fill="CCEEFF"/>
          </w:tcPr>
          <w:p>
            <w:pPr>
              <w:spacing w:after="0"/>
              <w:rPr>
                <w:sz w:val="21"/>
                <w:szCs w:val="21"/>
                <w:color w:val="auto"/>
              </w:rPr>
            </w:pPr>
          </w:p>
        </w:tc>
      </w:tr>
      <w:tr>
        <w:trPr>
          <w:trHeight w:val="203"/>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803,329</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1,709,079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(34,527)</w:t>
            </w:r>
          </w:p>
        </w:tc>
        <w:tc>
          <w:tcPr>
            <w:tcW w:w="18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(164,992)</w:t>
            </w:r>
          </w:p>
        </w:tc>
      </w:tr>
      <w:tr>
        <w:trPr>
          <w:trHeight w:val="210"/>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768,802</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1,544,087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 Not Disclosed Elsewhere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Commissions Receivables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commissions receivables consist of commissions receivable due from employees and contractors owed to the Company as of December 31, 2024 in the amount of approximately $424,000.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429375" cy="514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clrChange>
                        <a:clrFrom>
                          <a:srgbClr val="FFFFFF"/>
                        </a:clrFrom>
                        <a:clrTo>
                          <a:srgbClr val="FFFFFF">
                            <a:alpha val="0"/>
                          </a:srgbClr>
                        </a:clrTo>
                      </a:clrChange>
                      <a:extLst>
                        <a:ext uri="{28A0092B-C50C-407E-A947-70E740481C1C}"/>
                      </a:extLst>
                    </a:blip>
                    <a:srcRect/>
                    <a:stretch>
                      <a:fillRect/>
                    </a:stretch>
                  </pic:blipFill>
                  <pic:spPr bwMode="auto">
                    <a:xfrm>
                      <a:off x="0" y="0"/>
                      <a:ext cx="6429375" cy="51435"/>
                    </a:xfrm>
                    <a:prstGeom prst="rect">
                      <a:avLst/>
                    </a:prstGeom>
                    <a:noFill/>
                  </pic:spPr>
                </pic:pic>
              </a:graphicData>
            </a:graphic>
          </wp:anchor>
        </w:drawing>
        <w:t>Related-Party Accounts Payable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related-party entity will on occasion pay for bills on the Company’s behalf, and other amounts due to this entity arise over the normal course of business operations. As of December 31, 2024, the Company owed approximately $510,000 to this entity.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Related-Party Accrued Interest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accrued interest to related parties of approximately $1,091,000 is included in accrued expenses in the balance sheet.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leased certain office space from a related-party entity. This lease terminated on December 31, 2024. Amortization expense for the year ended December 31, 2024 was approximately $279,000, and is included in rent expense in the accompanying statement of operations and member’s deficit. The present value of the lease payments for this related-party lease was computed using a discount rate of 4.33%.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Benefit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sponsors a defined contribution 401(k) retirement plan (the Retirement Plan). Employees are eligible to participate on the first day of the month coinciding with or next following the date they have completed six months of service and have attained 18 years of age. Employees may elect to contribute to the Retirement Plan subject to the limitations of the Internal Revenue Code (IRC). The Company makes a matching contribution to each participant’s account equal to 100% of the first 3%, and 50% of the next 2% of each participant’s contribution. Participants are 100% vested in all contributions immediately. For the year ending December 31, 2024, the Company made $217,639 in matching contributions to the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quarter of 2025, existing related-party lenders loaned the Company a combined $500,000 in additional funds to increase maximum line of credit balances that were in place as of December 31,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2025, the Company signed a lease agreement extending the lease for its main office through May 31, 2030. Total lease payments to be made during the 5 year extension are $3,533,133.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of 2025, the Company entered into a sale and purchase of future receivables agreement with a lender. This third-party lender lent the Company $1,000,000 and in return the Company agreed to pay the lender 8% of all cash collections from customers until a total of $1,320,000 has been paid. This agreement was paid in full in August 2025.</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11, 2025, the Company entered a non-binding letter of intent with SunPower, Inc. to be acquired for $37,500,000. The transaction closed on November 21,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86" w:name="page287"/>
    <w:bookmarkEnd w:id="28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AMBIA ENERGY, LLC</w:t>
      </w:r>
    </w:p>
    <w:p>
      <w:pPr>
        <w:spacing w:after="0" w:line="225" w:lineRule="exact"/>
        <w:rPr>
          <w:sz w:val="20"/>
          <w:szCs w:val="20"/>
          <w:color w:val="auto"/>
        </w:rPr>
      </w:pPr>
    </w:p>
    <w:p>
      <w:pPr>
        <w:jc w:val="center"/>
        <w:ind w:left="2120" w:right="2119"/>
        <w:spacing w:after="0" w:line="268" w:lineRule="auto"/>
        <w:rPr>
          <w:sz w:val="20"/>
          <w:szCs w:val="20"/>
          <w:color w:val="auto"/>
        </w:rPr>
      </w:pPr>
      <w:r>
        <w:rPr>
          <w:rFonts w:ascii="Times New Roman" w:cs="Times New Roman" w:eastAsia="Times New Roman" w:hAnsi="Times New Roman"/>
          <w:sz w:val="18"/>
          <w:szCs w:val="18"/>
          <w:b w:val="1"/>
          <w:bCs w:val="1"/>
          <w:color w:val="auto"/>
        </w:rPr>
        <w:t>Unaudited Financial Statements As of September 30, 2025 and December 31, 2024 and For the Nine Months Ended September 30, 2025 and 2024</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287" w:name="page288"/>
    <w:bookmarkEnd w:id="287"/>
    <w:tbl>
      <w:tblPr>
        <w:tblLayout w:type="fixed"/>
        <w:tblInd w:w="0" w:type="dxa"/>
        <w:tblCellMar>
          <w:top w:w="0" w:type="dxa"/>
          <w:left w:w="0" w:type="dxa"/>
          <w:bottom w:w="0" w:type="dxa"/>
          <w:right w:w="0" w:type="dxa"/>
        </w:tblCellMar>
      </w:tblPr>
      <w:tr>
        <w:trPr>
          <w:trHeight w:val="238"/>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Balance Sheets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i w:val="1"/>
                <w:iCs w:val="1"/>
                <w:color w:val="auto"/>
              </w:rPr>
              <w:t>As of</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September 30,</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i w:val="1"/>
                <w:iCs w:val="1"/>
                <w:color w:val="auto"/>
              </w:rPr>
              <w:t>As of</w:t>
            </w:r>
          </w:p>
        </w:tc>
      </w:tr>
      <w:tr>
        <w:trPr>
          <w:trHeight w:val="216"/>
        </w:trPr>
        <w:tc>
          <w:tcPr>
            <w:tcW w:w="4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22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r>
      <w:tr>
        <w:trPr>
          <w:trHeight w:val="272"/>
        </w:trPr>
        <w:tc>
          <w:tcPr>
            <w:tcW w:w="4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6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200" w:type="dxa"/>
            <w:vAlign w:val="bottom"/>
          </w:tcPr>
          <w:p>
            <w:pPr>
              <w:spacing w:after="0"/>
              <w:rPr>
                <w:sz w:val="23"/>
                <w:szCs w:val="23"/>
                <w:color w:val="auto"/>
              </w:rPr>
            </w:pPr>
          </w:p>
        </w:tc>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00" w:type="dxa"/>
            <w:vAlign w:val="bottom"/>
          </w:tcPr>
          <w:p>
            <w:pPr>
              <w:spacing w:after="0"/>
              <w:rPr>
                <w:sz w:val="23"/>
                <w:szCs w:val="23"/>
                <w:color w:val="auto"/>
              </w:rPr>
            </w:pPr>
          </w:p>
        </w:tc>
      </w:tr>
      <w:tr>
        <w:trPr>
          <w:trHeight w:val="189"/>
        </w:trPr>
        <w:tc>
          <w:tcPr>
            <w:tcW w:w="86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693,520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1,043,269</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$225,000 and $123,000, respectively</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1,293,174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1,010,295</w:t>
            </w: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 - unbilled revenues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5,715,605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4,601,890</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485,863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366,027</w:t>
            </w: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commissions receivable, net of allowance of $760,413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1,580,974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423,719</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Deferred commissions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1,145,672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3,511,328</w:t>
            </w: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3,943,059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6,137,615</w:t>
            </w:r>
          </w:p>
        </w:tc>
      </w:tr>
      <w:tr>
        <w:trPr>
          <w:trHeight w:val="237"/>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343,410</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531,238</w:t>
            </w:r>
          </w:p>
        </w:tc>
      </w:tr>
      <w:tr>
        <w:trPr>
          <w:trHeight w:val="216"/>
        </w:trPr>
        <w:tc>
          <w:tcPr>
            <w:tcW w:w="48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CCEEFF"/>
            </w:tcBorders>
            <w:shd w:val="clear" w:color="auto" w:fill="CCEEFF"/>
          </w:tcPr>
          <w:p>
            <w:pPr>
              <w:spacing w:after="0"/>
              <w:rPr>
                <w:sz w:val="18"/>
                <w:szCs w:val="18"/>
                <w:color w:val="auto"/>
              </w:rPr>
            </w:pPr>
          </w:p>
        </w:tc>
        <w:tc>
          <w:tcPr>
            <w:tcW w:w="6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8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15,201,277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17,625,381</w:t>
            </w:r>
          </w:p>
        </w:tc>
      </w:tr>
      <w:tr>
        <w:trPr>
          <w:trHeight w:val="216"/>
        </w:trPr>
        <w:tc>
          <w:tcPr>
            <w:tcW w:w="4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424,031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385,192</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2,856,409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740,654</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1,602,376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1,971,170</w:t>
            </w:r>
          </w:p>
        </w:tc>
      </w:tr>
      <w:tr>
        <w:trPr>
          <w:trHeight w:val="23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181,510</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116,819</w:t>
            </w:r>
          </w:p>
        </w:tc>
      </w:tr>
      <w:tr>
        <w:trPr>
          <w:trHeight w:val="216"/>
        </w:trPr>
        <w:tc>
          <w:tcPr>
            <w:tcW w:w="48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6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480" w:type="dxa"/>
            <w:vAlign w:val="bottom"/>
            <w:shd w:val="clear" w:color="auto" w:fill="CCEEFF"/>
          </w:tcPr>
          <w:p>
            <w:pPr>
              <w:spacing w:after="0"/>
              <w:rPr>
                <w:sz w:val="20"/>
                <w:szCs w:val="20"/>
                <w:color w:val="auto"/>
              </w:rPr>
            </w:pPr>
          </w:p>
        </w:tc>
        <w:tc>
          <w:tcPr>
            <w:tcW w:w="8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20,265,603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20,839,216</w:t>
            </w:r>
          </w:p>
        </w:tc>
      </w:tr>
      <w:tr>
        <w:trPr>
          <w:trHeight w:val="216"/>
        </w:trPr>
        <w:tc>
          <w:tcPr>
            <w:tcW w:w="48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6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86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Member’s Deficit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8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6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2,489,153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2,168,566</w:t>
            </w: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3,431,906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2,799,860</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Accrued commissions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212,469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180,114</w:t>
            </w: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Merchant cash advance, net of debt discount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487,500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Related-party accounts payable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294,384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509,649</w:t>
            </w: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7,701,532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10,585,293</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622,419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401,456</w:t>
            </w:r>
          </w:p>
        </w:tc>
      </w:tr>
      <w:tr>
        <w:trPr>
          <w:trHeight w:val="23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308,794</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315,541</w:t>
            </w:r>
          </w:p>
        </w:tc>
      </w:tr>
      <w:tr>
        <w:trPr>
          <w:trHeight w:val="216"/>
        </w:trPr>
        <w:tc>
          <w:tcPr>
            <w:tcW w:w="48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6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80" w:type="dxa"/>
            <w:vAlign w:val="bottom"/>
            <w:shd w:val="clear" w:color="auto" w:fill="CCEEFF"/>
          </w:tcPr>
          <w:p>
            <w:pPr>
              <w:spacing w:after="0"/>
              <w:rPr>
                <w:sz w:val="18"/>
                <w:szCs w:val="18"/>
                <w:color w:val="auto"/>
              </w:rPr>
            </w:pPr>
          </w:p>
        </w:tc>
        <w:tc>
          <w:tcPr>
            <w:tcW w:w="8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15,548,157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16,960,479</w:t>
            </w:r>
          </w:p>
        </w:tc>
      </w:tr>
      <w:tr>
        <w:trPr>
          <w:trHeight w:val="216"/>
        </w:trPr>
        <w:tc>
          <w:tcPr>
            <w:tcW w:w="4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2,145,929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367,346</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 lease liabilities, net of current portion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985,849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1,228,546</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Related-party lines of credit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2,675,000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2,175,000</w:t>
            </w:r>
          </w:p>
        </w:tc>
      </w:tr>
      <w:tr>
        <w:trPr>
          <w:trHeight w:val="23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Related-party notes payable</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7,140,109</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7,140,109</w:t>
            </w:r>
          </w:p>
        </w:tc>
      </w:tr>
      <w:tr>
        <w:trPr>
          <w:trHeight w:val="216"/>
        </w:trPr>
        <w:tc>
          <w:tcPr>
            <w:tcW w:w="48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CCEEFF"/>
            </w:tcBorders>
            <w:shd w:val="clear" w:color="auto" w:fill="CCEEFF"/>
          </w:tcPr>
          <w:p>
            <w:pPr>
              <w:spacing w:after="0"/>
              <w:rPr>
                <w:sz w:val="18"/>
                <w:szCs w:val="18"/>
                <w:color w:val="auto"/>
              </w:rPr>
            </w:pPr>
          </w:p>
        </w:tc>
        <w:tc>
          <w:tcPr>
            <w:tcW w:w="6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80" w:type="dxa"/>
            <w:vAlign w:val="bottom"/>
          </w:tcPr>
          <w:p>
            <w:pPr>
              <w:spacing w:after="0"/>
              <w:rPr>
                <w:sz w:val="20"/>
                <w:szCs w:val="20"/>
                <w:color w:val="auto"/>
              </w:rPr>
            </w:pPr>
          </w:p>
        </w:tc>
        <w:tc>
          <w:tcPr>
            <w:tcW w:w="8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28,495,044</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27,871,480</w:t>
            </w:r>
          </w:p>
        </w:tc>
      </w:tr>
      <w:tr>
        <w:trPr>
          <w:trHeight w:val="216"/>
        </w:trPr>
        <w:tc>
          <w:tcPr>
            <w:tcW w:w="48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CCEEFF"/>
            </w:tcBorders>
            <w:shd w:val="clear" w:color="auto" w:fill="CCEEFF"/>
          </w:tcPr>
          <w:p>
            <w:pPr>
              <w:spacing w:after="0"/>
              <w:rPr>
                <w:sz w:val="18"/>
                <w:szCs w:val="18"/>
                <w:color w:val="auto"/>
              </w:rPr>
            </w:pPr>
          </w:p>
        </w:tc>
        <w:tc>
          <w:tcPr>
            <w:tcW w:w="6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Member’s deficit</w:t>
            </w: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(8,229,441)</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(7,032,264)</w:t>
            </w:r>
          </w:p>
        </w:tc>
      </w:tr>
      <w:tr>
        <w:trPr>
          <w:trHeight w:val="216"/>
        </w:trPr>
        <w:tc>
          <w:tcPr>
            <w:tcW w:w="48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CCEEFF"/>
            </w:tcBorders>
            <w:shd w:val="clear" w:color="auto" w:fill="CCEEFF"/>
          </w:tcPr>
          <w:p>
            <w:pPr>
              <w:spacing w:after="0"/>
              <w:rPr>
                <w:sz w:val="18"/>
                <w:szCs w:val="18"/>
                <w:color w:val="auto"/>
              </w:rPr>
            </w:pPr>
          </w:p>
        </w:tc>
        <w:tc>
          <w:tcPr>
            <w:tcW w:w="6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480" w:type="dxa"/>
            <w:vAlign w:val="bottom"/>
          </w:tcPr>
          <w:p>
            <w:pPr>
              <w:spacing w:after="0"/>
              <w:rPr>
                <w:sz w:val="20"/>
                <w:szCs w:val="20"/>
                <w:color w:val="auto"/>
              </w:rPr>
            </w:pPr>
          </w:p>
        </w:tc>
        <w:tc>
          <w:tcPr>
            <w:tcW w:w="8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 and member’s deficit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20,265,603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20,839,216</w:t>
            </w:r>
          </w:p>
        </w:tc>
      </w:tr>
      <w:tr>
        <w:trPr>
          <w:trHeight w:val="432"/>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655"/>
        </w:trPr>
        <w:tc>
          <w:tcPr>
            <w:tcW w:w="4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ind w:left="2900"/>
              <w:spacing w:after="0"/>
              <w:rPr>
                <w:sz w:val="20"/>
                <w:szCs w:val="20"/>
                <w:color w:val="auto"/>
              </w:rPr>
            </w:pPr>
            <w:r>
              <w:rPr>
                <w:rFonts w:ascii="Times New Roman" w:cs="Times New Roman" w:eastAsia="Times New Roman" w:hAnsi="Times New Roman"/>
                <w:sz w:val="18"/>
                <w:szCs w:val="18"/>
                <w:color w:val="auto"/>
              </w:rPr>
              <w:t>F-163</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88" w:name="page289"/>
    <w:bookmarkEnd w:id="2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Statements of Operations and Member’s Deficit</w:t>
            </w: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2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w:t>
            </w:r>
          </w:p>
        </w:tc>
      </w:tr>
      <w:tr>
        <w:trPr>
          <w:trHeight w:val="245"/>
        </w:trPr>
        <w:tc>
          <w:tcPr>
            <w:tcW w:w="52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6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i w:val="1"/>
                <w:iCs w:val="1"/>
                <w:color w:val="auto"/>
              </w:rPr>
              <w:t>September 30,</w:t>
            </w:r>
          </w:p>
        </w:tc>
      </w:tr>
      <w:tr>
        <w:trPr>
          <w:trHeight w:val="237"/>
        </w:trPr>
        <w:tc>
          <w:tcPr>
            <w:tcW w:w="5280" w:type="dxa"/>
            <w:vAlign w:val="bottom"/>
            <w:tcBorders>
              <w:bottom w:val="single" w:sz="8" w:color="CCEEFF"/>
            </w:tcBorders>
          </w:tcPr>
          <w:p>
            <w:pPr>
              <w:spacing w:after="0"/>
              <w:rPr>
                <w:sz w:val="20"/>
                <w:szCs w:val="20"/>
                <w:color w:val="auto"/>
              </w:rPr>
            </w:pPr>
          </w:p>
        </w:tc>
        <w:tc>
          <w:tcPr>
            <w:tcW w:w="34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61,075,725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28,114,668</w:t>
            </w:r>
          </w:p>
        </w:tc>
        <w:tc>
          <w:tcPr>
            <w:tcW w:w="100" w:type="dxa"/>
            <w:vAlign w:val="bottom"/>
            <w:shd w:val="clear" w:color="auto" w:fill="CCEEFF"/>
          </w:tcPr>
          <w:p>
            <w:pPr>
              <w:spacing w:after="0"/>
              <w:rPr>
                <w:sz w:val="18"/>
                <w:szCs w:val="18"/>
                <w:color w:val="auto"/>
              </w:rPr>
            </w:pPr>
          </w:p>
        </w:tc>
      </w:tr>
      <w:tr>
        <w:trPr>
          <w:trHeight w:val="23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32,622,179</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20,517,813</w:t>
            </w:r>
          </w:p>
        </w:tc>
      </w:tr>
      <w:tr>
        <w:trPr>
          <w:trHeight w:val="216"/>
        </w:trPr>
        <w:tc>
          <w:tcPr>
            <w:tcW w:w="5280" w:type="dxa"/>
            <w:vAlign w:val="bottom"/>
            <w:tcBorders>
              <w:top w:val="single" w:sz="8" w:color="CCEEFF"/>
            </w:tcBorders>
            <w:shd w:val="clear" w:color="auto" w:fill="CCEEFF"/>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Gross profit</w:t>
            </w: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28,453,546</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7,596,855</w:t>
            </w:r>
          </w:p>
        </w:tc>
      </w:tr>
      <w:tr>
        <w:trPr>
          <w:trHeight w:val="216"/>
        </w:trPr>
        <w:tc>
          <w:tcPr>
            <w:tcW w:w="5280" w:type="dxa"/>
            <w:vAlign w:val="bottom"/>
            <w:tcBorders>
              <w:top w:val="single" w:sz="8" w:color="CCEEFF"/>
            </w:tcBorders>
            <w:shd w:val="clear" w:color="auto" w:fill="CCEEFF"/>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10,845,446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7,303,877</w:t>
            </w:r>
          </w:p>
        </w:tc>
      </w:tr>
      <w:tr>
        <w:trPr>
          <w:trHeight w:val="216"/>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Commissions</w:t>
            </w: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16,003,211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8,043,929</w:t>
            </w:r>
          </w:p>
        </w:tc>
      </w:tr>
      <w:tr>
        <w:trPr>
          <w:trHeight w:val="216"/>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Rent</w:t>
            </w:r>
          </w:p>
        </w:tc>
        <w:tc>
          <w:tcPr>
            <w:tcW w:w="3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1,038,258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888,362</w:t>
            </w:r>
          </w:p>
        </w:tc>
      </w:tr>
      <w:tr>
        <w:trPr>
          <w:trHeight w:val="236"/>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494,567</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236,304</w:t>
            </w:r>
          </w:p>
        </w:tc>
      </w:tr>
      <w:tr>
        <w:trPr>
          <w:trHeight w:val="216"/>
        </w:trPr>
        <w:tc>
          <w:tcPr>
            <w:tcW w:w="5280" w:type="dxa"/>
            <w:vAlign w:val="bottom"/>
            <w:tcBorders>
              <w:top w:val="single" w:sz="8" w:color="CCEEFF"/>
            </w:tcBorders>
            <w:shd w:val="clear" w:color="auto" w:fill="CCEEFF"/>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5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28,381,482</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16,472,472</w:t>
            </w:r>
          </w:p>
        </w:tc>
      </w:tr>
      <w:tr>
        <w:trPr>
          <w:trHeight w:val="216"/>
        </w:trPr>
        <w:tc>
          <w:tcPr>
            <w:tcW w:w="5280" w:type="dxa"/>
            <w:vAlign w:val="bottom"/>
            <w:tcBorders>
              <w:top w:val="single" w:sz="8" w:color="CCEEFF"/>
            </w:tcBorders>
            <w:shd w:val="clear" w:color="auto" w:fill="CCEEFF"/>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5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72,064</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(8,875,617)</w:t>
            </w:r>
          </w:p>
        </w:tc>
      </w:tr>
      <w:tr>
        <w:trPr>
          <w:trHeight w:val="216"/>
        </w:trPr>
        <w:tc>
          <w:tcPr>
            <w:tcW w:w="5280" w:type="dxa"/>
            <w:vAlign w:val="bottom"/>
            <w:tcBorders>
              <w:top w:val="single" w:sz="8" w:color="CCEEFF"/>
            </w:tcBorders>
            <w:shd w:val="clear" w:color="auto" w:fill="CCEEFF"/>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(1,285,993)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(925,263)</w:t>
            </w:r>
          </w:p>
        </w:tc>
      </w:tr>
      <w:tr>
        <w:trPr>
          <w:trHeight w:val="237"/>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16,752</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(10,970)</w:t>
            </w:r>
          </w:p>
        </w:tc>
      </w:tr>
      <w:tr>
        <w:trPr>
          <w:trHeight w:val="216"/>
        </w:trPr>
        <w:tc>
          <w:tcPr>
            <w:tcW w:w="5280" w:type="dxa"/>
            <w:vAlign w:val="bottom"/>
            <w:tcBorders>
              <w:top w:val="single" w:sz="8" w:color="CCEEFF"/>
            </w:tcBorders>
            <w:shd w:val="clear" w:color="auto" w:fill="CCEEFF"/>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(1,269,241)</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(936,233)</w:t>
            </w:r>
          </w:p>
        </w:tc>
      </w:tr>
      <w:tr>
        <w:trPr>
          <w:trHeight w:val="216"/>
        </w:trPr>
        <w:tc>
          <w:tcPr>
            <w:tcW w:w="5280" w:type="dxa"/>
            <w:vAlign w:val="bottom"/>
            <w:tcBorders>
              <w:top w:val="single" w:sz="8" w:color="CCEEFF"/>
            </w:tcBorders>
            <w:shd w:val="clear" w:color="auto" w:fill="CCEEFF"/>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5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loss</w:t>
            </w:r>
          </w:p>
        </w:tc>
        <w:tc>
          <w:tcPr>
            <w:tcW w:w="36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(1,197,177)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(9,811,850)</w:t>
            </w:r>
          </w:p>
        </w:tc>
      </w:tr>
      <w:tr>
        <w:trPr>
          <w:trHeight w:val="216"/>
        </w:trPr>
        <w:tc>
          <w:tcPr>
            <w:tcW w:w="5280" w:type="dxa"/>
            <w:vAlign w:val="bottom"/>
            <w:tcBorders>
              <w:top w:val="single" w:sz="8" w:color="CCEEFF"/>
            </w:tcBorders>
            <w:shd w:val="clear" w:color="auto" w:fill="CCEEFF"/>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Member’s deficit, beginning of the period</w:t>
            </w:r>
          </w:p>
        </w:tc>
        <w:tc>
          <w:tcPr>
            <w:tcW w:w="36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(7,032,264)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(5,112,377)</w:t>
            </w:r>
          </w:p>
        </w:tc>
      </w:tr>
      <w:tr>
        <w:trPr>
          <w:trHeight w:val="216"/>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(1,197,177)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(9,811,850)</w:t>
            </w:r>
          </w:p>
        </w:tc>
      </w:tr>
      <w:tr>
        <w:trPr>
          <w:trHeight w:val="237"/>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Member’s contribution and conversion of related-party notes payable</w:t>
            </w: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4,333,164</w:t>
            </w:r>
          </w:p>
        </w:tc>
      </w:tr>
      <w:tr>
        <w:trPr>
          <w:trHeight w:val="216"/>
        </w:trPr>
        <w:tc>
          <w:tcPr>
            <w:tcW w:w="5280" w:type="dxa"/>
            <w:vAlign w:val="bottom"/>
            <w:tcBorders>
              <w:top w:val="single" w:sz="8" w:color="CCEEFF"/>
            </w:tcBorders>
            <w:shd w:val="clear" w:color="auto" w:fill="CCEEFF"/>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Member’s deficit, end of the period</w:t>
            </w:r>
          </w:p>
        </w:tc>
        <w:tc>
          <w:tcPr>
            <w:tcW w:w="36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(8,229,441)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(10,591,063)</w:t>
            </w:r>
          </w:p>
        </w:tc>
      </w:tr>
      <w:tr>
        <w:trPr>
          <w:trHeight w:val="432"/>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tc>
        <w:tc>
          <w:tcPr>
            <w:tcW w:w="34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655"/>
        </w:trPr>
        <w:tc>
          <w:tcPr>
            <w:tcW w:w="52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2"/>
          </w:tcPr>
          <w:p>
            <w:pPr>
              <w:jc w:val="right"/>
              <w:ind w:right="2956"/>
              <w:spacing w:after="0"/>
              <w:rPr>
                <w:sz w:val="20"/>
                <w:szCs w:val="20"/>
                <w:color w:val="auto"/>
              </w:rPr>
            </w:pPr>
            <w:r>
              <w:rPr>
                <w:rFonts w:ascii="Times New Roman" w:cs="Times New Roman" w:eastAsia="Times New Roman" w:hAnsi="Times New Roman"/>
                <w:sz w:val="18"/>
                <w:szCs w:val="18"/>
                <w:color w:val="auto"/>
              </w:rPr>
              <w:t>F-164</w:t>
            </w: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89" w:name="page290"/>
    <w:bookmarkEnd w:id="2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Statements of Cash Flows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w:t>
            </w:r>
          </w:p>
        </w:tc>
      </w:tr>
      <w:tr>
        <w:trPr>
          <w:trHeight w:val="245"/>
        </w:trPr>
        <w:tc>
          <w:tcPr>
            <w:tcW w:w="8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4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i w:val="1"/>
                <w:iCs w:val="1"/>
                <w:color w:val="auto"/>
              </w:rPr>
              <w:t>September 30,</w:t>
            </w:r>
          </w:p>
        </w:tc>
      </w:tr>
      <w:tr>
        <w:trPr>
          <w:trHeight w:val="237"/>
        </w:trPr>
        <w:tc>
          <w:tcPr>
            <w:tcW w:w="86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(1,197,177)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(9,811,850)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operating right-of-use assets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523,352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643,603</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494,567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236,304</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(282,879)</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(413,593)</w:t>
            </w: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Contract assets - unbilled revenues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(1,113,715)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739,308</w:t>
            </w: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receivables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(119,836)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295,812</w:t>
            </w: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Sales commissions receivable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(1,157,255)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(134,894)</w:t>
            </w: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74,447</w:t>
            </w: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costs and commissions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4,560,212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(848,215)</w:t>
            </w: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187,828</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(427,389)</w:t>
            </w: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Deposits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(64,691)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(13,337)</w:t>
            </w: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106,122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539,602</w:t>
            </w: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369,546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3,229,015</w:t>
            </w: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commissions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32,355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395,000</w:t>
            </w: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Related-party accounts payable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(215,265)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51,411</w:t>
            </w: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(2,883,761)</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(1,314,260)</w:t>
            </w:r>
          </w:p>
        </w:tc>
      </w:tr>
      <w:tr>
        <w:trPr>
          <w:trHeight w:val="237"/>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(425,096)</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(618,953)</w:t>
            </w:r>
          </w:p>
        </w:tc>
      </w:tr>
      <w:tr>
        <w:trPr>
          <w:trHeight w:val="216"/>
        </w:trPr>
        <w:tc>
          <w:tcPr>
            <w:tcW w:w="86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86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(1,185,693)</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(7,377,989)</w:t>
            </w:r>
          </w:p>
        </w:tc>
      </w:tr>
      <w:tr>
        <w:trPr>
          <w:trHeight w:val="216"/>
        </w:trPr>
        <w:tc>
          <w:tcPr>
            <w:tcW w:w="86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(191,243)</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(222,908)</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related-party revolving lines of credit and notes payable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8,925,000</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on related-party revolving lines of credits and notes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(3,305,747)</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member’s contribution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1,883,164</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Merchant cash advance</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1,750,000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Merchant cash repayments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on finance lease liabilities</w:t>
            </w: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(222,813)</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(363,900)</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86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1,027,187</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7,138,517</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(349,749)</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(462,380)</w:t>
            </w: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1,043,269</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728,639</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693,520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266,259</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interest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703,167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50,441</w:t>
            </w: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liabilities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2,424,642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125,849</w:t>
            </w: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in operating right-of-use assets and accounts payable for lessor owned tenant improvements paid by the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214,465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 obtained in exchange for finance lease liabilities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1,169,095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terminations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26,631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related-party notes payable to member’s equity</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2,450,000</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Merchant cash advance accrued guaranteed interest payment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262,500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Unaudited Financial Statements</w:t>
      </w:r>
    </w:p>
    <w:p>
      <w:pPr>
        <w:spacing w:after="0" w:line="225" w:lineRule="exact"/>
        <w:rPr>
          <w:sz w:val="20"/>
          <w:szCs w:val="20"/>
          <w:color w:val="auto"/>
        </w:rPr>
      </w:pPr>
    </w:p>
    <w:p>
      <w:pPr>
        <w:ind w:left="340" w:hanging="332"/>
        <w:spacing w:after="0"/>
        <w:tabs>
          <w:tab w:leader="none" w:pos="3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Ambia Energy, LLC was organized on March 24, 2021 as a Utah limited liability company. The Company is a residential solar energy system installer and operates in various markets throughout the United States. The Company is a wholly owned subsidiary of Ambia Holdings, Inc.</w:t>
      </w:r>
    </w:p>
    <w:p>
      <w:pPr>
        <w:spacing w:after="0" w:line="158" w:lineRule="exact"/>
        <w:rPr>
          <w:sz w:val="20"/>
          <w:szCs w:val="20"/>
          <w:color w:val="auto"/>
        </w:rPr>
      </w:pPr>
    </w:p>
    <w:p>
      <w:pPr>
        <w:ind w:left="340" w:hanging="332"/>
        <w:spacing w:after="0"/>
        <w:tabs>
          <w:tab w:leader="none" w:pos="3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reported amounts and disclosures. Accordingly, actual results could differ from those estimates.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its cash in bank deposit accounts which, at times, exceeds federally insured limits. To date, the Company has not experienced a loss or lack of access to its invested cash; however, no assurance can be provided that access to the Company’s invested cash will not be impacted by adverse conditions in the financial markets.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provides credit terms to its customers and generally requires no collateral. Customers that comprise more than 10% of the Company’s accounts receivable or annual net sales are considered to be major customers. No residential customer accounted for more than 10% of sales or accounts receivable as of and for the nine months ended September 30, 2025 and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residential customers generally pay for the transaction with financing. Significant lenders were as follows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Lender A</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Lender B</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Lender C</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Lender D</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Lender E</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r>
    </w:tbl>
    <w:p>
      <w:pPr>
        <w:spacing w:after="0" w:line="196" w:lineRule="exact"/>
        <w:rPr>
          <w:sz w:val="20"/>
          <w:szCs w:val="20"/>
          <w:color w:val="auto"/>
        </w:rPr>
      </w:pPr>
    </w:p>
    <w:p>
      <w:pPr>
        <w:ind w:left="340" w:hanging="332"/>
        <w:spacing w:after="0"/>
        <w:tabs>
          <w:tab w:leader="none" w:pos="340" w:val="left"/>
        </w:tabs>
        <w:numPr>
          <w:ilvl w:val="0"/>
          <w:numId w:val="1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Lender funded less than 10% of sales for the year.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following lenders owed a significant portion of the Company’s account receivable balance as of September 30,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Lender B</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Lender E</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Lender A</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6" w:lineRule="exact"/>
        <w:rPr>
          <w:sz w:val="20"/>
          <w:szCs w:val="20"/>
          <w:color w:val="auto"/>
        </w:rPr>
      </w:pPr>
    </w:p>
    <w:p>
      <w:pPr>
        <w:ind w:left="340" w:hanging="332"/>
        <w:spacing w:after="0"/>
        <w:tabs>
          <w:tab w:leader="none" w:pos="340" w:val="left"/>
        </w:tabs>
        <w:numPr>
          <w:ilvl w:val="0"/>
          <w:numId w:val="1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Lender accounted for less than 10% of the accounts receivable balance.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color w:val="auto"/>
        </w:rPr>
        <w:t>Major vendors are defined as those vendors to which expenditures made by the Company are 10% or more of the Company’s total solar materials costs.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was a major vendor for the nine months ended September 30, 2025 and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Vendor A</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Vendor B</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77" w:lineRule="exact"/>
        <w:rPr>
          <w:sz w:val="20"/>
          <w:szCs w:val="20"/>
          <w:color w:val="auto"/>
        </w:rPr>
      </w:pPr>
    </w:p>
    <w:p>
      <w:pPr>
        <w:ind w:left="340" w:hanging="332"/>
        <w:spacing w:after="0"/>
        <w:tabs>
          <w:tab w:leader="none" w:pos="340" w:val="left"/>
        </w:tabs>
        <w:numPr>
          <w:ilvl w:val="0"/>
          <w:numId w:val="1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Vendor did not represent more than 10% of expenditures.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leases certain office and warehouse space, and vehicles. The Company assesses whether an arrangement qualifies as a lease (i.e., conveys the right to control the use of an identified asset for a period of time in exchange for consideration) at inception and whether the arrangement is an operating or finance lease, and only reassesses its determination if the terms and conditions of the arrangement are changed. For all arrangements where it is determined that a lease exists, the related right-of-use assets and lease liabilities are recorded within the balance sheet as either operating or finance leases. At inception or modification, the Company calculates the present value of lease payments using the implicit rate determined from the contract or the Company’s incremental borrowing rate applicable to the lease, which is determined by estimating what it would cost the Company to borrow a collateralized amount equal to the total lease payments over the lease term based on the contractual terms of the lease and the location of the leased asset. The present value is adjusted for prepaid lease payments, lease incentives, and initial direct costs (e.g. commissions). The Company’s leases may require fixed rental payments, variable lease payments based on usage or sales and fixed non-lease costs relating to the leased asset.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Variable lease payments are generally not included in the measurement of the right-of-use assets and lease liabilities. Leases with an initial term of 12 months or less are not recorded on the balance sheet. Lease expense is recognized for these leases on a straight-line basis over the lease term. Fixed non-lease costs, for example common-area maintenance costs, taxes, insurance, and maintenance, are excluded from the measurement of the right-of-use asset and lease liability as the Company separates lease and non-lease components.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leases include one or more options to renew, with renewal terms that can extend the lease term for up to three years. The exercise of lease renewal options is at the Company’s sole discretion. The depreciable life of the assets and leasehold improvements are limited by the expected term unless there is a transfer of title or purchase option reasonably certain of exercise.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Contract Assets, and Allowance for Credit Losses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records its accounts receivable and contract assets at sales value. The Company’s contract assets consist of revenues recognized by the Company, but for which the Company has not yet been able to contractually invoice for final payment. The Company has tracked historical loss information for its accounts receivable and contract assets and compiled historical credit loss percentages for customers who share similar risk characteristics considering current trends and forecasts. Management believes that the historical loss information it has compiled is a reasonable basis on which to determine expected credit losses for accounts receivable and contract assets held as of period end because the composition of the accounts receivable and contract assets at that date is consistent with that used in developing the historical credit-loss percentages (i.e. the similar risk characteristics of its customers and its lending practices have not changed significantly over time). Final payment of the Company’s accounts receivable is considered past due when payment has not been received within 30 days of the invoice date. Account balances are charged off against the allowance for credit losses when the probability for recovery is remote. Recoveries of receivables previously charged off are recorded when cash payment is received. As of September 30, 2025 and 2024, the allowance for credit losses was $225,000 and $0.</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are calculated using the straight-line method over the estimated economic useful lives of the assets or over the related lease terms (if shorter)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Tools and gear</w:t>
            </w:r>
          </w:p>
        </w:tc>
        <w:tc>
          <w:tcPr>
            <w:tcW w:w="5180" w:type="dxa"/>
            <w:vAlign w:val="bottom"/>
            <w:shd w:val="clear" w:color="auto" w:fill="CCEEFF"/>
          </w:tcPr>
          <w:p>
            <w:pPr>
              <w:jc w:val="center"/>
              <w:ind w:left="3870"/>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5180" w:type="dxa"/>
            <w:vAlign w:val="bottom"/>
          </w:tcPr>
          <w:p>
            <w:pPr>
              <w:jc w:val="center"/>
              <w:ind w:left="3870"/>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w:t>
            </w:r>
          </w:p>
        </w:tc>
        <w:tc>
          <w:tcPr>
            <w:tcW w:w="5180" w:type="dxa"/>
            <w:vAlign w:val="bottom"/>
            <w:shd w:val="clear" w:color="auto" w:fill="CCEEFF"/>
          </w:tcPr>
          <w:p>
            <w:pPr>
              <w:jc w:val="center"/>
              <w:ind w:left="3870"/>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5180" w:type="dxa"/>
            <w:vAlign w:val="bottom"/>
          </w:tcPr>
          <w:p>
            <w:pPr>
              <w:jc w:val="center"/>
              <w:ind w:left="3870"/>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5180" w:type="dxa"/>
            <w:vAlign w:val="bottom"/>
            <w:shd w:val="clear" w:color="auto" w:fill="CCEEFF"/>
          </w:tcPr>
          <w:p>
            <w:pPr>
              <w:jc w:val="center"/>
              <w:ind w:left="3870"/>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4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180" w:type="dxa"/>
            <w:vAlign w:val="bottom"/>
          </w:tcPr>
          <w:p>
            <w:pPr>
              <w:jc w:val="center"/>
              <w:ind w:left="3870"/>
              <w:spacing w:after="0"/>
              <w:rPr>
                <w:sz w:val="20"/>
                <w:szCs w:val="20"/>
                <w:color w:val="auto"/>
              </w:rPr>
            </w:pPr>
            <w:r>
              <w:rPr>
                <w:rFonts w:ascii="Times New Roman" w:cs="Times New Roman" w:eastAsia="Times New Roman" w:hAnsi="Times New Roman"/>
                <w:sz w:val="18"/>
                <w:szCs w:val="18"/>
                <w:color w:val="auto"/>
                <w:w w:val="99"/>
              </w:rPr>
              <w:t>1-5 years</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Expenditures that materially increase values or capacities or extend useful lives of property and equipment are capitalized. Routine maintenance, repairs, and renewal costs are expensed as incurred. Upon sale or retirement of depreciable property, the costs and accumulated depreciation and amortization are removed from the related accounts, and any gain or loss is reflected in the statements of operations and member’s deficit.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Tangible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Long-lived assets held and used by the Company are reviewed for impairment whenever events or changes in circumstances indicate that the carrying amount of the assets may be impaired. When such factors and circumstances exist, the Company compares the estimated undiscounted future cash flows associated with the related asset or group of assets over their estimated useful lives against their respective carrying amounts. Impairment, if any, is based on the excess of the carrying amounts over the fair values of those assets and is recorded in the period in which the determination is made. As of September 30, 2025 and 2024, management determined that the Company’s tangible assets were not impaired.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organized as a limited liability company and is generally not subject to income taxes pertaining to operations; rather, the members of the limited liability company are taxed on their proportionate share of the Company’s taxable income. Therefore, no provision for income taxes has been included in the accompanying financial statements. The Company makes distributions to its member to pay income tax liabilities.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Generally accepted accounting principles require tax effects from an uncertain tax position to be recognized in the financial statements only if the position is more likely than not to be sustained if the position were to be challenged by a taxing authority. The assessment of the tax position is based solely on the technical merits of the position, without regard to the likelihood that the tax position may be challenged. If an uncertain tax position meets the more-likely-than-not threshold, the largest amount of tax benefit that is greater than 50% likely to be recognized upon ultimate settlement with the taxing authority is recorded. As of September 30, 2025 and 2024, the Company had no uncertain tax positions that qualified for either recognition or disclosure in the financial statements. The Company is subject to routine audits by tax jurisdictions; however, there are currently no audits in progress.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Deferred 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primarily generates its revenues from selling and installing solar energy systems. Revenues are recognized when control of installed solar systems is transferred to customers in an amount that reflects the consideration expected to be received by the Company in exchange for the installed solar system. The Company determines revenue recognition through the following steps:</w:t>
      </w:r>
    </w:p>
    <w:p>
      <w:pPr>
        <w:spacing w:after="0" w:line="176" w:lineRule="exact"/>
        <w:rPr>
          <w:sz w:val="20"/>
          <w:szCs w:val="20"/>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each performance obligation is satisfied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service or product to the client, and it is the unit of account in the guidance for revenue recognition. The Company’s contracts have a single performance obligation, which is to either a) install a solar energy system or b) orchestrate the sale of a solar energy system which will be installed by a third party. The promise to transfer the services is not separately identifiable from other promises in those contracts, and therefore, those other promises are not distinct performance obligations.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u w:val="single" w:color="auto"/>
          <w:color w:val="auto"/>
        </w:rPr>
        <w:t>Installation Services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principal performance obligation is to install a solar energy system. The Company recognizes revenue upon receiving notice of the completion of the final inspection of the respective solar energy system.</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at the total contract price that the end residential customer has agreed to pay before any cost of financing incurred by the customer. The Company arranges financing for the customer with third-party financing companies. These third-party financing companies often withhold amounts to pay for solar panels and other materials for added security. The Company is the primary obligor in the transaction as it controls the price charged to end residential customers, bears the responsibility to install solar panels that meet regulatory requirements, and bears collection risk unless the customer is approved to finance the transaction with a third-party financing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HVAC and Roofing Services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principal performance obligation is to complete the installation of the HVAC system or roof. The Company recognizes revenue upon the completion of the HVAC system or roof installation.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revenue disaggregated by revenue source (recognized at a point in time) for the nine months ended September 30, 2025 and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Installation services revenue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59,438,442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28,114,668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HVAC revenue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990,177</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Roofing revenue</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647,106</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61,075,725</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28,114,668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Balances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revenue (contract assets), and deferred revenue (contract liabilities) on the balance sheet. Amounts are billed as specific milestones are met, which may or may not align with when revenue is recognized. Specific billing milestones include: 1) 10% - 20% of the contract value is billed to the third-party lender upon contract signing; 2) an additional 70% of the contract value is billed to the third-party lender upon the solar system being installed; and 3) the final 10% - 20% of the contract value is billed to the third-party lender upon system receiving its permission to operate from the local jurisdiction. All revenue from solar system installations is recognized upon the system passing inspection by the local jurisdiction, which generally does not coincide with receiving a permission to operate and as a result the third payment for the final 10% - 20% from the lender is recorded as a contract asset – unbilled revenue until the permission to operate is received from the local jurisdiction.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beginning and ending contract balances were as follows: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40" w:type="dxa"/>
            <w:vAlign w:val="bottom"/>
          </w:tcPr>
          <w:p>
            <w:pPr>
              <w:spacing w:after="0"/>
              <w:rPr>
                <w:sz w:val="21"/>
                <w:szCs w:val="21"/>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1,293,174</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1,010,295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Unbilled receivables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5,715,605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4,601,890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3,916,562</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7,701,532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10,585,293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11,661,448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Warranty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a limited warranty of workmanship on its installation products for a period of ten years beginning on the date of installation completion. This warranty is limited to defects in materials and workmanship caused during installation, and to roof penetrations caused in the installation will be watertight. The Company estimates its liability for warranty claims based historical claim patterns and known conditions at the time. To date, warranty claims have been nominal. Accordingly, there was no warranty accrual recorded as of September 30, 2025 and December 31,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Commissions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Incurred to Acquire Customer Contracts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recognizes an asset for incremental costs of obtaining a contract with the customer if management expects to recover these costs. Incremental costs are those that would not have been incurred if the contract had not existed. Examples of incremental costs often capitalized are sales commissions whereas examples of costs that would not be included are internal employee salaries, standard benefits, travel costs, and other / general legal costs. Sales commissions and related payroll taxes are the only incremental contract costs the Company incurs, which are paid out when installation is complete. As installations of customer solar systems are generally installed within 3 months resulting in the commissions being earned at that point-in-time, the Company applies the practical expedient under ASC 340-40, </w:t>
      </w:r>
      <w:r>
        <w:rPr>
          <w:rFonts w:ascii="Times New Roman" w:cs="Times New Roman" w:eastAsia="Times New Roman" w:hAnsi="Times New Roman"/>
          <w:sz w:val="18"/>
          <w:szCs w:val="18"/>
          <w:i w:val="1"/>
          <w:iCs w:val="1"/>
          <w:color w:val="auto"/>
        </w:rPr>
        <w:t>Other Assets and Deferred Costs: Contracts with Customers</w:t>
      </w:r>
      <w:r>
        <w:rPr>
          <w:rFonts w:ascii="Times New Roman" w:cs="Times New Roman" w:eastAsia="Times New Roman" w:hAnsi="Times New Roman"/>
          <w:sz w:val="18"/>
          <w:szCs w:val="18"/>
          <w:color w:val="auto"/>
        </w:rPr>
        <w:t xml:space="preserve"> and expenses all incremental costs to acquire customers contracts upon installation of the solar system.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Fulfillment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installation and final inspection of a customer solar system, the Company incurs costs for design, equipment, permits, and other similar costs. These contract fulfillment costs are contract specific, enhance the asset (solar system) that will eventually be transferred to the customer, and are expected to be recovered as part of the transaction price associated with the contract. As a result, the Company capitalizes these costs as they are incurred and expenses them once the solar system passes final inspection.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expense for the nine months ended September 30, 2025 and 2024 totaled approximately $304,000 and $140,000,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Tax</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collects sales and other taxes from certain customers and remits those taxes to governmental agencies. The Company reports the collection of these taxes on a net basis and such taxes are excluded from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has evaluated events and transactions for potential recognition or disclosure through January 12, 2026, which is the date the financial statements were available to be issued.</w:t>
      </w:r>
    </w:p>
    <w:p>
      <w:pPr>
        <w:spacing w:after="0" w:line="158" w:lineRule="exact"/>
        <w:rPr>
          <w:sz w:val="20"/>
          <w:szCs w:val="20"/>
          <w:color w:val="auto"/>
        </w:rPr>
      </w:pPr>
    </w:p>
    <w:p>
      <w:pPr>
        <w:ind w:left="340" w:hanging="332"/>
        <w:spacing w:after="0"/>
        <w:tabs>
          <w:tab w:leader="none" w:pos="3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assessing the Company’s liquidity, the Company monitors and analyzes its cash and its ability to generate sufficient cash flow to support its operating and capital expenditure commitments. As of September 30, 2025, the Company had a working capital surplus of approximately $347,000 and stockholders’ deficit of approximately $8,229,000. For the nine months ended September 30, 2025, the Company had a net loss of approximately $1,197,000 and used cash in operating activities of approximately $1,186,000.</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11, 2025, the Company entered a non-binding letter of intent with SunPower, Inc. to be acquired for $37,500,000. The transaction closed on November 21, 2025, resulting in the Company becoming a wholly owned subsidiary of SunPower, Inc. The acquisition of the Company effectively merged the Company’s operations into SunPower, Inc., which provided the Company with any additional liquidity that may have been needed.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5" w:name="page296"/>
    <w:bookmarkEnd w:id="295"/>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as of September 30, 2025 and December 31, 2024:</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6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251,199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Tools and gear</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152,426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296,085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95,530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54,392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92,373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76,701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77,990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52,552</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Furniture</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32,400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30,946</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701,918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(277,887)</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(125,484)</w:t>
            </w: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424,031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on property and equipment was calculated on a straight-line basis and for the nine months ended September 30, 2025 and 2024 was $152,404 and $62,514, respectively. Amortization of right-of-use assets held under finance leases for the nine months ended September 30, 2025 and 2024 was $342,163 and $173,790, respectively; and is included in depreciation and amortization expense in the statements of operations and member’s deficit.</w:t>
      </w:r>
    </w:p>
    <w:p>
      <w:pPr>
        <w:spacing w:after="0" w:line="176" w:lineRule="exact"/>
        <w:rPr>
          <w:sz w:val="20"/>
          <w:szCs w:val="20"/>
          <w:color w:val="auto"/>
        </w:rPr>
      </w:pPr>
    </w:p>
    <w:p>
      <w:pPr>
        <w:ind w:left="340" w:hanging="332"/>
        <w:spacing w:after="0"/>
        <w:tabs>
          <w:tab w:leader="none" w:pos="3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Notes Payable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notes payable agreements with various related parties. Interest rates on these notes payable range from 8% to 13%. Some notes require quarterly interest payments, while others do not require interest to be paid until the maturity date. For all related-party notes payable, the principal amounts are not due until the maturity date which ranges from December 2026 to April 2033.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6" w:name="page297"/>
    <w:bookmarkEnd w:id="296"/>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September 30, 2025, the future maturities of related-party notes payable are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year ending December 31: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(Remainder)</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3,100,000</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4,040,109</w:t>
            </w:r>
          </w:p>
        </w:tc>
      </w:tr>
      <w:tr>
        <w:trPr>
          <w:trHeight w:val="216"/>
        </w:trPr>
        <w:tc>
          <w:tcPr>
            <w:tcW w:w="9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9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7,140,109</w:t>
            </w:r>
          </w:p>
        </w:tc>
      </w:tr>
      <w:tr>
        <w:trPr>
          <w:trHeight w:val="43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Related-Party Lines of Credit</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verbal line of credit agreements with related parties. These lines of credit have maximum balances of $500,000 to $1,400,000 and bear interest on their outstanding individual balances at an interest rate of 13%. Principal and interest are not due until the maturity date which range from May to July 2027.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September 30, 2025, the future maturities of related-party lines of credit are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year ending December 31: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(Remainder)</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2,675,000</w:t>
            </w:r>
          </w:p>
        </w:tc>
      </w:tr>
      <w:tr>
        <w:trPr>
          <w:trHeight w:val="216"/>
        </w:trPr>
        <w:tc>
          <w:tcPr>
            <w:tcW w:w="9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9"/>
        </w:trPr>
        <w:tc>
          <w:tcPr>
            <w:tcW w:w="9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2,675,000</w:t>
            </w:r>
          </w:p>
        </w:tc>
      </w:tr>
      <w:tr>
        <w:trPr>
          <w:trHeight w:val="419"/>
        </w:trPr>
        <w:tc>
          <w:tcPr>
            <w:tcW w:w="100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7.  Merchant Cash Advance</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entered into a merchant cash advance lender agreement on April 22, 2025. Under the terms of the agreement, the Company received $1,000,000 in cash, exclusive of a transaction fee of 3.00%, or $25,000. The Company repaid the advance as of September 30, 2025, plus an additional $320,000, which is included as interest expense on the statements of operations and member’s deficit.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entered into a merchant cash advance lender agreement on September 26, 2025. Under the terms of the agreement, the Company received $750,000 in cash, exclusive of a transaction fee of 3.00%, or $22,500. The amount to be repaid is as follows under the terms of the agreement:</w:t>
      </w:r>
    </w:p>
    <w:p>
      <w:pPr>
        <w:spacing w:after="0" w:line="162" w:lineRule="exact"/>
        <w:rPr>
          <w:sz w:val="20"/>
          <w:szCs w:val="20"/>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30 days, $862,500.</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60 days, $892,500.</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90 days, $922,500.</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120 days, $952,500.</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120 days, $1,012,500.</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of the agreement depends upon the Company’s cash receipts, and is calculated as 11.00% of receipts, as defined in the terms of the agreement. The estimated weekly payment is $21,094. Management estimates that the amount will not be repaid within 120 days and as of September 30, 2025 have accrued the additional $262,500 above the amount borrowed, which is included as part of accrued expenses on the balance sheet. The $262,500 is recorded as a debt discount against the merchant cash advance and is being amortized over the term of the advance to interest expense.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7" w:name="page298"/>
    <w:bookmarkEnd w:id="297"/>
    <w:p>
      <w:pPr>
        <w:ind w:left="340" w:hanging="332"/>
        <w:spacing w:after="0"/>
        <w:tabs>
          <w:tab w:leader="none" w:pos="34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Member’s Deficit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is wholly owned by Ambia Holdings, Inc. and 100% of the membership interests outstanding are held by Ambia Holdings, Inc. A members liability is limited, and all such debts, obligations and liabilities of the Company are solely the debts and obligations of the Company.</w:t>
      </w:r>
    </w:p>
    <w:p>
      <w:pPr>
        <w:spacing w:after="0" w:line="158" w:lineRule="exact"/>
        <w:rPr>
          <w:sz w:val="20"/>
          <w:szCs w:val="20"/>
          <w:color w:val="auto"/>
        </w:rPr>
      </w:pPr>
    </w:p>
    <w:p>
      <w:pPr>
        <w:ind w:left="340" w:hanging="332"/>
        <w:spacing w:after="0"/>
        <w:tabs>
          <w:tab w:leader="none" w:pos="34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involved in legal proceedings from time to time arising in the normal course of business. Management, after consultation with legal counsel, believes that the outcome of these proceedings will not have a material impact on the Company’s financial position, results of operations, or liquidity.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 to Former Employee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7, 2024, the Company entered into a separation and release of claims agreement with an employee wherein the employee was paid a severance payment of approximately $42,000 in exchange for the employee’s release of claims and agreement to restrictive covenants. Contemporaneously with this agreement, the Company entered a loan agreement with this employee and committed to lend to this former employee up to $600,000 with draws occurring at a pre-defined rate during 2025 and 2026. Interest on the draw amounts earn 3% of the outstanding balance. Each draw will be fully forgiven 5 months after the disbursement if the former employee abides by the restrictive covenants, which are primarily non-compete and non-solicitation agreements. This former employee holds a less than 1% interest in the Company.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forgave $200,000 in draws. As of September 30, 2025 and December 31, 2024, the outstanding balance under this loan agreement was $200,000 and $400,000, respectively, and is included within accrued expenses on the balance sheet. If not forgiven, the entire balance under this agreement is due on January 15, 2028.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Finance lease assets are recorded net of accumulated amortization of $632,934 and $187,249, respectively, as of September 30, 2025 and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 for the nine months ended September 30,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336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5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w:t>
            </w:r>
          </w:p>
        </w:tc>
        <w:tc>
          <w:tcPr>
            <w:tcW w:w="12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611,224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w:t>
            </w:r>
          </w:p>
        </w:tc>
        <w:tc>
          <w:tcPr>
            <w:tcW w:w="3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amortization</w:t>
            </w: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342,163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173,790</w:t>
            </w:r>
          </w:p>
        </w:tc>
      </w:tr>
      <w:tr>
        <w:trPr>
          <w:trHeight w:val="23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on liability</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expense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47,543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27,937</w:t>
            </w:r>
          </w:p>
        </w:tc>
      </w:tr>
      <w:tr>
        <w:trPr>
          <w:trHeight w:val="236"/>
        </w:trPr>
        <w:tc>
          <w:tcPr>
            <w:tcW w:w="5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lease cost</w:t>
            </w:r>
          </w:p>
        </w:tc>
        <w:tc>
          <w:tcPr>
            <w:tcW w:w="33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1,000,930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642"/>
        </w:trPr>
        <w:tc>
          <w:tcPr>
            <w:tcW w:w="5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F-173</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color w:val="auto"/>
        </w:rPr>
        <w:t>The weighted average remaining lease terms and interest rates were as follows as of September 30, 2025 and December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Lease Term and Discount Rate</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r>
      <w:tr>
        <w:trPr>
          <w:trHeight w:val="216"/>
        </w:trPr>
        <w:tc>
          <w:tcPr>
            <w:tcW w:w="8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3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4.23</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3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3.69</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4.51</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3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6.60%</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8"/>
              </w:rPr>
              <w:t>4.25%</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leaess</w:t>
            </w:r>
          </w:p>
        </w:tc>
        <w:tc>
          <w:tcPr>
            <w:tcW w:w="13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4.31%</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8"/>
              </w:rPr>
              <w:t>4.13%</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undiscounted future cash flows for the next five years to the operating and finance lease liabilities recorded within the balance sheet as of September 30,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year ending December 31:</w:t>
            </w:r>
          </w:p>
        </w:tc>
        <w:tc>
          <w:tcPr>
            <w:tcW w:w="120" w:type="dxa"/>
            <w:vAlign w:val="bottom"/>
          </w:tcPr>
          <w:p>
            <w:pPr>
              <w:spacing w:after="0"/>
              <w:rPr>
                <w:sz w:val="21"/>
                <w:szCs w:val="21"/>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80" w:type="dxa"/>
            <w:vAlign w:val="bottom"/>
          </w:tcPr>
          <w:p>
            <w:pPr>
              <w:spacing w:after="0"/>
              <w:rPr>
                <w:sz w:val="21"/>
                <w:szCs w:val="21"/>
                <w:color w:val="auto"/>
              </w:rPr>
            </w:pPr>
          </w:p>
        </w:tc>
        <w:tc>
          <w:tcPr>
            <w:tcW w:w="10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Finance</w:t>
            </w: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(Remainder)</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187,097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114,134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570,490</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364,512</w:t>
            </w:r>
          </w:p>
        </w:tc>
        <w:tc>
          <w:tcPr>
            <w:tcW w:w="8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689,483</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374,183</w:t>
            </w:r>
          </w:p>
        </w:tc>
        <w:tc>
          <w:tcPr>
            <w:tcW w:w="8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759,660</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399,923</w:t>
            </w:r>
          </w:p>
        </w:tc>
        <w:tc>
          <w:tcPr>
            <w:tcW w:w="8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741,734</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232,443</w:t>
            </w:r>
          </w:p>
        </w:tc>
        <w:tc>
          <w:tcPr>
            <w:tcW w:w="80" w:type="dxa"/>
            <w:vAlign w:val="bottom"/>
            <w:shd w:val="clear" w:color="auto" w:fill="CCEEFF"/>
          </w:tcPr>
          <w:p>
            <w:pPr>
              <w:spacing w:after="0"/>
              <w:rPr>
                <w:sz w:val="18"/>
                <w:szCs w:val="18"/>
                <w:color w:val="auto"/>
              </w:rPr>
            </w:pPr>
          </w:p>
        </w:tc>
      </w:tr>
      <w:tr>
        <w:trPr>
          <w:trHeight w:val="237"/>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312,086</w:t>
            </w: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8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3,260,550</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1,485,195</w:t>
            </w:r>
          </w:p>
        </w:tc>
        <w:tc>
          <w:tcPr>
            <w:tcW w:w="80" w:type="dxa"/>
            <w:vAlign w:val="bottom"/>
          </w:tcPr>
          <w:p>
            <w:pPr>
              <w:spacing w:after="0"/>
              <w:rPr>
                <w:sz w:val="18"/>
                <w:szCs w:val="18"/>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(492,202)</w:t>
            </w:r>
          </w:p>
        </w:tc>
        <w:tc>
          <w:tcPr>
            <w:tcW w:w="18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(190,552)</w:t>
            </w:r>
          </w:p>
        </w:tc>
      </w:tr>
      <w:tr>
        <w:trPr>
          <w:trHeight w:val="210"/>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2,768,348</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1,294,643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Rent expense related to short-term leases for the nine months ended September 30, 2025 and 2024 was $224,202 and $36,513, respectively. Cash payments made for the nine months ended September 30, 2025 and 2024 that are included in the measurement of lease liabilities was $681,392 and $643,415,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 Party Transactions Not Disclosed Elsewhere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Commissions Receivables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commissions receivables consist of commissions receivable due from employees and contractors owed to the Company. As of September 30, 2025 sales commissions receivable was approximately $1,581,000, net of allowance of approximately $760,000. As of December 31, 2024, sales commissions receivable was approximately $424,000, net of allowance of $0.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i w:val="1"/>
          <w:iCs w:val="1"/>
          <w:color w:val="auto"/>
        </w:rPr>
        <w:t>Related-Party Accounts Payable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related-party entity will on occasion pay for bills on the Company’s behalf, and other amounts due to this entity arise over the normal course of business operations. As of September 30, 2025 and December 31, 2024, the Company owed approximately $294,000 and $510,000, respectively, to this entity.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Related-Party Accrued Interest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accrued interest due to related parties of approximately $1,343,000 and $1,091,000, respectively, is included in accrued expenses in the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Benefit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sponsors a defined contribution 401(k) retirement plan (the Retirement Plan). Employees are eligible to participate on the first day of the month coinciding with or next following the date they have completed six months of service and have attained 18 years of age. Employees may elect to contribute to the Retirement Plan subject to the limitations of the Internal Revenue Code (IRC). The Company makes a matching contribution to each participant’s account equal to 100% of the first 3%, and 50% of the next 2% of each participant’s contribution. Participants are 100% vested in all contributions immediately. For the nine months ended September 30, 2025 and 2024, the Company made $219,037 and $148,663, respectively, in matching contributions to the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11, 2025, the Company entered a non-binding letter of intent with SunPower, Inc. to be acquired for $37,500,000. The transaction closed on November 21,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0" w:name="page301"/>
    <w:bookmarkEnd w:id="300"/>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FINANCIAL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combined statement of operations is derived from the historical consolidated financial statements of SunPower Inc. and Subsidiaries (the “Company”, “SunPower”), the historical financial statements of Sunder Energy, LLC (“Sunder”) and the historical financial statements of Ambia Energy LLC (“Ambia”) and reflects (1) the acquisition of Ambia which closed on November 21, 2025 (the “Ambia Acquisition”), (2) the acquisition of Sunder which closed on September 24, 2025 (the “Sunder Acquisition” and collectively with the Ambia Acquisition and Sunder Acquisition “Acquisitions”) and (3) the financing of the Sunder Acquisition (the “Financing”).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financial information related to the Acquisitions has been prepared by the Company using the acquisition method of accounting in accordance with GAAP. The Company has been treated as the acquirer for accounting purposes and thus accounts for the Acquisitions as a business combination in accordance with Accounting Standards Codification (“ASC”) Topic 805, Business Combinations (“ASC 805”). The estimated fair values of the assets acquired and liabilities assumed and the related purchase price allocation for both Ambia and Sunder are provisional and have been made solely for the purpose of providing unaudited pro forma combined financial information.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statements of operations for the year ended December 28, 2025 combine the historical statements of operations of the Company, Sunder and Ambia on a pro forma basis as if the Acquisitions and the Financing had been consummated on January 1, 2025, the beginning of the earliest period presented. An unaudited combined balance sheet is not presented as the Acquisitions and the Financing have been reflected in the Company’s balance as of March 29, 2026, included in the Company’s Quarterly Report on Form 10-Q for the quarterly period ended March 29, 2026 filed with the SEC on May 19, 2026.</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pro forma combined financial information does not give effect to any cost savings, operating synergies or revenue synergies that may result from the Acquisitions.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combined statement of operations has been developed from and should be read in conjunction with:</w:t>
      </w:r>
    </w:p>
    <w:p>
      <w:pPr>
        <w:spacing w:after="0" w:line="225" w:lineRule="exact"/>
        <w:rPr>
          <w:sz w:val="20"/>
          <w:szCs w:val="20"/>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Combined Statement of Operations;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the Company for the fiscal year ended December 28, 2025 and the related notes in its Annual Report for such fiscal year;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of Ambia as of and for the year ended December 31, 2024, and the unaudited financial statements of Ambia as of and for the nine months ended September 30, 2025;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of Sunder as of and for the year ended December 31, 2024, and the unaudited financial statements of Sunder as of and for the six months ended June 30, 2025.</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Assumptions and estimates underlying the unaudited pro forma adjustments set forth in the unaudited pro forma combined statement of operations are described in the accompanying notes. The unaudited pro forma combined statement of operations has been presented for illustrative purposes only and are not necessarily indicative of the operating results and financial position that would have been achieved had the Acquisition and Financing occurred on the dates indicated. Further, the unaudited pro forma combined financial statements do not purport to project the future operating results or financial position of SunPower following the completion of the Acquisitions. The unaudited pro forma adjustments represent management’s estimates based on information available as of the date of these unaudited pro forma combined financial statements and are subject to change as additional information becomes available and analyses are performed.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1" w:name="page302"/>
    <w:bookmarkEnd w:id="301"/>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28,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shares and per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SunPower</w:t>
            </w:r>
          </w:p>
        </w:tc>
        <w:tc>
          <w:tcPr>
            <w:tcW w:w="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Sunder Energy LLC</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Ambia Energy LLC</w:t>
            </w: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24"/>
        </w:trPr>
        <w:tc>
          <w:tcPr>
            <w:tcW w:w="2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0"/>
                <w:szCs w:val="10"/>
                <w:color w:val="auto"/>
              </w:rPr>
            </w:pPr>
          </w:p>
        </w:tc>
        <w:tc>
          <w:tcPr>
            <w:tcW w:w="820" w:type="dxa"/>
            <w:vAlign w:val="bottom"/>
            <w:gridSpan w:val="2"/>
          </w:tcPr>
          <w:p>
            <w:pPr>
              <w:jc w:val="center"/>
              <w:ind w:right="139"/>
              <w:spacing w:after="0" w:line="124"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140" w:type="dxa"/>
            <w:vAlign w:val="bottom"/>
            <w:gridSpan w:val="3"/>
            <w:vMerge w:val="restart"/>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900" w:type="dxa"/>
            <w:vAlign w:val="bottom"/>
            <w:gridSpan w:val="3"/>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Pr>
          <w:p>
            <w:pPr>
              <w:spacing w:after="0"/>
              <w:rPr>
                <w:sz w:val="10"/>
                <w:szCs w:val="10"/>
                <w:color w:val="auto"/>
              </w:rPr>
            </w:pPr>
          </w:p>
        </w:tc>
        <w:tc>
          <w:tcPr>
            <w:tcW w:w="800" w:type="dxa"/>
            <w:vAlign w:val="bottom"/>
            <w:gridSpan w:val="2"/>
          </w:tcPr>
          <w:p>
            <w:pPr>
              <w:jc w:val="center"/>
              <w:ind w:right="139"/>
              <w:spacing w:after="0" w:line="124"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32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1100" w:type="dxa"/>
            <w:vAlign w:val="bottom"/>
            <w:gridSpan w:val="3"/>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900" w:type="dxa"/>
            <w:vAlign w:val="bottom"/>
            <w:gridSpan w:val="3"/>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Results of</w:t>
            </w:r>
          </w:p>
        </w:tc>
        <w:tc>
          <w:tcPr>
            <w:tcW w:w="1140" w:type="dxa"/>
            <w:vAlign w:val="bottom"/>
            <w:gridSpan w:val="3"/>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Results of</w:t>
            </w:r>
          </w:p>
        </w:tc>
        <w:tc>
          <w:tcPr>
            <w:tcW w:w="1320" w:type="dxa"/>
            <w:vAlign w:val="bottom"/>
            <w:gridSpan w:val="3"/>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Results of</w:t>
            </w:r>
          </w:p>
        </w:tc>
        <w:tc>
          <w:tcPr>
            <w:tcW w:w="900" w:type="dxa"/>
            <w:vAlign w:val="bottom"/>
            <w:gridSpan w:val="3"/>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Operations</w:t>
            </w:r>
          </w:p>
        </w:tc>
        <w:tc>
          <w:tcPr>
            <w:tcW w:w="1140" w:type="dxa"/>
            <w:vAlign w:val="bottom"/>
            <w:gridSpan w:val="3"/>
          </w:tcPr>
          <w:p>
            <w:pPr>
              <w:jc w:val="center"/>
              <w:ind w:right="233"/>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2"/>
                <w:szCs w:val="12"/>
                <w:color w:val="auto"/>
              </w:rPr>
            </w:pPr>
          </w:p>
        </w:tc>
        <w:tc>
          <w:tcPr>
            <w:tcW w:w="820" w:type="dxa"/>
            <w:vAlign w:val="bottom"/>
            <w:gridSpan w:val="2"/>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Results of</w:t>
            </w:r>
          </w:p>
        </w:tc>
        <w:tc>
          <w:tcPr>
            <w:tcW w:w="900" w:type="dxa"/>
            <w:vAlign w:val="bottom"/>
            <w:gridSpan w:val="3"/>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Operations</w:t>
            </w:r>
          </w:p>
        </w:tc>
        <w:tc>
          <w:tcPr>
            <w:tcW w:w="10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100" w:type="dxa"/>
            <w:vAlign w:val="bottom"/>
            <w:gridSpan w:val="3"/>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2"/>
                <w:szCs w:val="12"/>
                <w:color w:val="auto"/>
              </w:rPr>
            </w:pPr>
          </w:p>
        </w:tc>
        <w:tc>
          <w:tcPr>
            <w:tcW w:w="820" w:type="dxa"/>
            <w:vAlign w:val="bottom"/>
            <w:gridSpan w:val="2"/>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Results of</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Results of</w:t>
            </w:r>
          </w:p>
        </w:tc>
        <w:tc>
          <w:tcPr>
            <w:tcW w:w="0" w:type="dxa"/>
            <w:vAlign w:val="bottom"/>
          </w:tcPr>
          <w:p>
            <w:pPr>
              <w:spacing w:after="0"/>
              <w:rPr>
                <w:sz w:val="1"/>
                <w:szCs w:val="1"/>
                <w:color w:val="auto"/>
              </w:rPr>
            </w:pPr>
          </w:p>
        </w:tc>
      </w:tr>
      <w:tr>
        <w:trPr>
          <w:trHeight w:val="180"/>
        </w:trPr>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80" w:type="dxa"/>
            <w:vAlign w:val="bottom"/>
          </w:tcPr>
          <w:p>
            <w:pPr>
              <w:spacing w:after="0"/>
              <w:rPr>
                <w:sz w:val="15"/>
                <w:szCs w:val="15"/>
                <w:color w:val="auto"/>
              </w:rPr>
            </w:pPr>
          </w:p>
        </w:tc>
        <w:tc>
          <w:tcPr>
            <w:tcW w:w="820" w:type="dxa"/>
            <w:vAlign w:val="bottom"/>
            <w:gridSpan w:val="2"/>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140" w:type="dxa"/>
            <w:vAlign w:val="bottom"/>
          </w:tcPr>
          <w:p>
            <w:pPr>
              <w:spacing w:after="0"/>
              <w:rPr>
                <w:sz w:val="15"/>
                <w:szCs w:val="15"/>
                <w:color w:val="auto"/>
              </w:rPr>
            </w:pPr>
          </w:p>
        </w:tc>
        <w:tc>
          <w:tcPr>
            <w:tcW w:w="1000" w:type="dxa"/>
            <w:vAlign w:val="bottom"/>
            <w:gridSpan w:val="2"/>
          </w:tcPr>
          <w:p>
            <w:pPr>
              <w:jc w:val="center"/>
              <w:ind w:right="373"/>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900" w:type="dxa"/>
            <w:vAlign w:val="bottom"/>
            <w:gridSpan w:val="3"/>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00" w:type="dxa"/>
            <w:vAlign w:val="bottom"/>
          </w:tcPr>
          <w:p>
            <w:pPr>
              <w:spacing w:after="0"/>
              <w:rPr>
                <w:sz w:val="15"/>
                <w:szCs w:val="15"/>
                <w:color w:val="auto"/>
              </w:rPr>
            </w:pPr>
          </w:p>
        </w:tc>
        <w:tc>
          <w:tcPr>
            <w:tcW w:w="800" w:type="dxa"/>
            <w:vAlign w:val="bottom"/>
            <w:gridSpan w:val="2"/>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100" w:type="dxa"/>
            <w:vAlign w:val="bottom"/>
          </w:tcPr>
          <w:p>
            <w:pPr>
              <w:spacing w:after="0"/>
              <w:rPr>
                <w:sz w:val="15"/>
                <w:szCs w:val="15"/>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120" w:type="dxa"/>
            <w:vAlign w:val="bottom"/>
          </w:tcPr>
          <w:p>
            <w:pPr>
              <w:spacing w:after="0"/>
              <w:rPr>
                <w:sz w:val="15"/>
                <w:szCs w:val="15"/>
                <w:color w:val="auto"/>
              </w:rPr>
            </w:pPr>
          </w:p>
        </w:tc>
        <w:tc>
          <w:tcPr>
            <w:tcW w:w="980" w:type="dxa"/>
            <w:vAlign w:val="bottom"/>
            <w:gridSpan w:val="2"/>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900" w:type="dxa"/>
            <w:vAlign w:val="bottom"/>
            <w:gridSpan w:val="3"/>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148"/>
        </w:trPr>
        <w:tc>
          <w:tcPr>
            <w:tcW w:w="218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Revenues</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300,000</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56,084</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56,084</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73,604</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8"/>
                <w:szCs w:val="8"/>
                <w:color w:val="auto"/>
                <w:w w:val="73"/>
              </w:rPr>
              <w:t>-</w:t>
            </w: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73,604</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429,688</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170,788</w:t>
            </w:r>
          </w:p>
        </w:tc>
        <w:tc>
          <w:tcPr>
            <w:tcW w:w="80" w:type="dxa"/>
            <w:vAlign w:val="bottom"/>
          </w:tcPr>
          <w:p>
            <w:pPr>
              <w:spacing w:after="0"/>
              <w:rPr>
                <w:sz w:val="14"/>
                <w:szCs w:val="14"/>
                <w:color w:val="auto"/>
              </w:rPr>
            </w:pPr>
          </w:p>
        </w:tc>
        <w:tc>
          <w:tcPr>
            <w:tcW w:w="82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53"/>
              <w:spacing w:after="0"/>
              <w:rPr>
                <w:sz w:val="20"/>
                <w:szCs w:val="20"/>
                <w:color w:val="auto"/>
              </w:rPr>
            </w:pPr>
            <w:r>
              <w:rPr>
                <w:rFonts w:ascii="Times New Roman" w:cs="Times New Roman" w:eastAsia="Times New Roman" w:hAnsi="Times New Roman"/>
                <w:sz w:val="14"/>
                <w:szCs w:val="14"/>
                <w:color w:val="auto"/>
              </w:rPr>
              <w:t>300(C)</w:t>
            </w:r>
          </w:p>
        </w:tc>
        <w:tc>
          <w:tcPr>
            <w:tcW w:w="80" w:type="dxa"/>
            <w:vAlign w:val="bottom"/>
          </w:tcPr>
          <w:p>
            <w:pPr>
              <w:spacing w:after="0"/>
              <w:rPr>
                <w:sz w:val="14"/>
                <w:szCs w:val="14"/>
                <w:color w:val="auto"/>
              </w:rPr>
            </w:pPr>
          </w:p>
        </w:tc>
        <w:tc>
          <w:tcPr>
            <w:tcW w:w="8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2,132</w:t>
            </w:r>
          </w:p>
        </w:tc>
        <w:tc>
          <w:tcPr>
            <w:tcW w:w="100" w:type="dxa"/>
            <w:vAlign w:val="bottom"/>
          </w:tcPr>
          <w:p>
            <w:pPr>
              <w:spacing w:after="0"/>
              <w:rPr>
                <w:sz w:val="14"/>
                <w:szCs w:val="14"/>
                <w:color w:val="auto"/>
              </w:rPr>
            </w:pPr>
          </w:p>
        </w:tc>
        <w:tc>
          <w:tcPr>
            <w:tcW w:w="80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38,881</w:t>
            </w:r>
          </w:p>
        </w:tc>
        <w:tc>
          <w:tcPr>
            <w:tcW w:w="100" w:type="dxa"/>
            <w:vAlign w:val="bottom"/>
          </w:tcPr>
          <w:p>
            <w:pPr>
              <w:spacing w:after="0"/>
              <w:rPr>
                <w:sz w:val="14"/>
                <w:szCs w:val="14"/>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38,881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209,969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8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Gross profit (loss)</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129,212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56,084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280" w:type="dxa"/>
            <w:vAlign w:val="bottom"/>
            <w:tcBorders>
              <w:top w:val="single" w:sz="8" w:color="CCEEFF"/>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53,952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34,723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8"/>
                <w:szCs w:val="8"/>
                <w:color w:val="auto"/>
                <w:w w:val="73"/>
              </w:rPr>
              <w:t>-</w:t>
            </w: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34,723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219,719</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18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Operating expenses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Sales commissions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37,009</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45,615</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3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45,615</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18,813</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18,813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101,437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29,030</w:t>
            </w:r>
          </w:p>
        </w:tc>
        <w:tc>
          <w:tcPr>
            <w:tcW w:w="80" w:type="dxa"/>
            <w:vAlign w:val="bottom"/>
          </w:tcPr>
          <w:p>
            <w:pPr>
              <w:spacing w:after="0"/>
              <w:rPr>
                <w:sz w:val="12"/>
                <w:szCs w:val="12"/>
                <w:color w:val="auto"/>
              </w:rPr>
            </w:pPr>
          </w:p>
        </w:tc>
        <w:tc>
          <w:tcPr>
            <w:tcW w:w="82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1,251</w:t>
            </w:r>
          </w:p>
        </w:tc>
        <w:tc>
          <w:tcPr>
            <w:tcW w:w="140" w:type="dxa"/>
            <w:vAlign w:val="bottom"/>
          </w:tcPr>
          <w:p>
            <w:pPr>
              <w:spacing w:after="0"/>
              <w:rPr>
                <w:sz w:val="12"/>
                <w:szCs w:val="12"/>
                <w:color w:val="auto"/>
              </w:rPr>
            </w:pPr>
          </w:p>
        </w:tc>
        <w:tc>
          <w:tcPr>
            <w:tcW w:w="1000" w:type="dxa"/>
            <w:vAlign w:val="bottom"/>
            <w:gridSpan w:val="2"/>
          </w:tcPr>
          <w:p>
            <w:pPr>
              <w:jc w:val="right"/>
              <w:ind w:right="23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1,251</w:t>
            </w:r>
          </w:p>
        </w:tc>
        <w:tc>
          <w:tcPr>
            <w:tcW w:w="100" w:type="dxa"/>
            <w:vAlign w:val="bottom"/>
          </w:tcPr>
          <w:p>
            <w:pPr>
              <w:spacing w:after="0"/>
              <w:rPr>
                <w:sz w:val="12"/>
                <w:szCs w:val="12"/>
                <w:color w:val="auto"/>
              </w:rPr>
            </w:pPr>
          </w:p>
        </w:tc>
        <w:tc>
          <w:tcPr>
            <w:tcW w:w="80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2"/>
                <w:szCs w:val="12"/>
                <w:color w:val="auto"/>
              </w:rPr>
            </w:pPr>
          </w:p>
        </w:tc>
        <w:tc>
          <w:tcPr>
            <w:tcW w:w="12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30,409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90,104</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15,916</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3"/>
              <w:spacing w:after="0" w:line="149" w:lineRule="exact"/>
              <w:rPr>
                <w:sz w:val="20"/>
                <w:szCs w:val="20"/>
                <w:color w:val="auto"/>
              </w:rPr>
            </w:pPr>
            <w:r>
              <w:rPr>
                <w:rFonts w:ascii="Times New Roman" w:cs="Times New Roman" w:eastAsia="Times New Roman" w:hAnsi="Times New Roman"/>
                <w:sz w:val="14"/>
                <w:szCs w:val="14"/>
                <w:color w:val="auto"/>
              </w:rPr>
              <w:t>2,753(C)</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18,669</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13,979</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1,975(H)</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1,792(D)</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17,746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126,519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23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1,338</w:t>
            </w:r>
          </w:p>
        </w:tc>
        <w:tc>
          <w:tcPr>
            <w:tcW w:w="100" w:type="dxa"/>
            <w:vAlign w:val="bottom"/>
          </w:tcPr>
          <w:p>
            <w:pPr>
              <w:spacing w:after="0"/>
              <w:rPr>
                <w:sz w:val="12"/>
                <w:szCs w:val="12"/>
                <w:color w:val="auto"/>
              </w:rPr>
            </w:pPr>
          </w:p>
        </w:tc>
        <w:tc>
          <w:tcPr>
            <w:tcW w:w="1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(1,338)(H)</w:t>
            </w:r>
          </w:p>
        </w:tc>
        <w:tc>
          <w:tcPr>
            <w:tcW w:w="120" w:type="dxa"/>
            <w:vAlign w:val="bottom"/>
          </w:tcPr>
          <w:p>
            <w:pPr>
              <w:spacing w:after="0"/>
              <w:rPr>
                <w:sz w:val="12"/>
                <w:szCs w:val="12"/>
                <w:color w:val="auto"/>
              </w:rPr>
            </w:pPr>
          </w:p>
        </w:tc>
        <w:tc>
          <w:tcPr>
            <w:tcW w:w="98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637</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(637)(H)</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180" w:type="dxa"/>
            <w:vAlign w:val="bottom"/>
            <w:tcBorders>
              <w:top w:val="single" w:sz="8" w:color="CCEEFF"/>
              <w:bottom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156,143</w:t>
            </w:r>
          </w:p>
        </w:tc>
        <w:tc>
          <w:tcPr>
            <w:tcW w:w="10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62,782</w:t>
            </w:r>
          </w:p>
        </w:tc>
        <w:tc>
          <w:tcPr>
            <w:tcW w:w="8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2,753</w:t>
            </w:r>
          </w:p>
        </w:tc>
        <w:tc>
          <w:tcPr>
            <w:tcW w:w="28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65,535</w:t>
            </w:r>
          </w:p>
        </w:tc>
        <w:tc>
          <w:tcPr>
            <w:tcW w:w="10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34,895</w:t>
            </w:r>
          </w:p>
        </w:tc>
        <w:tc>
          <w:tcPr>
            <w:tcW w:w="8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(1,792</w:t>
            </w:r>
          </w:p>
        </w:tc>
        <w:tc>
          <w:tcPr>
            <w:tcW w:w="260" w:type="dxa"/>
            <w:vAlign w:val="bottom"/>
            <w:tcBorders>
              <w:top w:val="single" w:sz="8" w:color="CCEEFF"/>
              <w:bottom w:val="single" w:sz="8" w:color="CCEEFF"/>
            </w:tcBorders>
          </w:tcPr>
          <w:p>
            <w:pPr>
              <w:jc w:val="right"/>
              <w:ind w:right="128"/>
              <w:spacing w:after="0" w:line="136"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36,687</w:t>
            </w:r>
          </w:p>
        </w:tc>
        <w:tc>
          <w:tcPr>
            <w:tcW w:w="100" w:type="dxa"/>
            <w:vAlign w:val="bottom"/>
            <w:tcBorders>
              <w:top w:val="single" w:sz="8" w:color="CCEEFF"/>
              <w:bottom w:val="single" w:sz="8" w:color="CCEEFF"/>
            </w:tcBorders>
          </w:tcPr>
          <w:p>
            <w:pPr>
              <w:spacing w:after="0"/>
              <w:rPr>
                <w:sz w:val="12"/>
                <w:szCs w:val="12"/>
                <w:color w:val="auto"/>
              </w:rPr>
            </w:pPr>
          </w:p>
        </w:tc>
        <w:tc>
          <w:tcPr>
            <w:tcW w:w="20" w:type="dxa"/>
            <w:vAlign w:val="bottom"/>
            <w:tcBorders>
              <w:top w:val="single" w:sz="8" w:color="CCEEFF"/>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258,365</w:t>
            </w:r>
          </w:p>
        </w:tc>
        <w:tc>
          <w:tcPr>
            <w:tcW w:w="20" w:type="dxa"/>
            <w:vAlign w:val="bottom"/>
            <w:tcBorders>
              <w:top w:val="single" w:sz="8" w:color="CCEEFF"/>
              <w:bottom w:val="single" w:sz="8" w:color="CCEEFF"/>
            </w:tcBorders>
          </w:tcPr>
          <w:p>
            <w:pPr>
              <w:spacing w:after="0"/>
              <w:rPr>
                <w:sz w:val="12"/>
                <w:szCs w:val="12"/>
                <w:color w:val="auto"/>
              </w:rPr>
            </w:pPr>
          </w:p>
        </w:tc>
        <w:tc>
          <w:tcPr>
            <w:tcW w:w="4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8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from continuing operations</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(26,931</w:t>
            </w:r>
          </w:p>
        </w:tc>
        <w:tc>
          <w:tcPr>
            <w:tcW w:w="10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(6,698</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(3,053</w:t>
            </w:r>
          </w:p>
        </w:tc>
        <w:tc>
          <w:tcPr>
            <w:tcW w:w="28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(9,194</w:t>
            </w:r>
          </w:p>
        </w:tc>
        <w:tc>
          <w:tcPr>
            <w:tcW w:w="10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8"/>
                <w:szCs w:val="8"/>
                <w:color w:val="auto"/>
                <w:w w:val="73"/>
              </w:rPr>
              <w:t>-</w:t>
            </w:r>
          </w:p>
        </w:tc>
        <w:tc>
          <w:tcPr>
            <w:tcW w:w="2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w:t>
            </w:r>
          </w:p>
        </w:tc>
        <w:tc>
          <w:tcPr>
            <w:tcW w:w="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(38,646</w:t>
            </w:r>
          </w:p>
        </w:tc>
        <w:tc>
          <w:tcPr>
            <w:tcW w:w="60" w:type="dxa"/>
            <w:vAlign w:val="bottom"/>
            <w:tcBorders>
              <w:bottom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36"/>
        </w:trPr>
        <w:tc>
          <w:tcPr>
            <w:tcW w:w="218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(25,095)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(246)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(2,658)</w:t>
            </w:r>
          </w:p>
        </w:tc>
        <w:tc>
          <w:tcPr>
            <w:tcW w:w="2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4"/>
                <w:szCs w:val="14"/>
                <w:color w:val="auto"/>
              </w:rPr>
              <w:t>(E)</w:t>
            </w:r>
          </w:p>
        </w:tc>
        <w:tc>
          <w:tcPr>
            <w:tcW w:w="8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(2,904)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(1,286)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8"/>
              <w:spacing w:after="0" w:line="136" w:lineRule="exact"/>
              <w:rPr>
                <w:sz w:val="20"/>
                <w:szCs w:val="20"/>
                <w:color w:val="auto"/>
              </w:rPr>
            </w:pPr>
            <w:r>
              <w:rPr>
                <w:rFonts w:ascii="Times New Roman" w:cs="Times New Roman" w:eastAsia="Times New Roman" w:hAnsi="Times New Roman"/>
                <w:sz w:val="14"/>
                <w:szCs w:val="14"/>
                <w:color w:val="auto"/>
              </w:rPr>
              <w:t>1,286(F)</w:t>
            </w:r>
          </w:p>
        </w:tc>
        <w:tc>
          <w:tcPr>
            <w:tcW w:w="8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(27,999)</w:t>
            </w:r>
          </w:p>
        </w:tc>
        <w:tc>
          <w:tcPr>
            <w:tcW w:w="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3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9,347</w:t>
            </w:r>
          </w:p>
        </w:tc>
        <w:tc>
          <w:tcPr>
            <w:tcW w:w="80" w:type="dxa"/>
            <w:vAlign w:val="bottom"/>
          </w:tcPr>
          <w:p>
            <w:pPr>
              <w:spacing w:after="0"/>
              <w:rPr>
                <w:sz w:val="14"/>
                <w:szCs w:val="14"/>
                <w:color w:val="auto"/>
              </w:rPr>
            </w:pPr>
          </w:p>
        </w:tc>
        <w:tc>
          <w:tcPr>
            <w:tcW w:w="82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320</w:t>
            </w:r>
          </w:p>
        </w:tc>
        <w:tc>
          <w:tcPr>
            <w:tcW w:w="140" w:type="dxa"/>
            <w:vAlign w:val="bottom"/>
          </w:tcPr>
          <w:p>
            <w:pPr>
              <w:spacing w:after="0"/>
              <w:rPr>
                <w:sz w:val="14"/>
                <w:szCs w:val="14"/>
                <w:color w:val="auto"/>
              </w:rPr>
            </w:pPr>
          </w:p>
        </w:tc>
        <w:tc>
          <w:tcPr>
            <w:tcW w:w="1000" w:type="dxa"/>
            <w:vAlign w:val="bottom"/>
            <w:gridSpan w:val="2"/>
          </w:tcPr>
          <w:p>
            <w:pPr>
              <w:jc w:val="right"/>
              <w:ind w:right="23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14"/>
                <w:szCs w:val="14"/>
                <w:color w:val="auto"/>
              </w:rPr>
            </w:pPr>
          </w:p>
        </w:tc>
        <w:tc>
          <w:tcPr>
            <w:tcW w:w="80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4"/>
                <w:szCs w:val="14"/>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9,684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8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other income (expense), net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(15,745</w:t>
            </w:r>
          </w:p>
        </w:tc>
        <w:tc>
          <w:tcPr>
            <w:tcW w:w="100" w:type="dxa"/>
            <w:vAlign w:val="bottom"/>
            <w:tcBorders>
              <w:top w:val="single" w:sz="8" w:color="CCEEFF"/>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(2,658</w:t>
            </w:r>
          </w:p>
        </w:tc>
        <w:tc>
          <w:tcPr>
            <w:tcW w:w="280" w:type="dxa"/>
            <w:vAlign w:val="bottom"/>
            <w:tcBorders>
              <w:top w:val="single" w:sz="8" w:color="CCEEFF"/>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(2,548</w:t>
            </w:r>
          </w:p>
        </w:tc>
        <w:tc>
          <w:tcPr>
            <w:tcW w:w="100" w:type="dxa"/>
            <w:vAlign w:val="bottom"/>
            <w:tcBorders>
              <w:top w:val="single" w:sz="8" w:color="CCEEFF"/>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(1,269</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1,286</w:t>
            </w: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(18,276</w:t>
            </w:r>
          </w:p>
        </w:tc>
        <w:tc>
          <w:tcPr>
            <w:tcW w:w="60" w:type="dxa"/>
            <w:vAlign w:val="bottom"/>
            <w:tcBorders>
              <w:top w:val="single" w:sz="8" w:color="CCEEFF"/>
              <w:bottom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99"/>
        </w:trPr>
        <w:tc>
          <w:tcPr>
            <w:tcW w:w="2180" w:type="dxa"/>
            <w:vAlign w:val="bottom"/>
          </w:tcPr>
          <w:p>
            <w:pPr>
              <w:spacing w:after="0" w:line="100" w:lineRule="exact"/>
              <w:rPr>
                <w:sz w:val="20"/>
                <w:szCs w:val="20"/>
                <w:color w:val="auto"/>
              </w:rPr>
            </w:pPr>
            <w:r>
              <w:rPr>
                <w:rFonts w:ascii="Times New Roman" w:cs="Times New Roman" w:eastAsia="Times New Roman" w:hAnsi="Times New Roman"/>
                <w:sz w:val="11"/>
                <w:szCs w:val="11"/>
                <w:color w:val="auto"/>
              </w:rPr>
              <w:t>Loss from continuing operations</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before income taxes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(42,676)</w:t>
            </w:r>
          </w:p>
        </w:tc>
        <w:tc>
          <w:tcPr>
            <w:tcW w:w="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(6,588)</w:t>
            </w:r>
          </w:p>
        </w:tc>
        <w:tc>
          <w:tcPr>
            <w:tcW w:w="140" w:type="dxa"/>
            <w:vAlign w:val="bottom"/>
          </w:tcPr>
          <w:p>
            <w:pPr>
              <w:spacing w:after="0"/>
              <w:rPr>
                <w:sz w:val="16"/>
                <w:szCs w:val="16"/>
                <w:color w:val="auto"/>
              </w:rPr>
            </w:pPr>
          </w:p>
        </w:tc>
        <w:tc>
          <w:tcPr>
            <w:tcW w:w="1000" w:type="dxa"/>
            <w:vAlign w:val="bottom"/>
            <w:gridSpan w:val="2"/>
          </w:tcPr>
          <w:p>
            <w:pPr>
              <w:jc w:val="right"/>
              <w:ind w:right="193"/>
              <w:spacing w:after="0"/>
              <w:rPr>
                <w:sz w:val="20"/>
                <w:szCs w:val="20"/>
                <w:color w:val="auto"/>
              </w:rPr>
            </w:pPr>
            <w:r>
              <w:rPr>
                <w:rFonts w:ascii="Times New Roman" w:cs="Times New Roman" w:eastAsia="Times New Roman" w:hAnsi="Times New Roman"/>
                <w:sz w:val="14"/>
                <w:szCs w:val="14"/>
                <w:color w:val="auto"/>
              </w:rPr>
              <w:t>(5,711)</w:t>
            </w:r>
          </w:p>
        </w:tc>
        <w:tc>
          <w:tcPr>
            <w:tcW w:w="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(12,299)</w:t>
            </w:r>
          </w:p>
        </w:tc>
        <w:tc>
          <w:tcPr>
            <w:tcW w:w="10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(1,441)</w:t>
            </w:r>
          </w:p>
        </w:tc>
        <w:tc>
          <w:tcPr>
            <w:tcW w:w="10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(506)</w:t>
            </w:r>
          </w:p>
        </w:tc>
        <w:tc>
          <w:tcPr>
            <w:tcW w:w="8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(1,947)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(56,922)</w:t>
            </w:r>
          </w:p>
        </w:tc>
        <w:tc>
          <w:tcPr>
            <w:tcW w:w="0" w:type="dxa"/>
            <w:vAlign w:val="bottom"/>
          </w:tcPr>
          <w:p>
            <w:pPr>
              <w:spacing w:after="0"/>
              <w:rPr>
                <w:sz w:val="1"/>
                <w:szCs w:val="1"/>
                <w:color w:val="auto"/>
              </w:rPr>
            </w:pPr>
          </w:p>
        </w:tc>
      </w:tr>
      <w:tr>
        <w:trPr>
          <w:trHeight w:val="168"/>
        </w:trPr>
        <w:tc>
          <w:tcPr>
            <w:tcW w:w="218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 (provision) benefit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(1,578</w:t>
            </w:r>
          </w:p>
        </w:tc>
        <w:tc>
          <w:tcPr>
            <w:tcW w:w="100" w:type="dxa"/>
            <w:vAlign w:val="bottom"/>
            <w:tcBorders>
              <w:top w:val="single" w:sz="8" w:color="CCEEFF"/>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8"/>
                <w:szCs w:val="8"/>
                <w:color w:val="auto"/>
                <w:w w:val="73"/>
              </w:rPr>
              <w:t>-</w:t>
            </w: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(1,578</w:t>
            </w:r>
          </w:p>
        </w:tc>
        <w:tc>
          <w:tcPr>
            <w:tcW w:w="60" w:type="dxa"/>
            <w:vAlign w:val="bottom"/>
            <w:tcBorders>
              <w:top w:val="single" w:sz="8" w:color="CCEEFF"/>
              <w:bottom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43"/>
        </w:trPr>
        <w:tc>
          <w:tcPr>
            <w:tcW w:w="218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Net loss from continuing operations</w:t>
            </w:r>
          </w:p>
        </w:tc>
        <w:tc>
          <w:tcPr>
            <w:tcW w:w="100" w:type="dxa"/>
            <w:vAlign w:val="bottom"/>
          </w:tcPr>
          <w:p>
            <w:pPr>
              <w:spacing w:after="0"/>
              <w:rPr>
                <w:sz w:val="12"/>
                <w:szCs w:val="12"/>
                <w:color w:val="auto"/>
              </w:rPr>
            </w:pP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(44,254</w:t>
            </w:r>
          </w:p>
        </w:tc>
        <w:tc>
          <w:tcPr>
            <w:tcW w:w="1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(6,588</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(5,711</w:t>
            </w:r>
          </w:p>
        </w:tc>
        <w:tc>
          <w:tcPr>
            <w:tcW w:w="280" w:type="dxa"/>
            <w:vAlign w:val="bottom"/>
          </w:tcPr>
          <w:p>
            <w:pPr>
              <w:jc w:val="right"/>
              <w:ind w:right="193"/>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(12,299</w:t>
            </w:r>
          </w:p>
        </w:tc>
        <w:tc>
          <w:tcPr>
            <w:tcW w:w="1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(1,441</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(506</w:t>
            </w:r>
          </w:p>
        </w:tc>
        <w:tc>
          <w:tcPr>
            <w:tcW w:w="260" w:type="dxa"/>
            <w:vAlign w:val="bottom"/>
          </w:tcPr>
          <w:p>
            <w:pPr>
              <w:jc w:val="right"/>
              <w:ind w:right="128"/>
              <w:spacing w:after="0" w:line="136"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(1,947</w:t>
            </w:r>
          </w:p>
        </w:tc>
        <w:tc>
          <w:tcPr>
            <w:tcW w:w="1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(58,500</w:t>
            </w:r>
          </w:p>
        </w:tc>
        <w:tc>
          <w:tcPr>
            <w:tcW w:w="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200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p>
      <w:pPr>
        <w:spacing w:after="0" w:line="126" w:lineRule="exact"/>
        <w:rPr>
          <w:sz w:val="20"/>
          <w:szCs w:val="20"/>
          <w:color w:val="auto"/>
        </w:rPr>
      </w:pPr>
    </w:p>
    <w:p>
      <w:pPr>
        <w:jc w:val="both"/>
        <w:ind w:left="180" w:hanging="161"/>
        <w:spacing w:after="0" w:line="241" w:lineRule="auto"/>
        <w:rPr>
          <w:sz w:val="20"/>
          <w:szCs w:val="20"/>
          <w:color w:val="auto"/>
        </w:rPr>
      </w:pPr>
      <w:r>
        <w:rPr>
          <w:rFonts w:ascii="Times New Roman" w:cs="Times New Roman" w:eastAsia="Times New Roman" w:hAnsi="Times New Roman"/>
          <w:sz w:val="14"/>
          <w:szCs w:val="14"/>
          <w:color w:val="auto"/>
        </w:rPr>
        <w:t>Net loss from continuing operations per share attributable to common stockholders, basic and diluted</w:t>
      </w:r>
    </w:p>
    <w:p>
      <w:pPr>
        <w:spacing w:after="0" w:line="1" w:lineRule="exact"/>
        <w:rPr>
          <w:sz w:val="20"/>
          <w:szCs w:val="20"/>
          <w:color w:val="auto"/>
        </w:rPr>
      </w:pPr>
    </w:p>
    <w:p>
      <w:pPr>
        <w:ind w:left="180" w:right="140" w:hanging="161"/>
        <w:spacing w:after="0" w:line="236" w:lineRule="auto"/>
        <w:rPr>
          <w:sz w:val="20"/>
          <w:szCs w:val="20"/>
          <w:color w:val="auto"/>
        </w:rPr>
      </w:pPr>
      <w:r>
        <w:rPr>
          <w:rFonts w:ascii="Times New Roman" w:cs="Times New Roman" w:eastAsia="Times New Roman" w:hAnsi="Times New Roman"/>
          <w:sz w:val="14"/>
          <w:szCs w:val="14"/>
          <w:color w:val="auto"/>
        </w:rPr>
        <w:t>Weighted average shares used to compute net loss per share attributable to common stockholders, basic and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color w:val="auto"/>
              </w:rPr>
              <w:t>(0.51)</w:t>
            </w: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(0.56)</w:t>
            </w:r>
          </w:p>
        </w:tc>
        <w:tc>
          <w:tcPr>
            <w:tcW w:w="0" w:type="dxa"/>
            <w:vAlign w:val="bottom"/>
          </w:tcPr>
          <w:p>
            <w:pPr>
              <w:spacing w:after="0"/>
              <w:rPr>
                <w:sz w:val="1"/>
                <w:szCs w:val="1"/>
                <w:color w:val="auto"/>
              </w:rPr>
            </w:pPr>
          </w:p>
        </w:tc>
      </w:tr>
      <w:tr>
        <w:trPr>
          <w:trHeight w:val="21"/>
        </w:trPr>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2,472,528(G)</w:t>
            </w:r>
          </w:p>
        </w:tc>
        <w:tc>
          <w:tcPr>
            <w:tcW w:w="3120" w:type="dxa"/>
            <w:vAlign w:val="bottom"/>
            <w:gridSpan w:val="2"/>
          </w:tcPr>
          <w:p>
            <w:pPr>
              <w:spacing w:after="0" w:line="20" w:lineRule="exact"/>
              <w:rPr>
                <w:sz w:val="1"/>
                <w:szCs w:val="1"/>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15,150,086(I)</w:t>
            </w:r>
          </w:p>
        </w:tc>
        <w:tc>
          <w:tcPr>
            <w:tcW w:w="9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120" w:type="dxa"/>
            <w:vAlign w:val="bottom"/>
          </w:tcPr>
          <w:p>
            <w:pPr>
              <w:spacing w:after="0"/>
              <w:rPr>
                <w:sz w:val="24"/>
                <w:szCs w:val="24"/>
                <w:color w:val="auto"/>
              </w:rPr>
            </w:pPr>
          </w:p>
        </w:tc>
        <w:tc>
          <w:tcPr>
            <w:tcW w:w="1680" w:type="dxa"/>
            <w:vAlign w:val="bottom"/>
            <w:gridSpan w:val="2"/>
          </w:tcPr>
          <w:p>
            <w:pPr>
              <w:jc w:val="right"/>
              <w:ind w:right="1000"/>
              <w:spacing w:after="0"/>
              <w:rPr>
                <w:sz w:val="20"/>
                <w:szCs w:val="20"/>
                <w:color w:val="auto"/>
              </w:rPr>
            </w:pPr>
            <w:r>
              <w:rPr>
                <w:rFonts w:ascii="Times New Roman" w:cs="Times New Roman" w:eastAsia="Times New Roman" w:hAnsi="Times New Roman"/>
                <w:sz w:val="14"/>
                <w:szCs w:val="14"/>
                <w:color w:val="auto"/>
              </w:rPr>
              <w:t>87,108,928</w:t>
            </w:r>
          </w:p>
        </w:tc>
        <w:tc>
          <w:tcPr>
            <w:tcW w:w="1140" w:type="dxa"/>
            <w:vAlign w:val="bottom"/>
            <w:gridSpan w:val="2"/>
            <w:vMerge w:val="continue"/>
          </w:tcPr>
          <w:p>
            <w:pPr>
              <w:spacing w:after="0"/>
              <w:rPr>
                <w:sz w:val="24"/>
                <w:szCs w:val="24"/>
                <w:color w:val="auto"/>
              </w:rPr>
            </w:pPr>
          </w:p>
        </w:tc>
        <w:tc>
          <w:tcPr>
            <w:tcW w:w="3120" w:type="dxa"/>
            <w:vAlign w:val="bottom"/>
            <w:gridSpan w:val="2"/>
          </w:tcPr>
          <w:p>
            <w:pPr>
              <w:jc w:val="right"/>
              <w:ind w:right="2320"/>
              <w:spacing w:after="0"/>
              <w:rPr>
                <w:sz w:val="20"/>
                <w:szCs w:val="20"/>
                <w:color w:val="auto"/>
              </w:rPr>
            </w:pPr>
            <w:r>
              <w:rPr>
                <w:rFonts w:ascii="Times New Roman" w:cs="Times New Roman" w:eastAsia="Times New Roman" w:hAnsi="Times New Roman"/>
                <w:sz w:val="14"/>
                <w:szCs w:val="14"/>
                <w:color w:val="auto"/>
              </w:rPr>
              <w:t>2,472,528</w:t>
            </w:r>
          </w:p>
        </w:tc>
        <w:tc>
          <w:tcPr>
            <w:tcW w:w="1100" w:type="dxa"/>
            <w:vAlign w:val="bottom"/>
            <w:gridSpan w:val="2"/>
            <w:vMerge w:val="continue"/>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15,150,086</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104,731,542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-427990</wp:posOffset>
            </wp:positionV>
            <wp:extent cx="7132320" cy="40322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403225"/>
                    </a:xfrm>
                    <a:prstGeom prst="rect">
                      <a:avLst/>
                    </a:prstGeom>
                    <a:noFill/>
                  </pic:spPr>
                </pic:pic>
              </a:graphicData>
            </a:graphic>
          </wp:anchor>
        </w:drawing>
      </w:r>
    </w:p>
    <w:p>
      <w:pPr>
        <w:spacing w:after="0" w:line="128" w:lineRule="exact"/>
        <w:rPr>
          <w:sz w:val="20"/>
          <w:szCs w:val="20"/>
          <w:color w:val="auto"/>
        </w:rPr>
      </w:pPr>
    </w:p>
    <w:p>
      <w:pPr>
        <w:sectPr>
          <w:pgSz w:w="11900" w:h="16838" w:orient="portrait"/>
          <w:cols w:equalWidth="0" w:num="2">
            <w:col w:w="2080" w:space="200"/>
            <w:col w:w="8960"/>
          </w:cols>
          <w:pgMar w:left="320" w:top="617"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pro forma financial statements.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type w:val="continuous"/>
        </w:sectPr>
      </w:pPr>
    </w:p>
    <w:bookmarkStart w:id="302" w:name="page303"/>
    <w:bookmarkEnd w:id="30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Notes to Unaudited Pro Forma Combined Financial Statements</w:t>
      </w:r>
    </w:p>
    <w:p>
      <w:pPr>
        <w:spacing w:after="0" w:line="225" w:lineRule="exact"/>
        <w:rPr>
          <w:sz w:val="20"/>
          <w:szCs w:val="20"/>
          <w:color w:val="auto"/>
        </w:rPr>
      </w:pPr>
    </w:p>
    <w:p>
      <w:pPr>
        <w:ind w:left="340" w:hanging="332"/>
        <w:spacing w:after="0"/>
        <w:tabs>
          <w:tab w:leader="none" w:pos="34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combined financial information was prepared in accordance with Article 11 of Regulation S-X, and presents the pro forma results of operations of the Company based on the historical financial information of the Company, Sunder and Ambia after giving effect to the Acquisitions, the Financing, and reclassifications as set forth in the notes to the unaudited pro forma combined financial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combined financial information does not reflect any management adjustments for expected effects of the Acquisitions.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combined statements of operations for the year ended December 28, 2025, combine the historical statements of operations of the Company, Sunder and Ambia on a pro forma basis as if the Sunder and Ambia Acquisitions and the financing of the Sunder Acquisition had been consummated on January 1, 2025, the beginning of the earliest period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Sunder Acquisition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21, 2025, the Company entered into a Membership Interest Purchase Agreement (“MIPA”) with Sunder Energy LLC (“Sunder” or “Sunder Acquisition”) and the seller, Chicken Parm Pizza LLC (“Seller/Member”), the sole member of Sunder. The acquisition of Sunder was completed in the Company’s third fiscal quarter on September 24, 2025, and the financial results of Sunder have been included in the Company’s unaudited condensed consolidated financial statements since the date of acquisition.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 the terms of the MIPA, the Company acquired all of the outstanding membership interest of Sunder for (1) $20.7 million in cash, subject to certain working capital and other adjustments; (2) a promissory note to the Member in the principal amount of $20.0 million (“Seller Note”); (3) and 10.0 million shares of the Company’s common stock (valued at the closing share price on September 24, 2025, of $1.71 per share).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total consideration is summarized as follows </w:t>
            </w:r>
            <w:r>
              <w:rPr>
                <w:rFonts w:ascii="Times New Roman" w:cs="Times New Roman" w:eastAsia="Times New Roman" w:hAnsi="Times New Roman"/>
                <w:sz w:val="18"/>
                <w:szCs w:val="18"/>
                <w:i w:val="1"/>
                <w:iCs w:val="1"/>
                <w:color w:val="auto"/>
              </w:rPr>
              <w:t>(in thousands except share data):</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20,689</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Seller note</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3,333,334 shares of the Company’s common stock issued at Closing</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5,700</w:t>
            </w: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 arrangement – up to 6,666,666 shares of the Company’s common stock to be issued</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11,400</w:t>
            </w:r>
          </w:p>
        </w:tc>
      </w:tr>
      <w:tr>
        <w:trPr>
          <w:trHeight w:val="223"/>
        </w:trPr>
        <w:tc>
          <w:tcPr>
            <w:tcW w:w="10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total consideration transferred</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values of assets acquired and liabilities assumed are based upon a provisional valuation of the assets acquired and liabilities assumed, and the Company’s estimates and assumptions are subject to change within the measurement period. Finalization of the fair values remains open for the components of working capital, identification and valuation of intangibles and allocation of goodwill.</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following table summarizes the provisional fair value of identifiable assets acquired and liabilities assumed </w:t>
            </w: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797</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3,039</w:t>
            </w: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w:t>
            </w: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37,500</w:t>
            </w: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(11,673)</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(3,850)</w:t>
            </w:r>
          </w:p>
        </w:tc>
      </w:tr>
      <w:tr>
        <w:trPr>
          <w:trHeight w:val="23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w:t>
            </w:r>
          </w:p>
        </w:tc>
      </w:tr>
      <w:tr>
        <w:trPr>
          <w:trHeight w:val="236"/>
        </w:trPr>
        <w:tc>
          <w:tcPr>
            <w:tcW w:w="10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net tangible assets acquired</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1002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Goodwill recognized</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31,822</w:t>
            </w:r>
          </w:p>
        </w:tc>
        <w:tc>
          <w:tcPr>
            <w:tcW w:w="100" w:type="dxa"/>
            <w:vAlign w:val="bottom"/>
            <w:tcBorders>
              <w:bottom w:val="single" w:sz="8" w:color="CCEEFF"/>
            </w:tcBorders>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Consideration transferred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estimated consideration transferred over the fair value of the net tangible and intangible assets acquired that is associated with the excess cash flows that the acquisition is expected to generate in the future.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i w:val="1"/>
          <w:iCs w:val="1"/>
          <w:color w:val="auto"/>
        </w:rPr>
        <w:t>Ambia Acquisition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November 21, 2025, the Company entered into a Membership Interest Purchase Agreement (the “Membership Interest Purchase Agreement”) with Ambia and Ambia Holdings, Inc., a Delaware corporation and the sole member of Ambia (“Ambia Holdings”). Ambia was the sole operating entity within Ambia Holdings.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Ambia and Ambia Holdings completed the closing under the Membership Interest Purchase Agreement (the “Ambia Closing”) on November 21, 2025. At the Ambia Closing, the Company acquired all of the outstanding membership interests of Ambia from Ambia Holdings for: (a) 10,243,924 shares (the “Ambia Closing Consideration Shares”) of common stock of the Company, issued at the Ambia Closing to Ambia Holdings; and (b) the agreement to issue an additional $9.375 million of shares of the Company’s common stock on each of the six-month anniversary of the Ambia Closing and the 12-month anniversary of the Ambia Closing (such additional shares of common stock, the “Deferred Ambia Consideration Shares”). The issuance of the Deferred Ambia Consideration Shares is subject to approval by the Company’s stockholders following the Closing in accordance with the rules and regulations of the Nasdaq Stock Market (including Nasdaq Listing Rule 5635(a)).</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actual number of Deferred Ambia Consideration Shares issuable by the Company on the six- and 12-month anniversaries of the Closing will be determined based on the 20-day trailing volume-weighted average price of the Common Stock after market close on the business day immediate prior to the issuance date of the applicable shares (the “VWAP Value”); provided that the VWAP Value for the calculation of the actual number of Deferred Ambia Consideration Shares issuable by the Company will not be more than $2.8102 per share or less than $1.4988 per share. Additionally, the number of Deferred Ambia Consideration Shares issuable by the Company is subject to adjustment pursuant to customary working capital and balance sheet adjustment terms and subject to offset for certain indemnifiable damages in accordance with the Membership Interest Purchase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closing share price for its common stock of $1.61 on November 21, 2025 was used to fair value the shares issued at the Ambia Closing..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Fair value of contingent consideration was $16,879 as of December 28, 2025. The total consideration is summarized as follows </w:t>
      </w:r>
      <w:r>
        <w:rPr>
          <w:rFonts w:ascii="Times New Roman" w:cs="Times New Roman" w:eastAsia="Times New Roman" w:hAnsi="Times New Roman"/>
          <w:sz w:val="18"/>
          <w:szCs w:val="18"/>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10,243,924 shares of the Company’s common stock issued at Ambia Closing</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16,493</w:t>
            </w:r>
          </w:p>
        </w:tc>
        <w:tc>
          <w:tcPr>
            <w:tcW w:w="0" w:type="dxa"/>
            <w:vAlign w:val="bottom"/>
          </w:tcPr>
          <w:p>
            <w:pPr>
              <w:spacing w:after="0"/>
              <w:rPr>
                <w:sz w:val="1"/>
                <w:szCs w:val="1"/>
                <w:color w:val="auto"/>
              </w:rPr>
            </w:pP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Ambia Consideration Shares</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16,879</w:t>
            </w:r>
          </w:p>
        </w:tc>
        <w:tc>
          <w:tcPr>
            <w:tcW w:w="0" w:type="dxa"/>
            <w:vAlign w:val="bottom"/>
          </w:tcPr>
          <w:p>
            <w:pPr>
              <w:spacing w:after="0"/>
              <w:rPr>
                <w:sz w:val="1"/>
                <w:szCs w:val="1"/>
                <w:color w:val="auto"/>
              </w:rPr>
            </w:pPr>
          </w:p>
        </w:tc>
      </w:tr>
      <w:tr>
        <w:trPr>
          <w:trHeight w:val="223"/>
        </w:trPr>
        <w:tc>
          <w:tcPr>
            <w:tcW w:w="10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total consideration</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Provisional fair value of net assets acquired:</w:t>
            </w: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assets - unbilled</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1,368</w:t>
            </w: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2,563</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4,300</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(1,675)</w:t>
            </w: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(2,806)</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(2,917)</w:t>
            </w:r>
          </w:p>
        </w:tc>
        <w:tc>
          <w:tcPr>
            <w:tcW w:w="0" w:type="dxa"/>
            <w:vAlign w:val="bottom"/>
          </w:tcPr>
          <w:p>
            <w:pPr>
              <w:spacing w:after="0"/>
              <w:rPr>
                <w:sz w:val="1"/>
                <w:szCs w:val="1"/>
                <w:color w:val="auto"/>
              </w:rPr>
            </w:pPr>
          </w:p>
        </w:tc>
      </w:tr>
      <w:tr>
        <w:trPr>
          <w:trHeight w:val="249"/>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(2,702)</w:t>
            </w:r>
          </w:p>
        </w:tc>
        <w:tc>
          <w:tcPr>
            <w:tcW w:w="0" w:type="dxa"/>
            <w:vAlign w:val="bottom"/>
          </w:tcPr>
          <w:p>
            <w:pPr>
              <w:spacing w:after="0"/>
              <w:rPr>
                <w:sz w:val="1"/>
                <w:szCs w:val="1"/>
                <w:color w:val="auto"/>
              </w:rPr>
            </w:pPr>
          </w:p>
        </w:tc>
      </w:tr>
      <w:tr>
        <w:trPr>
          <w:trHeight w:val="203"/>
        </w:trPr>
        <w:tc>
          <w:tcPr>
            <w:tcW w:w="1002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Fair value of net tangible assets acquired</w:t>
            </w: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2,564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common stock issued</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16,493</w:t>
            </w:r>
          </w:p>
        </w:tc>
        <w:tc>
          <w:tcPr>
            <w:tcW w:w="0" w:type="dxa"/>
            <w:vAlign w:val="bottom"/>
          </w:tcPr>
          <w:p>
            <w:pPr>
              <w:spacing w:after="0"/>
              <w:rPr>
                <w:sz w:val="1"/>
                <w:szCs w:val="1"/>
                <w:color w:val="auto"/>
              </w:rPr>
            </w:pPr>
          </w:p>
        </w:tc>
      </w:tr>
      <w:tr>
        <w:trPr>
          <w:trHeight w:val="23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Deferred Ambia Consideration Shares</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16,879</w:t>
            </w:r>
          </w:p>
        </w:tc>
        <w:tc>
          <w:tcPr>
            <w:tcW w:w="0" w:type="dxa"/>
            <w:vAlign w:val="bottom"/>
          </w:tcPr>
          <w:p>
            <w:pPr>
              <w:spacing w:after="0"/>
              <w:rPr>
                <w:sz w:val="1"/>
                <w:szCs w:val="1"/>
                <w:color w:val="auto"/>
              </w:rPr>
            </w:pPr>
          </w:p>
        </w:tc>
      </w:tr>
      <w:tr>
        <w:trPr>
          <w:trHeight w:val="236"/>
        </w:trPr>
        <w:tc>
          <w:tcPr>
            <w:tcW w:w="10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recognized</w:t>
            </w: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2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Consideration transferred</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ind w:left="5400"/>
              <w:spacing w:after="0"/>
              <w:rPr>
                <w:sz w:val="20"/>
                <w:szCs w:val="20"/>
                <w:color w:val="auto"/>
              </w:rPr>
            </w:pPr>
            <w:r>
              <w:rPr>
                <w:rFonts w:ascii="Times New Roman" w:cs="Times New Roman" w:eastAsia="Times New Roman" w:hAnsi="Times New Roman"/>
                <w:sz w:val="18"/>
                <w:szCs w:val="18"/>
                <w:color w:val="auto"/>
              </w:rPr>
              <w:t>F-179</w:t>
            </w: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10020" w:type="dxa"/>
            <w:vAlign w:val="bottom"/>
            <w:tcBorders>
              <w:bottom w:val="single" w:sz="8" w:color="auto"/>
            </w:tcBorders>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of the Acquisitions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Sunder Acquisition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acquisition of Sunder was financed as follows: (i) on September 21, 2025, the Company issued $22.0 million of 7% senior unsecured convertible notes (the “September 2025 Notes”), (ii) at closing on September 24, 2025, the Company issued a $20.0 million note to the sellers of Sunder (the “Seller Note”) and (iii) also at closing the Company agreed to issue 10.0 million shares of the Company’s stock which had a fair value of $17.1 million at the closing date of the Sunder acquisition.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September 2025 Notes were issued pursuant to an Indenture agreement with U.S. Bank Trust Company, National Association, as trustee (the “Indenture”). The September 2025 Notes issued under the Indenture bear interest at 7.0% per annum, and the interest is payable semiannually in arrears on January 1 and July 1 of each year beginning on January 1, 2025. The principal is payable in full at maturity on July 1, 2029. The September 2025 Notes are convertible into shares of the Company’s common stock at the option of the holder at a conversion rate of $2.14 per common share. Holders of the September 2025 Notes may convert at any time. The September 2025 Notes may be declared due and payable at the option of the holder upon an event of default and upon a qualifying change of control event.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Seller Note has an original principal amount of $20.0 million. The Seller Note bears interest at 7.0% per annum, compounded at the end of each calendar quarter. Interest is due and payable concurrent with the payment of the principal balance. The maturity date under the Seller Note is the earlier of</w:t>
      </w:r>
    </w:p>
    <w:p>
      <w:pPr>
        <w:jc w:val="both"/>
        <w:ind w:firstLine="8"/>
        <w:spacing w:after="0" w:line="253" w:lineRule="auto"/>
        <w:tabs>
          <w:tab w:leader="none" w:pos="21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15, 2026 and (ii) the date on which all amounts under the Seller Note otherwise become due and payable following an event of default. The Seller Note must also be repaid in the event of a change of control of the Company or the sale of all or substantially all of the consolidated assets of the Company and its subsidiaries. The Company concluded that since the sellers joined the Company and have a level of influence that is not insignificant, they are related parties of the Company and therefore the Seller Note is a related party obligation.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Sunder Acquisition was also financed through the issuance of shares of the Company’s common stock. The Company agreed to issue 10.0 million shares of the Company’s common stock (valued at the closing share price on September 24, 2025, of $1.71 per share). At closing the Company issued 3,333,334 shares of the Company’s common stock and subject to approval of such issuances by the Company’s stockholders, the Company will issue an additional 3,333,333 shares of the Company’s common stock to be issued on the 12-month anniversary of the Closing and (y) a further 3,333,333 shares of the Company’s common stock to be issued on the 18-month anniversary of the Closing (“Deferred Consideration Shares”). In lieu of issuing the Deferred Consideration Shares, the Company, in its sole discretion, may elect to pay the Member a cash payment equal to the number of Deferred Consideration Shares otherwise issuable by the Company multiplied by the volume-weighted average price of the Company’s common stock as quoted on Nasdaq for the 30-trading day period ending two business days prior to the date on which the applicable Deferred Consideration Shares were otherwise issuable (“Cash in Lieu Amount”). If the Company elects to pay the Cash in Lieu Amount, 50% of the Cash in Lieu Amount will be paid on the three-month anniversary of the date on which the applicable Deferred Consideration Shares were otherwise issuable, with the remaining 50% of the Cash in Lieu Amount payable on the 6 month anniversary of the date on which the applicable Deferred Consideration Shares were otherwise issuable. The shares of the Company’s common stock were valued at $17.1 million at the date of acquisition. The transaction adjustments within the pro forma results of operations for the year ended December 28, 2025 present the shares of common stock issuable in connection with the Sunder acquisition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u w:val="single" w:color="auto"/>
          <w:color w:val="auto"/>
        </w:rPr>
        <w:t>Ambia Acquisition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Ambia Acquisition was consummated through the issuance of shares of the Company’s common stock. At the Ambia Closing the Company paid initial consideration through the issuance of 10,243,924 shares of the Company’s common stock, a non-cash transaction. The Deferred Ambia Consideration Shares will also be paid in shares of the Company’s common stock.</w:t>
      </w:r>
    </w:p>
    <w:p>
      <w:pPr>
        <w:spacing w:after="0" w:line="172" w:lineRule="exact"/>
        <w:rPr>
          <w:sz w:val="20"/>
          <w:szCs w:val="20"/>
          <w:color w:val="auto"/>
        </w:rPr>
      </w:pPr>
    </w:p>
    <w:p>
      <w:pPr>
        <w:ind w:left="340" w:hanging="332"/>
        <w:spacing w:after="0"/>
        <w:tabs>
          <w:tab w:leader="none" w:pos="34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Sunder Year to Date Results through September 23, 2025</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historical pro forma results of Sunder for the period January 1, 2025 through September 23, 2025 were derived from the unaudited financial statements for the six months ended June 30, 2025 and interim results of operations for the period from July 1, 2025 through September 23, 2025 as follows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8"/>
              </w:rPr>
              <w:t>Six Months</w:t>
            </w: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July 1, 2025</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Year to Date</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00" w:type="dxa"/>
            <w:vAlign w:val="bottom"/>
          </w:tcPr>
          <w:p>
            <w:pPr>
              <w:spacing w:after="0"/>
              <w:rPr>
                <w:sz w:val="18"/>
                <w:szCs w:val="18"/>
                <w:color w:val="auto"/>
              </w:rPr>
            </w:pPr>
          </w:p>
        </w:tc>
        <w:tc>
          <w:tcPr>
            <w:tcW w:w="122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thru</w:t>
            </w:r>
          </w:p>
        </w:tc>
        <w:tc>
          <w:tcPr>
            <w:tcW w:w="140" w:type="dxa"/>
            <w:vAlign w:val="bottom"/>
          </w:tcPr>
          <w:p>
            <w:pPr>
              <w:spacing w:after="0"/>
              <w:rPr>
                <w:sz w:val="18"/>
                <w:szCs w:val="18"/>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Through</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September 23,</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September 23,</w:t>
            </w:r>
          </w:p>
        </w:tc>
      </w:tr>
      <w:tr>
        <w:trPr>
          <w:trHeight w:val="245"/>
        </w:trPr>
        <w:tc>
          <w:tcPr>
            <w:tcW w:w="73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56,084</w:t>
            </w:r>
          </w:p>
        </w:tc>
        <w:tc>
          <w:tcPr>
            <w:tcW w:w="10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commissions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33,339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12,276</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45,615</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480</w:t>
            </w: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80" w:type="dxa"/>
            <w:vAlign w:val="bottom"/>
          </w:tcPr>
          <w:p>
            <w:pPr>
              <w:spacing w:after="0"/>
              <w:rPr>
                <w:sz w:val="18"/>
                <w:szCs w:val="18"/>
                <w:color w:val="auto"/>
              </w:rPr>
            </w:pPr>
          </w:p>
        </w:tc>
      </w:tr>
      <w:tr>
        <w:trPr>
          <w:trHeight w:val="24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11,458</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4,458</w:t>
            </w:r>
          </w:p>
        </w:tc>
        <w:tc>
          <w:tcPr>
            <w:tcW w:w="1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15,916</w:t>
            </w: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45,568</w:t>
            </w:r>
          </w:p>
        </w:tc>
        <w:tc>
          <w:tcPr>
            <w:tcW w:w="2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17,214</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62,782</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(246)</w:t>
            </w:r>
          </w:p>
        </w:tc>
        <w:tc>
          <w:tcPr>
            <w:tcW w:w="100" w:type="dxa"/>
            <w:vAlign w:val="bottom"/>
            <w:gridSpan w:val="2"/>
          </w:tcPr>
          <w:p>
            <w:pPr>
              <w:spacing w:after="0"/>
              <w:rPr>
                <w:sz w:val="17"/>
                <w:szCs w:val="17"/>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20"/>
                <w:szCs w:val="20"/>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before income taxes</w:t>
            </w: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(5,681)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(907)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(6,588)</w:t>
            </w:r>
          </w:p>
        </w:tc>
        <w:tc>
          <w:tcPr>
            <w:tcW w:w="100" w:type="dxa"/>
            <w:vAlign w:val="bottom"/>
            <w:gridSpan w:val="2"/>
          </w:tcPr>
          <w:p>
            <w:pPr>
              <w:spacing w:after="0"/>
              <w:rPr>
                <w:sz w:val="17"/>
                <w:szCs w:val="17"/>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(5,681</w:t>
            </w:r>
          </w:p>
        </w:tc>
        <w:tc>
          <w:tcPr>
            <w:tcW w:w="240" w:type="dxa"/>
            <w:vAlign w:val="bottom"/>
            <w:tcBorders>
              <w:top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(907</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(6,588</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Ambia Year to Date results through November 20, 2025</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historical pro forma results of Sunder for the period January 1, 2025 through November 20, 2025 were derived from the unaudited financial statements for the nine months ended September 30, 2025 and interim results of operations for the period from October 1, 2025 through November 20, 2025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380" w:type="dxa"/>
            <w:vAlign w:val="bottom"/>
            <w:gridSpan w:val="3"/>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c>
          <w:tcPr>
            <w:tcW w:w="10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Oct 1, 2025</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7"/>
              </w:rPr>
              <w:t>Year to Date</w:t>
            </w:r>
          </w:p>
        </w:tc>
      </w:tr>
      <w:tr>
        <w:trPr>
          <w:trHeight w:val="216"/>
        </w:trPr>
        <w:tc>
          <w:tcPr>
            <w:tcW w:w="39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22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thru</w:t>
            </w:r>
          </w:p>
        </w:tc>
        <w:tc>
          <w:tcPr>
            <w:tcW w:w="140" w:type="dxa"/>
            <w:vAlign w:val="bottom"/>
          </w:tcPr>
          <w:p>
            <w:pPr>
              <w:spacing w:after="0"/>
              <w:rPr>
                <w:sz w:val="18"/>
                <w:szCs w:val="18"/>
                <w:color w:val="auto"/>
              </w:rPr>
            </w:pPr>
          </w:p>
        </w:tc>
        <w:tc>
          <w:tcPr>
            <w:tcW w:w="108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Through</w:t>
            </w:r>
          </w:p>
        </w:tc>
      </w:tr>
      <w:tr>
        <w:trPr>
          <w:trHeight w:val="216"/>
        </w:trPr>
        <w:tc>
          <w:tcPr>
            <w:tcW w:w="39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380" w:type="dxa"/>
            <w:vAlign w:val="bottom"/>
            <w:gridSpan w:val="3"/>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November 20,</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November 20,</w:t>
            </w:r>
          </w:p>
        </w:tc>
      </w:tr>
      <w:tr>
        <w:trPr>
          <w:trHeight w:val="245"/>
        </w:trPr>
        <w:tc>
          <w:tcPr>
            <w:tcW w:w="3920" w:type="dxa"/>
            <w:vAlign w:val="bottom"/>
            <w:tcBorders>
              <w:bottom w:val="single" w:sz="8" w:color="CCEEFF"/>
            </w:tcBorders>
          </w:tcPr>
          <w:p>
            <w:pPr>
              <w:spacing w:after="0"/>
              <w:rPr>
                <w:sz w:val="21"/>
                <w:szCs w:val="21"/>
                <w:color w:val="auto"/>
              </w:rPr>
            </w:pPr>
          </w:p>
        </w:tc>
        <w:tc>
          <w:tcPr>
            <w:tcW w:w="34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61,076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73,604</w:t>
            </w:r>
          </w:p>
        </w:tc>
        <w:tc>
          <w:tcPr>
            <w:tcW w:w="10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32,622</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6,259</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38,881</w:t>
            </w:r>
          </w:p>
        </w:tc>
      </w:tr>
      <w:tr>
        <w:trPr>
          <w:trHeight w:val="25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28,454</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6,269</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34,723</w:t>
            </w:r>
          </w:p>
        </w:tc>
      </w:tr>
      <w:tr>
        <w:trPr>
          <w:trHeight w:val="203"/>
        </w:trPr>
        <w:tc>
          <w:tcPr>
            <w:tcW w:w="39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Operating expenses</w:t>
            </w:r>
          </w:p>
        </w:tc>
        <w:tc>
          <w:tcPr>
            <w:tcW w:w="34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commissions</w:t>
            </w:r>
          </w:p>
        </w:tc>
        <w:tc>
          <w:tcPr>
            <w:tcW w:w="3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16,003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2,810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18,813</w:t>
            </w:r>
          </w:p>
        </w:tc>
      </w:tr>
      <w:tr>
        <w:trPr>
          <w:trHeight w:val="216"/>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10,845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3,134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13,979</w:t>
            </w:r>
          </w:p>
        </w:tc>
      </w:tr>
      <w:tr>
        <w:trPr>
          <w:trHeight w:val="216"/>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Rent</w:t>
            </w: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1,338</w:t>
            </w:r>
          </w:p>
        </w:tc>
      </w:tr>
      <w:tr>
        <w:trPr>
          <w:trHeight w:val="249"/>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637</w:t>
            </w:r>
          </w:p>
        </w:tc>
      </w:tr>
      <w:tr>
        <w:trPr>
          <w:trHeight w:val="210"/>
        </w:trPr>
        <w:tc>
          <w:tcPr>
            <w:tcW w:w="39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34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28,381</w:t>
            </w:r>
          </w:p>
        </w:tc>
        <w:tc>
          <w:tcPr>
            <w:tcW w:w="2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6,514</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34,895</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4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39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Interest expense</w:t>
            </w:r>
          </w:p>
        </w:tc>
        <w:tc>
          <w:tcPr>
            <w:tcW w:w="3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(1,286)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(1,286)</w:t>
            </w:r>
          </w:p>
        </w:tc>
        <w:tc>
          <w:tcPr>
            <w:tcW w:w="100" w:type="dxa"/>
            <w:vAlign w:val="bottom"/>
          </w:tcPr>
          <w:p>
            <w:pPr>
              <w:spacing w:after="0"/>
              <w:rPr>
                <w:sz w:val="17"/>
                <w:szCs w:val="17"/>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w:t>
            </w:r>
          </w:p>
        </w:tc>
      </w:tr>
      <w:tr>
        <w:trPr>
          <w:trHeight w:val="236"/>
        </w:trPr>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39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before income taxes</w:t>
            </w:r>
          </w:p>
        </w:tc>
        <w:tc>
          <w:tcPr>
            <w:tcW w:w="3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(1,196)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(1,441)</w:t>
            </w:r>
          </w:p>
        </w:tc>
        <w:tc>
          <w:tcPr>
            <w:tcW w:w="100" w:type="dxa"/>
            <w:vAlign w:val="bottom"/>
          </w:tcPr>
          <w:p>
            <w:pPr>
              <w:spacing w:after="0"/>
              <w:rPr>
                <w:sz w:val="17"/>
                <w:szCs w:val="17"/>
                <w:color w:val="auto"/>
              </w:rPr>
            </w:pPr>
          </w:p>
        </w:tc>
      </w:tr>
      <w:tr>
        <w:trPr>
          <w:trHeight w:val="24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4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9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34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(1,196</w:t>
            </w:r>
          </w:p>
        </w:tc>
        <w:tc>
          <w:tcPr>
            <w:tcW w:w="240" w:type="dxa"/>
            <w:vAlign w:val="bottom"/>
            <w:tcBorders>
              <w:top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(245</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(1,441</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39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9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2"/>
          </w:tcPr>
          <w:p>
            <w:pPr>
              <w:jc w:val="right"/>
              <w:ind w:right="1590"/>
              <w:spacing w:after="0"/>
              <w:rPr>
                <w:sz w:val="20"/>
                <w:szCs w:val="20"/>
                <w:color w:val="auto"/>
              </w:rPr>
            </w:pPr>
            <w:r>
              <w:rPr>
                <w:rFonts w:ascii="Times New Roman" w:cs="Times New Roman" w:eastAsia="Times New Roman" w:hAnsi="Times New Roman"/>
                <w:sz w:val="18"/>
                <w:szCs w:val="18"/>
                <w:color w:val="auto"/>
              </w:rPr>
              <w:t>F-181</w:t>
            </w: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06" w:name="page307"/>
    <w:bookmarkEnd w:id="306"/>
    <w:p>
      <w:pPr>
        <w:ind w:left="340" w:hanging="332"/>
        <w:spacing w:after="0"/>
        <w:tabs>
          <w:tab w:leader="none" w:pos="34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to the Unaudited Pro Forma Combined Statements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 forma adjustments included in the unaudited pro forma combined statements of operations for the year ended December 28, 2025, are as follows:</w:t>
      </w:r>
    </w:p>
    <w:p>
      <w:pPr>
        <w:spacing w:after="0" w:line="223"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7"/>
          <w:szCs w:val="17"/>
          <w:color w:val="auto"/>
        </w:rPr>
        <w:t xml:space="preserve">As of the acquisition date, the provisional components of Sunder intangibles acquired and their useful lives were as follows </w:t>
      </w:r>
      <w:r>
        <w:rPr>
          <w:rFonts w:ascii="Times New Roman" w:cs="Times New Roman" w:eastAsia="Times New Roman" w:hAnsi="Times New Roman"/>
          <w:sz w:val="17"/>
          <w:szCs w:val="17"/>
          <w:i w:val="1"/>
          <w:iCs w:val="1"/>
          <w:color w:val="auto"/>
        </w:rPr>
        <w:t>(in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60" w:type="dxa"/>
            <w:vAlign w:val="bottom"/>
          </w:tcPr>
          <w:p>
            <w:pPr>
              <w:spacing w:after="0"/>
              <w:rPr>
                <w:sz w:val="21"/>
                <w:szCs w:val="21"/>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related intangible</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 year</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Trademark</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 years</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6,100</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2 years</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Intangible assets acquired</w:t>
            </w: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37,500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 xml:space="preserve">Intangible assets are amortized on a straight-line basis. This transaction adjustment reflects the pro forma amortization expense for the period from January 1, 2025 to September 23, 2025, the acquisition date. The components of the pro forma amortization expense are as noted below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Year-to-date</w:t>
            </w: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Through</w:t>
            </w:r>
          </w:p>
        </w:tc>
      </w:tr>
      <w:tr>
        <w:trPr>
          <w:trHeight w:val="216"/>
        </w:trPr>
        <w:tc>
          <w:tcPr>
            <w:tcW w:w="100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23,</w:t>
            </w:r>
          </w:p>
        </w:tc>
      </w:tr>
      <w:tr>
        <w:trPr>
          <w:trHeight w:val="245"/>
        </w:trPr>
        <w:tc>
          <w:tcPr>
            <w:tcW w:w="100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related intangible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Trademark</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w:t>
            </w: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r>
        <w:trPr>
          <w:trHeight w:val="250"/>
        </w:trPr>
        <w:tc>
          <w:tcPr>
            <w:tcW w:w="100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pro forma amortization expense</w:t>
            </w: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3,052</w:t>
            </w:r>
          </w:p>
        </w:tc>
        <w:tc>
          <w:tcPr>
            <w:tcW w:w="100" w:type="dxa"/>
            <w:vAlign w:val="bottom"/>
            <w:tcBorders>
              <w:top w:val="single" w:sz="8" w:color="CCEEFF"/>
              <w:bottom w:val="single" w:sz="8" w:color="CCEEFF"/>
            </w:tcBorders>
          </w:tcPr>
          <w:p>
            <w:pPr>
              <w:spacing w:after="0"/>
              <w:rPr>
                <w:sz w:val="21"/>
                <w:szCs w:val="2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Classified within cost of revenues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8"/>
                <w:szCs w:val="18"/>
                <w:color w:val="auto"/>
              </w:rPr>
            </w:pPr>
          </w:p>
        </w:tc>
      </w:t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Classified within general and administrative expense</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2,752</w:t>
            </w:r>
          </w:p>
        </w:tc>
      </w:tr>
    </w:tbl>
    <w:p>
      <w:pPr>
        <w:spacing w:after="0" w:line="17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above estimates of intangible assets’ fair values and useful lives are provisional and subject to change upon finalization of the fair values of the assets acquired.</w:t>
      </w:r>
    </w:p>
    <w:p>
      <w:pPr>
        <w:spacing w:after="0" w:line="160"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 xml:space="preserve">As of the acquisition date, the provisional components of Ambia intangibles acquired and their useful lives were as follows </w:t>
      </w:r>
      <w:r>
        <w:rPr>
          <w:rFonts w:ascii="Times New Roman" w:cs="Times New Roman" w:eastAsia="Times New Roman" w:hAnsi="Times New Roman"/>
          <w:sz w:val="17"/>
          <w:szCs w:val="17"/>
          <w:i w:val="1"/>
          <w:iCs w:val="1"/>
          <w:color w:val="auto"/>
        </w:rPr>
        <w:t>(in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60" w:type="dxa"/>
            <w:vAlign w:val="bottom"/>
          </w:tcPr>
          <w:p>
            <w:pPr>
              <w:spacing w:after="0"/>
              <w:rPr>
                <w:sz w:val="21"/>
                <w:szCs w:val="21"/>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related intangible</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 year</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Trademark</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1 year</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900</w:t>
            </w:r>
          </w:p>
        </w:tc>
      </w:tr>
      <w:tr>
        <w:trPr>
          <w:trHeight w:val="25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10"/>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Intangible assets acquired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 xml:space="preserve">Intangible assets are amortized on a straight-line basis. This transaction adjustment reflects the pro forma amortization expense for the period from January 1, 2025 to November 20, 2025, the acquisition date. The components of the pro forma amortization expense are as noted below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Year-to-date</w:t>
            </w:r>
          </w:p>
        </w:tc>
      </w:tr>
      <w:tr>
        <w:trPr>
          <w:trHeight w:val="216"/>
        </w:trPr>
        <w:tc>
          <w:tcPr>
            <w:tcW w:w="406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Through</w:t>
            </w:r>
          </w:p>
        </w:tc>
      </w:tr>
      <w:tr>
        <w:trPr>
          <w:trHeight w:val="216"/>
        </w:trPr>
        <w:tc>
          <w:tcPr>
            <w:tcW w:w="406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November 20,</w:t>
            </w:r>
          </w:p>
        </w:tc>
      </w:tr>
      <w:tr>
        <w:trPr>
          <w:trHeight w:val="245"/>
        </w:trPr>
        <w:tc>
          <w:tcPr>
            <w:tcW w:w="4060" w:type="dxa"/>
            <w:vAlign w:val="bottom"/>
            <w:tcBorders>
              <w:bottom w:val="single" w:sz="8" w:color="CCEEFF"/>
            </w:tcBorders>
          </w:tcPr>
          <w:p>
            <w:pPr>
              <w:spacing w:after="0"/>
              <w:rPr>
                <w:sz w:val="21"/>
                <w:szCs w:val="21"/>
                <w:color w:val="auto"/>
              </w:rPr>
            </w:pPr>
          </w:p>
        </w:tc>
        <w:tc>
          <w:tcPr>
            <w:tcW w:w="59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related intangible</w:t>
            </w:r>
          </w:p>
        </w:tc>
        <w:tc>
          <w:tcPr>
            <w:tcW w:w="59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shd w:val="clear" w:color="auto" w:fill="CCEEFF"/>
          </w:tcPr>
          <w:p>
            <w:pPr>
              <w:spacing w:after="0"/>
              <w:rPr>
                <w:sz w:val="18"/>
                <w:szCs w:val="18"/>
                <w:color w:val="auto"/>
              </w:rPr>
            </w:pPr>
          </w:p>
        </w:tc>
      </w:tr>
      <w:tr>
        <w:trPr>
          <w:trHeight w:val="23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Trademark</w:t>
            </w:r>
          </w:p>
        </w:tc>
        <w:tc>
          <w:tcPr>
            <w:tcW w:w="5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825</w:t>
            </w:r>
          </w:p>
        </w:tc>
      </w:tr>
      <w:tr>
        <w:trPr>
          <w:trHeight w:val="223"/>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 forma amortization expense</w:t>
            </w:r>
          </w:p>
        </w:tc>
        <w:tc>
          <w:tcPr>
            <w:tcW w:w="59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06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gridSpan w:val="2"/>
          </w:tcPr>
          <w:p>
            <w:pPr>
              <w:jc w:val="right"/>
              <w:ind w:right="4250"/>
              <w:spacing w:after="0"/>
              <w:rPr>
                <w:sz w:val="20"/>
                <w:szCs w:val="20"/>
                <w:color w:val="auto"/>
              </w:rPr>
            </w:pPr>
            <w:r>
              <w:rPr>
                <w:rFonts w:ascii="Times New Roman" w:cs="Times New Roman" w:eastAsia="Times New Roman" w:hAnsi="Times New Roman"/>
                <w:sz w:val="18"/>
                <w:szCs w:val="18"/>
                <w:color w:val="auto"/>
              </w:rPr>
              <w:t>F-182</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07" w:name="page308"/>
    <w:bookmarkEnd w:id="307"/>
    <w:p>
      <w:pPr>
        <w:jc w:val="both"/>
        <w:ind w:left="660" w:hanging="328"/>
        <w:spacing w:after="0" w:line="261"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 adjustment reflects (i) the impact of interest expense and amortization of debt issuance costs arising from the September 2025 Notes issued in connection with the acquisition of Sunder, assuming the September 2025 Notes were issued on January 1, 2025 and (ii) the impact of interest expense arising from the $20.0 million Seller Note issued in connection with the acquisition of Sunder, assuming the Seller Note was issued on January 1, 2025. The components of pro forma interest and amortization of debt issuance costs are as follows </w:t>
      </w:r>
      <w:r>
        <w:rPr>
          <w:rFonts w:ascii="Times New Roman" w:cs="Times New Roman" w:eastAsia="Times New Roman" w:hAnsi="Times New Roman"/>
          <w:sz w:val="18"/>
          <w:szCs w:val="18"/>
          <w:i w:val="1"/>
          <w:iCs w:val="1"/>
          <w:color w:val="auto"/>
        </w:rPr>
        <w:t>(in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Year-to-date</w:t>
            </w: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Through</w:t>
            </w:r>
          </w:p>
        </w:tc>
      </w:tr>
      <w:tr>
        <w:trPr>
          <w:trHeight w:val="216"/>
        </w:trPr>
        <w:tc>
          <w:tcPr>
            <w:tcW w:w="1002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September 23,</w:t>
            </w:r>
          </w:p>
        </w:tc>
      </w:tr>
      <w:tr>
        <w:trPr>
          <w:trHeight w:val="245"/>
        </w:trPr>
        <w:tc>
          <w:tcPr>
            <w:tcW w:w="100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2025 Notes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Seller Note</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1,885</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 forma interest expense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transaction adjustment of $2.7 million includes an accounting adjustment to eliminate the historical interest expense of $0.2 million, as Sunder was acquired in a debt free transaction.</w:t>
      </w:r>
    </w:p>
    <w:p>
      <w:pPr>
        <w:spacing w:after="0" w:line="162" w:lineRule="exact"/>
        <w:rPr>
          <w:sz w:val="20"/>
          <w:szCs w:val="20"/>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adjustment to eliminate the historical interest expense, as Ambia was acquired in a debt free transaction.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results of operations include 3,333,334 shares of the Company’s stock issued at the date of the Sunder Acquisition. As of December 28, 2025, the historical weighted average shares outstanding included 860,806 shares issued in connection with the Sunder Acquisition. As such, incremental shares of 2,472,528 shares included in the pro forma shares outstanding as of December 28, 2025 is net of the 860,806 shares included in the historical weighted average shares outstanding. The 6,666,666 Deferred Consideration Shares were excluded from the computation of pro forma net loss per share because issuance of such shares is contingent upon the satisfaction of certain conditions which are not satisfied as of the period end for pro forma presentation purposes.</w:t>
      </w:r>
    </w:p>
    <w:p>
      <w:pPr>
        <w:spacing w:after="0" w:line="18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financial statement presentation for the Ambia Acquisition to the Company’s presentation within the Statements of Operations for the period December 28, 2025.</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results of operations include 15,150,086 shares of the Company’s stock issued at the date of the Ambia Acquisition and minimum value of variable shares of Deferred Consideration - Ambia. As of December 28, 2025, the historical weighted average shares outstanding included 1,765,961 shares issued in connection with the Ambia Acquisition. As such, incremental shares of 15,150,086 shares included in the pro forma shares outstanding as of December 28, 2025 is net of the 1,765,961 shares included in the historical weighted average shares outstanding.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1)"/>
      <w:numFmt w:val="lowerRoman"/>
      <w:start w:val="10"/>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
      <w:numFmt w:val="bullet"/>
      <w:start w:val="1"/>
    </w:lvl>
  </w:abstractNum>
  <w:abstractNum w:abstractNumId="6">
    <w:nsid w:val="1EBA5D23"/>
    <w:multiLevelType w:val="hybridMultilevel"/>
    <w:lvl w:ilvl="0">
      <w:lvlJc w:val="left"/>
      <w:lvlText w:val="●"/>
      <w:numFmt w:val="bullet"/>
      <w:start w:val="1"/>
    </w:lvl>
  </w:abstractNum>
  <w:abstractNum w:abstractNumId="7">
    <w:nsid w:val="661E3F1E"/>
    <w:multiLevelType w:val="hybridMultilevel"/>
    <w:lvl w:ilvl="0">
      <w:lvlJc w:val="left"/>
      <w:lvlText w:val="●"/>
      <w:numFmt w:val="bullet"/>
      <w:start w:val="1"/>
    </w:lvl>
  </w:abstractNum>
  <w:abstractNum w:abstractNumId="8">
    <w:nsid w:val="5DC79EA8"/>
    <w:multiLevelType w:val="hybridMultilevel"/>
    <w:lvl w:ilvl="0">
      <w:lvlJc w:val="left"/>
      <w:lvlText w:val="●"/>
      <w:numFmt w:val="bullet"/>
      <w:start w:val="1"/>
    </w:lvl>
  </w:abstractNum>
  <w:abstractNum w:abstractNumId="9">
    <w:nsid w:val="540A471C"/>
    <w:multiLevelType w:val="hybridMultilevel"/>
    <w:lvl w:ilvl="0">
      <w:lvlJc w:val="left"/>
      <w:lvlText w:val="●"/>
      <w:numFmt w:val="bullet"/>
      <w:start w:val="1"/>
    </w:lvl>
  </w:abstractNum>
  <w:abstractNum w:abstractNumId="10">
    <w:nsid w:val="7BD3EE7B"/>
    <w:multiLevelType w:val="hybridMultilevel"/>
    <w:lvl w:ilvl="0">
      <w:lvlJc w:val="left"/>
      <w:lvlText w:val="●"/>
      <w:numFmt w:val="bullet"/>
      <w:start w:val="1"/>
    </w:lvl>
  </w:abstractNum>
  <w:abstractNum w:abstractNumId="11">
    <w:nsid w:val="51D9C564"/>
    <w:multiLevelType w:val="hybridMultilevel"/>
    <w:lvl w:ilvl="0">
      <w:lvlJc w:val="left"/>
      <w:lvlText w:val="●"/>
      <w:numFmt w:val="bullet"/>
      <w:start w:val="1"/>
    </w:lvl>
  </w:abstractNum>
  <w:abstractNum w:abstractNumId="12">
    <w:nsid w:val="613EFDC5"/>
    <w:multiLevelType w:val="hybridMultilevel"/>
    <w:lvl w:ilvl="0">
      <w:lvlJc w:val="left"/>
      <w:lvlText w:val="●"/>
      <w:numFmt w:val="bullet"/>
      <w:start w:val="1"/>
    </w:lvl>
  </w:abstractNum>
  <w:abstractNum w:abstractNumId="13">
    <w:nsid w:val="BF72B14"/>
    <w:multiLevelType w:val="hybridMultilevel"/>
    <w:lvl w:ilvl="0">
      <w:lvlJc w:val="left"/>
      <w:lvlText w:val="●"/>
      <w:numFmt w:val="bullet"/>
      <w:start w:val="1"/>
    </w:lvl>
  </w:abstractNum>
  <w:abstractNum w:abstractNumId="14">
    <w:nsid w:val="11447B73"/>
    <w:multiLevelType w:val="hybridMultilevel"/>
    <w:lvl w:ilvl="0">
      <w:lvlJc w:val="left"/>
      <w:lvlText w:val="●"/>
      <w:numFmt w:val="bullet"/>
      <w:start w:val="1"/>
    </w:lvl>
  </w:abstractNum>
  <w:abstractNum w:abstractNumId="15">
    <w:nsid w:val="42963E5A"/>
    <w:multiLevelType w:val="hybridMultilevel"/>
    <w:lvl w:ilvl="0">
      <w:lvlJc w:val="left"/>
      <w:lvlText w:val="●"/>
      <w:numFmt w:val="bullet"/>
      <w:start w:val="1"/>
    </w:lvl>
  </w:abstractNum>
  <w:abstractNum w:abstractNumId="16">
    <w:nsid w:val="A0382C5"/>
    <w:multiLevelType w:val="hybridMultilevel"/>
    <w:lvl w:ilvl="0">
      <w:lvlJc w:val="left"/>
      <w:lvlText w:val="●"/>
      <w:numFmt w:val="bullet"/>
      <w:start w:val="1"/>
    </w:lvl>
  </w:abstractNum>
  <w:abstractNum w:abstractNumId="17">
    <w:nsid w:val="8F2B15E"/>
    <w:multiLevelType w:val="hybridMultilevel"/>
    <w:lvl w:ilvl="0">
      <w:lvlJc w:val="left"/>
      <w:lvlText w:val="●"/>
      <w:numFmt w:val="bullet"/>
      <w:start w:val="1"/>
    </w:lvl>
  </w:abstractNum>
  <w:abstractNum w:abstractNumId="18">
    <w:nsid w:val="1A32234B"/>
    <w:multiLevelType w:val="hybridMultilevel"/>
    <w:lvl w:ilvl="0">
      <w:lvlJc w:val="left"/>
      <w:lvlText w:val="●"/>
      <w:numFmt w:val="bullet"/>
      <w:start w:val="1"/>
    </w:lvl>
  </w:abstractNum>
  <w:abstractNum w:abstractNumId="19">
    <w:nsid w:val="3B0FD379"/>
    <w:multiLevelType w:val="hybridMultilevel"/>
    <w:lvl w:ilvl="0">
      <w:lvlJc w:val="left"/>
      <w:lvlText w:val="●"/>
      <w:numFmt w:val="bullet"/>
      <w:start w:val="1"/>
    </w:lvl>
  </w:abstractNum>
  <w:abstractNum w:abstractNumId="20">
    <w:nsid w:val="68EB2F63"/>
    <w:multiLevelType w:val="hybridMultilevel"/>
    <w:lvl w:ilvl="0">
      <w:lvlJc w:val="left"/>
      <w:lvlText w:val="●"/>
      <w:numFmt w:val="bullet"/>
      <w:start w:val="1"/>
    </w:lvl>
  </w:abstractNum>
  <w:abstractNum w:abstractNumId="21">
    <w:nsid w:val="4962813B"/>
    <w:multiLevelType w:val="hybridMultilevel"/>
    <w:lvl w:ilvl="0">
      <w:lvlJc w:val="left"/>
      <w:lvlText w:val="·"/>
      <w:numFmt w:val="bullet"/>
      <w:start w:val="1"/>
    </w:lvl>
  </w:abstractNum>
  <w:abstractNum w:abstractNumId="22">
    <w:nsid w:val="60B6DF70"/>
    <w:multiLevelType w:val="hybridMultilevel"/>
    <w:lvl w:ilvl="0">
      <w:lvlJc w:val="left"/>
      <w:lvlText w:val="·"/>
      <w:numFmt w:val="bullet"/>
      <w:start w:val="1"/>
    </w:lvl>
  </w:abstractNum>
  <w:abstractNum w:abstractNumId="23">
    <w:nsid w:val="6A5EE64"/>
    <w:multiLevelType w:val="hybridMultilevel"/>
    <w:lvl w:ilvl="0">
      <w:lvlJc w:val="left"/>
      <w:lvlText w:val="●"/>
      <w:numFmt w:val="bullet"/>
      <w:start w:val="1"/>
    </w:lvl>
  </w:abstractNum>
  <w:abstractNum w:abstractNumId="24">
    <w:nsid w:val="14330624"/>
    <w:multiLevelType w:val="hybridMultilevel"/>
    <w:lvl w:ilvl="0">
      <w:lvlJc w:val="left"/>
      <w:lvlText w:val="*"/>
      <w:numFmt w:val="bullet"/>
      <w:start w:val="1"/>
    </w:lvl>
  </w:abstractNum>
  <w:abstractNum w:abstractNumId="25">
    <w:nsid w:val="7FFFCA11"/>
    <w:multiLevelType w:val="hybridMultilevel"/>
    <w:lvl w:ilvl="0">
      <w:lvlJc w:val="left"/>
      <w:lvlText w:val="(%1)"/>
      <w:numFmt w:val="decimal"/>
      <w:start w:val="1"/>
    </w:lvl>
  </w:abstractNum>
  <w:abstractNum w:abstractNumId="26">
    <w:nsid w:val="1A27709E"/>
    <w:multiLevelType w:val="hybridMultilevel"/>
    <w:lvl w:ilvl="0">
      <w:lvlJc w:val="left"/>
      <w:lvlText w:val="*"/>
      <w:numFmt w:val="bullet"/>
      <w:start w:val="1"/>
    </w:lvl>
  </w:abstractNum>
  <w:abstractNum w:abstractNumId="27">
    <w:nsid w:val="71EA1109"/>
    <w:multiLevelType w:val="hybridMultilevel"/>
    <w:lvl w:ilvl="0">
      <w:lvlJc w:val="left"/>
      <w:lvlText w:val="*"/>
      <w:numFmt w:val="bullet"/>
      <w:start w:val="1"/>
    </w:lvl>
  </w:abstractNum>
  <w:abstractNum w:abstractNumId="28">
    <w:nsid w:val="100F59DC"/>
    <w:multiLevelType w:val="hybridMultilevel"/>
    <w:lvl w:ilvl="0">
      <w:lvlJc w:val="left"/>
      <w:lvlText w:val="*"/>
      <w:numFmt w:val="bullet"/>
      <w:start w:val="1"/>
    </w:lvl>
  </w:abstractNum>
  <w:abstractNum w:abstractNumId="29">
    <w:nsid w:val="7FB7E0AA"/>
    <w:multiLevelType w:val="hybridMultilevel"/>
    <w:lvl w:ilvl="0">
      <w:lvlJc w:val="left"/>
      <w:lvlText w:val="*"/>
      <w:numFmt w:val="bullet"/>
      <w:start w:val="1"/>
    </w:lvl>
  </w:abstractNum>
  <w:abstractNum w:abstractNumId="30">
    <w:nsid w:val="6EB5BD4"/>
    <w:multiLevelType w:val="hybridMultilevel"/>
    <w:lvl w:ilvl="0">
      <w:lvlJc w:val="left"/>
      <w:lvlText w:val="*"/>
      <w:numFmt w:val="bullet"/>
      <w:start w:val="1"/>
    </w:lvl>
  </w:abstractNum>
  <w:abstractNum w:abstractNumId="31">
    <w:nsid w:val="6F6DD9AC"/>
    <w:multiLevelType w:val="hybridMultilevel"/>
    <w:lvl w:ilvl="0">
      <w:lvlJc w:val="left"/>
      <w:lvlText w:val="(%1)"/>
      <w:numFmt w:val="decimal"/>
      <w:start w:val="1"/>
    </w:lvl>
  </w:abstractNum>
  <w:abstractNum w:abstractNumId="32">
    <w:nsid w:val="94211F2"/>
    <w:multiLevelType w:val="hybridMultilevel"/>
    <w:lvl w:ilvl="0">
      <w:lvlJc w:val="left"/>
      <w:lvlText w:val="(%1)"/>
      <w:numFmt w:val="decimal"/>
      <w:start w:val="2"/>
    </w:lvl>
  </w:abstractNum>
  <w:abstractNum w:abstractNumId="33">
    <w:nsid w:val="885E1B"/>
    <w:multiLevelType w:val="hybridMultilevel"/>
    <w:lvl w:ilvl="0">
      <w:lvlJc w:val="left"/>
      <w:lvlText w:val="*"/>
      <w:numFmt w:val="bullet"/>
      <w:start w:val="1"/>
    </w:lvl>
  </w:abstractNum>
  <w:abstractNum w:abstractNumId="34">
    <w:nsid w:val="76272110"/>
    <w:multiLevelType w:val="hybridMultilevel"/>
    <w:lvl w:ilvl="0">
      <w:lvlJc w:val="left"/>
      <w:lvlText w:val="*"/>
      <w:numFmt w:val="bullet"/>
      <w:start w:val="1"/>
    </w:lvl>
  </w:abstractNum>
  <w:abstractNum w:abstractNumId="35">
    <w:nsid w:val="4C04A8AF"/>
    <w:multiLevelType w:val="hybridMultilevel"/>
    <w:lvl w:ilvl="0">
      <w:lvlJc w:val="left"/>
      <w:lvlText w:val="*"/>
      <w:numFmt w:val="bullet"/>
      <w:start w:val="1"/>
    </w:lvl>
  </w:abstractNum>
  <w:abstractNum w:abstractNumId="36">
    <w:nsid w:val="1716703B"/>
    <w:multiLevelType w:val="hybridMultilevel"/>
    <w:lvl w:ilvl="0">
      <w:lvlJc w:val="left"/>
      <w:lvlText w:val="*"/>
      <w:numFmt w:val="bullet"/>
      <w:start w:val="1"/>
    </w:lvl>
  </w:abstractNum>
  <w:abstractNum w:abstractNumId="37">
    <w:nsid w:val="14E17E33"/>
    <w:multiLevelType w:val="hybridMultilevel"/>
    <w:lvl w:ilvl="0">
      <w:lvlJc w:val="left"/>
      <w:lvlText w:val="*"/>
      <w:numFmt w:val="bullet"/>
      <w:start w:val="1"/>
    </w:lvl>
  </w:abstractNum>
  <w:abstractNum w:abstractNumId="38">
    <w:nsid w:val="3222E7CD"/>
    <w:multiLevelType w:val="hybridMultilevel"/>
    <w:lvl w:ilvl="0">
      <w:lvlJc w:val="left"/>
      <w:lvlText w:val="*"/>
      <w:numFmt w:val="bullet"/>
      <w:start w:val="1"/>
    </w:lvl>
  </w:abstractNum>
  <w:abstractNum w:abstractNumId="39">
    <w:nsid w:val="74DE0EE3"/>
    <w:multiLevelType w:val="hybridMultilevel"/>
    <w:lvl w:ilvl="0">
      <w:lvlJc w:val="left"/>
      <w:lvlText w:val="●"/>
      <w:numFmt w:val="bullet"/>
      <w:start w:val="1"/>
    </w:lvl>
  </w:abstractNum>
  <w:abstractNum w:abstractNumId="40">
    <w:nsid w:val="68EBC550"/>
    <w:multiLevelType w:val="hybridMultilevel"/>
    <w:lvl w:ilvl="0">
      <w:lvlJc w:val="left"/>
      <w:lvlText w:val="●"/>
      <w:numFmt w:val="bullet"/>
      <w:start w:val="1"/>
    </w:lvl>
  </w:abstractNum>
  <w:abstractNum w:abstractNumId="41">
    <w:nsid w:val="2DF6D648"/>
    <w:multiLevelType w:val="hybridMultilevel"/>
    <w:lvl w:ilvl="0">
      <w:lvlJc w:val="left"/>
      <w:lvlText w:val="(%1)"/>
      <w:numFmt w:val="decimal"/>
      <w:start w:val="1"/>
    </w:lvl>
  </w:abstractNum>
  <w:abstractNum w:abstractNumId="42">
    <w:nsid w:val="46B7D447"/>
    <w:multiLevelType w:val="hybridMultilevel"/>
    <w:lvl w:ilvl="0">
      <w:lvlJc w:val="left"/>
      <w:lvlText w:val="●"/>
      <w:numFmt w:val="bullet"/>
      <w:start w:val="1"/>
    </w:lvl>
  </w:abstractNum>
  <w:abstractNum w:abstractNumId="43">
    <w:nsid w:val="4A2AC315"/>
    <w:multiLevelType w:val="hybridMultilevel"/>
    <w:lvl w:ilvl="0">
      <w:lvlJc w:val="left"/>
      <w:lvlText w:val="●"/>
      <w:numFmt w:val="bullet"/>
      <w:start w:val="1"/>
    </w:lvl>
  </w:abstractNum>
  <w:abstractNum w:abstractNumId="44">
    <w:nsid w:val="39EE015C"/>
    <w:multiLevelType w:val="hybridMultilevel"/>
    <w:lvl w:ilvl="0">
      <w:lvlJc w:val="left"/>
      <w:lvlText w:val="●"/>
      <w:numFmt w:val="bullet"/>
      <w:start w:val="1"/>
    </w:lvl>
  </w:abstractNum>
  <w:abstractNum w:abstractNumId="45">
    <w:nsid w:val="57FC4FBB"/>
    <w:multiLevelType w:val="hybridMultilevel"/>
    <w:lvl w:ilvl="0">
      <w:lvlJc w:val="left"/>
      <w:lvlText w:val="●"/>
      <w:numFmt w:val="bullet"/>
      <w:start w:val="1"/>
    </w:lvl>
  </w:abstractNum>
  <w:abstractNum w:abstractNumId="46">
    <w:nsid w:val="CC1016F"/>
    <w:multiLevelType w:val="hybridMultilevel"/>
    <w:lvl w:ilvl="0">
      <w:lvlJc w:val="left"/>
      <w:lvlText w:val="●"/>
      <w:numFmt w:val="bullet"/>
      <w:start w:val="1"/>
    </w:lvl>
  </w:abstractNum>
  <w:abstractNum w:abstractNumId="47">
    <w:nsid w:val="43F18422"/>
    <w:multiLevelType w:val="hybridMultilevel"/>
    <w:lvl w:ilvl="0">
      <w:lvlJc w:val="left"/>
      <w:lvlText w:val="(%1)"/>
      <w:numFmt w:val="decimal"/>
      <w:start w:val="1"/>
    </w:lvl>
  </w:abstractNum>
  <w:abstractNum w:abstractNumId="48">
    <w:nsid w:val="60EF0119"/>
    <w:multiLevelType w:val="hybridMultilevel"/>
    <w:lvl w:ilvl="0">
      <w:lvlJc w:val="left"/>
      <w:lvlText w:val="(%1)"/>
      <w:numFmt w:val="decimal"/>
      <w:start w:val="2"/>
    </w:lvl>
  </w:abstractNum>
  <w:abstractNum w:abstractNumId="49">
    <w:nsid w:val="26F324BA"/>
    <w:multiLevelType w:val="hybridMultilevel"/>
    <w:lvl w:ilvl="0">
      <w:lvlJc w:val="left"/>
      <w:lvlText w:val="(%1)"/>
      <w:numFmt w:val="decimal"/>
      <w:start w:val="1"/>
    </w:lvl>
  </w:abstractNum>
  <w:abstractNum w:abstractNumId="50">
    <w:nsid w:val="7F01579B"/>
    <w:multiLevelType w:val="hybridMultilevel"/>
    <w:lvl w:ilvl="0">
      <w:lvlJc w:val="left"/>
      <w:lvlText w:val="(%1)"/>
      <w:numFmt w:val="decimal"/>
      <w:start w:val="1"/>
    </w:lvl>
  </w:abstractNum>
  <w:abstractNum w:abstractNumId="51">
    <w:nsid w:val="49DA307D"/>
    <w:multiLevelType w:val="hybridMultilevel"/>
    <w:lvl w:ilvl="0">
      <w:lvlJc w:val="left"/>
      <w:lvlText w:val="(%1)"/>
      <w:numFmt w:val="decimal"/>
      <w:start w:val="5"/>
    </w:lvl>
  </w:abstractNum>
  <w:abstractNum w:abstractNumId="52">
    <w:nsid w:val="7055A5F5"/>
    <w:multiLevelType w:val="hybridMultilevel"/>
    <w:lvl w:ilvl="0">
      <w:lvlJc w:val="left"/>
      <w:lvlText w:val="●"/>
      <w:numFmt w:val="bullet"/>
      <w:start w:val="1"/>
    </w:lvl>
  </w:abstractNum>
  <w:abstractNum w:abstractNumId="53">
    <w:nsid w:val="5FB8370B"/>
    <w:multiLevelType w:val="hybridMultilevel"/>
    <w:lvl w:ilvl="0">
      <w:lvlJc w:val="left"/>
      <w:lvlText w:val="●"/>
      <w:numFmt w:val="bullet"/>
      <w:start w:val="1"/>
    </w:lvl>
  </w:abstractNum>
  <w:abstractNum w:abstractNumId="54">
    <w:nsid w:val="50801EE1"/>
    <w:multiLevelType w:val="hybridMultilevel"/>
    <w:lvl w:ilvl="0">
      <w:lvlJc w:val="left"/>
      <w:lvlText w:val="●"/>
      <w:numFmt w:val="bullet"/>
      <w:start w:val="1"/>
    </w:lvl>
  </w:abstractNum>
  <w:abstractNum w:abstractNumId="55">
    <w:nsid w:val="488AC1A"/>
    <w:multiLevelType w:val="hybridMultilevel"/>
    <w:lvl w:ilvl="0">
      <w:lvlJc w:val="left"/>
      <w:lvlText w:val="(%1)"/>
      <w:numFmt w:val="decimal"/>
      <w:start w:val="1"/>
    </w:lvl>
    <w:lvl w:ilvl="1">
      <w:lvlJc w:val="left"/>
      <w:lvlText w:val="(%2)"/>
      <w:numFmt w:val="lowerRoman"/>
      <w:start w:val="2"/>
    </w:lvl>
  </w:abstractNum>
  <w:abstractNum w:abstractNumId="56">
    <w:nsid w:val="5FB8011C"/>
    <w:multiLevelType w:val="hybridMultilevel"/>
    <w:lvl w:ilvl="0">
      <w:lvlJc w:val="left"/>
      <w:lvlText w:val="(%1)"/>
      <w:numFmt w:val="decimal"/>
      <w:start w:val="7"/>
    </w:lvl>
  </w:abstractNum>
  <w:abstractNum w:abstractNumId="57">
    <w:nsid w:val="6AA78F7F"/>
    <w:multiLevelType w:val="hybridMultilevel"/>
    <w:lvl w:ilvl="0">
      <w:lvlJc w:val="left"/>
      <w:lvlText w:val="*"/>
      <w:numFmt w:val="bullet"/>
      <w:start w:val="1"/>
    </w:lvl>
  </w:abstractNum>
  <w:abstractNum w:abstractNumId="58">
    <w:nsid w:val="7672BD23"/>
    <w:multiLevelType w:val="hybridMultilevel"/>
    <w:lvl w:ilvl="0">
      <w:lvlJc w:val="left"/>
      <w:lvlText w:val="(%1)"/>
      <w:numFmt w:val="decimal"/>
      <w:start w:val="1"/>
    </w:lvl>
  </w:abstractNum>
  <w:abstractNum w:abstractNumId="59">
    <w:nsid w:val="6FC75AF8"/>
    <w:multiLevelType w:val="hybridMultilevel"/>
    <w:lvl w:ilvl="0">
      <w:lvlJc w:val="left"/>
      <w:lvlText w:val="●"/>
      <w:numFmt w:val="bullet"/>
      <w:start w:val="1"/>
    </w:lvl>
  </w:abstractNum>
  <w:abstractNum w:abstractNumId="60">
    <w:nsid w:val="6A5F7029"/>
    <w:multiLevelType w:val="hybridMultilevel"/>
    <w:lvl w:ilvl="0">
      <w:lvlJc w:val="left"/>
      <w:lvlText w:val="●"/>
      <w:numFmt w:val="bullet"/>
      <w:start w:val="1"/>
    </w:lvl>
  </w:abstractNum>
  <w:abstractNum w:abstractNumId="61">
    <w:nsid w:val="7D5E18F8"/>
    <w:multiLevelType w:val="hybridMultilevel"/>
    <w:lvl w:ilvl="0">
      <w:lvlJc w:val="left"/>
      <w:lvlText w:val="●"/>
      <w:numFmt w:val="bullet"/>
      <w:start w:val="1"/>
    </w:lvl>
  </w:abstractNum>
  <w:abstractNum w:abstractNumId="62">
    <w:nsid w:val="5F3534A4"/>
    <w:multiLevelType w:val="hybridMultilevel"/>
    <w:lvl w:ilvl="0">
      <w:lvlJc w:val="left"/>
      <w:lvlText w:val="●"/>
      <w:numFmt w:val="bullet"/>
      <w:start w:val="1"/>
    </w:lvl>
  </w:abstractNum>
  <w:abstractNum w:abstractNumId="63">
    <w:nsid w:val="73A1821B"/>
    <w:multiLevelType w:val="hybridMultilevel"/>
    <w:lvl w:ilvl="0">
      <w:lvlJc w:val="left"/>
      <w:lvlText w:val="●"/>
      <w:numFmt w:val="bullet"/>
      <w:start w:val="1"/>
    </w:lvl>
  </w:abstractNum>
  <w:abstractNum w:abstractNumId="64">
    <w:nsid w:val="7DE67713"/>
    <w:multiLevelType w:val="hybridMultilevel"/>
    <w:lvl w:ilvl="0">
      <w:lvlJc w:val="left"/>
      <w:lvlText w:val="●"/>
      <w:numFmt w:val="bullet"/>
      <w:start w:val="1"/>
    </w:lvl>
  </w:abstractNum>
  <w:abstractNum w:abstractNumId="65">
    <w:nsid w:val="555C55B5"/>
    <w:multiLevelType w:val="hybridMultilevel"/>
    <w:lvl w:ilvl="0">
      <w:lvlJc w:val="left"/>
      <w:lvlText w:val="●"/>
      <w:numFmt w:val="bullet"/>
      <w:start w:val="1"/>
    </w:lvl>
  </w:abstractNum>
  <w:abstractNum w:abstractNumId="66">
    <w:nsid w:val="3FA62ACA"/>
    <w:multiLevelType w:val="hybridMultilevel"/>
    <w:lvl w:ilvl="0">
      <w:lvlJc w:val="left"/>
      <w:lvlText w:val="●"/>
      <w:numFmt w:val="bullet"/>
      <w:start w:val="1"/>
    </w:lvl>
  </w:abstractNum>
  <w:abstractNum w:abstractNumId="67">
    <w:nsid w:val="14FCE74E"/>
    <w:multiLevelType w:val="hybridMultilevel"/>
    <w:lvl w:ilvl="0">
      <w:lvlJc w:val="left"/>
      <w:lvlText w:val="(%1)"/>
      <w:numFmt w:val="decimal"/>
      <w:start w:val="1"/>
    </w:lvl>
  </w:abstractNum>
  <w:abstractNum w:abstractNumId="68">
    <w:nsid w:val="6A3DD3E8"/>
    <w:multiLevelType w:val="hybridMultilevel"/>
    <w:lvl w:ilvl="0">
      <w:lvlJc w:val="left"/>
      <w:lvlText w:val="(%1)"/>
      <w:numFmt w:val="decimal"/>
      <w:start w:val="1"/>
    </w:lvl>
  </w:abstractNum>
  <w:abstractNum w:abstractNumId="69">
    <w:nsid w:val="71C91298"/>
    <w:multiLevelType w:val="hybridMultilevel"/>
    <w:lvl w:ilvl="0">
      <w:lvlJc w:val="left"/>
      <w:lvlText w:val="(%1)"/>
      <w:numFmt w:val="decimal"/>
      <w:start w:val="1"/>
    </w:lvl>
  </w:abstractNum>
  <w:abstractNum w:abstractNumId="70">
    <w:nsid w:val="9DAF632"/>
    <w:multiLevelType w:val="hybridMultilevel"/>
    <w:lvl w:ilvl="0">
      <w:lvlJc w:val="left"/>
      <w:lvlText w:val="(%1)"/>
      <w:numFmt w:val="decimal"/>
      <w:start w:val="4"/>
    </w:lvl>
  </w:abstractNum>
  <w:abstractNum w:abstractNumId="71">
    <w:nsid w:val="53299938"/>
    <w:multiLevelType w:val="hybridMultilevel"/>
    <w:lvl w:ilvl="0">
      <w:lvlJc w:val="left"/>
      <w:lvlText w:val="(%1)"/>
      <w:numFmt w:val="decimal"/>
      <w:start w:val="1"/>
    </w:lvl>
  </w:abstractNum>
  <w:abstractNum w:abstractNumId="72">
    <w:nsid w:val="1FBFE8E0"/>
    <w:multiLevelType w:val="hybridMultilevel"/>
    <w:lvl w:ilvl="0">
      <w:lvlJc w:val="left"/>
      <w:lvlText w:val="(%1)"/>
      <w:numFmt w:val="decimal"/>
      <w:start w:val="1"/>
    </w:lvl>
  </w:abstractNum>
  <w:abstractNum w:abstractNumId="73">
    <w:nsid w:val="5092CA79"/>
    <w:multiLevelType w:val="hybridMultilevel"/>
    <w:lvl w:ilvl="0">
      <w:lvlJc w:val="left"/>
      <w:lvlText w:val="(%1)"/>
      <w:numFmt w:val="decimal"/>
      <w:start w:val="1"/>
    </w:lvl>
  </w:abstractNum>
  <w:abstractNum w:abstractNumId="74">
    <w:nsid w:val="1D545C4D"/>
    <w:multiLevelType w:val="hybridMultilevel"/>
    <w:lvl w:ilvl="0">
      <w:lvlJc w:val="left"/>
      <w:lvlText w:val="(%1)"/>
      <w:numFmt w:val="decimal"/>
      <w:start w:val="1"/>
    </w:lvl>
  </w:abstractNum>
  <w:abstractNum w:abstractNumId="75">
    <w:nsid w:val="59ADEA3D"/>
    <w:multiLevelType w:val="hybridMultilevel"/>
    <w:lvl w:ilvl="0">
      <w:lvlJc w:val="left"/>
      <w:lvlText w:val="(%1)"/>
      <w:numFmt w:val="decimal"/>
      <w:start w:val="1"/>
    </w:lvl>
  </w:abstractNum>
  <w:abstractNum w:abstractNumId="76">
    <w:nsid w:val="288F1A34"/>
    <w:multiLevelType w:val="hybridMultilevel"/>
    <w:lvl w:ilvl="0">
      <w:lvlJc w:val="left"/>
      <w:lvlText w:val="(%1)"/>
      <w:numFmt w:val="lowerRoman"/>
      <w:start w:val="2"/>
    </w:lvl>
  </w:abstractNum>
  <w:abstractNum w:abstractNumId="77">
    <w:nsid w:val="2A155DBC"/>
    <w:multiLevelType w:val="hybridMultilevel"/>
    <w:lvl w:ilvl="0">
      <w:lvlJc w:val="left"/>
      <w:lvlText w:val="(%1)"/>
      <w:numFmt w:val="decimal"/>
      <w:start w:val="1"/>
    </w:lvl>
  </w:abstractNum>
  <w:abstractNum w:abstractNumId="78">
    <w:nsid w:val="1D9F6E5F"/>
    <w:multiLevelType w:val="hybridMultilevel"/>
    <w:lvl w:ilvl="0">
      <w:lvlJc w:val="left"/>
      <w:lvlText w:val="(%1)"/>
      <w:numFmt w:val="decimal"/>
      <w:start w:val="1"/>
    </w:lvl>
  </w:abstractNum>
  <w:abstractNum w:abstractNumId="79">
    <w:nsid w:val="97E1B4E"/>
    <w:multiLevelType w:val="hybridMultilevel"/>
    <w:lvl w:ilvl="0">
      <w:lvlJc w:val="left"/>
      <w:lvlText w:val="(%1)"/>
      <w:numFmt w:val="lowerRoman"/>
      <w:start w:val="2"/>
    </w:lvl>
  </w:abstractNum>
  <w:abstractNum w:abstractNumId="80">
    <w:nsid w:val="51088277"/>
    <w:multiLevelType w:val="hybridMultilevel"/>
    <w:lvl w:ilvl="0">
      <w:lvlJc w:val="left"/>
      <w:lvlText w:val="(%1)"/>
      <w:numFmt w:val="decimal"/>
      <w:start w:val="1"/>
    </w:lvl>
  </w:abstractNum>
  <w:abstractNum w:abstractNumId="81">
    <w:nsid w:val="1CA0C5FA"/>
    <w:multiLevelType w:val="hybridMultilevel"/>
    <w:lvl w:ilvl="0">
      <w:lvlJc w:val="left"/>
      <w:lvlText w:val="$"/>
      <w:numFmt w:val="bullet"/>
      <w:start w:val="1"/>
    </w:lvl>
  </w:abstractNum>
  <w:abstractNum w:abstractNumId="82">
    <w:nsid w:val="53584BCB"/>
    <w:multiLevelType w:val="hybridMultilevel"/>
    <w:lvl w:ilvl="0">
      <w:lvlJc w:val="left"/>
      <w:lvlText w:val="(%1)"/>
      <w:numFmt w:val="decimal"/>
      <w:start w:val="1"/>
    </w:lvl>
  </w:abstractNum>
  <w:abstractNum w:abstractNumId="83">
    <w:nsid w:val="415E286C"/>
    <w:multiLevelType w:val="hybridMultilevel"/>
    <w:lvl w:ilvl="0">
      <w:lvlJc w:val="left"/>
      <w:lvlText w:val="$"/>
      <w:numFmt w:val="bullet"/>
      <w:start w:val="1"/>
    </w:lvl>
  </w:abstractNum>
  <w:abstractNum w:abstractNumId="84">
    <w:nsid w:val="7C58FD05"/>
    <w:multiLevelType w:val="hybridMultilevel"/>
    <w:lvl w:ilvl="0">
      <w:lvlJc w:val="left"/>
      <w:lvlText w:val="(%1)"/>
      <w:numFmt w:val="decimal"/>
      <w:start w:val="1"/>
    </w:lvl>
  </w:abstractNum>
  <w:abstractNum w:abstractNumId="85">
    <w:nsid w:val="23D86AAC"/>
    <w:multiLevelType w:val="hybridMultilevel"/>
    <w:lvl w:ilvl="0">
      <w:lvlJc w:val="left"/>
      <w:lvlText w:val="(%1)"/>
      <w:numFmt w:val="decimal"/>
      <w:start w:val="1"/>
    </w:lvl>
  </w:abstractNum>
  <w:abstractNum w:abstractNumId="86">
    <w:nsid w:val="45E6D486"/>
    <w:multiLevelType w:val="hybridMultilevel"/>
    <w:lvl w:ilvl="0">
      <w:lvlJc w:val="left"/>
      <w:lvlText w:val="(%1)"/>
      <w:numFmt w:val="decimal"/>
      <w:start w:val="1"/>
    </w:lvl>
  </w:abstractNum>
  <w:abstractNum w:abstractNumId="87">
    <w:nsid w:val="5C10FE21"/>
    <w:multiLevelType w:val="hybridMultilevel"/>
    <w:lvl w:ilvl="0">
      <w:lvlJc w:val="left"/>
      <w:lvlText w:val="(%1)"/>
      <w:numFmt w:val="decimal"/>
      <w:start w:val="4"/>
    </w:lvl>
  </w:abstractNum>
  <w:abstractNum w:abstractNumId="88">
    <w:nsid w:val="E7FFA2B"/>
    <w:multiLevelType w:val="hybridMultilevel"/>
    <w:lvl w:ilvl="0">
      <w:lvlJc w:val="left"/>
      <w:lvlText w:val="(%1)"/>
      <w:numFmt w:val="decimal"/>
      <w:start w:val="1"/>
    </w:lvl>
  </w:abstractNum>
  <w:abstractNum w:abstractNumId="89">
    <w:nsid w:val="3C5991AA"/>
    <w:multiLevelType w:val="hybridMultilevel"/>
    <w:lvl w:ilvl="0">
      <w:lvlJc w:val="left"/>
      <w:lvlText w:val="●"/>
      <w:numFmt w:val="bullet"/>
      <w:start w:val="1"/>
    </w:lvl>
  </w:abstractNum>
  <w:abstractNum w:abstractNumId="90">
    <w:nsid w:val="4BD8591A"/>
    <w:multiLevelType w:val="hybridMultilevel"/>
    <w:lvl w:ilvl="0">
      <w:lvlJc w:val="left"/>
      <w:lvlText w:val="●"/>
      <w:numFmt w:val="bullet"/>
      <w:start w:val="1"/>
    </w:lvl>
  </w:abstractNum>
  <w:abstractNum w:abstractNumId="91">
    <w:nsid w:val="78DF6A55"/>
    <w:multiLevelType w:val="hybridMultilevel"/>
    <w:lvl w:ilvl="0">
      <w:lvlJc w:val="left"/>
      <w:lvlText w:val="●"/>
      <w:numFmt w:val="bullet"/>
      <w:start w:val="1"/>
    </w:lvl>
  </w:abstractNum>
  <w:abstractNum w:abstractNumId="92">
    <w:nsid w:val="39B7AAA2"/>
    <w:multiLevelType w:val="hybridMultilevel"/>
    <w:lvl w:ilvl="0">
      <w:lvlJc w:val="left"/>
      <w:lvlText w:val="(%1)"/>
      <w:numFmt w:val="decimal"/>
      <w:start w:val="1"/>
    </w:lvl>
  </w:abstractNum>
  <w:abstractNum w:abstractNumId="93">
    <w:nsid w:val="2B0D8DBE"/>
    <w:multiLevelType w:val="hybridMultilevel"/>
    <w:lvl w:ilvl="0">
      <w:lvlJc w:val="left"/>
      <w:lvlText w:val="(%1)"/>
      <w:numFmt w:val="decimal"/>
      <w:start w:val="1"/>
    </w:lvl>
  </w:abstractNum>
  <w:abstractNum w:abstractNumId="94">
    <w:nsid w:val="6C80EC70"/>
    <w:multiLevelType w:val="hybridMultilevel"/>
    <w:lvl w:ilvl="0">
      <w:lvlJc w:val="left"/>
      <w:lvlText w:val="(%1)"/>
      <w:numFmt w:val="decimal"/>
      <w:start w:val="1"/>
    </w:lvl>
  </w:abstractNum>
  <w:abstractNum w:abstractNumId="95">
    <w:nsid w:val="379E21B5"/>
    <w:multiLevelType w:val="hybridMultilevel"/>
    <w:lvl w:ilvl="0">
      <w:lvlJc w:val="left"/>
      <w:lvlText w:val="(%1)"/>
      <w:numFmt w:val="decimal"/>
      <w:start w:val="1"/>
    </w:lvl>
  </w:abstractNum>
  <w:abstractNum w:abstractNumId="96">
    <w:nsid w:val="69E373"/>
    <w:multiLevelType w:val="hybridMultilevel"/>
    <w:lvl w:ilvl="0">
      <w:lvlJc w:val="left"/>
      <w:lvlText w:val="(%1)"/>
      <w:numFmt w:val="decimal"/>
      <w:start w:val="1"/>
    </w:lvl>
  </w:abstractNum>
  <w:abstractNum w:abstractNumId="97">
    <w:nsid w:val="2C27173B"/>
    <w:multiLevelType w:val="hybridMultilevel"/>
    <w:lvl w:ilvl="0">
      <w:lvlJc w:val="left"/>
      <w:lvlText w:val="(%1)"/>
      <w:numFmt w:val="decimal"/>
      <w:start w:val="1"/>
    </w:lvl>
  </w:abstractNum>
  <w:abstractNum w:abstractNumId="98">
    <w:nsid w:val="4C9B0904"/>
    <w:multiLevelType w:val="hybridMultilevel"/>
    <w:lvl w:ilvl="0">
      <w:lvlJc w:val="left"/>
      <w:lvlText w:val="(%1)"/>
      <w:numFmt w:val="lowerLetter"/>
      <w:start w:val="1"/>
    </w:lvl>
  </w:abstractNum>
  <w:abstractNum w:abstractNumId="99">
    <w:nsid w:val="6AA7B75C"/>
    <w:multiLevelType w:val="hybridMultilevel"/>
    <w:lvl w:ilvl="0">
      <w:lvlJc w:val="left"/>
      <w:lvlText w:val="(%1)"/>
      <w:numFmt w:val="lowerRoman"/>
      <w:start w:val="1"/>
    </w:lvl>
  </w:abstractNum>
  <w:abstractNum w:abstractNumId="100">
    <w:nsid w:val="1DF029D3"/>
    <w:multiLevelType w:val="hybridMultilevel"/>
    <w:lvl w:ilvl="0">
      <w:lvlJc w:val="left"/>
      <w:lvlText w:val="(%1)"/>
      <w:numFmt w:val="decimal"/>
      <w:start w:val="1"/>
    </w:lvl>
  </w:abstractNum>
  <w:abstractNum w:abstractNumId="101">
    <w:nsid w:val="5675FF36"/>
    <w:multiLevelType w:val="hybridMultilevel"/>
    <w:lvl w:ilvl="0">
      <w:lvlJc w:val="left"/>
      <w:lvlText w:val="(%1)"/>
      <w:numFmt w:val="decimal"/>
      <w:start w:val="1"/>
    </w:lvl>
  </w:abstractNum>
  <w:abstractNum w:abstractNumId="102">
    <w:nsid w:val="3DD15094"/>
    <w:multiLevelType w:val="hybridMultilevel"/>
    <w:lvl w:ilvl="0">
      <w:lvlJc w:val="left"/>
      <w:lvlText w:val="(%1)"/>
      <w:numFmt w:val="lowerRoman"/>
      <w:start w:val="2"/>
    </w:lvl>
  </w:abstractNum>
  <w:abstractNum w:abstractNumId="103">
    <w:nsid w:val="3DB012B3"/>
    <w:multiLevelType w:val="hybridMultilevel"/>
    <w:lvl w:ilvl="0">
      <w:lvlJc w:val="left"/>
      <w:lvlText w:val="(%1)"/>
      <w:numFmt w:val="decimal"/>
      <w:start w:val="1"/>
    </w:lvl>
  </w:abstractNum>
  <w:abstractNum w:abstractNumId="104">
    <w:nsid w:val="2708C9AF"/>
    <w:multiLevelType w:val="hybridMultilevel"/>
    <w:lvl w:ilvl="0">
      <w:lvlJc w:val="left"/>
      <w:lvlText w:val="(%1)"/>
      <w:numFmt w:val="decimal"/>
      <w:start w:val="2"/>
    </w:lvl>
  </w:abstractNum>
  <w:abstractNum w:abstractNumId="105">
    <w:nsid w:val="5B25ACE2"/>
    <w:multiLevelType w:val="hybridMultilevel"/>
    <w:lvl w:ilvl="0">
      <w:lvlJc w:val="left"/>
      <w:lvlText w:val="(%1)"/>
      <w:numFmt w:val="decimal"/>
      <w:start w:val="1"/>
    </w:lvl>
  </w:abstractNum>
  <w:abstractNum w:abstractNumId="106">
    <w:nsid w:val="175DFCF0"/>
    <w:multiLevelType w:val="hybridMultilevel"/>
    <w:lvl w:ilvl="0">
      <w:lvlJc w:val="left"/>
      <w:lvlText w:val="(%1)"/>
      <w:numFmt w:val="decimal"/>
      <w:start w:val="1"/>
    </w:lvl>
  </w:abstractNum>
  <w:abstractNum w:abstractNumId="107">
    <w:nsid w:val="4F97E3E4"/>
    <w:multiLevelType w:val="hybridMultilevel"/>
    <w:lvl w:ilvl="0">
      <w:lvlJc w:val="left"/>
      <w:lvlText w:val="●"/>
      <w:numFmt w:val="bullet"/>
      <w:start w:val="1"/>
    </w:lvl>
  </w:abstractNum>
  <w:abstractNum w:abstractNumId="108">
    <w:nsid w:val="53B0A9E"/>
    <w:multiLevelType w:val="hybridMultilevel"/>
    <w:lvl w:ilvl="0">
      <w:lvlJc w:val="left"/>
      <w:lvlText w:val="●"/>
      <w:numFmt w:val="bullet"/>
      <w:start w:val="1"/>
    </w:lvl>
  </w:abstractNum>
  <w:abstractNum w:abstractNumId="109">
    <w:nsid w:val="34FD6B4F"/>
    <w:multiLevelType w:val="hybridMultilevel"/>
    <w:lvl w:ilvl="0">
      <w:lvlJc w:val="left"/>
      <w:lvlText w:val="$"/>
      <w:numFmt w:val="bullet"/>
      <w:start w:val="1"/>
    </w:lvl>
  </w:abstractNum>
  <w:abstractNum w:abstractNumId="110">
    <w:nsid w:val="5915FF32"/>
    <w:multiLevelType w:val="hybridMultilevel"/>
    <w:lvl w:ilvl="0">
      <w:lvlJc w:val="left"/>
      <w:lvlText w:val="$"/>
      <w:numFmt w:val="bullet"/>
      <w:start w:val="1"/>
    </w:lvl>
  </w:abstractNum>
  <w:abstractNum w:abstractNumId="111">
    <w:nsid w:val="56438D15"/>
    <w:multiLevelType w:val="hybridMultilevel"/>
    <w:lvl w:ilvl="0">
      <w:lvlJc w:val="left"/>
      <w:lvlText w:val="$"/>
      <w:numFmt w:val="bullet"/>
      <w:start w:val="1"/>
    </w:lvl>
  </w:abstractNum>
  <w:abstractNum w:abstractNumId="112">
    <w:nsid w:val="519E3149"/>
    <w:multiLevelType w:val="hybridMultilevel"/>
    <w:lvl w:ilvl="0">
      <w:lvlJc w:val="left"/>
      <w:lvlText w:val="$"/>
      <w:numFmt w:val="bullet"/>
      <w:start w:val="1"/>
    </w:lvl>
  </w:abstractNum>
  <w:abstractNum w:abstractNumId="113">
    <w:nsid w:val="2C6E4AFD"/>
    <w:multiLevelType w:val="hybridMultilevel"/>
    <w:lvl w:ilvl="0">
      <w:lvlJc w:val="left"/>
      <w:lvlText w:val="%1."/>
      <w:numFmt w:val="decimal"/>
      <w:start w:val="1"/>
    </w:lvl>
  </w:abstractNum>
  <w:abstractNum w:abstractNumId="114">
    <w:nsid w:val="17A1B582"/>
    <w:multiLevelType w:val="hybridMultilevel"/>
    <w:lvl w:ilvl="0">
      <w:lvlJc w:val="left"/>
      <w:lvlText w:val="%1."/>
      <w:numFmt w:val="decimal"/>
      <w:start w:val="2"/>
    </w:lvl>
  </w:abstractNum>
  <w:abstractNum w:abstractNumId="115">
    <w:nsid w:val="4DF72E4E"/>
    <w:multiLevelType w:val="hybridMultilevel"/>
    <w:lvl w:ilvl="0">
      <w:lvlJc w:val="left"/>
      <w:lvlText w:val="●"/>
      <w:numFmt w:val="bullet"/>
      <w:start w:val="1"/>
    </w:lvl>
  </w:abstractNum>
  <w:abstractNum w:abstractNumId="116">
    <w:nsid w:val="5046B5A9"/>
    <w:multiLevelType w:val="hybridMultilevel"/>
    <w:lvl w:ilvl="0">
      <w:lvlJc w:val="left"/>
      <w:lvlText w:val="%1."/>
      <w:numFmt w:val="decimal"/>
      <w:start w:val="3"/>
    </w:lvl>
  </w:abstractNum>
  <w:abstractNum w:abstractNumId="117">
    <w:nsid w:val="5D888A08"/>
    <w:multiLevelType w:val="hybridMultilevel"/>
    <w:lvl w:ilvl="0">
      <w:lvlJc w:val="left"/>
      <w:lvlText w:val="%1."/>
      <w:numFmt w:val="decimal"/>
      <w:start w:val="5"/>
    </w:lvl>
  </w:abstractNum>
  <w:abstractNum w:abstractNumId="118">
    <w:nsid w:val="2A082C70"/>
    <w:multiLevelType w:val="hybridMultilevel"/>
    <w:lvl w:ilvl="0">
      <w:lvlJc w:val="left"/>
      <w:lvlText w:val="%1."/>
      <w:numFmt w:val="decimal"/>
      <w:start w:val="6"/>
    </w:lvl>
  </w:abstractNum>
  <w:abstractNum w:abstractNumId="119">
    <w:nsid w:val="5EC6AFD4"/>
    <w:multiLevelType w:val="hybridMultilevel"/>
    <w:lvl w:ilvl="0">
      <w:lvlJc w:val="left"/>
      <w:lvlText w:val="%1."/>
      <w:numFmt w:val="decimal"/>
      <w:start w:val="8"/>
    </w:lvl>
  </w:abstractNum>
  <w:abstractNum w:abstractNumId="120">
    <w:nsid w:val="19E21BB2"/>
    <w:multiLevelType w:val="hybridMultilevel"/>
    <w:lvl w:ilvl="0">
      <w:lvlJc w:val="left"/>
      <w:lvlText w:val="%1."/>
      <w:numFmt w:val="decimal"/>
      <w:start w:val="9"/>
    </w:lvl>
  </w:abstractNum>
  <w:abstractNum w:abstractNumId="121">
    <w:nsid w:val="75E0858A"/>
    <w:multiLevelType w:val="hybridMultilevel"/>
    <w:lvl w:ilvl="0">
      <w:lvlJc w:val="left"/>
      <w:lvlText w:val="%1."/>
      <w:numFmt w:val="decimal"/>
      <w:start w:val="1"/>
    </w:lvl>
  </w:abstractNum>
  <w:abstractNum w:abstractNumId="122">
    <w:nsid w:val="57A61A29"/>
    <w:multiLevelType w:val="hybridMultilevel"/>
    <w:lvl w:ilvl="0">
      <w:lvlJc w:val="left"/>
      <w:lvlText w:val="%1."/>
      <w:numFmt w:val="decimal"/>
      <w:start w:val="2"/>
    </w:lvl>
  </w:abstractNum>
  <w:abstractNum w:abstractNumId="123">
    <w:nsid w:val="5399C654"/>
    <w:multiLevelType w:val="hybridMultilevel"/>
    <w:lvl w:ilvl="0">
      <w:lvlJc w:val="left"/>
      <w:lvlText w:val="*"/>
      <w:numFmt w:val="bullet"/>
      <w:start w:val="1"/>
    </w:lvl>
  </w:abstractNum>
  <w:abstractNum w:abstractNumId="124">
    <w:nsid w:val="20EE1348"/>
    <w:multiLevelType w:val="hybridMultilevel"/>
    <w:lvl w:ilvl="0">
      <w:lvlJc w:val="left"/>
      <w:lvlText w:val="*"/>
      <w:numFmt w:val="bullet"/>
      <w:start w:val="1"/>
    </w:lvl>
  </w:abstractNum>
  <w:abstractNum w:abstractNumId="125">
    <w:nsid w:val="4427069A"/>
    <w:multiLevelType w:val="hybridMultilevel"/>
    <w:lvl w:ilvl="0">
      <w:lvlJc w:val="left"/>
      <w:lvlText w:val="*"/>
      <w:numFmt w:val="bullet"/>
      <w:start w:val="1"/>
    </w:lvl>
  </w:abstractNum>
  <w:abstractNum w:abstractNumId="126">
    <w:nsid w:val="B37E80A"/>
    <w:multiLevelType w:val="hybridMultilevel"/>
    <w:lvl w:ilvl="0">
      <w:lvlJc w:val="left"/>
      <w:lvlText w:val="●"/>
      <w:numFmt w:val="bullet"/>
      <w:start w:val="1"/>
    </w:lvl>
  </w:abstractNum>
  <w:abstractNum w:abstractNumId="127">
    <w:nsid w:val="2157F6BC"/>
    <w:multiLevelType w:val="hybridMultilevel"/>
    <w:lvl w:ilvl="0">
      <w:lvlJc w:val="left"/>
      <w:lvlText w:val="%1."/>
      <w:numFmt w:val="decimal"/>
      <w:start w:val="3"/>
    </w:lvl>
  </w:abstractNum>
  <w:abstractNum w:abstractNumId="128">
    <w:nsid w:val="704E1DD5"/>
    <w:multiLevelType w:val="hybridMultilevel"/>
    <w:lvl w:ilvl="0">
      <w:lvlJc w:val="left"/>
      <w:lvlText w:val="%1."/>
      <w:numFmt w:val="decimal"/>
      <w:start w:val="5"/>
    </w:lvl>
  </w:abstractNum>
  <w:abstractNum w:abstractNumId="129">
    <w:nsid w:val="57D2F10E"/>
    <w:multiLevelType w:val="hybridMultilevel"/>
    <w:lvl w:ilvl="0">
      <w:lvlJc w:val="left"/>
      <w:lvlText w:val="●"/>
      <w:numFmt w:val="bullet"/>
      <w:start w:val="1"/>
    </w:lvl>
  </w:abstractNum>
  <w:abstractNum w:abstractNumId="130">
    <w:nsid w:val="BFFAE18"/>
    <w:multiLevelType w:val="hybridMultilevel"/>
    <w:lvl w:ilvl="0">
      <w:lvlJc w:val="left"/>
      <w:lvlText w:val="%1."/>
      <w:numFmt w:val="decimal"/>
      <w:start w:val="8"/>
    </w:lvl>
  </w:abstractNum>
  <w:abstractNum w:abstractNumId="131">
    <w:nsid w:val="E3E47A8"/>
    <w:multiLevelType w:val="hybridMultilevel"/>
    <w:lvl w:ilvl="0">
      <w:lvlJc w:val="left"/>
      <w:lvlText w:val="%1."/>
      <w:numFmt w:val="decimal"/>
      <w:start w:val="9"/>
    </w:lvl>
  </w:abstractNum>
  <w:abstractNum w:abstractNumId="132">
    <w:nsid w:val="2E48F044"/>
    <w:multiLevelType w:val="hybridMultilevel"/>
    <w:lvl w:ilvl="0">
      <w:lvlJc w:val="left"/>
      <w:lvlText w:val="●"/>
      <w:numFmt w:val="bullet"/>
      <w:start w:val="1"/>
    </w:lvl>
  </w:abstractNum>
  <w:abstractNum w:abstractNumId="133">
    <w:nsid w:val="49D0FEAC"/>
    <w:multiLevelType w:val="hybridMultilevel"/>
    <w:lvl w:ilvl="0">
      <w:lvlJc w:val="left"/>
      <w:lvlText w:val="%1."/>
      <w:numFmt w:val="decimal"/>
      <w:start w:val="1"/>
    </w:lvl>
  </w:abstractNum>
  <w:abstractNum w:abstractNumId="134">
    <w:nsid w:val="4BEE5A5B"/>
    <w:multiLevelType w:val="hybridMultilevel"/>
    <w:lvl w:ilvl="0">
      <w:lvlJc w:val="left"/>
      <w:lvlText w:val="(%1)"/>
      <w:numFmt w:val="lowerRoman"/>
      <w:start w:val="1"/>
    </w:lvl>
  </w:abstractNum>
  <w:abstractNum w:abstractNumId="135">
    <w:nsid w:val="5551B9F3"/>
    <w:multiLevelType w:val="hybridMultilevel"/>
    <w:lvl w:ilvl="0">
      <w:lvlJc w:val="left"/>
      <w:lvlText w:val="%1."/>
      <w:numFmt w:val="decimal"/>
      <w:start w:val="2"/>
    </w:lvl>
  </w:abstractNum>
  <w:abstractNum w:abstractNumId="136">
    <w:nsid w:val="24F6AB8E"/>
    <w:multiLevelType w:val="hybridMultilevel"/>
    <w:lvl w:ilvl="0">
      <w:lvlJc w:val="left"/>
      <w:lvlText w:val="%1."/>
      <w:numFmt w:val="decimal"/>
      <w:start w:val="4"/>
    </w:lvl>
  </w:abstractNum>
  <w:abstractNum w:abstractNumId="137">
    <w:nsid w:val="634C574C"/>
    <w:multiLevelType w:val="hybridMultilevel"/>
    <w:lvl w:ilvl="0">
      <w:lvlJc w:val="left"/>
      <w:lvlText w:val="%1."/>
      <w:numFmt w:val="upperLetter"/>
      <w:start w:val="5"/>
    </w:lvl>
  </w:abstractNum>
  <w:abstractNum w:abstractNumId="138">
    <w:nsid w:val="24E99DD7"/>
    <w:multiLevelType w:val="hybridMultilevel"/>
    <w:lvl w:ilvl="0">
      <w:lvlJc w:val="left"/>
      <w:lvlText w:val="%1."/>
      <w:numFmt w:val="upp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2026-06-01T17:09:08Z</dcterms:created>
  <dcterms:modified xsi:type="dcterms:W3CDTF">2026-06-01T17:09:08Z</dcterms:modified>
</cp:coreProperties>
</file>