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582405-424b3_sunpower.htm"/>
      <w:bookmarkStart w:id="1" w:name="ksea030582405424b3_sunpower"/>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333-293156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5</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14,625,610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50,760,218 Shares of Common Stock Issuable Upon Conversion of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July 10,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as amended by Post-Effective Amendment No. 1 (No. 333-293156). This prospectus supplement is being filed to update and supplement the information in the prospectus with the information contained in our Current Report on Form 8-K filed with the SEC on September 17,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offer and sale from time to time by the selling securityholders named in the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65,385,828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10,243,924 shares of common stock (the “</w:t>
      </w:r>
      <w:r>
        <w:rPr>
          <w:rFonts w:ascii="Times New Roman;Times;Serif" w:hAnsi="Times New Roman;Times;Serif"/>
          <w:b/>
          <w:i w:val="false"/>
          <w:caps w:val="false"/>
          <w:smallCaps w:val="false"/>
          <w:sz w:val="20"/>
        </w:rPr>
        <w:t>Ambia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Ambia Purchase Agreement</w:t>
      </w:r>
      <w:r>
        <w:rPr>
          <w:rFonts w:ascii="Times New Roman;Times;Serif" w:hAnsi="Times New Roman;Times;Serif"/>
          <w:b w:val="false"/>
          <w:i w:val="false"/>
          <w:caps w:val="false"/>
          <w:smallCaps w:val="false"/>
          <w:sz w:val="20"/>
        </w:rPr>
        <w:t>”), dated November 21, 2025, between the Company, Ambia Energy, LLC (“</w:t>
      </w:r>
      <w:r>
        <w:rPr>
          <w:rFonts w:ascii="Times New Roman;Times;Serif" w:hAnsi="Times New Roman;Times;Serif"/>
          <w:b/>
          <w:i w:val="false"/>
          <w:caps w:val="false"/>
          <w:smallCaps w:val="false"/>
          <w:sz w:val="20"/>
        </w:rPr>
        <w:t>Ambia</w:t>
      </w:r>
      <w:r>
        <w:rPr>
          <w:rFonts w:ascii="Times New Roman;Times;Serif" w:hAnsi="Times New Roman;Times;Serif"/>
          <w:b w:val="false"/>
          <w:i w:val="false"/>
          <w:caps w:val="false"/>
          <w:smallCaps w:val="false"/>
          <w:sz w:val="20"/>
        </w:rPr>
        <w:t>”) and Ambia Holdings, Inc., in connection with our acquisition of Ambia, (ii) 3,333,334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and, collectively with the Ambia Shares, the “</w:t>
      </w:r>
      <w:r>
        <w:rPr>
          <w:rFonts w:ascii="Times New Roman;Times;Serif" w:hAnsi="Times New Roman;Times;Serif"/>
          <w:b/>
          <w:i w:val="false"/>
          <w:caps w:val="false"/>
          <w:smallCaps w:val="false"/>
          <w:sz w:val="20"/>
        </w:rPr>
        <w:t>Acquisition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and, together with the Ambia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in connection with our acquisition of Sunder, (iii) up to 50,760,218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conversion of our 7% convertible senior notes due 2029 (the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and (iv) 1,048,352 shares of common stock held by certain of our former affiliates (the “</w:t>
      </w:r>
      <w:r>
        <w:rPr>
          <w:rFonts w:ascii="Times New Roman;Times;Serif" w:hAnsi="Times New Roman;Times;Serif"/>
          <w:b/>
          <w:i w:val="false"/>
          <w:caps w:val="false"/>
          <w:smallCaps w:val="false"/>
          <w:sz w:val="20"/>
        </w:rPr>
        <w:t>Former Affiliate Shares</w:t>
      </w:r>
      <w:r>
        <w:rPr>
          <w:rFonts w:ascii="Times New Roman;Times;Serif" w:hAnsi="Times New Roman;Times;Serif"/>
          <w:b w:val="false"/>
          <w:i w:val="false"/>
          <w:caps w:val="false"/>
          <w:smallCaps w:val="false"/>
          <w:sz w:val="20"/>
        </w:rPr>
        <w:t>” and, collectively with the Acquisition Shares and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The Acquisition Shares were issued at the closing of the transactions contemplated by the Transaction Agreements on November 21, 2025, with respect to the acquisition of Ambia, and on September 24, 2025, with respect to the acquisition of Sunder. The 7% Notes were issued in multiple tranches in September 2024, December 2024, in the thirteen week period ended March 30, 2025, and on September 23, 2025. The Former Affiliate Shares were issued previously to former affiliates of Freedom Acquisition I Corp. and its sponsor, Freedom Acquisition 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“Prospectus Summary” for a description of the Acquisition Agreements, the Ambia Acquisition and the Sunder Acquisition and the 7% Notes and “Selling Securityholders”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or this prospectus supplement and will not receive any of the proceeds from the sale of shares of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the prospectus and this prospectus supplement in a number of different ways and at varying prices. See “Plan of Distribution” for more information about how the Selling Securityholders may sell or otherwise dispose of the shares of common stock being registered pursuant to the prospectus and this prospectus supplement.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September 16, 2026, the closing price of our common stock was $0.3169.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13 of the prospectus, and under similar headings in any amendments or supplements to the prospectus and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September 17, 2026</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 xml:space="preserve">1403 N. Research Way, Orem, 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Jamie Haenggi, a member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SunPower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informed the Company of her decision not to stand for reelection at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Ms. Haenggi will continue to serve as a director until the 2026 Annual Meeting. Ms. Haenggi’s decision not to stand for reelection was not the result of any disagreement with the Company or the Board on any matter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5.08 Shareholder Director Nominations.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 Item 8.01 of this Current Report on Form 8-K is incorporated by reference into this Item 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set November 2, 2026 as the date of the 2026 Annual Meeting. The 2026 Annual Meeting will be held virtually online by means of remote communication. More detailed information regarding the 2026 Annual Meeting will be set forth in the Company’s Definitive Proxy Statement on Schedule 14A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record date for the 2026 Annual Meeting is September 18, 2026. Stockholders owning the Company’s common stock at the close of business on such record date, or their legal proxy holders, are entitled to vote at the 2026 Annual Meeting. The Company reserves the right to change the record date or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2026 Annual Meeting is being delayed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hereby informing shareholders of such change. In addition, because the 2026 Annual Meeting will be held more than 30 days from the anniversary date of the 2025 Annual Meeting, the deadlines for stockholders’ nominations or proposals for consideration at the 2026 Annual Meeting set forth in the Company’s proxy statement for the 2025 Annual Meeting no longer apply. Further, because the 2026 Annual Meeting will be held more than 60 days from the anniversary date of the 2025 Annual Meeting, the deadlines set forth in the proxy statement for the 2025 Annual Meeting for shareholders to submit a notice of a proposal outside the processes of Rule 14a-8 of the Exchange Act and a notice of proposed director nominations, in each case for consideration at the 2026 Annual Meeting, no longer apply.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SunPower Inc., 1403 N. Research Way, Orem, UT 84097 no later than September 28,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 the Delaware General Corporation Law and the Company’s Second Amended and Restated Bylaws, and are delivered to, or mailed and received at, the Company’s principal executive offices on or before the close of business on September 28, 2026. Any director nominations and stockholder proposals received after this deadline will be considered untimely and will not be considered for inclusion in the proxy materials for the 2026 Annual Meeting nor will they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630"/>
        <w:gridCol w:w="365"/>
        <w:gridCol w:w="2420"/>
      </w:tblGrid>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smallCaps/>
              </w:rPr>
            </w:pPr>
            <w:r>
              <w:rPr>
                <w:b/>
                <w:smallCaps/>
              </w:rPr>
              <w:t>SunPower Inc.</w:t>
            </w:r>
          </w:p>
        </w:tc>
      </w:tr>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17, 2026</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2001</Words>
  <Characters>10891</Characters>
  <CharactersWithSpaces>12909</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