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As filed with the U.S. Securities and Exchange Commission on February 18, 2021.</w:t>
      </w:r>
    </w:p>
    <w:p>
      <w:pPr>
        <w:spacing w:after="0" w:line="225"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333-252940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197485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44" w:lineRule="exact"/>
        <w:rPr>
          <w:sz w:val="24"/>
          <w:szCs w:val="24"/>
          <w:color w:val="auto"/>
        </w:rPr>
      </w:pPr>
    </w:p>
    <w:p>
      <w:pPr>
        <w:ind w:left="4960"/>
        <w:spacing w:after="0"/>
        <w:rPr>
          <w:sz w:val="20"/>
          <w:szCs w:val="20"/>
          <w:color w:val="auto"/>
        </w:rPr>
      </w:pPr>
      <w:r>
        <w:rPr>
          <w:rFonts w:ascii="Arial" w:cs="Arial" w:eastAsia="Arial" w:hAnsi="Arial"/>
          <w:sz w:val="18"/>
          <w:szCs w:val="18"/>
          <w:color w:val="auto"/>
        </w:rPr>
        <w:t>UNITED STATES</w:t>
      </w:r>
    </w:p>
    <w:p>
      <w:pPr>
        <w:spacing w:after="0" w:line="23" w:lineRule="exact"/>
        <w:rPr>
          <w:sz w:val="24"/>
          <w:szCs w:val="24"/>
          <w:color w:val="auto"/>
        </w:rPr>
      </w:pPr>
    </w:p>
    <w:p>
      <w:pPr>
        <w:ind w:left="3760"/>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ind w:left="4720"/>
        <w:spacing w:after="0"/>
        <w:rPr>
          <w:sz w:val="20"/>
          <w:szCs w:val="20"/>
          <w:color w:val="auto"/>
        </w:rPr>
      </w:pPr>
      <w:r>
        <w:rPr>
          <w:rFonts w:ascii="Arial" w:cs="Arial" w:eastAsia="Arial" w:hAnsi="Arial"/>
          <w:sz w:val="18"/>
          <w:szCs w:val="18"/>
          <w:color w:val="auto"/>
        </w:rPr>
        <w:t>Washington, D.C. 20549</w:t>
      </w:r>
    </w:p>
    <w:p>
      <w:pPr>
        <w:spacing w:after="0" w:line="9" w:lineRule="exact"/>
        <w:rPr>
          <w:sz w:val="24"/>
          <w:szCs w:val="24"/>
          <w:color w:val="auto"/>
        </w:rPr>
      </w:pPr>
    </w:p>
    <w:p>
      <w:pPr>
        <w:ind w:left="4660"/>
        <w:spacing w:after="0"/>
        <w:rPr>
          <w:sz w:val="20"/>
          <w:szCs w:val="20"/>
          <w:color w:val="auto"/>
        </w:rPr>
      </w:pPr>
      <w:r>
        <w:rPr>
          <w:rFonts w:ascii="Arial" w:cs="Arial" w:eastAsia="Arial" w:hAnsi="Arial"/>
          <w:sz w:val="18"/>
          <w:szCs w:val="18"/>
          <w:color w:val="auto"/>
        </w:rPr>
        <w:t>AMENDMENT NO. 1 TO</w:t>
      </w:r>
    </w:p>
    <w:p>
      <w:pPr>
        <w:spacing w:after="0" w:line="9" w:lineRule="exact"/>
        <w:rPr>
          <w:sz w:val="24"/>
          <w:szCs w:val="24"/>
          <w:color w:val="auto"/>
        </w:rPr>
      </w:pPr>
    </w:p>
    <w:p>
      <w:pPr>
        <w:ind w:left="5200"/>
        <w:spacing w:after="0"/>
        <w:rPr>
          <w:sz w:val="20"/>
          <w:szCs w:val="20"/>
          <w:color w:val="auto"/>
        </w:rPr>
      </w:pPr>
      <w:r>
        <w:rPr>
          <w:rFonts w:ascii="Arial" w:cs="Arial" w:eastAsia="Arial" w:hAnsi="Arial"/>
          <w:sz w:val="18"/>
          <w:szCs w:val="18"/>
          <w:color w:val="auto"/>
        </w:rPr>
        <w:t>FORM S-1</w:t>
      </w:r>
    </w:p>
    <w:p>
      <w:pPr>
        <w:spacing w:after="0" w:line="9" w:lineRule="exact"/>
        <w:rPr>
          <w:sz w:val="24"/>
          <w:szCs w:val="24"/>
          <w:color w:val="auto"/>
        </w:rPr>
      </w:pPr>
    </w:p>
    <w:p>
      <w:pPr>
        <w:ind w:left="4440"/>
        <w:spacing w:after="0"/>
        <w:rPr>
          <w:sz w:val="20"/>
          <w:szCs w:val="20"/>
          <w:color w:val="auto"/>
        </w:rPr>
      </w:pPr>
      <w:r>
        <w:rPr>
          <w:rFonts w:ascii="Arial" w:cs="Arial" w:eastAsia="Arial" w:hAnsi="Arial"/>
          <w:sz w:val="18"/>
          <w:szCs w:val="18"/>
          <w:color w:val="auto"/>
        </w:rPr>
        <w:t>REGISTRATION STATEMENT</w:t>
      </w:r>
    </w:p>
    <w:p>
      <w:pPr>
        <w:spacing w:after="0" w:line="9" w:lineRule="exact"/>
        <w:rPr>
          <w:sz w:val="24"/>
          <w:szCs w:val="24"/>
          <w:color w:val="auto"/>
        </w:rPr>
      </w:pPr>
    </w:p>
    <w:p>
      <w:pPr>
        <w:ind w:left="5320"/>
        <w:spacing w:after="0"/>
        <w:rPr>
          <w:sz w:val="20"/>
          <w:szCs w:val="20"/>
          <w:color w:val="auto"/>
        </w:rPr>
      </w:pPr>
      <w:r>
        <w:rPr>
          <w:rFonts w:ascii="Arial" w:cs="Arial" w:eastAsia="Arial" w:hAnsi="Arial"/>
          <w:sz w:val="18"/>
          <w:szCs w:val="18"/>
          <w:color w:val="auto"/>
        </w:rPr>
        <w:t>UNDER</w:t>
      </w:r>
    </w:p>
    <w:p>
      <w:pPr>
        <w:spacing w:after="0" w:line="9" w:lineRule="exact"/>
        <w:rPr>
          <w:sz w:val="24"/>
          <w:szCs w:val="24"/>
          <w:color w:val="auto"/>
        </w:rPr>
      </w:pPr>
    </w:p>
    <w:p>
      <w:pPr>
        <w:ind w:left="4360"/>
        <w:spacing w:after="0"/>
        <w:rPr>
          <w:sz w:val="20"/>
          <w:szCs w:val="20"/>
          <w:color w:val="auto"/>
        </w:rPr>
      </w:pPr>
      <w:r>
        <w:rPr>
          <w:rFonts w:ascii="Arial" w:cs="Arial" w:eastAsia="Arial" w:hAnsi="Arial"/>
          <w:sz w:val="18"/>
          <w:szCs w:val="18"/>
          <w:color w:val="auto"/>
        </w:rPr>
        <w:t>THE SECURITIES ACT OF 1933</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Freedom Acquisition I Corp.</w:t>
      </w:r>
    </w:p>
    <w:tbl>
      <w:tblPr>
        <w:tblLayout w:type="fixed"/>
        <w:tblInd w:w="820" w:type="dxa"/>
        <w:tblCellMar>
          <w:top w:w="0" w:type="dxa"/>
          <w:left w:w="0" w:type="dxa"/>
          <w:bottom w:w="0" w:type="dxa"/>
          <w:right w:w="0" w:type="dxa"/>
        </w:tblCellMar>
      </w:tblPr>
      <w:tr>
        <w:trPr>
          <w:trHeight w:val="199"/>
        </w:trPr>
        <w:tc>
          <w:tcPr>
            <w:tcW w:w="2540" w:type="dxa"/>
            <w:vAlign w:val="bottom"/>
          </w:tcPr>
          <w:p>
            <w:pPr>
              <w:spacing w:after="0"/>
              <w:rPr>
                <w:sz w:val="17"/>
                <w:szCs w:val="17"/>
                <w:color w:val="auto"/>
              </w:rPr>
            </w:pPr>
          </w:p>
        </w:tc>
        <w:tc>
          <w:tcPr>
            <w:tcW w:w="4700" w:type="dxa"/>
            <w:vAlign w:val="bottom"/>
          </w:tcPr>
          <w:p>
            <w:pPr>
              <w:ind w:left="320"/>
              <w:spacing w:after="0" w:line="200" w:lineRule="exact"/>
              <w:rPr>
                <w:sz w:val="20"/>
                <w:szCs w:val="20"/>
                <w:color w:val="auto"/>
              </w:rPr>
            </w:pPr>
            <w:r>
              <w:rPr>
                <w:rFonts w:ascii="Arial" w:cs="Arial" w:eastAsia="Arial" w:hAnsi="Arial"/>
                <w:sz w:val="18"/>
                <w:szCs w:val="18"/>
                <w:color w:val="auto"/>
              </w:rPr>
              <w:t>(Exact Name of Registrant as Specified in Its Charter)</w:t>
            </w:r>
          </w:p>
        </w:tc>
        <w:tc>
          <w:tcPr>
            <w:tcW w:w="2160" w:type="dxa"/>
            <w:vAlign w:val="bottom"/>
          </w:tcPr>
          <w:p>
            <w:pPr>
              <w:spacing w:after="0"/>
              <w:rPr>
                <w:sz w:val="17"/>
                <w:szCs w:val="17"/>
                <w:color w:val="auto"/>
              </w:rPr>
            </w:pPr>
          </w:p>
        </w:tc>
      </w:tr>
      <w:tr>
        <w:trPr>
          <w:trHeight w:val="220"/>
        </w:trPr>
        <w:tc>
          <w:tcPr>
            <w:tcW w:w="2540" w:type="dxa"/>
            <w:vAlign w:val="bottom"/>
          </w:tcPr>
          <w:p>
            <w:pPr>
              <w:jc w:val="center"/>
              <w:ind w:right="250"/>
              <w:spacing w:after="0"/>
              <w:rPr>
                <w:sz w:val="20"/>
                <w:szCs w:val="20"/>
                <w:color w:val="auto"/>
              </w:rPr>
            </w:pPr>
            <w:r>
              <w:rPr>
                <w:rFonts w:ascii="Arial" w:cs="Arial" w:eastAsia="Arial" w:hAnsi="Arial"/>
                <w:sz w:val="18"/>
                <w:szCs w:val="18"/>
                <w:b w:val="1"/>
                <w:bCs w:val="1"/>
                <w:color w:val="auto"/>
                <w:w w:val="90"/>
              </w:rPr>
              <w:t>Cayman Islands</w:t>
            </w:r>
          </w:p>
        </w:tc>
        <w:tc>
          <w:tcPr>
            <w:tcW w:w="4700" w:type="dxa"/>
            <w:vAlign w:val="bottom"/>
          </w:tcPr>
          <w:p>
            <w:pPr>
              <w:jc w:val="center"/>
              <w:spacing w:after="0"/>
              <w:rPr>
                <w:sz w:val="20"/>
                <w:szCs w:val="20"/>
                <w:color w:val="auto"/>
              </w:rPr>
            </w:pPr>
            <w:r>
              <w:rPr>
                <w:rFonts w:ascii="Arial" w:cs="Arial" w:eastAsia="Arial" w:hAnsi="Arial"/>
                <w:sz w:val="18"/>
                <w:szCs w:val="18"/>
                <w:b w:val="1"/>
                <w:bCs w:val="1"/>
                <w:color w:val="auto"/>
                <w:w w:val="89"/>
              </w:rPr>
              <w:t>6770</w:t>
            </w:r>
          </w:p>
        </w:tc>
        <w:tc>
          <w:tcPr>
            <w:tcW w:w="2160" w:type="dxa"/>
            <w:vAlign w:val="bottom"/>
          </w:tcPr>
          <w:p>
            <w:pPr>
              <w:jc w:val="center"/>
              <w:ind w:left="410"/>
              <w:spacing w:after="0"/>
              <w:rPr>
                <w:sz w:val="20"/>
                <w:szCs w:val="20"/>
                <w:color w:val="auto"/>
              </w:rPr>
            </w:pPr>
            <w:r>
              <w:rPr>
                <w:rFonts w:ascii="Arial" w:cs="Arial" w:eastAsia="Arial" w:hAnsi="Arial"/>
                <w:sz w:val="18"/>
                <w:szCs w:val="18"/>
                <w:b w:val="1"/>
                <w:bCs w:val="1"/>
                <w:color w:val="auto"/>
                <w:w w:val="96"/>
              </w:rPr>
              <w:t>N/A</w:t>
            </w:r>
          </w:p>
        </w:tc>
      </w:tr>
      <w:tr>
        <w:trPr>
          <w:trHeight w:val="216"/>
        </w:trPr>
        <w:tc>
          <w:tcPr>
            <w:tcW w:w="2540" w:type="dxa"/>
            <w:vAlign w:val="bottom"/>
          </w:tcPr>
          <w:p>
            <w:pPr>
              <w:jc w:val="center"/>
              <w:ind w:right="250"/>
              <w:spacing w:after="0"/>
              <w:rPr>
                <w:sz w:val="20"/>
                <w:szCs w:val="20"/>
                <w:color w:val="auto"/>
              </w:rPr>
            </w:pPr>
            <w:r>
              <w:rPr>
                <w:rFonts w:ascii="Arial" w:cs="Arial" w:eastAsia="Arial" w:hAnsi="Arial"/>
                <w:sz w:val="18"/>
                <w:szCs w:val="18"/>
                <w:color w:val="auto"/>
                <w:w w:val="92"/>
              </w:rPr>
              <w:t>(State or Other Jurisdiction of</w:t>
            </w:r>
          </w:p>
        </w:tc>
        <w:tc>
          <w:tcPr>
            <w:tcW w:w="4700" w:type="dxa"/>
            <w:vAlign w:val="bottom"/>
          </w:tcPr>
          <w:p>
            <w:pPr>
              <w:jc w:val="center"/>
              <w:spacing w:after="0"/>
              <w:rPr>
                <w:sz w:val="20"/>
                <w:szCs w:val="20"/>
                <w:color w:val="auto"/>
              </w:rPr>
            </w:pPr>
            <w:r>
              <w:rPr>
                <w:rFonts w:ascii="Arial" w:cs="Arial" w:eastAsia="Arial" w:hAnsi="Arial"/>
                <w:sz w:val="18"/>
                <w:szCs w:val="18"/>
                <w:color w:val="auto"/>
                <w:w w:val="91"/>
              </w:rPr>
              <w:t>(Primary Standard Industrial</w:t>
            </w:r>
          </w:p>
        </w:tc>
        <w:tc>
          <w:tcPr>
            <w:tcW w:w="2160" w:type="dxa"/>
            <w:vAlign w:val="bottom"/>
          </w:tcPr>
          <w:p>
            <w:pPr>
              <w:jc w:val="center"/>
              <w:ind w:left="410"/>
              <w:spacing w:after="0"/>
              <w:rPr>
                <w:sz w:val="20"/>
                <w:szCs w:val="20"/>
                <w:color w:val="auto"/>
              </w:rPr>
            </w:pPr>
            <w:r>
              <w:rPr>
                <w:rFonts w:ascii="Arial" w:cs="Arial" w:eastAsia="Arial" w:hAnsi="Arial"/>
                <w:sz w:val="18"/>
                <w:szCs w:val="18"/>
                <w:color w:val="auto"/>
                <w:w w:val="92"/>
              </w:rPr>
              <w:t>(I.R.S. Employer</w:t>
            </w:r>
          </w:p>
        </w:tc>
      </w:tr>
      <w:tr>
        <w:trPr>
          <w:trHeight w:val="230"/>
        </w:trPr>
        <w:tc>
          <w:tcPr>
            <w:tcW w:w="2540" w:type="dxa"/>
            <w:vAlign w:val="bottom"/>
          </w:tcPr>
          <w:p>
            <w:pPr>
              <w:jc w:val="center"/>
              <w:ind w:right="250"/>
              <w:spacing w:after="0"/>
              <w:rPr>
                <w:sz w:val="20"/>
                <w:szCs w:val="20"/>
                <w:color w:val="auto"/>
              </w:rPr>
            </w:pPr>
            <w:r>
              <w:rPr>
                <w:rFonts w:ascii="Arial" w:cs="Arial" w:eastAsia="Arial" w:hAnsi="Arial"/>
                <w:sz w:val="18"/>
                <w:szCs w:val="18"/>
                <w:color w:val="auto"/>
                <w:w w:val="91"/>
              </w:rPr>
              <w:t>Incorporation or Organization)</w:t>
            </w:r>
          </w:p>
        </w:tc>
        <w:tc>
          <w:tcPr>
            <w:tcW w:w="4700" w:type="dxa"/>
            <w:vAlign w:val="bottom"/>
          </w:tcPr>
          <w:p>
            <w:pPr>
              <w:jc w:val="center"/>
              <w:spacing w:after="0"/>
              <w:rPr>
                <w:sz w:val="20"/>
                <w:szCs w:val="20"/>
                <w:color w:val="auto"/>
              </w:rPr>
            </w:pPr>
            <w:r>
              <w:rPr>
                <w:rFonts w:ascii="Arial" w:cs="Arial" w:eastAsia="Arial" w:hAnsi="Arial"/>
                <w:sz w:val="18"/>
                <w:szCs w:val="18"/>
                <w:color w:val="auto"/>
                <w:w w:val="91"/>
              </w:rPr>
              <w:t>Classification Code Number)</w:t>
            </w:r>
          </w:p>
        </w:tc>
        <w:tc>
          <w:tcPr>
            <w:tcW w:w="2160" w:type="dxa"/>
            <w:vAlign w:val="bottom"/>
          </w:tcPr>
          <w:p>
            <w:pPr>
              <w:jc w:val="center"/>
              <w:ind w:left="410"/>
              <w:spacing w:after="0"/>
              <w:rPr>
                <w:sz w:val="20"/>
                <w:szCs w:val="20"/>
                <w:color w:val="auto"/>
              </w:rPr>
            </w:pPr>
            <w:r>
              <w:rPr>
                <w:rFonts w:ascii="Arial" w:cs="Arial" w:eastAsia="Arial" w:hAnsi="Arial"/>
                <w:sz w:val="18"/>
                <w:szCs w:val="18"/>
                <w:color w:val="auto"/>
                <w:w w:val="94"/>
              </w:rPr>
              <w:t>Identification Number)</w:t>
            </w:r>
          </w:p>
        </w:tc>
      </w:tr>
    </w:tbl>
    <w:p>
      <w:pPr>
        <w:jc w:val="center"/>
        <w:ind w:right="-79"/>
        <w:spacing w:after="0" w:line="185" w:lineRule="auto"/>
        <w:rPr>
          <w:sz w:val="20"/>
          <w:szCs w:val="20"/>
          <w:color w:val="auto"/>
        </w:rPr>
      </w:pPr>
      <w:r>
        <w:rPr>
          <w:rFonts w:ascii="Arial" w:cs="Arial" w:eastAsia="Arial" w:hAnsi="Arial"/>
          <w:sz w:val="18"/>
          <w:szCs w:val="18"/>
          <w:b w:val="1"/>
          <w:bCs w:val="1"/>
          <w:color w:val="auto"/>
        </w:rPr>
        <w:t>14 Wall Street, 20</w:t>
      </w:r>
      <w:r>
        <w:rPr>
          <w:rFonts w:ascii="Arial" w:cs="Arial" w:eastAsia="Arial" w:hAnsi="Arial"/>
          <w:sz w:val="29"/>
          <w:szCs w:val="29"/>
          <w:b w:val="1"/>
          <w:bCs w:val="1"/>
          <w:color w:val="auto"/>
          <w:vertAlign w:val="superscript"/>
        </w:rPr>
        <w:t>th</w:t>
      </w:r>
      <w:r>
        <w:rPr>
          <w:rFonts w:ascii="Arial" w:cs="Arial" w:eastAsia="Arial" w:hAnsi="Arial"/>
          <w:sz w:val="18"/>
          <w:szCs w:val="18"/>
          <w:b w:val="1"/>
          <w:bCs w:val="1"/>
          <w:color w:val="auto"/>
        </w:rPr>
        <w:t xml:space="preserve"> Floor</w:t>
      </w:r>
    </w:p>
    <w:p>
      <w:pPr>
        <w:spacing w:after="0" w:line="1"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New York, NY 10005</w:t>
      </w:r>
    </w:p>
    <w:p>
      <w:pPr>
        <w:spacing w:after="0" w:line="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Tel: (212) 618-1798</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2473960</wp:posOffset>
            </wp:positionH>
            <wp:positionV relativeFrom="paragraph">
              <wp:posOffset>22860</wp:posOffset>
            </wp:positionV>
            <wp:extent cx="21945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94560" cy="8255"/>
                    </a:xfrm>
                    <a:prstGeom prst="rect">
                      <a:avLst/>
                    </a:prstGeom>
                    <a:noFill/>
                  </pic:spPr>
                </pic:pic>
              </a:graphicData>
            </a:graphic>
          </wp:anchor>
        </w:drawing>
      </w:r>
    </w:p>
    <w:p>
      <w:pPr>
        <w:spacing w:after="0" w:line="38"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Adam Gishen</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Chief Executive Officer</w:t>
      </w:r>
    </w:p>
    <w:p>
      <w:pPr>
        <w:jc w:val="center"/>
        <w:ind w:right="-119"/>
        <w:spacing w:after="0" w:line="192" w:lineRule="auto"/>
        <w:rPr>
          <w:sz w:val="20"/>
          <w:szCs w:val="20"/>
          <w:color w:val="auto"/>
        </w:rPr>
      </w:pPr>
      <w:r>
        <w:rPr>
          <w:rFonts w:ascii="Arial" w:cs="Arial" w:eastAsia="Arial" w:hAnsi="Arial"/>
          <w:sz w:val="18"/>
          <w:szCs w:val="18"/>
          <w:b w:val="1"/>
          <w:bCs w:val="1"/>
          <w:color w:val="auto"/>
        </w:rPr>
        <w:t>14 Wall Street, 20</w:t>
      </w:r>
      <w:r>
        <w:rPr>
          <w:rFonts w:ascii="Arial" w:cs="Arial" w:eastAsia="Arial" w:hAnsi="Arial"/>
          <w:sz w:val="29"/>
          <w:szCs w:val="29"/>
          <w:b w:val="1"/>
          <w:bCs w:val="1"/>
          <w:color w:val="auto"/>
          <w:vertAlign w:val="superscript"/>
        </w:rPr>
        <w:t>th</w:t>
      </w:r>
      <w:r>
        <w:rPr>
          <w:rFonts w:ascii="Arial" w:cs="Arial" w:eastAsia="Arial" w:hAnsi="Arial"/>
          <w:sz w:val="18"/>
          <w:szCs w:val="18"/>
          <w:b w:val="1"/>
          <w:bCs w:val="1"/>
          <w:color w:val="auto"/>
        </w:rPr>
        <w:t xml:space="preserve"> Floor</w:t>
      </w:r>
    </w:p>
    <w:p>
      <w:pPr>
        <w:jc w:val="center"/>
        <w:ind w:right="-119"/>
        <w:spacing w:after="0"/>
        <w:rPr>
          <w:sz w:val="20"/>
          <w:szCs w:val="20"/>
          <w:color w:val="auto"/>
        </w:rPr>
      </w:pPr>
      <w:r>
        <w:rPr>
          <w:rFonts w:ascii="Arial" w:cs="Arial" w:eastAsia="Arial" w:hAnsi="Arial"/>
          <w:sz w:val="18"/>
          <w:szCs w:val="18"/>
          <w:b w:val="1"/>
          <w:bCs w:val="1"/>
          <w:color w:val="auto"/>
        </w:rPr>
        <w:t>New York, NY 10005</w:t>
      </w:r>
    </w:p>
    <w:p>
      <w:pPr>
        <w:spacing w:after="0" w:line="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Tel: (212) 618-1798</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2473960</wp:posOffset>
            </wp:positionH>
            <wp:positionV relativeFrom="paragraph">
              <wp:posOffset>14605</wp:posOffset>
            </wp:positionV>
            <wp:extent cx="21945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194560" cy="8255"/>
                    </a:xfrm>
                    <a:prstGeom prst="rect">
                      <a:avLst/>
                    </a:prstGeom>
                    <a:noFill/>
                  </pic:spPr>
                </pic:pic>
              </a:graphicData>
            </a:graphic>
          </wp:anchor>
        </w:drawing>
      </w:r>
    </w:p>
    <w:p>
      <w:pPr>
        <w:spacing w:after="0" w:line="29" w:lineRule="exact"/>
        <w:rPr>
          <w:sz w:val="24"/>
          <w:szCs w:val="24"/>
          <w:color w:val="auto"/>
        </w:rPr>
      </w:pPr>
    </w:p>
    <w:tbl>
      <w:tblPr>
        <w:tblLayout w:type="fixed"/>
        <w:tblInd w:w="480" w:type="dxa"/>
        <w:tblCellMar>
          <w:top w:w="0" w:type="dxa"/>
          <w:left w:w="0" w:type="dxa"/>
          <w:bottom w:w="0" w:type="dxa"/>
          <w:right w:w="0" w:type="dxa"/>
        </w:tblCellMar>
      </w:tblPr>
      <w:tr>
        <w:trPr>
          <w:trHeight w:val="212"/>
        </w:trPr>
        <w:tc>
          <w:tcPr>
            <w:tcW w:w="2580" w:type="dxa"/>
            <w:vAlign w:val="bottom"/>
          </w:tcPr>
          <w:p>
            <w:pPr>
              <w:spacing w:after="0"/>
              <w:rPr>
                <w:sz w:val="18"/>
                <w:szCs w:val="18"/>
                <w:color w:val="auto"/>
              </w:rPr>
            </w:pPr>
          </w:p>
        </w:tc>
        <w:tc>
          <w:tcPr>
            <w:tcW w:w="3200" w:type="dxa"/>
            <w:vAlign w:val="bottom"/>
          </w:tcPr>
          <w:p>
            <w:pPr>
              <w:ind w:left="2260"/>
              <w:spacing w:after="0"/>
              <w:rPr>
                <w:sz w:val="20"/>
                <w:szCs w:val="20"/>
                <w:color w:val="auto"/>
              </w:rPr>
            </w:pPr>
            <w:r>
              <w:rPr>
                <w:rFonts w:ascii="Arial" w:cs="Arial" w:eastAsia="Arial" w:hAnsi="Arial"/>
                <w:sz w:val="18"/>
                <w:szCs w:val="18"/>
                <w:b w:val="1"/>
                <w:bCs w:val="1"/>
                <w:i w:val="1"/>
                <w:iCs w:val="1"/>
                <w:color w:val="auto"/>
              </w:rPr>
              <w:t>Copies to:</w:t>
            </w:r>
          </w:p>
        </w:tc>
        <w:tc>
          <w:tcPr>
            <w:tcW w:w="2020" w:type="dxa"/>
            <w:vAlign w:val="bottom"/>
          </w:tcPr>
          <w:p>
            <w:pPr>
              <w:spacing w:after="0"/>
              <w:rPr>
                <w:sz w:val="18"/>
                <w:szCs w:val="18"/>
                <w:color w:val="auto"/>
              </w:rPr>
            </w:pPr>
          </w:p>
        </w:tc>
        <w:tc>
          <w:tcPr>
            <w:tcW w:w="2900" w:type="dxa"/>
            <w:vAlign w:val="bottom"/>
          </w:tcPr>
          <w:p>
            <w:pPr>
              <w:spacing w:after="0"/>
              <w:rPr>
                <w:sz w:val="18"/>
                <w:szCs w:val="18"/>
                <w:color w:val="auto"/>
              </w:rPr>
            </w:pPr>
          </w:p>
        </w:tc>
      </w:tr>
      <w:tr>
        <w:trPr>
          <w:trHeight w:val="216"/>
        </w:trPr>
        <w:tc>
          <w:tcPr>
            <w:tcW w:w="2580" w:type="dxa"/>
            <w:vAlign w:val="bottom"/>
          </w:tcPr>
          <w:p>
            <w:pPr>
              <w:jc w:val="center"/>
              <w:ind w:right="330"/>
              <w:spacing w:after="0"/>
              <w:rPr>
                <w:sz w:val="20"/>
                <w:szCs w:val="20"/>
                <w:color w:val="auto"/>
              </w:rPr>
            </w:pPr>
            <w:r>
              <w:rPr>
                <w:rFonts w:ascii="Arial" w:cs="Arial" w:eastAsia="Arial" w:hAnsi="Arial"/>
                <w:sz w:val="18"/>
                <w:szCs w:val="18"/>
                <w:b w:val="1"/>
                <w:bCs w:val="1"/>
                <w:color w:val="auto"/>
                <w:w w:val="95"/>
              </w:rPr>
              <w:t>Deanna L. Kirkpatrick</w:t>
            </w:r>
          </w:p>
        </w:tc>
        <w:tc>
          <w:tcPr>
            <w:tcW w:w="3200" w:type="dxa"/>
            <w:vAlign w:val="bottom"/>
          </w:tcPr>
          <w:p>
            <w:pPr>
              <w:jc w:val="center"/>
              <w:ind w:right="230"/>
              <w:spacing w:after="0"/>
              <w:rPr>
                <w:sz w:val="20"/>
                <w:szCs w:val="20"/>
                <w:color w:val="auto"/>
              </w:rPr>
            </w:pPr>
            <w:r>
              <w:rPr>
                <w:rFonts w:ascii="Arial" w:cs="Arial" w:eastAsia="Arial" w:hAnsi="Arial"/>
                <w:sz w:val="18"/>
                <w:szCs w:val="18"/>
                <w:b w:val="1"/>
                <w:bCs w:val="1"/>
                <w:color w:val="auto"/>
                <w:w w:val="90"/>
              </w:rPr>
              <w:t>Suzanne Correy</w:t>
            </w:r>
          </w:p>
        </w:tc>
        <w:tc>
          <w:tcPr>
            <w:tcW w:w="202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Emily J. Oldshue</w:t>
            </w:r>
          </w:p>
        </w:tc>
        <w:tc>
          <w:tcPr>
            <w:tcW w:w="2900" w:type="dxa"/>
            <w:vAlign w:val="bottom"/>
          </w:tcPr>
          <w:p>
            <w:pPr>
              <w:jc w:val="center"/>
              <w:ind w:left="250"/>
              <w:spacing w:after="0"/>
              <w:rPr>
                <w:sz w:val="20"/>
                <w:szCs w:val="20"/>
                <w:color w:val="auto"/>
              </w:rPr>
            </w:pPr>
            <w:r>
              <w:rPr>
                <w:rFonts w:ascii="Arial" w:cs="Arial" w:eastAsia="Arial" w:hAnsi="Arial"/>
                <w:sz w:val="18"/>
                <w:szCs w:val="18"/>
                <w:b w:val="1"/>
                <w:bCs w:val="1"/>
                <w:color w:val="auto"/>
                <w:w w:val="89"/>
              </w:rPr>
              <w:t>Gregg A. Noel</w:t>
            </w:r>
          </w:p>
        </w:tc>
      </w:tr>
      <w:tr>
        <w:trPr>
          <w:trHeight w:val="216"/>
        </w:trPr>
        <w:tc>
          <w:tcPr>
            <w:tcW w:w="2580" w:type="dxa"/>
            <w:vAlign w:val="bottom"/>
          </w:tcPr>
          <w:p>
            <w:pPr>
              <w:jc w:val="center"/>
              <w:ind w:right="290"/>
              <w:spacing w:after="0"/>
              <w:rPr>
                <w:sz w:val="20"/>
                <w:szCs w:val="20"/>
                <w:color w:val="auto"/>
              </w:rPr>
            </w:pPr>
            <w:r>
              <w:rPr>
                <w:rFonts w:ascii="Arial" w:cs="Arial" w:eastAsia="Arial" w:hAnsi="Arial"/>
                <w:sz w:val="18"/>
                <w:szCs w:val="18"/>
                <w:b w:val="1"/>
                <w:bCs w:val="1"/>
                <w:color w:val="auto"/>
                <w:w w:val="89"/>
              </w:rPr>
              <w:t>Pedro J. Bermeo</w:t>
            </w:r>
          </w:p>
        </w:tc>
        <w:tc>
          <w:tcPr>
            <w:tcW w:w="3200" w:type="dxa"/>
            <w:vAlign w:val="bottom"/>
          </w:tcPr>
          <w:p>
            <w:pPr>
              <w:jc w:val="center"/>
              <w:ind w:right="230"/>
              <w:spacing w:after="0"/>
              <w:rPr>
                <w:sz w:val="20"/>
                <w:szCs w:val="20"/>
                <w:color w:val="auto"/>
              </w:rPr>
            </w:pPr>
            <w:r>
              <w:rPr>
                <w:rFonts w:ascii="Arial" w:cs="Arial" w:eastAsia="Arial" w:hAnsi="Arial"/>
                <w:sz w:val="18"/>
                <w:szCs w:val="18"/>
                <w:b w:val="1"/>
                <w:bCs w:val="1"/>
                <w:color w:val="auto"/>
                <w:w w:val="93"/>
              </w:rPr>
              <w:t>Maples and Calder</w:t>
            </w:r>
          </w:p>
        </w:tc>
        <w:tc>
          <w:tcPr>
            <w:tcW w:w="202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Anne F. Hancock</w:t>
            </w:r>
          </w:p>
        </w:tc>
        <w:tc>
          <w:tcPr>
            <w:tcW w:w="2900" w:type="dxa"/>
            <w:vAlign w:val="bottom"/>
          </w:tcPr>
          <w:p>
            <w:pPr>
              <w:jc w:val="center"/>
              <w:ind w:left="250"/>
              <w:spacing w:after="0"/>
              <w:rPr>
                <w:sz w:val="20"/>
                <w:szCs w:val="20"/>
                <w:color w:val="auto"/>
              </w:rPr>
            </w:pPr>
            <w:r>
              <w:rPr>
                <w:rFonts w:ascii="Arial" w:cs="Arial" w:eastAsia="Arial" w:hAnsi="Arial"/>
                <w:sz w:val="18"/>
                <w:szCs w:val="18"/>
                <w:b w:val="1"/>
                <w:bCs w:val="1"/>
                <w:color w:val="auto"/>
                <w:w w:val="90"/>
              </w:rPr>
              <w:t>P. Michelle Gasaway</w:t>
            </w:r>
          </w:p>
        </w:tc>
      </w:tr>
      <w:tr>
        <w:trPr>
          <w:trHeight w:val="216"/>
        </w:trPr>
        <w:tc>
          <w:tcPr>
            <w:tcW w:w="2580" w:type="dxa"/>
            <w:vAlign w:val="bottom"/>
          </w:tcPr>
          <w:p>
            <w:pPr>
              <w:jc w:val="center"/>
              <w:ind w:right="290"/>
              <w:spacing w:after="0"/>
              <w:rPr>
                <w:sz w:val="20"/>
                <w:szCs w:val="20"/>
                <w:color w:val="auto"/>
              </w:rPr>
            </w:pPr>
            <w:r>
              <w:rPr>
                <w:rFonts w:ascii="Arial" w:cs="Arial" w:eastAsia="Arial" w:hAnsi="Arial"/>
                <w:sz w:val="18"/>
                <w:szCs w:val="18"/>
                <w:b w:val="1"/>
                <w:bCs w:val="1"/>
                <w:color w:val="auto"/>
                <w:w w:val="94"/>
              </w:rPr>
              <w:t>Davis Polk &amp; Wardwell LLP</w:t>
            </w:r>
          </w:p>
        </w:tc>
        <w:tc>
          <w:tcPr>
            <w:tcW w:w="3200" w:type="dxa"/>
            <w:vAlign w:val="bottom"/>
          </w:tcPr>
          <w:p>
            <w:pPr>
              <w:jc w:val="center"/>
              <w:ind w:right="230"/>
              <w:spacing w:after="0"/>
              <w:rPr>
                <w:sz w:val="20"/>
                <w:szCs w:val="20"/>
                <w:color w:val="auto"/>
              </w:rPr>
            </w:pPr>
            <w:r>
              <w:rPr>
                <w:rFonts w:ascii="Arial" w:cs="Arial" w:eastAsia="Arial" w:hAnsi="Arial"/>
                <w:sz w:val="18"/>
                <w:szCs w:val="18"/>
                <w:b w:val="1"/>
                <w:bCs w:val="1"/>
                <w:color w:val="auto"/>
                <w:w w:val="89"/>
              </w:rPr>
              <w:t>P.O. Box 309, Ugland House</w:t>
            </w:r>
          </w:p>
        </w:tc>
        <w:tc>
          <w:tcPr>
            <w:tcW w:w="2020" w:type="dxa"/>
            <w:vAlign w:val="bottom"/>
          </w:tcPr>
          <w:p>
            <w:pPr>
              <w:jc w:val="center"/>
              <w:ind w:right="30"/>
              <w:spacing w:after="0"/>
              <w:rPr>
                <w:sz w:val="20"/>
                <w:szCs w:val="20"/>
                <w:color w:val="auto"/>
              </w:rPr>
            </w:pPr>
            <w:r>
              <w:rPr>
                <w:rFonts w:ascii="Arial" w:cs="Arial" w:eastAsia="Arial" w:hAnsi="Arial"/>
                <w:sz w:val="18"/>
                <w:szCs w:val="18"/>
                <w:b w:val="1"/>
                <w:bCs w:val="1"/>
                <w:color w:val="auto"/>
                <w:w w:val="94"/>
              </w:rPr>
              <w:t>Ropes &amp; Gray LLP</w:t>
            </w:r>
          </w:p>
        </w:tc>
        <w:tc>
          <w:tcPr>
            <w:tcW w:w="2900" w:type="dxa"/>
            <w:vAlign w:val="bottom"/>
          </w:tcPr>
          <w:p>
            <w:pPr>
              <w:jc w:val="center"/>
              <w:ind w:left="230"/>
              <w:spacing w:after="0"/>
              <w:rPr>
                <w:sz w:val="20"/>
                <w:szCs w:val="20"/>
                <w:color w:val="auto"/>
              </w:rPr>
            </w:pPr>
            <w:r>
              <w:rPr>
                <w:rFonts w:ascii="Arial" w:cs="Arial" w:eastAsia="Arial" w:hAnsi="Arial"/>
                <w:sz w:val="18"/>
                <w:szCs w:val="18"/>
                <w:b w:val="1"/>
                <w:bCs w:val="1"/>
                <w:color w:val="auto"/>
                <w:w w:val="91"/>
              </w:rPr>
              <w:t>Skadden, Arps, Slate, Meagher &amp;</w:t>
            </w:r>
          </w:p>
        </w:tc>
      </w:tr>
      <w:tr>
        <w:trPr>
          <w:trHeight w:val="216"/>
        </w:trPr>
        <w:tc>
          <w:tcPr>
            <w:tcW w:w="2580" w:type="dxa"/>
            <w:vAlign w:val="bottom"/>
          </w:tcPr>
          <w:p>
            <w:pPr>
              <w:jc w:val="center"/>
              <w:ind w:right="290"/>
              <w:spacing w:after="0"/>
              <w:rPr>
                <w:sz w:val="20"/>
                <w:szCs w:val="20"/>
                <w:color w:val="auto"/>
              </w:rPr>
            </w:pPr>
            <w:r>
              <w:rPr>
                <w:rFonts w:ascii="Arial" w:cs="Arial" w:eastAsia="Arial" w:hAnsi="Arial"/>
                <w:sz w:val="18"/>
                <w:szCs w:val="18"/>
                <w:b w:val="1"/>
                <w:bCs w:val="1"/>
                <w:color w:val="auto"/>
                <w:w w:val="90"/>
              </w:rPr>
              <w:t>450 Lexington Avenue</w:t>
            </w:r>
          </w:p>
        </w:tc>
        <w:tc>
          <w:tcPr>
            <w:tcW w:w="3200" w:type="dxa"/>
            <w:vAlign w:val="bottom"/>
          </w:tcPr>
          <w:p>
            <w:pPr>
              <w:jc w:val="center"/>
              <w:ind w:right="230"/>
              <w:spacing w:after="0"/>
              <w:rPr>
                <w:sz w:val="20"/>
                <w:szCs w:val="20"/>
                <w:color w:val="auto"/>
              </w:rPr>
            </w:pPr>
            <w:r>
              <w:rPr>
                <w:rFonts w:ascii="Arial" w:cs="Arial" w:eastAsia="Arial" w:hAnsi="Arial"/>
                <w:sz w:val="18"/>
                <w:szCs w:val="18"/>
                <w:b w:val="1"/>
                <w:bCs w:val="1"/>
                <w:color w:val="auto"/>
                <w:w w:val="93"/>
              </w:rPr>
              <w:t>Grand Cayman</w:t>
            </w:r>
          </w:p>
        </w:tc>
        <w:tc>
          <w:tcPr>
            <w:tcW w:w="2020" w:type="dxa"/>
            <w:vAlign w:val="bottom"/>
          </w:tcPr>
          <w:p>
            <w:pPr>
              <w:jc w:val="center"/>
              <w:ind w:right="50"/>
              <w:spacing w:after="0"/>
              <w:rPr>
                <w:sz w:val="20"/>
                <w:szCs w:val="20"/>
                <w:color w:val="auto"/>
              </w:rPr>
            </w:pPr>
            <w:r>
              <w:rPr>
                <w:rFonts w:ascii="Arial" w:cs="Arial" w:eastAsia="Arial" w:hAnsi="Arial"/>
                <w:sz w:val="18"/>
                <w:szCs w:val="18"/>
                <w:b w:val="1"/>
                <w:bCs w:val="1"/>
                <w:color w:val="auto"/>
                <w:w w:val="93"/>
              </w:rPr>
              <w:t>Prudential Tower</w:t>
            </w:r>
          </w:p>
        </w:tc>
        <w:tc>
          <w:tcPr>
            <w:tcW w:w="2900" w:type="dxa"/>
            <w:vAlign w:val="bottom"/>
          </w:tcPr>
          <w:p>
            <w:pPr>
              <w:jc w:val="center"/>
              <w:ind w:left="250"/>
              <w:spacing w:after="0"/>
              <w:rPr>
                <w:sz w:val="20"/>
                <w:szCs w:val="20"/>
                <w:color w:val="auto"/>
              </w:rPr>
            </w:pPr>
            <w:r>
              <w:rPr>
                <w:rFonts w:ascii="Arial" w:cs="Arial" w:eastAsia="Arial" w:hAnsi="Arial"/>
                <w:sz w:val="18"/>
                <w:szCs w:val="18"/>
                <w:b w:val="1"/>
                <w:bCs w:val="1"/>
                <w:color w:val="auto"/>
                <w:w w:val="97"/>
              </w:rPr>
              <w:t>Flom LLP</w:t>
            </w:r>
          </w:p>
        </w:tc>
      </w:tr>
      <w:tr>
        <w:trPr>
          <w:trHeight w:val="216"/>
        </w:trPr>
        <w:tc>
          <w:tcPr>
            <w:tcW w:w="2580" w:type="dxa"/>
            <w:vAlign w:val="bottom"/>
          </w:tcPr>
          <w:p>
            <w:pPr>
              <w:jc w:val="center"/>
              <w:ind w:right="290"/>
              <w:spacing w:after="0"/>
              <w:rPr>
                <w:sz w:val="20"/>
                <w:szCs w:val="20"/>
                <w:color w:val="auto"/>
              </w:rPr>
            </w:pPr>
            <w:r>
              <w:rPr>
                <w:rFonts w:ascii="Arial" w:cs="Arial" w:eastAsia="Arial" w:hAnsi="Arial"/>
                <w:sz w:val="18"/>
                <w:szCs w:val="18"/>
                <w:b w:val="1"/>
                <w:bCs w:val="1"/>
                <w:color w:val="auto"/>
                <w:w w:val="92"/>
              </w:rPr>
              <w:t>New York, NY 10017</w:t>
            </w:r>
          </w:p>
        </w:tc>
        <w:tc>
          <w:tcPr>
            <w:tcW w:w="3200" w:type="dxa"/>
            <w:vAlign w:val="bottom"/>
          </w:tcPr>
          <w:p>
            <w:pPr>
              <w:jc w:val="center"/>
              <w:ind w:right="230"/>
              <w:spacing w:after="0"/>
              <w:rPr>
                <w:sz w:val="20"/>
                <w:szCs w:val="20"/>
                <w:color w:val="auto"/>
              </w:rPr>
            </w:pPr>
            <w:r>
              <w:rPr>
                <w:rFonts w:ascii="Arial" w:cs="Arial" w:eastAsia="Arial" w:hAnsi="Arial"/>
                <w:sz w:val="18"/>
                <w:szCs w:val="18"/>
                <w:b w:val="1"/>
                <w:bCs w:val="1"/>
                <w:color w:val="auto"/>
                <w:w w:val="93"/>
              </w:rPr>
              <w:t>KY1-1104</w:t>
            </w:r>
          </w:p>
        </w:tc>
        <w:tc>
          <w:tcPr>
            <w:tcW w:w="2020" w:type="dxa"/>
            <w:vAlign w:val="bottom"/>
          </w:tcPr>
          <w:p>
            <w:pPr>
              <w:jc w:val="center"/>
              <w:ind w:right="50"/>
              <w:spacing w:after="0"/>
              <w:rPr>
                <w:sz w:val="20"/>
                <w:szCs w:val="20"/>
                <w:color w:val="auto"/>
              </w:rPr>
            </w:pPr>
            <w:r>
              <w:rPr>
                <w:rFonts w:ascii="Arial" w:cs="Arial" w:eastAsia="Arial" w:hAnsi="Arial"/>
                <w:sz w:val="18"/>
                <w:szCs w:val="18"/>
                <w:b w:val="1"/>
                <w:bCs w:val="1"/>
                <w:color w:val="auto"/>
                <w:w w:val="88"/>
              </w:rPr>
              <w:t>800 Boylston Street</w:t>
            </w:r>
          </w:p>
        </w:tc>
        <w:tc>
          <w:tcPr>
            <w:tcW w:w="2900" w:type="dxa"/>
            <w:vAlign w:val="bottom"/>
          </w:tcPr>
          <w:p>
            <w:pPr>
              <w:jc w:val="center"/>
              <w:ind w:left="250"/>
              <w:spacing w:after="0"/>
              <w:rPr>
                <w:sz w:val="20"/>
                <w:szCs w:val="20"/>
                <w:color w:val="auto"/>
              </w:rPr>
            </w:pPr>
            <w:r>
              <w:rPr>
                <w:rFonts w:ascii="Arial" w:cs="Arial" w:eastAsia="Arial" w:hAnsi="Arial"/>
                <w:sz w:val="18"/>
                <w:szCs w:val="18"/>
                <w:b w:val="1"/>
                <w:bCs w:val="1"/>
                <w:color w:val="auto"/>
                <w:w w:val="89"/>
              </w:rPr>
              <w:t>300 South Grand Avenue, Suite</w:t>
            </w:r>
          </w:p>
        </w:tc>
      </w:tr>
      <w:tr>
        <w:trPr>
          <w:trHeight w:val="216"/>
        </w:trPr>
        <w:tc>
          <w:tcPr>
            <w:tcW w:w="2580" w:type="dxa"/>
            <w:vAlign w:val="bottom"/>
          </w:tcPr>
          <w:p>
            <w:pPr>
              <w:jc w:val="center"/>
              <w:ind w:right="290"/>
              <w:spacing w:after="0"/>
              <w:rPr>
                <w:sz w:val="20"/>
                <w:szCs w:val="20"/>
                <w:color w:val="auto"/>
              </w:rPr>
            </w:pPr>
            <w:r>
              <w:rPr>
                <w:rFonts w:ascii="Arial" w:cs="Arial" w:eastAsia="Arial" w:hAnsi="Arial"/>
                <w:sz w:val="18"/>
                <w:szCs w:val="18"/>
                <w:b w:val="1"/>
                <w:bCs w:val="1"/>
                <w:color w:val="auto"/>
                <w:w w:val="92"/>
              </w:rPr>
              <w:t>Tel: (212) 450-4000</w:t>
            </w:r>
          </w:p>
        </w:tc>
        <w:tc>
          <w:tcPr>
            <w:tcW w:w="3200" w:type="dxa"/>
            <w:vAlign w:val="bottom"/>
          </w:tcPr>
          <w:p>
            <w:pPr>
              <w:jc w:val="center"/>
              <w:ind w:right="230"/>
              <w:spacing w:after="0"/>
              <w:rPr>
                <w:sz w:val="20"/>
                <w:szCs w:val="20"/>
                <w:color w:val="auto"/>
              </w:rPr>
            </w:pPr>
            <w:r>
              <w:rPr>
                <w:rFonts w:ascii="Arial" w:cs="Arial" w:eastAsia="Arial" w:hAnsi="Arial"/>
                <w:sz w:val="18"/>
                <w:szCs w:val="18"/>
                <w:b w:val="1"/>
                <w:bCs w:val="1"/>
                <w:color w:val="auto"/>
                <w:w w:val="90"/>
              </w:rPr>
              <w:t>Cayman Islands</w:t>
            </w:r>
          </w:p>
        </w:tc>
        <w:tc>
          <w:tcPr>
            <w:tcW w:w="202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Boston, MA 02199</w:t>
            </w:r>
          </w:p>
        </w:tc>
        <w:tc>
          <w:tcPr>
            <w:tcW w:w="2900" w:type="dxa"/>
            <w:vAlign w:val="bottom"/>
          </w:tcPr>
          <w:p>
            <w:pPr>
              <w:jc w:val="center"/>
              <w:ind w:left="250"/>
              <w:spacing w:after="0"/>
              <w:rPr>
                <w:sz w:val="20"/>
                <w:szCs w:val="20"/>
                <w:color w:val="auto"/>
              </w:rPr>
            </w:pPr>
            <w:r>
              <w:rPr>
                <w:rFonts w:ascii="Arial" w:cs="Arial" w:eastAsia="Arial" w:hAnsi="Arial"/>
                <w:sz w:val="18"/>
                <w:szCs w:val="18"/>
                <w:b w:val="1"/>
                <w:bCs w:val="1"/>
                <w:color w:val="auto"/>
                <w:w w:val="89"/>
              </w:rPr>
              <w:t>3400</w:t>
            </w:r>
          </w:p>
        </w:tc>
      </w:tr>
      <w:tr>
        <w:trPr>
          <w:trHeight w:val="216"/>
        </w:trPr>
        <w:tc>
          <w:tcPr>
            <w:tcW w:w="2580" w:type="dxa"/>
            <w:vAlign w:val="bottom"/>
          </w:tcPr>
          <w:p>
            <w:pPr>
              <w:spacing w:after="0"/>
              <w:rPr>
                <w:sz w:val="18"/>
                <w:szCs w:val="18"/>
                <w:color w:val="auto"/>
              </w:rPr>
            </w:pPr>
          </w:p>
        </w:tc>
        <w:tc>
          <w:tcPr>
            <w:tcW w:w="3200" w:type="dxa"/>
            <w:vAlign w:val="bottom"/>
          </w:tcPr>
          <w:p>
            <w:pPr>
              <w:jc w:val="center"/>
              <w:ind w:right="210"/>
              <w:spacing w:after="0"/>
              <w:rPr>
                <w:sz w:val="20"/>
                <w:szCs w:val="20"/>
                <w:color w:val="auto"/>
              </w:rPr>
            </w:pPr>
            <w:r>
              <w:rPr>
                <w:rFonts w:ascii="Arial" w:cs="Arial" w:eastAsia="Arial" w:hAnsi="Arial"/>
                <w:sz w:val="18"/>
                <w:szCs w:val="18"/>
                <w:b w:val="1"/>
                <w:bCs w:val="1"/>
                <w:color w:val="auto"/>
                <w:w w:val="91"/>
              </w:rPr>
              <w:t>Tel: (345) 949-8066</w:t>
            </w:r>
          </w:p>
        </w:tc>
        <w:tc>
          <w:tcPr>
            <w:tcW w:w="202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Tel: (617) 951-7000</w:t>
            </w:r>
          </w:p>
        </w:tc>
        <w:tc>
          <w:tcPr>
            <w:tcW w:w="2900" w:type="dxa"/>
            <w:vAlign w:val="bottom"/>
          </w:tcPr>
          <w:p>
            <w:pPr>
              <w:jc w:val="center"/>
              <w:ind w:left="250"/>
              <w:spacing w:after="0"/>
              <w:rPr>
                <w:sz w:val="20"/>
                <w:szCs w:val="20"/>
                <w:color w:val="auto"/>
              </w:rPr>
            </w:pPr>
            <w:r>
              <w:rPr>
                <w:rFonts w:ascii="Arial" w:cs="Arial" w:eastAsia="Arial" w:hAnsi="Arial"/>
                <w:sz w:val="18"/>
                <w:szCs w:val="18"/>
                <w:b w:val="1"/>
                <w:bCs w:val="1"/>
                <w:color w:val="auto"/>
                <w:w w:val="88"/>
              </w:rPr>
              <w:t>Los Angeles, CA 90071</w:t>
            </w:r>
          </w:p>
        </w:tc>
      </w:tr>
      <w:tr>
        <w:trPr>
          <w:trHeight w:val="234"/>
        </w:trPr>
        <w:tc>
          <w:tcPr>
            <w:tcW w:w="258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2900" w:type="dxa"/>
            <w:vAlign w:val="bottom"/>
          </w:tcPr>
          <w:p>
            <w:pPr>
              <w:jc w:val="center"/>
              <w:ind w:left="230"/>
              <w:spacing w:after="0"/>
              <w:rPr>
                <w:sz w:val="20"/>
                <w:szCs w:val="20"/>
                <w:color w:val="auto"/>
              </w:rPr>
            </w:pPr>
            <w:r>
              <w:rPr>
                <w:rFonts w:ascii="Arial" w:cs="Arial" w:eastAsia="Arial" w:hAnsi="Arial"/>
                <w:sz w:val="18"/>
                <w:szCs w:val="18"/>
                <w:b w:val="1"/>
                <w:bCs w:val="1"/>
                <w:color w:val="auto"/>
                <w:w w:val="91"/>
              </w:rPr>
              <w:t>Tel: (213) 687-5000</w:t>
            </w:r>
          </w:p>
        </w:tc>
      </w:tr>
    </w:tbl>
    <w:p>
      <w:pPr>
        <w:spacing w:after="0" w:line="200" w:lineRule="exact"/>
        <w:rPr>
          <w:sz w:val="24"/>
          <w:szCs w:val="24"/>
          <w:color w:val="auto"/>
        </w:rPr>
      </w:pPr>
    </w:p>
    <w:p>
      <w:pPr>
        <w:spacing w:after="0" w:line="214" w:lineRule="exact"/>
        <w:rPr>
          <w:sz w:val="24"/>
          <w:szCs w:val="24"/>
          <w:color w:val="auto"/>
        </w:rPr>
      </w:pPr>
    </w:p>
    <w:p>
      <w:pPr>
        <w:jc w:val="both"/>
        <w:ind w:left="340" w:right="40"/>
        <w:spacing w:after="0" w:line="290" w:lineRule="auto"/>
        <w:rPr>
          <w:sz w:val="20"/>
          <w:szCs w:val="20"/>
          <w:color w:val="auto"/>
        </w:rPr>
      </w:pPr>
      <w:r>
        <w:rPr>
          <w:rFonts w:ascii="Arial" w:cs="Arial" w:eastAsia="Arial" w:hAnsi="Arial"/>
          <w:sz w:val="16"/>
          <w:szCs w:val="16"/>
          <w:b w:val="1"/>
          <w:bCs w:val="1"/>
          <w:color w:val="auto"/>
        </w:rPr>
        <w:t>Approximate date of commencement of proposed sale to the public</w:t>
      </w:r>
      <w:r>
        <w:rPr>
          <w:rFonts w:ascii="Arial" w:cs="Arial" w:eastAsia="Arial" w:hAnsi="Arial"/>
          <w:sz w:val="16"/>
          <w:szCs w:val="16"/>
          <w:color w:val="auto"/>
        </w:rPr>
        <w:t>: As soon as practicable after the effective date of this Registration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If any of the securities being registered on this form are to be offered on a delayed or continuous basis pursuant to Rule 415 under the Securities Act of</w:t>
      </w:r>
    </w:p>
    <w:p>
      <w:pPr>
        <w:spacing w:after="0" w:line="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1933, check the following box. </w:t>
      </w:r>
      <w:r>
        <w:rPr>
          <w:rFonts w:ascii="MS PGothic" w:cs="MS PGothic" w:eastAsia="MS PGothic" w:hAnsi="MS PGothic"/>
          <w:sz w:val="18"/>
          <w:szCs w:val="18"/>
          <w:color w:val="auto"/>
        </w:rPr>
        <w:t>☐</w:t>
      </w:r>
    </w:p>
    <w:p>
      <w:pPr>
        <w:spacing w:after="0" w:line="16" w:lineRule="exact"/>
        <w:rPr>
          <w:sz w:val="24"/>
          <w:szCs w:val="24"/>
          <w:color w:val="auto"/>
        </w:rPr>
      </w:pPr>
    </w:p>
    <w:p>
      <w:pPr>
        <w:ind w:right="20" w:firstLine="324"/>
        <w:spacing w:after="0" w:line="216" w:lineRule="exact"/>
        <w:rPr>
          <w:sz w:val="20"/>
          <w:szCs w:val="20"/>
          <w:color w:val="auto"/>
        </w:rPr>
      </w:pPr>
      <w:r>
        <w:rPr>
          <w:rFonts w:ascii="Arial" w:cs="Arial" w:eastAsia="Arial" w:hAnsi="Arial"/>
          <w:sz w:val="17"/>
          <w:szCs w:val="17"/>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7"/>
          <w:szCs w:val="17"/>
          <w:color w:val="auto"/>
        </w:rPr>
        <w:t>☐</w:t>
      </w:r>
      <w:r>
        <w:rPr>
          <w:rFonts w:ascii="Arial" w:cs="Arial" w:eastAsia="Arial" w:hAnsi="Arial"/>
          <w:sz w:val="17"/>
          <w:szCs w:val="17"/>
          <w:color w:val="auto"/>
        </w:rPr>
        <w:t xml:space="preserve"> __________</w:t>
      </w:r>
    </w:p>
    <w:p>
      <w:pPr>
        <w:ind w:right="260" w:firstLine="324"/>
        <w:spacing w:after="0" w:line="216" w:lineRule="exact"/>
        <w:rPr>
          <w:sz w:val="20"/>
          <w:szCs w:val="20"/>
          <w:color w:val="auto"/>
        </w:rPr>
      </w:pPr>
      <w:r>
        <w:rPr>
          <w:rFonts w:ascii="Arial" w:cs="Arial" w:eastAsia="Arial" w:hAnsi="Arial"/>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r>
        <w:rPr>
          <w:rFonts w:ascii="Arial" w:cs="Arial" w:eastAsia="Arial" w:hAnsi="Arial"/>
          <w:sz w:val="18"/>
          <w:szCs w:val="18"/>
          <w:color w:val="auto"/>
        </w:rPr>
        <w:t xml:space="preserve"> __________</w:t>
      </w:r>
    </w:p>
    <w:p>
      <w:pPr>
        <w:spacing w:after="0" w:line="1" w:lineRule="exact"/>
        <w:rPr>
          <w:sz w:val="24"/>
          <w:szCs w:val="24"/>
          <w:color w:val="auto"/>
        </w:rPr>
      </w:pPr>
    </w:p>
    <w:p>
      <w:pPr>
        <w:ind w:right="240" w:firstLine="324"/>
        <w:spacing w:after="0" w:line="216" w:lineRule="exact"/>
        <w:rPr>
          <w:sz w:val="20"/>
          <w:szCs w:val="20"/>
          <w:color w:val="auto"/>
        </w:rPr>
      </w:pPr>
      <w:r>
        <w:rPr>
          <w:rFonts w:ascii="Arial" w:cs="Arial" w:eastAsia="Arial" w:hAnsi="Arial"/>
          <w:sz w:val="18"/>
          <w:szCs w:val="18"/>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r>
        <w:rPr>
          <w:rFonts w:ascii="Arial" w:cs="Arial" w:eastAsia="Arial" w:hAnsi="Arial"/>
          <w:sz w:val="18"/>
          <w:szCs w:val="18"/>
          <w:color w:val="auto"/>
        </w:rPr>
        <w:t xml:space="preserve"> __________</w:t>
      </w:r>
    </w:p>
    <w:p>
      <w:pPr>
        <w:spacing w:after="0" w:line="1" w:lineRule="exact"/>
        <w:rPr>
          <w:sz w:val="24"/>
          <w:szCs w:val="24"/>
          <w:color w:val="auto"/>
        </w:rPr>
      </w:pPr>
    </w:p>
    <w:p>
      <w:pPr>
        <w:ind w:right="20" w:firstLine="324"/>
        <w:spacing w:after="0" w:line="280"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w:t>
      </w:r>
    </w:p>
    <w:tbl>
      <w:tblPr>
        <w:tblLayout w:type="fixed"/>
        <w:tblInd w:w="0" w:type="dxa"/>
        <w:tblCellMar>
          <w:top w:w="0" w:type="dxa"/>
          <w:left w:w="0" w:type="dxa"/>
          <w:bottom w:w="0" w:type="dxa"/>
          <w:right w:w="0" w:type="dxa"/>
        </w:tblCellMar>
      </w:tblPr>
      <w:tr>
        <w:trPr>
          <w:trHeight w:val="170"/>
        </w:trPr>
        <w:tc>
          <w:tcPr>
            <w:tcW w:w="4880" w:type="dxa"/>
            <w:vAlign w:val="bottom"/>
            <w:gridSpan w:val="2"/>
          </w:tcPr>
          <w:p>
            <w:pPr>
              <w:spacing w:after="0" w:line="170" w:lineRule="exact"/>
              <w:rPr>
                <w:sz w:val="20"/>
                <w:szCs w:val="20"/>
                <w:color w:val="auto"/>
              </w:rPr>
            </w:pPr>
            <w:r>
              <w:rPr>
                <w:rFonts w:ascii="Arial" w:cs="Arial" w:eastAsia="Arial" w:hAnsi="Arial"/>
                <w:sz w:val="18"/>
                <w:szCs w:val="18"/>
                <w:color w:val="auto"/>
              </w:rPr>
              <w:t>company” in Rule 12b-2 of the Exchange Act.</w:t>
            </w:r>
          </w:p>
        </w:tc>
        <w:tc>
          <w:tcPr>
            <w:tcW w:w="3760" w:type="dxa"/>
            <w:vAlign w:val="bottom"/>
            <w:vMerge w:val="restart"/>
          </w:tcPr>
          <w:p>
            <w:pPr>
              <w:ind w:left="1540"/>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6"/>
        </w:trPr>
        <w:tc>
          <w:tcPr>
            <w:tcW w:w="1940" w:type="dxa"/>
            <w:vAlign w:val="bottom"/>
          </w:tcPr>
          <w:p>
            <w:pPr>
              <w:ind w:left="340"/>
              <w:spacing w:after="0"/>
              <w:rPr>
                <w:sz w:val="20"/>
                <w:szCs w:val="20"/>
                <w:color w:val="auto"/>
              </w:rPr>
            </w:pPr>
            <w:r>
              <w:rPr>
                <w:rFonts w:ascii="Arial" w:cs="Arial" w:eastAsia="Arial" w:hAnsi="Arial"/>
                <w:sz w:val="18"/>
                <w:szCs w:val="18"/>
                <w:color w:val="auto"/>
                <w:w w:val="88"/>
              </w:rPr>
              <w:t>Large accelerated filer</w:t>
            </w:r>
          </w:p>
        </w:tc>
        <w:tc>
          <w:tcPr>
            <w:tcW w:w="2940" w:type="dxa"/>
            <w:vAlign w:val="bottom"/>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37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40" w:type="dxa"/>
            <w:vAlign w:val="bottom"/>
          </w:tcPr>
          <w:p>
            <w:pPr>
              <w:ind w:left="340"/>
              <w:spacing w:after="0"/>
              <w:rPr>
                <w:sz w:val="20"/>
                <w:szCs w:val="20"/>
                <w:color w:val="auto"/>
              </w:rPr>
            </w:pPr>
            <w:r>
              <w:rPr>
                <w:rFonts w:ascii="Arial" w:cs="Arial" w:eastAsia="Arial" w:hAnsi="Arial"/>
                <w:sz w:val="18"/>
                <w:szCs w:val="18"/>
                <w:color w:val="auto"/>
                <w:w w:val="95"/>
              </w:rPr>
              <w:t>Non-accelerated filer</w:t>
            </w:r>
          </w:p>
        </w:tc>
        <w:tc>
          <w:tcPr>
            <w:tcW w:w="294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3760" w:type="dxa"/>
            <w:vAlign w:val="bottom"/>
          </w:tcPr>
          <w:p>
            <w:pPr>
              <w:ind w:left="1540"/>
              <w:spacing w:after="0" w:line="207" w:lineRule="exact"/>
              <w:rPr>
                <w:sz w:val="20"/>
                <w:szCs w:val="20"/>
                <w:color w:val="auto"/>
              </w:rPr>
            </w:pPr>
            <w:r>
              <w:rPr>
                <w:rFonts w:ascii="Arial" w:cs="Arial" w:eastAsia="Arial" w:hAnsi="Arial"/>
                <w:sz w:val="18"/>
                <w:szCs w:val="18"/>
                <w:color w:val="auto"/>
                <w:w w:val="92"/>
              </w:rPr>
              <w:t xml:space="preserve">Smaller reporting company </w:t>
            </w:r>
            <w:r>
              <w:rPr>
                <w:rFonts w:ascii="MS PGothic" w:cs="MS PGothic" w:eastAsia="MS PGothic" w:hAnsi="MS PGothic"/>
                <w:sz w:val="18"/>
                <w:szCs w:val="18"/>
                <w:color w:val="auto"/>
                <w:w w:val="92"/>
              </w:rPr>
              <w:t>☒</w:t>
            </w:r>
          </w:p>
        </w:tc>
        <w:tc>
          <w:tcPr>
            <w:tcW w:w="0" w:type="dxa"/>
            <w:vAlign w:val="bottom"/>
          </w:tcPr>
          <w:p>
            <w:pPr>
              <w:spacing w:after="0"/>
              <w:rPr>
                <w:sz w:val="1"/>
                <w:szCs w:val="1"/>
                <w:color w:val="auto"/>
              </w:rPr>
            </w:pPr>
          </w:p>
        </w:tc>
      </w:tr>
      <w:tr>
        <w:trPr>
          <w:trHeight w:val="265"/>
        </w:trPr>
        <w:tc>
          <w:tcPr>
            <w:tcW w:w="1940" w:type="dxa"/>
            <w:vAlign w:val="bottom"/>
          </w:tcPr>
          <w:p>
            <w:pPr>
              <w:spacing w:after="0"/>
              <w:rPr>
                <w:sz w:val="23"/>
                <w:szCs w:val="23"/>
                <w:color w:val="auto"/>
              </w:rPr>
            </w:pPr>
          </w:p>
        </w:tc>
        <w:tc>
          <w:tcPr>
            <w:tcW w:w="2940" w:type="dxa"/>
            <w:vAlign w:val="bottom"/>
          </w:tcPr>
          <w:p>
            <w:pPr>
              <w:spacing w:after="0"/>
              <w:rPr>
                <w:sz w:val="23"/>
                <w:szCs w:val="23"/>
                <w:color w:val="auto"/>
              </w:rPr>
            </w:pPr>
          </w:p>
        </w:tc>
        <w:tc>
          <w:tcPr>
            <w:tcW w:w="3760" w:type="dxa"/>
            <w:vAlign w:val="bottom"/>
          </w:tcPr>
          <w:p>
            <w:pPr>
              <w:ind w:left="1540"/>
              <w:spacing w:after="0" w:line="207" w:lineRule="exact"/>
              <w:rPr>
                <w:sz w:val="20"/>
                <w:szCs w:val="20"/>
                <w:color w:val="auto"/>
              </w:rPr>
            </w:pPr>
            <w:r>
              <w:rPr>
                <w:rFonts w:ascii="Arial" w:cs="Arial" w:eastAsia="Arial" w:hAnsi="Arial"/>
                <w:sz w:val="18"/>
                <w:szCs w:val="18"/>
                <w:color w:val="auto"/>
                <w:w w:val="92"/>
              </w:rPr>
              <w:t xml:space="preserve">Emerging growth company </w:t>
            </w:r>
            <w:r>
              <w:rPr>
                <w:rFonts w:ascii="MS PGothic" w:cs="MS PGothic" w:eastAsia="MS PGothic" w:hAnsi="MS PGothic"/>
                <w:sz w:val="18"/>
                <w:szCs w:val="18"/>
                <w:color w:val="auto"/>
                <w:w w:val="92"/>
              </w:rPr>
              <w:t>☒</w:t>
            </w:r>
          </w:p>
        </w:tc>
        <w:tc>
          <w:tcPr>
            <w:tcW w:w="0" w:type="dxa"/>
            <w:vAlign w:val="bottom"/>
          </w:tcPr>
          <w:p>
            <w:pPr>
              <w:spacing w:after="0"/>
              <w:rPr>
                <w:sz w:val="1"/>
                <w:szCs w:val="1"/>
                <w:color w:val="auto"/>
              </w:rPr>
            </w:pPr>
          </w:p>
        </w:tc>
      </w:tr>
    </w:tbl>
    <w:p>
      <w:pPr>
        <w:ind w:right="180" w:firstLine="324"/>
        <w:spacing w:after="0" w:line="22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2473960</wp:posOffset>
            </wp:positionH>
            <wp:positionV relativeFrom="paragraph">
              <wp:posOffset>-3175</wp:posOffset>
            </wp:positionV>
            <wp:extent cx="21945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194560" cy="825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color w:val="auto"/>
        </w:rPr>
        <w:t>CALCULATION OF REGISTRATION FEE</w:t>
      </w:r>
    </w:p>
    <w:p>
      <w:pPr>
        <w:spacing w:after="0" w:line="27" w:lineRule="exact"/>
        <w:rPr>
          <w:sz w:val="24"/>
          <w:szCs w:val="24"/>
          <w:color w:val="auto"/>
        </w:rPr>
      </w:pPr>
    </w:p>
    <w:tbl>
      <w:tblPr>
        <w:tblLayout w:type="fixed"/>
        <w:tblInd w:w="0" w:type="dxa"/>
        <w:tblCellMar>
          <w:top w:w="0" w:type="dxa"/>
          <w:left w:w="0" w:type="dxa"/>
          <w:bottom w:w="0" w:type="dxa"/>
          <w:right w:w="0" w:type="dxa"/>
        </w:tblCellMar>
      </w:tblPr>
      <w:tr>
        <w:trPr>
          <w:trHeight w:val="205"/>
        </w:trPr>
        <w:tc>
          <w:tcPr>
            <w:tcW w:w="5660" w:type="dxa"/>
            <w:vAlign w:val="bottom"/>
            <w:tcBorders>
              <w:top w:val="single" w:sz="8" w:color="auto"/>
              <w:right w:val="single" w:sz="8" w:color="auto"/>
            </w:tcBorders>
          </w:tcPr>
          <w:p>
            <w:pPr>
              <w:spacing w:after="0"/>
              <w:rPr>
                <w:sz w:val="17"/>
                <w:szCs w:val="17"/>
                <w:color w:val="auto"/>
              </w:rPr>
            </w:pPr>
          </w:p>
        </w:tc>
        <w:tc>
          <w:tcPr>
            <w:tcW w:w="1460" w:type="dxa"/>
            <w:vAlign w:val="bottom"/>
            <w:tcBorders>
              <w:top w:val="single" w:sz="8" w:color="auto"/>
              <w:right w:val="single" w:sz="8" w:color="auto"/>
            </w:tcBorders>
          </w:tcPr>
          <w:p>
            <w:pPr>
              <w:spacing w:after="0"/>
              <w:rPr>
                <w:sz w:val="17"/>
                <w:szCs w:val="17"/>
                <w:color w:val="auto"/>
              </w:rPr>
            </w:pPr>
          </w:p>
        </w:tc>
        <w:tc>
          <w:tcPr>
            <w:tcW w:w="1340" w:type="dxa"/>
            <w:vAlign w:val="bottom"/>
            <w:tcBorders>
              <w:top w:val="single" w:sz="8" w:color="auto"/>
              <w:right w:val="single" w:sz="8" w:color="auto"/>
            </w:tcBorders>
          </w:tcPr>
          <w:p>
            <w:pPr>
              <w:jc w:val="center"/>
              <w:spacing w:after="0" w:line="205" w:lineRule="exact"/>
              <w:rPr>
                <w:sz w:val="20"/>
                <w:szCs w:val="20"/>
                <w:color w:val="auto"/>
              </w:rPr>
            </w:pPr>
            <w:r>
              <w:rPr>
                <w:rFonts w:ascii="Arial" w:cs="Arial" w:eastAsia="Arial" w:hAnsi="Arial"/>
                <w:sz w:val="18"/>
                <w:szCs w:val="18"/>
                <w:b w:val="1"/>
                <w:bCs w:val="1"/>
                <w:color w:val="auto"/>
                <w:w w:val="86"/>
              </w:rPr>
              <w:t>Proposed</w:t>
            </w:r>
          </w:p>
        </w:tc>
        <w:tc>
          <w:tcPr>
            <w:tcW w:w="1460" w:type="dxa"/>
            <w:vAlign w:val="bottom"/>
            <w:tcBorders>
              <w:top w:val="single" w:sz="8" w:color="auto"/>
              <w:right w:val="single" w:sz="8" w:color="auto"/>
            </w:tcBorders>
          </w:tcPr>
          <w:p>
            <w:pPr>
              <w:jc w:val="center"/>
              <w:spacing w:after="0" w:line="205" w:lineRule="exact"/>
              <w:rPr>
                <w:sz w:val="20"/>
                <w:szCs w:val="20"/>
                <w:color w:val="auto"/>
              </w:rPr>
            </w:pPr>
            <w:r>
              <w:rPr>
                <w:rFonts w:ascii="Arial" w:cs="Arial" w:eastAsia="Arial" w:hAnsi="Arial"/>
                <w:sz w:val="18"/>
                <w:szCs w:val="18"/>
                <w:b w:val="1"/>
                <w:bCs w:val="1"/>
                <w:color w:val="auto"/>
                <w:w w:val="86"/>
              </w:rPr>
              <w:t>Proposed</w:t>
            </w:r>
          </w:p>
        </w:tc>
        <w:tc>
          <w:tcPr>
            <w:tcW w:w="1320" w:type="dxa"/>
            <w:vAlign w:val="bottom"/>
            <w:tcBorders>
              <w:top w:val="single" w:sz="8" w:color="auto"/>
            </w:tcBorders>
          </w:tcPr>
          <w:p>
            <w:pPr>
              <w:spacing w:after="0"/>
              <w:rPr>
                <w:sz w:val="17"/>
                <w:szCs w:val="17"/>
                <w:color w:val="auto"/>
              </w:rPr>
            </w:pPr>
          </w:p>
        </w:tc>
      </w:tr>
      <w:tr>
        <w:trPr>
          <w:trHeight w:val="216"/>
        </w:trPr>
        <w:tc>
          <w:tcPr>
            <w:tcW w:w="5660" w:type="dxa"/>
            <w:vAlign w:val="bottom"/>
            <w:tcBorders>
              <w:right w:val="single" w:sz="8" w:color="auto"/>
            </w:tcBorders>
          </w:tcPr>
          <w:p>
            <w:pPr>
              <w:spacing w:after="0"/>
              <w:rPr>
                <w:sz w:val="18"/>
                <w:szCs w:val="18"/>
                <w:color w:val="auto"/>
              </w:rPr>
            </w:pPr>
          </w:p>
        </w:tc>
        <w:tc>
          <w:tcPr>
            <w:tcW w:w="146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Maximum</w:t>
            </w: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Maximum</w:t>
            </w: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94"/>
              </w:rPr>
              <w:t>Amount Of</w:t>
            </w:r>
          </w:p>
        </w:tc>
      </w:tr>
      <w:tr>
        <w:trPr>
          <w:trHeight w:val="221"/>
        </w:trPr>
        <w:tc>
          <w:tcPr>
            <w:tcW w:w="5660" w:type="dxa"/>
            <w:vAlign w:val="bottom"/>
            <w:tcBorders>
              <w:right w:val="single" w:sz="8" w:color="auto"/>
            </w:tcBorders>
          </w:tcPr>
          <w:p>
            <w:pPr>
              <w:ind w:left="2080"/>
              <w:spacing w:after="0"/>
              <w:rPr>
                <w:sz w:val="20"/>
                <w:szCs w:val="20"/>
                <w:color w:val="auto"/>
              </w:rPr>
            </w:pPr>
            <w:r>
              <w:rPr>
                <w:rFonts w:ascii="Arial" w:cs="Arial" w:eastAsia="Arial" w:hAnsi="Arial"/>
                <w:sz w:val="18"/>
                <w:szCs w:val="18"/>
                <w:b w:val="1"/>
                <w:bCs w:val="1"/>
                <w:color w:val="auto"/>
              </w:rPr>
              <w:t>Title Of Each Class</w:t>
            </w: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Amount To Be</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Offering Price</w:t>
            </w: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Aggregate</w:t>
            </w: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91"/>
              </w:rPr>
              <w:t>Registration</w:t>
            </w:r>
          </w:p>
        </w:tc>
      </w:tr>
      <w:tr>
        <w:trPr>
          <w:trHeight w:val="270"/>
        </w:trPr>
        <w:tc>
          <w:tcPr>
            <w:tcW w:w="5660" w:type="dxa"/>
            <w:vAlign w:val="bottom"/>
            <w:tcBorders>
              <w:bottom w:val="single" w:sz="8" w:color="auto"/>
              <w:right w:val="single" w:sz="8" w:color="auto"/>
            </w:tcBorders>
          </w:tcPr>
          <w:p>
            <w:pPr>
              <w:ind w:left="1660"/>
              <w:spacing w:after="0"/>
              <w:rPr>
                <w:sz w:val="20"/>
                <w:szCs w:val="20"/>
                <w:color w:val="auto"/>
              </w:rPr>
            </w:pPr>
            <w:r>
              <w:rPr>
                <w:rFonts w:ascii="Arial" w:cs="Arial" w:eastAsia="Arial" w:hAnsi="Arial"/>
                <w:sz w:val="18"/>
                <w:szCs w:val="18"/>
                <w:b w:val="1"/>
                <w:bCs w:val="1"/>
                <w:color w:val="auto"/>
              </w:rPr>
              <w:t>Of Securities To Be Registered</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5"/>
              </w:rPr>
              <w:t>Registered</w:t>
            </w:r>
          </w:p>
        </w:tc>
        <w:tc>
          <w:tcPr>
            <w:tcW w:w="1340" w:type="dxa"/>
            <w:vAlign w:val="bottom"/>
            <w:tcBorders>
              <w:bottom w:val="single" w:sz="8" w:color="auto"/>
              <w:right w:val="single" w:sz="8" w:color="auto"/>
            </w:tcBorders>
          </w:tcPr>
          <w:p>
            <w:pPr>
              <w:jc w:val="center"/>
              <w:spacing w:after="0" w:line="270" w:lineRule="exact"/>
              <w:rPr>
                <w:sz w:val="20"/>
                <w:szCs w:val="20"/>
                <w:color w:val="auto"/>
              </w:rPr>
            </w:pPr>
            <w:r>
              <w:rPr>
                <w:rFonts w:ascii="Arial" w:cs="Arial" w:eastAsia="Arial" w:hAnsi="Arial"/>
                <w:sz w:val="18"/>
                <w:szCs w:val="18"/>
                <w:b w:val="1"/>
                <w:bCs w:val="1"/>
                <w:color w:val="auto"/>
                <w:w w:val="87"/>
              </w:rPr>
              <w:t>Per Security</w:t>
            </w:r>
            <w:r>
              <w:rPr>
                <w:rFonts w:ascii="Arial" w:cs="Arial" w:eastAsia="Arial" w:hAnsi="Arial"/>
                <w:sz w:val="29"/>
                <w:szCs w:val="29"/>
                <w:b w:val="1"/>
                <w:bCs w:val="1"/>
                <w:color w:val="auto"/>
                <w:w w:val="87"/>
                <w:vertAlign w:val="superscript"/>
              </w:rPr>
              <w:t>(1)</w:t>
            </w:r>
          </w:p>
        </w:tc>
        <w:tc>
          <w:tcPr>
            <w:tcW w:w="1460" w:type="dxa"/>
            <w:vAlign w:val="bottom"/>
            <w:tcBorders>
              <w:bottom w:val="single" w:sz="8" w:color="auto"/>
              <w:right w:val="single" w:sz="8" w:color="auto"/>
            </w:tcBorders>
          </w:tcPr>
          <w:p>
            <w:pPr>
              <w:jc w:val="center"/>
              <w:spacing w:after="0" w:line="270" w:lineRule="exact"/>
              <w:rPr>
                <w:sz w:val="20"/>
                <w:szCs w:val="20"/>
                <w:color w:val="auto"/>
              </w:rPr>
            </w:pPr>
            <w:r>
              <w:rPr>
                <w:rFonts w:ascii="Arial" w:cs="Arial" w:eastAsia="Arial" w:hAnsi="Arial"/>
                <w:sz w:val="18"/>
                <w:szCs w:val="18"/>
                <w:b w:val="1"/>
                <w:bCs w:val="1"/>
                <w:color w:val="auto"/>
                <w:w w:val="89"/>
              </w:rPr>
              <w:t>Offering Price</w:t>
            </w:r>
            <w:r>
              <w:rPr>
                <w:rFonts w:ascii="Arial" w:cs="Arial" w:eastAsia="Arial" w:hAnsi="Arial"/>
                <w:sz w:val="29"/>
                <w:szCs w:val="29"/>
                <w:b w:val="1"/>
                <w:bCs w:val="1"/>
                <w:color w:val="auto"/>
                <w:w w:val="89"/>
                <w:vertAlign w:val="superscript"/>
              </w:rPr>
              <w:t>(1)</w:t>
            </w:r>
          </w:p>
        </w:tc>
        <w:tc>
          <w:tcPr>
            <w:tcW w:w="1320" w:type="dxa"/>
            <w:vAlign w:val="bottom"/>
            <w:tcBorders>
              <w:bottom w:val="single" w:sz="8" w:color="auto"/>
            </w:tcBorders>
          </w:tcPr>
          <w:p>
            <w:pPr>
              <w:jc w:val="center"/>
              <w:spacing w:after="0" w:line="270" w:lineRule="exact"/>
              <w:rPr>
                <w:sz w:val="20"/>
                <w:szCs w:val="20"/>
                <w:color w:val="auto"/>
              </w:rPr>
            </w:pPr>
            <w:r>
              <w:rPr>
                <w:rFonts w:ascii="Arial" w:cs="Arial" w:eastAsia="Arial" w:hAnsi="Arial"/>
                <w:sz w:val="18"/>
                <w:szCs w:val="18"/>
                <w:b w:val="1"/>
                <w:bCs w:val="1"/>
                <w:color w:val="auto"/>
                <w:w w:val="80"/>
              </w:rPr>
              <w:t>Fee</w:t>
            </w:r>
            <w:r>
              <w:rPr>
                <w:rFonts w:ascii="Arial" w:cs="Arial" w:eastAsia="Arial" w:hAnsi="Arial"/>
                <w:sz w:val="29"/>
                <w:szCs w:val="29"/>
                <w:b w:val="1"/>
                <w:bCs w:val="1"/>
                <w:color w:val="auto"/>
                <w:w w:val="80"/>
                <w:vertAlign w:val="superscript"/>
              </w:rPr>
              <w:t>(2)</w:t>
            </w:r>
          </w:p>
        </w:tc>
      </w:tr>
      <w:tr>
        <w:trPr>
          <w:trHeight w:val="199"/>
        </w:trPr>
        <w:tc>
          <w:tcPr>
            <w:tcW w:w="5660" w:type="dxa"/>
            <w:vAlign w:val="bottom"/>
            <w:tcBorders>
              <w:right w:val="single" w:sz="8" w:color="auto"/>
            </w:tcBorders>
          </w:tcPr>
          <w:p>
            <w:pPr>
              <w:spacing w:after="0" w:line="199" w:lineRule="exact"/>
              <w:rPr>
                <w:sz w:val="20"/>
                <w:szCs w:val="20"/>
                <w:color w:val="auto"/>
              </w:rPr>
            </w:pPr>
            <w:r>
              <w:rPr>
                <w:rFonts w:ascii="Arial" w:cs="Arial" w:eastAsia="Arial" w:hAnsi="Arial"/>
                <w:sz w:val="18"/>
                <w:szCs w:val="18"/>
                <w:color w:val="auto"/>
                <w:w w:val="91"/>
              </w:rPr>
              <w:t>Units, each consisting of one Class A ordinary share, $0.0001 par value, and</w:t>
            </w:r>
          </w:p>
        </w:tc>
        <w:tc>
          <w:tcPr>
            <w:tcW w:w="1460" w:type="dxa"/>
            <w:vAlign w:val="bottom"/>
            <w:tcBorders>
              <w:right w:val="single" w:sz="8" w:color="auto"/>
            </w:tcBorders>
          </w:tcPr>
          <w:p>
            <w:pPr>
              <w:spacing w:after="0"/>
              <w:rPr>
                <w:sz w:val="17"/>
                <w:szCs w:val="17"/>
                <w:color w:val="auto"/>
              </w:rPr>
            </w:pPr>
          </w:p>
        </w:tc>
        <w:tc>
          <w:tcPr>
            <w:tcW w:w="1340" w:type="dxa"/>
            <w:vAlign w:val="bottom"/>
            <w:tcBorders>
              <w:right w:val="single" w:sz="8" w:color="auto"/>
            </w:tcBorders>
          </w:tcPr>
          <w:p>
            <w:pPr>
              <w:spacing w:after="0"/>
              <w:rPr>
                <w:sz w:val="17"/>
                <w:szCs w:val="17"/>
                <w:color w:val="auto"/>
              </w:rPr>
            </w:pPr>
          </w:p>
        </w:tc>
        <w:tc>
          <w:tcPr>
            <w:tcW w:w="1460" w:type="dxa"/>
            <w:vAlign w:val="bottom"/>
            <w:tcBorders>
              <w:right w:val="single" w:sz="8" w:color="auto"/>
            </w:tcBorders>
          </w:tcPr>
          <w:p>
            <w:pPr>
              <w:spacing w:after="0"/>
              <w:rPr>
                <w:sz w:val="17"/>
                <w:szCs w:val="17"/>
                <w:color w:val="auto"/>
              </w:rPr>
            </w:pPr>
          </w:p>
        </w:tc>
        <w:tc>
          <w:tcPr>
            <w:tcW w:w="1320" w:type="dxa"/>
            <w:vAlign w:val="bottom"/>
          </w:tcPr>
          <w:p>
            <w:pPr>
              <w:spacing w:after="0"/>
              <w:rPr>
                <w:sz w:val="17"/>
                <w:szCs w:val="17"/>
                <w:color w:val="auto"/>
              </w:rPr>
            </w:pPr>
          </w:p>
        </w:tc>
      </w:tr>
      <w:tr>
        <w:trPr>
          <w:trHeight w:val="267"/>
        </w:trPr>
        <w:tc>
          <w:tcPr>
            <w:tcW w:w="5660" w:type="dxa"/>
            <w:vAlign w:val="bottom"/>
            <w:tcBorders>
              <w:bottom w:val="single" w:sz="8" w:color="auto"/>
              <w:right w:val="single" w:sz="8" w:color="auto"/>
            </w:tcBorders>
          </w:tcPr>
          <w:p>
            <w:pPr>
              <w:spacing w:after="0" w:line="267" w:lineRule="exact"/>
              <w:rPr>
                <w:sz w:val="20"/>
                <w:szCs w:val="20"/>
                <w:color w:val="auto"/>
              </w:rPr>
            </w:pPr>
            <w:r>
              <w:rPr>
                <w:rFonts w:ascii="Arial" w:cs="Arial" w:eastAsia="Arial" w:hAnsi="Arial"/>
                <w:sz w:val="18"/>
                <w:szCs w:val="18"/>
                <w:color w:val="auto"/>
              </w:rPr>
              <w:t>one-fourth of one redeemable warrant</w:t>
            </w:r>
            <w:r>
              <w:rPr>
                <w:rFonts w:ascii="Arial" w:cs="Arial" w:eastAsia="Arial" w:hAnsi="Arial"/>
                <w:sz w:val="29"/>
                <w:szCs w:val="29"/>
                <w:color w:val="auto"/>
                <w:vertAlign w:val="superscript"/>
              </w:rPr>
              <w:t>(3)</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28,750,000 Units</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 $10.00</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$ 287,500,000</w:t>
            </w: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$ 31,366.25</w:t>
            </w:r>
          </w:p>
        </w:tc>
      </w:tr>
      <w:tr>
        <w:trPr>
          <w:trHeight w:val="250"/>
        </w:trPr>
        <w:tc>
          <w:tcPr>
            <w:tcW w:w="5660" w:type="dxa"/>
            <w:vAlign w:val="bottom"/>
            <w:tcBorders>
              <w:bottom w:val="single" w:sz="8" w:color="auto"/>
              <w:right w:val="single" w:sz="8" w:color="auto"/>
            </w:tcBorders>
          </w:tcPr>
          <w:p>
            <w:pPr>
              <w:spacing w:after="0" w:line="250" w:lineRule="exact"/>
              <w:rPr>
                <w:sz w:val="20"/>
                <w:szCs w:val="20"/>
                <w:color w:val="auto"/>
              </w:rPr>
            </w:pPr>
            <w:r>
              <w:rPr>
                <w:rFonts w:ascii="Arial" w:cs="Arial" w:eastAsia="Arial" w:hAnsi="Arial"/>
                <w:sz w:val="17"/>
                <w:szCs w:val="17"/>
                <w:color w:val="auto"/>
              </w:rPr>
              <w:t>Class A ordinary shares included as part of the units</w:t>
            </w:r>
            <w:r>
              <w:rPr>
                <w:rFonts w:ascii="Arial" w:cs="Arial" w:eastAsia="Arial" w:hAnsi="Arial"/>
                <w:sz w:val="28"/>
                <w:szCs w:val="28"/>
                <w:color w:val="auto"/>
                <w:vertAlign w:val="superscript"/>
              </w:rPr>
              <w:t>(4)</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6"/>
              </w:rPr>
              <w:t>28,750,000 Shares</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center"/>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3"/>
                <w:szCs w:val="13"/>
                <w:color w:val="auto"/>
              </w:rPr>
              <w:t xml:space="preserve"> (5)</w:t>
            </w:r>
          </w:p>
        </w:tc>
      </w:tr>
      <w:tr>
        <w:trPr>
          <w:trHeight w:val="250"/>
        </w:trPr>
        <w:tc>
          <w:tcPr>
            <w:tcW w:w="5660" w:type="dxa"/>
            <w:vAlign w:val="bottom"/>
            <w:tcBorders>
              <w:bottom w:val="single" w:sz="8" w:color="auto"/>
              <w:right w:val="single" w:sz="8" w:color="auto"/>
            </w:tcBorders>
          </w:tcPr>
          <w:p>
            <w:pPr>
              <w:spacing w:after="0" w:line="250" w:lineRule="exact"/>
              <w:rPr>
                <w:sz w:val="20"/>
                <w:szCs w:val="20"/>
                <w:color w:val="auto"/>
              </w:rPr>
            </w:pPr>
            <w:r>
              <w:rPr>
                <w:rFonts w:ascii="Arial" w:cs="Arial" w:eastAsia="Arial" w:hAnsi="Arial"/>
                <w:sz w:val="17"/>
                <w:szCs w:val="17"/>
                <w:color w:val="auto"/>
              </w:rPr>
              <w:t>Redeemable warrants included as part of the units</w:t>
            </w:r>
            <w:r>
              <w:rPr>
                <w:rFonts w:ascii="Arial" w:cs="Arial" w:eastAsia="Arial" w:hAnsi="Arial"/>
                <w:sz w:val="28"/>
                <w:szCs w:val="28"/>
                <w:color w:val="auto"/>
                <w:vertAlign w:val="superscript"/>
              </w:rPr>
              <w:t>(4)</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7,187,500 Warrants</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center"/>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3"/>
                <w:szCs w:val="13"/>
                <w:color w:val="auto"/>
              </w:rPr>
              <w:t xml:space="preserve"> (5)</w:t>
            </w:r>
          </w:p>
        </w:tc>
      </w:tr>
      <w:tr>
        <w:trPr>
          <w:trHeight w:val="216"/>
        </w:trPr>
        <w:tc>
          <w:tcPr>
            <w:tcW w:w="56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Total</w:t>
            </w:r>
          </w:p>
        </w:tc>
        <w:tc>
          <w:tcPr>
            <w:tcW w:w="1460" w:type="dxa"/>
            <w:vAlign w:val="bottom"/>
            <w:tcBorders>
              <w:bottom w:val="single" w:sz="8" w:color="auto"/>
              <w:right w:val="single" w:sz="8" w:color="auto"/>
            </w:tcBorders>
          </w:tcPr>
          <w:p>
            <w:pPr>
              <w:spacing w:after="0"/>
              <w:rPr>
                <w:sz w:val="18"/>
                <w:szCs w:val="18"/>
                <w:color w:val="auto"/>
              </w:rPr>
            </w:pPr>
          </w:p>
        </w:tc>
        <w:tc>
          <w:tcPr>
            <w:tcW w:w="1340" w:type="dxa"/>
            <w:vAlign w:val="bottom"/>
            <w:tcBorders>
              <w:bottom w:val="single" w:sz="8" w:color="auto"/>
              <w:right w:val="single" w:sz="8" w:color="auto"/>
            </w:tcBorders>
          </w:tcPr>
          <w:p>
            <w:pPr>
              <w:spacing w:after="0"/>
              <w:rPr>
                <w:sz w:val="18"/>
                <w:szCs w:val="18"/>
                <w:color w:val="auto"/>
              </w:rPr>
            </w:pP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$ 287,500,000</w:t>
            </w: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$ 31,366.25</w:t>
            </w:r>
          </w:p>
        </w:tc>
      </w:tr>
    </w:tbl>
    <w:p>
      <w:pPr>
        <w:ind w:left="380" w:hanging="332"/>
        <w:spacing w:after="0"/>
        <w:tabs>
          <w:tab w:leader="none" w:pos="380" w:val="left"/>
        </w:tabs>
        <w:numPr>
          <w:ilvl w:val="0"/>
          <w:numId w:val="1"/>
        </w:numPr>
        <w:rPr>
          <w:rFonts w:ascii="Arial" w:cs="Arial" w:eastAsia="Arial" w:hAnsi="Arial"/>
          <w:sz w:val="18"/>
          <w:szCs w:val="18"/>
          <w:color w:val="auto"/>
        </w:rPr>
      </w:pPr>
      <w:r>
        <w:rPr>
          <w:rFonts w:ascii="Arial" w:cs="Arial" w:eastAsia="Arial" w:hAnsi="Arial"/>
          <w:sz w:val="18"/>
          <w:szCs w:val="18"/>
          <w:color w:val="auto"/>
        </w:rPr>
        <w:t>Estimated solely for the purpose of calculating the registration fee.</w:t>
      </w:r>
    </w:p>
    <w:p>
      <w:pPr>
        <w:spacing w:after="0" w:line="9" w:lineRule="exact"/>
        <w:rPr>
          <w:rFonts w:ascii="Arial" w:cs="Arial" w:eastAsia="Arial" w:hAnsi="Arial"/>
          <w:sz w:val="18"/>
          <w:szCs w:val="18"/>
          <w:color w:val="auto"/>
        </w:rPr>
      </w:pPr>
    </w:p>
    <w:p>
      <w:pPr>
        <w:ind w:left="380" w:hanging="332"/>
        <w:spacing w:after="0"/>
        <w:tabs>
          <w:tab w:leader="none" w:pos="3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Previously paid.</w:t>
      </w:r>
    </w:p>
    <w:p>
      <w:pPr>
        <w:spacing w:after="0" w:line="9" w:lineRule="exact"/>
        <w:rPr>
          <w:rFonts w:ascii="Arial" w:cs="Arial" w:eastAsia="Arial" w:hAnsi="Arial"/>
          <w:sz w:val="18"/>
          <w:szCs w:val="18"/>
          <w:color w:val="auto"/>
        </w:rPr>
      </w:pPr>
    </w:p>
    <w:p>
      <w:pPr>
        <w:ind w:left="380" w:right="140" w:hanging="332"/>
        <w:spacing w:after="0" w:line="250" w:lineRule="auto"/>
        <w:tabs>
          <w:tab w:leader="none" w:pos="38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Includes 3,750,000 units, consisting of 3,750,000 Class A ordinary shares and 937,500 redeemable warrants, which may be issued upon exercise of a 45-day option granted to the underwriters to cover over-allotments, if any.</w:t>
      </w:r>
    </w:p>
    <w:p>
      <w:pPr>
        <w:ind w:left="380" w:right="180" w:hanging="332"/>
        <w:spacing w:after="0" w:line="250" w:lineRule="auto"/>
        <w:tabs>
          <w:tab w:leader="none" w:pos="3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Pursuant to Rule 416 under the Securities Act of 1933, as amended, there are also being registered an indeterminable number of additional securities as may be issued to prevent dilution resulting from share sub-divisions, share dividends or similar transactions.</w:t>
      </w:r>
    </w:p>
    <w:p>
      <w:pPr>
        <w:ind w:left="380" w:hanging="332"/>
        <w:spacing w:after="0"/>
        <w:tabs>
          <w:tab w:leader="none" w:pos="380" w:val="left"/>
        </w:tabs>
        <w:numPr>
          <w:ilvl w:val="0"/>
          <w:numId w:val="1"/>
        </w:numPr>
        <w:rPr>
          <w:rFonts w:ascii="Arial" w:cs="Arial" w:eastAsia="Arial" w:hAnsi="Arial"/>
          <w:sz w:val="18"/>
          <w:szCs w:val="18"/>
          <w:color w:val="auto"/>
        </w:rPr>
      </w:pPr>
      <w:r>
        <w:rPr>
          <w:rFonts w:ascii="Arial" w:cs="Arial" w:eastAsia="Arial" w:hAnsi="Arial"/>
          <w:sz w:val="18"/>
          <w:szCs w:val="18"/>
          <w:color w:val="auto"/>
        </w:rPr>
        <w:t>No fee pursuant to Rule 457(g) under the Securities Act of 1933, as amended.</w:t>
      </w:r>
    </w:p>
    <w:p>
      <w:pPr>
        <w:sectPr>
          <w:pgSz w:w="11900" w:h="16838" w:orient="portrait"/>
          <w:cols w:equalWidth="0" w:num="1">
            <w:col w:w="11240"/>
          </w:cols>
          <w:pgMar w:left="320" w:top="229" w:right="339" w:bottom="0" w:gutter="0" w:footer="0" w:header="0"/>
        </w:sectPr>
      </w:pPr>
    </w:p>
    <w:bookmarkStart w:id="1" w:name="page2"/>
    <w:bookmarkEnd w:id="1"/>
    <w:p>
      <w:pPr>
        <w:jc w:val="both"/>
        <w:ind w:firstLine="324"/>
        <w:spacing w:after="0" w:line="281" w:lineRule="auto"/>
        <w:rPr>
          <w:sz w:val="20"/>
          <w:szCs w:val="20"/>
          <w:color w:val="auto"/>
        </w:rPr>
      </w:pPr>
      <w:r>
        <w:rPr>
          <w:rFonts w:ascii="Arial" w:cs="Arial" w:eastAsia="Arial" w:hAnsi="Arial"/>
          <w:sz w:val="17"/>
          <w:szCs w:val="17"/>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167640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184785</wp:posOffset>
            </wp:positionV>
            <wp:extent cx="71323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FF0000"/>
        </w:rPr>
        <w:t>The information in this prospectus is not complete and may be changed. We may not sell these securities until the registration statement filed with the Securities and Exchange Commission is effective. This prospectus is not an offer to sell these securities and it is not soliciting an offer to buy these securities in any jurisdiction where the offer or sale is not permitted</w:t>
      </w:r>
    </w:p>
    <w:p>
      <w:pPr>
        <w:spacing w:after="0" w:line="17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FF0000"/>
        </w:rPr>
        <w:t>SUBJECT TO COMPLETION, DATED FEBRUARY 18, 2021</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FF0000"/>
        </w:rPr>
        <w:t>PRELIMINARY PROSPECTUS</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32"/>
          <w:szCs w:val="32"/>
          <w:b w:val="1"/>
          <w:bCs w:val="1"/>
          <w:color w:val="auto"/>
        </w:rPr>
        <w:t>Freedom Acquisition I Corp.</w:t>
      </w:r>
    </w:p>
    <w:p>
      <w:pPr>
        <w:spacing w:after="0" w:line="43" w:lineRule="exact"/>
        <w:rPr>
          <w:sz w:val="20"/>
          <w:szCs w:val="20"/>
          <w:color w:val="auto"/>
        </w:rPr>
      </w:pPr>
    </w:p>
    <w:p>
      <w:pPr>
        <w:jc w:val="center"/>
        <w:ind w:right="-39"/>
        <w:spacing w:after="0"/>
        <w:rPr>
          <w:sz w:val="20"/>
          <w:szCs w:val="20"/>
          <w:color w:val="auto"/>
        </w:rPr>
      </w:pPr>
      <w:r>
        <w:rPr>
          <w:rFonts w:ascii="Arial" w:cs="Arial" w:eastAsia="Arial" w:hAnsi="Arial"/>
          <w:sz w:val="25"/>
          <w:szCs w:val="25"/>
          <w:b w:val="1"/>
          <w:bCs w:val="1"/>
          <w:color w:val="auto"/>
        </w:rPr>
        <w:t>$250,000,000</w:t>
      </w:r>
    </w:p>
    <w:p>
      <w:pPr>
        <w:spacing w:after="0" w:line="10" w:lineRule="exact"/>
        <w:rPr>
          <w:sz w:val="20"/>
          <w:szCs w:val="20"/>
          <w:color w:val="auto"/>
        </w:rPr>
      </w:pPr>
    </w:p>
    <w:p>
      <w:pPr>
        <w:jc w:val="center"/>
        <w:ind w:right="-39"/>
        <w:spacing w:after="0"/>
        <w:rPr>
          <w:sz w:val="20"/>
          <w:szCs w:val="20"/>
          <w:color w:val="auto"/>
        </w:rPr>
      </w:pPr>
      <w:r>
        <w:rPr>
          <w:rFonts w:ascii="Arial" w:cs="Arial" w:eastAsia="Arial" w:hAnsi="Arial"/>
          <w:sz w:val="25"/>
          <w:szCs w:val="25"/>
          <w:b w:val="1"/>
          <w:bCs w:val="1"/>
          <w:color w:val="auto"/>
        </w:rPr>
        <w:t>25,000,000 Units</w:t>
      </w:r>
    </w:p>
    <w:p>
      <w:pPr>
        <w:spacing w:after="0" w:line="206" w:lineRule="exact"/>
        <w:rPr>
          <w:sz w:val="20"/>
          <w:szCs w:val="20"/>
          <w:color w:val="auto"/>
        </w:rPr>
      </w:pPr>
    </w:p>
    <w:p>
      <w:pPr>
        <w:ind w:right="160" w:firstLine="324"/>
        <w:spacing w:after="0" w:line="257" w:lineRule="auto"/>
        <w:rPr>
          <w:sz w:val="20"/>
          <w:szCs w:val="20"/>
          <w:color w:val="auto"/>
        </w:rPr>
      </w:pPr>
      <w:r>
        <w:rPr>
          <w:rFonts w:ascii="Arial" w:cs="Arial" w:eastAsia="Arial" w:hAnsi="Arial"/>
          <w:sz w:val="18"/>
          <w:szCs w:val="18"/>
          <w:color w:val="auto"/>
        </w:rPr>
        <w:t>Freedom Acquisition I Corp. is a newly incorporated blank check company incorporated as a Cayman Islands exempted company for the purpose of effecting a merger, share exchange, asset acquisition, share purchase, reorganization or similar business combination with one or more businesses, which we refer to as our initial business combination. We have not selected any specific business combination target and we have not, nor has anyone on our behalf, engaged in any substantive discussions, directly or indirectly, with any business combination target with respect to an initial business combination with us.</w:t>
      </w:r>
    </w:p>
    <w:p>
      <w:pPr>
        <w:spacing w:after="0" w:line="188" w:lineRule="exact"/>
        <w:rPr>
          <w:sz w:val="20"/>
          <w:szCs w:val="20"/>
          <w:color w:val="auto"/>
        </w:rPr>
      </w:pPr>
    </w:p>
    <w:p>
      <w:pPr>
        <w:ind w:right="100" w:firstLine="324"/>
        <w:spacing w:after="0" w:line="254" w:lineRule="auto"/>
        <w:rPr>
          <w:sz w:val="20"/>
          <w:szCs w:val="20"/>
          <w:color w:val="auto"/>
        </w:rPr>
      </w:pPr>
      <w:r>
        <w:rPr>
          <w:rFonts w:ascii="Arial" w:cs="Arial" w:eastAsia="Arial" w:hAnsi="Arial"/>
          <w:sz w:val="18"/>
          <w:szCs w:val="18"/>
          <w:color w:val="auto"/>
        </w:rPr>
        <w:t>This is an initial public offering of our securities. Each unit has an offering price of $10.00 and consists of one Class A ordinary share and one-fourth of one redeemable warrant. Each whole warrant entitles the holder thereof to purchase one Class A ordinary share at a price of $11.50 per share, subject to adjustment as described herein. Only whole warrants are exercisable. No fractional warrants will be issued upon separation of the units and only whole warrants will trade. The warrants will become exercisable on the later of 30 days after the completion of our initial business combination and 12 months from the closing of this offering, and will expire five years after the completion of our initial business combination or earlier upon redemption or our liquidation, as described herein. The underwriters have a 45-day option from the date of this prospectus to purchase up to an additional 3,750,000 units to cover over-allotments, if any.</w:t>
      </w:r>
    </w:p>
    <w:p>
      <w:pPr>
        <w:spacing w:after="0" w:line="195" w:lineRule="exact"/>
        <w:rPr>
          <w:sz w:val="20"/>
          <w:szCs w:val="20"/>
          <w:color w:val="auto"/>
        </w:rPr>
      </w:pPr>
    </w:p>
    <w:p>
      <w:pPr>
        <w:ind w:right="120" w:firstLine="324"/>
        <w:spacing w:after="0" w:line="289" w:lineRule="auto"/>
        <w:rPr>
          <w:sz w:val="20"/>
          <w:szCs w:val="20"/>
          <w:color w:val="auto"/>
        </w:rPr>
      </w:pPr>
      <w:r>
        <w:rPr>
          <w:rFonts w:ascii="Arial" w:cs="Arial" w:eastAsia="Arial" w:hAnsi="Arial"/>
          <w:sz w:val="16"/>
          <w:szCs w:val="16"/>
          <w:color w:val="auto"/>
        </w:rPr>
        <w:t>We will provide our public shareholders with the opportunity to redeem all or a portion of their Class A ordinary shares upon the completion of our initial business combination at a per-share price, payable in cash, equal to the aggregate amount then on deposit in the trust account described below calculated as of two business days prior to the consummation of our initial business combination, including interest earned on the funds held in the trust account and not previously released to us to pay our taxes, divided by the number of then outstanding Class A ordinary shares that were sold as part of the units in this offering, which we refer to collectively as our public shares, subject to the limitations and on the conditions described herein. If we have not completed our initial business combination within 24 months from the closing of this offering (as such period may be extended), we will redeem 100% of the public shares at a per-share price, payable in cash, equal to the aggregate amount then on deposit in the trust account, including interest earned on the funds held in the trust account (less taxes payable and up to $100,000 of interest income to pay dissolution expenses), divided by the number of then outstanding public shares, subject to applicable law and certain conditions as further described herein.</w:t>
      </w:r>
    </w:p>
    <w:p>
      <w:pPr>
        <w:spacing w:after="0" w:line="166"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Our sponsor, Freedom Acquisition I LLC, has committed to purchase an aggregate of 5,000,000 warrants (or 5,500,000 warrants if the underwriters’ over-allotment option is exercised in full), each exercisable to purchase one Class A ordinary share at $11.50 per share, subject to adjustment as described herein, at a price of $1.50 per warrant, or $7,500,000 in the aggregate (or $8,250,000 if the underwriters’ over-allotment option is exercised in full), in a private placement that will close simultaneously with the closing of this offering.</w:t>
      </w:r>
    </w:p>
    <w:p>
      <w:pPr>
        <w:spacing w:after="0" w:line="187" w:lineRule="exact"/>
        <w:rPr>
          <w:sz w:val="20"/>
          <w:szCs w:val="20"/>
          <w:color w:val="auto"/>
        </w:rPr>
      </w:pPr>
    </w:p>
    <w:p>
      <w:pPr>
        <w:ind w:right="100" w:firstLine="324"/>
        <w:spacing w:after="0" w:line="254" w:lineRule="auto"/>
        <w:rPr>
          <w:sz w:val="20"/>
          <w:szCs w:val="20"/>
          <w:color w:val="auto"/>
        </w:rPr>
      </w:pPr>
      <w:r>
        <w:rPr>
          <w:rFonts w:ascii="Arial" w:cs="Arial" w:eastAsia="Arial" w:hAnsi="Arial"/>
          <w:sz w:val="18"/>
          <w:szCs w:val="18"/>
          <w:color w:val="auto"/>
        </w:rPr>
        <w:t>Our initial shareholders, which include our sponsor, currently own an aggregate of 7,187,500 Class B ordinary shares, up to 937,500 of which may be surrendered to us for no consideration after the closing of this offering depending on the extent to which the underwriters’ over-allotment option is exercised. The Class B ordinary shares will automatically convert into Class A ordinary shares concurrently with or immediately following the consummation of our initial business combination on a one-for-one basis, subject to the adjustments described herein. Only holders of Class B ordinary shares will have the right to appoint and remove directors in any general meeting held prior to or in connection with the completion of our initial business combination. On any other matters submitted to a vote of our shareholders, holders of the Class B ordinary shares and holders of the Class A ordinary shares will vote together as a single class, except as required by law.</w:t>
      </w:r>
    </w:p>
    <w:p>
      <w:pPr>
        <w:spacing w:after="0" w:line="195" w:lineRule="exact"/>
        <w:rPr>
          <w:sz w:val="20"/>
          <w:szCs w:val="20"/>
          <w:color w:val="auto"/>
        </w:rPr>
      </w:pPr>
    </w:p>
    <w:p>
      <w:pPr>
        <w:ind w:right="20" w:firstLine="324"/>
        <w:spacing w:after="0" w:line="275" w:lineRule="auto"/>
        <w:rPr>
          <w:sz w:val="20"/>
          <w:szCs w:val="20"/>
          <w:color w:val="auto"/>
        </w:rPr>
      </w:pPr>
      <w:r>
        <w:rPr>
          <w:rFonts w:ascii="Arial" w:cs="Arial" w:eastAsia="Arial" w:hAnsi="Arial"/>
          <w:sz w:val="17"/>
          <w:szCs w:val="17"/>
          <w:color w:val="auto"/>
        </w:rPr>
        <w:t>The PIMCO private fund has expressed an intent to purchase, or to have one or more of its affiliates purchase, up to an aggregate of 2,475,000 units in this offering at the public offering price. Because this indication of interest is not a binding agreement or a commitment to purchase, such entities may elect to purchase fewer or no units in this offering, or the underwriters may elect to sell fewer or no units in this offering to such entities. The underwriters will not receive any upfront underwriting discount or commissions on any such units purchased by the PIMCO private fund or its affiliates but will receive deferred underwriting commissions with respect to such units in an amount of $0.35 per unit.</w:t>
      </w:r>
    </w:p>
    <w:p>
      <w:pPr>
        <w:spacing w:after="0" w:line="176" w:lineRule="exact"/>
        <w:rPr>
          <w:sz w:val="20"/>
          <w:szCs w:val="20"/>
          <w:color w:val="auto"/>
        </w:rPr>
      </w:pPr>
    </w:p>
    <w:p>
      <w:pPr>
        <w:ind w:right="40" w:firstLine="324"/>
        <w:spacing w:after="0" w:line="311" w:lineRule="auto"/>
        <w:rPr>
          <w:sz w:val="20"/>
          <w:szCs w:val="20"/>
          <w:color w:val="auto"/>
        </w:rPr>
      </w:pPr>
      <w:r>
        <w:rPr>
          <w:rFonts w:ascii="Arial" w:cs="Arial" w:eastAsia="Arial" w:hAnsi="Arial"/>
          <w:sz w:val="16"/>
          <w:szCs w:val="16"/>
          <w:color w:val="auto"/>
        </w:rPr>
        <w:t>Currently, there is no public market for our units, Class A ordinary shares or warrants. We have applied to list our units on the New York Stock Exchange, or the NYSE, under the symbol “FACT.U”. We expect that our units will be listed on the NYSE on or promptly after the date of this prospectus. We cannot guarantee that our securities will be approved for listing on the NYSE. We expect the Class A ordinary shares and warrants comprising the unit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300990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598" w:right="359" w:bottom="1440" w:gutter="0" w:footer="0" w:header="0"/>
        </w:sectPr>
      </w:pPr>
    </w:p>
    <w:bookmarkStart w:id="3" w:name="page4"/>
    <w:bookmarkEnd w:id="3"/>
    <w:p>
      <w:pPr>
        <w:ind w:right="20"/>
        <w:spacing w:after="0" w:line="279" w:lineRule="auto"/>
        <w:rPr>
          <w:sz w:val="20"/>
          <w:szCs w:val="20"/>
          <w:color w:val="auto"/>
        </w:rPr>
      </w:pPr>
      <w:r>
        <w:rPr>
          <w:rFonts w:ascii="Arial" w:cs="Arial" w:eastAsia="Arial" w:hAnsi="Arial"/>
          <w:sz w:val="17"/>
          <w:szCs w:val="17"/>
          <w:color w:val="auto"/>
        </w:rPr>
        <w:t>to begin separate trading on the 52nd day following the date of this prospectus (or the immediately following business day if such 52nd day is not a business day) unless J.P. Morgan Securities LLC, the representative of the underwriters, informs us of its decision to allow earlier separate trading, subject to our satisfaction of certain conditions as described further herein. Once the securities comprising the units begin separate trading, we expect that the Class A ordinary shares and warrants will be listed on the NYSE under the symbols “FACT” and “FACT WS,” respectively.</w:t>
      </w:r>
    </w:p>
    <w:p>
      <w:pPr>
        <w:spacing w:after="0" w:line="167" w:lineRule="exact"/>
        <w:rPr>
          <w:sz w:val="20"/>
          <w:szCs w:val="20"/>
          <w:color w:val="auto"/>
        </w:rPr>
      </w:pPr>
    </w:p>
    <w:p>
      <w:pPr>
        <w:ind w:right="160" w:firstLine="324"/>
        <w:spacing w:after="0" w:line="261" w:lineRule="auto"/>
        <w:rPr>
          <w:sz w:val="20"/>
          <w:szCs w:val="20"/>
          <w:color w:val="auto"/>
        </w:rPr>
      </w:pPr>
      <w:r>
        <w:rPr>
          <w:rFonts w:ascii="Arial" w:cs="Arial" w:eastAsia="Arial" w:hAnsi="Arial"/>
          <w:sz w:val="18"/>
          <w:szCs w:val="18"/>
          <w:b w:val="1"/>
          <w:bCs w:val="1"/>
          <w:color w:val="auto"/>
        </w:rPr>
        <w:t>We are an “emerging growth company” and a “smaller reporting company” under applicable federal securities laws and will be subject to reduced public company reporting requirements. Investing in our securities involves a high degree of risk. See “Risk Factors” beginning on page 36 for a discussion of information that should be considered in connection with an investment in our securities. Investors will not be entitled to protections normally afforded to investors in Rule 419 blank check offerings.</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 offer or invitation to subscribe for securities may be made to the public in the Cayman Islands.</w:t>
      </w:r>
    </w:p>
    <w:p>
      <w:pPr>
        <w:spacing w:after="0" w:line="225" w:lineRule="exact"/>
        <w:rPr>
          <w:sz w:val="20"/>
          <w:szCs w:val="20"/>
          <w:color w:val="auto"/>
        </w:rPr>
      </w:pPr>
    </w:p>
    <w:p>
      <w:pPr>
        <w:ind w:right="120" w:firstLine="324"/>
        <w:spacing w:after="0" w:line="282" w:lineRule="auto"/>
        <w:rPr>
          <w:sz w:val="20"/>
          <w:szCs w:val="20"/>
          <w:color w:val="auto"/>
        </w:rPr>
      </w:pPr>
      <w:r>
        <w:rPr>
          <w:rFonts w:ascii="Arial" w:cs="Arial" w:eastAsia="Arial" w:hAnsi="Arial"/>
          <w:sz w:val="18"/>
          <w:szCs w:val="18"/>
          <w:b w:val="1"/>
          <w:bCs w:val="1"/>
          <w:color w:val="auto"/>
        </w:rPr>
        <w:t>Neither the U.S.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2148205</wp:posOffset>
            </wp:positionH>
            <wp:positionV relativeFrom="paragraph">
              <wp:posOffset>122555</wp:posOffset>
            </wp:positionV>
            <wp:extent cx="28460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20" w:type="dxa"/>
            <w:vAlign w:val="bottom"/>
            <w:tcBorders>
              <w:bottom w:val="single" w:sz="8" w:color="D5EAEA"/>
            </w:tcBorders>
          </w:tcPr>
          <w:p>
            <w:pPr>
              <w:spacing w:after="0"/>
              <w:rPr>
                <w:sz w:val="20"/>
                <w:szCs w:val="20"/>
                <w:color w:val="auto"/>
              </w:rPr>
            </w:pPr>
          </w:p>
        </w:tc>
        <w:tc>
          <w:tcPr>
            <w:tcW w:w="3080" w:type="dxa"/>
            <w:vAlign w:val="bottom"/>
            <w:tcBorders>
              <w:bottom w:val="single" w:sz="8" w:color="D5EAEA"/>
            </w:tcBorders>
          </w:tcPr>
          <w:p>
            <w:pPr>
              <w:spacing w:after="0"/>
              <w:rPr>
                <w:sz w:val="20"/>
                <w:szCs w:val="20"/>
                <w:color w:val="auto"/>
              </w:rPr>
            </w:pPr>
          </w:p>
        </w:tc>
        <w:tc>
          <w:tcPr>
            <w:tcW w:w="2540" w:type="dxa"/>
            <w:vAlign w:val="bottom"/>
            <w:tcBorders>
              <w:bottom w:val="single" w:sz="8" w:color="D5EAEA"/>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Per Unit</w:t>
            </w:r>
          </w:p>
        </w:tc>
        <w:tc>
          <w:tcPr>
            <w:tcW w:w="100" w:type="dxa"/>
            <w:vAlign w:val="bottom"/>
            <w:tcBorders>
              <w:bottom w:val="single" w:sz="8" w:color="D5EAEA"/>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210"/>
        </w:trPr>
        <w:tc>
          <w:tcPr>
            <w:tcW w:w="590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Public offering price</w:t>
            </w:r>
          </w:p>
        </w:tc>
        <w:tc>
          <w:tcPr>
            <w:tcW w:w="2540" w:type="dxa"/>
            <w:vAlign w:val="bottom"/>
            <w:shd w:val="clear" w:color="auto" w:fill="D5EAEA"/>
          </w:tcPr>
          <w:p>
            <w:pPr>
              <w:spacing w:after="0"/>
              <w:rPr>
                <w:sz w:val="18"/>
                <w:szCs w:val="18"/>
                <w:color w:val="auto"/>
              </w:rPr>
            </w:pPr>
          </w:p>
        </w:tc>
        <w:tc>
          <w:tcPr>
            <w:tcW w:w="22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D5EAEA"/>
          </w:tcPr>
          <w:p>
            <w:pPr>
              <w:spacing w:after="0"/>
              <w:rPr>
                <w:sz w:val="18"/>
                <w:szCs w:val="18"/>
                <w:color w:val="auto"/>
              </w:rPr>
            </w:pPr>
          </w:p>
        </w:tc>
        <w:tc>
          <w:tcPr>
            <w:tcW w:w="22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w w:val="99"/>
              </w:rPr>
              <w:t>250,000,000</w:t>
            </w:r>
          </w:p>
        </w:tc>
      </w:tr>
      <w:tr>
        <w:trPr>
          <w:trHeight w:val="256"/>
        </w:trPr>
        <w:tc>
          <w:tcPr>
            <w:tcW w:w="5900" w:type="dxa"/>
            <w:vAlign w:val="bottom"/>
            <w:gridSpan w:val="2"/>
          </w:tcPr>
          <w:p>
            <w:pPr>
              <w:spacing w:after="0" w:line="256" w:lineRule="exact"/>
              <w:rPr>
                <w:sz w:val="20"/>
                <w:szCs w:val="20"/>
                <w:color w:val="auto"/>
              </w:rPr>
            </w:pPr>
            <w:r>
              <w:rPr>
                <w:rFonts w:ascii="Arial" w:cs="Arial" w:eastAsia="Arial" w:hAnsi="Arial"/>
                <w:sz w:val="18"/>
                <w:szCs w:val="18"/>
                <w:color w:val="auto"/>
              </w:rPr>
              <w:t>Underwriting discounts and commissions</w:t>
            </w:r>
            <w:r>
              <w:rPr>
                <w:rFonts w:ascii="Arial" w:cs="Arial" w:eastAsia="Arial" w:hAnsi="Arial"/>
                <w:sz w:val="29"/>
                <w:szCs w:val="29"/>
                <w:color w:val="auto"/>
                <w:vertAlign w:val="superscript"/>
              </w:rPr>
              <w:t>(1)(2)</w:t>
            </w:r>
          </w:p>
        </w:tc>
        <w:tc>
          <w:tcPr>
            <w:tcW w:w="27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0.55</w:t>
            </w:r>
          </w:p>
        </w:tc>
        <w:tc>
          <w:tcPr>
            <w:tcW w:w="3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13,255,000</w:t>
            </w:r>
          </w:p>
        </w:tc>
      </w:tr>
      <w:tr>
        <w:trPr>
          <w:trHeight w:val="216"/>
        </w:trPr>
        <w:tc>
          <w:tcPr>
            <w:tcW w:w="590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Proceeds, before expenses, to us</w:t>
            </w:r>
          </w:p>
        </w:tc>
        <w:tc>
          <w:tcPr>
            <w:tcW w:w="2760" w:type="dxa"/>
            <w:vAlign w:val="bottom"/>
            <w:gridSpan w:val="2"/>
            <w:shd w:val="clear" w:color="auto" w:fill="D5EAEA"/>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9.45</w:t>
            </w:r>
          </w:p>
        </w:tc>
        <w:tc>
          <w:tcPr>
            <w:tcW w:w="320" w:type="dxa"/>
            <w:vAlign w:val="bottom"/>
            <w:gridSpan w:val="2"/>
            <w:shd w:val="clear" w:color="auto" w:fill="D5EAEA"/>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w w:val="99"/>
              </w:rPr>
              <w:t>236,250,000</w:t>
            </w:r>
          </w:p>
        </w:tc>
      </w:tr>
      <w:tr>
        <w:trPr>
          <w:trHeight w:val="81"/>
        </w:trPr>
        <w:tc>
          <w:tcPr>
            <w:tcW w:w="2820" w:type="dxa"/>
            <w:vAlign w:val="bottom"/>
            <w:tcBorders>
              <w:bottom w:val="single" w:sz="8" w:color="auto"/>
            </w:tcBorders>
          </w:tcPr>
          <w:p>
            <w:pPr>
              <w:spacing w:after="0"/>
              <w:rPr>
                <w:sz w:val="7"/>
                <w:szCs w:val="7"/>
                <w:color w:val="auto"/>
              </w:rPr>
            </w:pPr>
          </w:p>
        </w:tc>
        <w:tc>
          <w:tcPr>
            <w:tcW w:w="3080" w:type="dxa"/>
            <w:vAlign w:val="bottom"/>
          </w:tcPr>
          <w:p>
            <w:pPr>
              <w:spacing w:after="0"/>
              <w:rPr>
                <w:sz w:val="7"/>
                <w:szCs w:val="7"/>
                <w:color w:val="auto"/>
              </w:rPr>
            </w:pPr>
          </w:p>
        </w:tc>
        <w:tc>
          <w:tcPr>
            <w:tcW w:w="2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120" w:type="dxa"/>
            <w:vAlign w:val="bottom"/>
          </w:tcPr>
          <w:p>
            <w:pPr>
              <w:spacing w:after="0"/>
              <w:rPr>
                <w:sz w:val="7"/>
                <w:szCs w:val="7"/>
                <w:color w:val="auto"/>
              </w:rPr>
            </w:pPr>
          </w:p>
        </w:tc>
      </w:tr>
    </w:tbl>
    <w:p>
      <w:pPr>
        <w:spacing w:after="0" w:line="67" w:lineRule="exact"/>
        <w:rPr>
          <w:sz w:val="20"/>
          <w:szCs w:val="20"/>
          <w:color w:val="auto"/>
        </w:rPr>
      </w:pPr>
    </w:p>
    <w:p>
      <w:pPr>
        <w:ind w:left="340" w:right="40" w:hanging="332"/>
        <w:spacing w:after="0" w:line="259"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Includes $0.35 per unit, or $8,750,000 in the aggregate (or up to $10,062,500 in the aggregate if the underwriters’ over-allotment option is exercised in full) payable to the underwriters for deferred underwriting commissions to be placed in a trust account located in the United States and released to the underwriters only upon the completion of an initial business combination. See also “Underwriting” for a description of compensation payable to the underwriters.</w:t>
      </w:r>
    </w:p>
    <w:p>
      <w:pPr>
        <w:spacing w:after="0" w:line="213" w:lineRule="exact"/>
        <w:rPr>
          <w:rFonts w:ascii="Arial" w:cs="Arial" w:eastAsia="Arial" w:hAnsi="Arial"/>
          <w:sz w:val="18"/>
          <w:szCs w:val="18"/>
          <w:color w:val="auto"/>
        </w:rPr>
      </w:pPr>
    </w:p>
    <w:p>
      <w:pPr>
        <w:ind w:left="340" w:right="700" w:hanging="332"/>
        <w:spacing w:after="0" w:line="263"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Total assumes the PIMCO private fund or its affiliates purchase 2,475,000 units in this offering. The underwriters will not receive any upfront underwriting discounts or commissions on units purchased by the PIMCO private fund or its affiliates but will receive deferred underwriting commissions with respect to such units in an amount of $0.35 per unit.</w:t>
      </w:r>
    </w:p>
    <w:p>
      <w:pPr>
        <w:spacing w:after="0" w:line="184" w:lineRule="exact"/>
        <w:rPr>
          <w:sz w:val="20"/>
          <w:szCs w:val="20"/>
          <w:color w:val="auto"/>
        </w:rPr>
      </w:pPr>
    </w:p>
    <w:p>
      <w:pPr>
        <w:ind w:right="160" w:firstLine="324"/>
        <w:spacing w:after="0" w:line="296" w:lineRule="auto"/>
        <w:rPr>
          <w:sz w:val="20"/>
          <w:szCs w:val="20"/>
          <w:color w:val="auto"/>
        </w:rPr>
      </w:pPr>
      <w:r>
        <w:rPr>
          <w:rFonts w:ascii="Arial" w:cs="Arial" w:eastAsia="Arial" w:hAnsi="Arial"/>
          <w:sz w:val="16"/>
          <w:szCs w:val="16"/>
          <w:color w:val="auto"/>
        </w:rPr>
        <w:t>Of the proceeds we receive from this offering and the sale of the private placement warrants described in this prospectus, $250.0 million, or $287.5 million if the underwriters’ over-allotment option is exercised in full ($10.00 per unit in either case), will be deposited into a trust account located in the United States with Continental Stock Transfer &amp; Trust Company acting as trustee, after deducting $4,505,000 in underwriting discounts and commissions payable upon the closing of this offering (or $5,255,000 if the underwriters’ over-allotment option is exercised in full) and an aggregate of $2,995,000 to pay fees and expenses in connection with the closing of this offering and for working capital following the closing of this offering.</w:t>
      </w:r>
    </w:p>
    <w:p>
      <w:pPr>
        <w:spacing w:after="0" w:line="16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underwriters are offering the units for sale on a firm commitment basis. The underwriters expect to deliver the units to the purchasers on or</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0" w:type="dxa"/>
            <w:vAlign w:val="bottom"/>
          </w:tcPr>
          <w:p>
            <w:pPr>
              <w:spacing w:after="0"/>
              <w:rPr>
                <w:sz w:val="20"/>
                <w:szCs w:val="20"/>
                <w:color w:val="auto"/>
              </w:rPr>
            </w:pPr>
            <w:r>
              <w:rPr>
                <w:rFonts w:ascii="Arial" w:cs="Arial" w:eastAsia="Arial" w:hAnsi="Arial"/>
                <w:sz w:val="18"/>
                <w:szCs w:val="18"/>
                <w:color w:val="auto"/>
              </w:rPr>
              <w:t>about</w:t>
            </w:r>
          </w:p>
        </w:tc>
        <w:tc>
          <w:tcPr>
            <w:tcW w:w="2580" w:type="dxa"/>
            <w:vAlign w:val="bottom"/>
          </w:tcPr>
          <w:p>
            <w:pPr>
              <w:ind w:left="380"/>
              <w:spacing w:after="0"/>
              <w:rPr>
                <w:sz w:val="20"/>
                <w:szCs w:val="20"/>
                <w:color w:val="auto"/>
              </w:rPr>
            </w:pPr>
            <w:r>
              <w:rPr>
                <w:rFonts w:ascii="Arial" w:cs="Arial" w:eastAsia="Arial" w:hAnsi="Arial"/>
                <w:sz w:val="18"/>
                <w:szCs w:val="18"/>
                <w:color w:val="auto"/>
              </w:rPr>
              <w:t>, 2021.</w:t>
            </w:r>
          </w:p>
        </w:tc>
        <w:tc>
          <w:tcPr>
            <w:tcW w:w="4480" w:type="dxa"/>
            <w:vAlign w:val="bottom"/>
          </w:tcPr>
          <w:p>
            <w:pPr>
              <w:spacing w:after="0"/>
              <w:rPr>
                <w:sz w:val="20"/>
                <w:szCs w:val="20"/>
                <w:color w:val="auto"/>
              </w:rPr>
            </w:pPr>
          </w:p>
        </w:tc>
        <w:tc>
          <w:tcPr>
            <w:tcW w:w="3380" w:type="dxa"/>
            <w:vAlign w:val="bottom"/>
          </w:tcPr>
          <w:p>
            <w:pPr>
              <w:spacing w:after="0"/>
              <w:rPr>
                <w:sz w:val="20"/>
                <w:szCs w:val="20"/>
                <w:color w:val="auto"/>
              </w:rPr>
            </w:pPr>
          </w:p>
        </w:tc>
      </w:tr>
      <w:tr>
        <w:trPr>
          <w:trHeight w:val="215"/>
        </w:trPr>
        <w:tc>
          <w:tcPr>
            <w:tcW w:w="80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4480" w:type="dxa"/>
            <w:vAlign w:val="bottom"/>
            <w:tcBorders>
              <w:bottom w:val="single" w:sz="8" w:color="auto"/>
            </w:tcBorders>
          </w:tcPr>
          <w:p>
            <w:pPr>
              <w:spacing w:after="0"/>
              <w:rPr>
                <w:sz w:val="18"/>
                <w:szCs w:val="18"/>
                <w:color w:val="auto"/>
              </w:rPr>
            </w:pPr>
          </w:p>
        </w:tc>
        <w:tc>
          <w:tcPr>
            <w:tcW w:w="3380" w:type="dxa"/>
            <w:vAlign w:val="bottom"/>
          </w:tcPr>
          <w:p>
            <w:pPr>
              <w:spacing w:after="0"/>
              <w:rPr>
                <w:sz w:val="18"/>
                <w:szCs w:val="18"/>
                <w:color w:val="auto"/>
              </w:rPr>
            </w:pPr>
          </w:p>
        </w:tc>
      </w:tr>
      <w:tr>
        <w:trPr>
          <w:trHeight w:val="237"/>
        </w:trPr>
        <w:tc>
          <w:tcPr>
            <w:tcW w:w="80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7860" w:type="dxa"/>
            <w:vAlign w:val="bottom"/>
            <w:gridSpan w:val="2"/>
          </w:tcPr>
          <w:p>
            <w:pPr>
              <w:jc w:val="center"/>
              <w:ind w:right="3261"/>
              <w:spacing w:after="0"/>
              <w:rPr>
                <w:sz w:val="20"/>
                <w:szCs w:val="20"/>
                <w:color w:val="auto"/>
              </w:rPr>
            </w:pPr>
            <w:r>
              <w:rPr>
                <w:rFonts w:ascii="Arial" w:cs="Arial" w:eastAsia="Arial" w:hAnsi="Arial"/>
                <w:sz w:val="18"/>
                <w:szCs w:val="18"/>
                <w:i w:val="1"/>
                <w:iCs w:val="1"/>
                <w:color w:val="auto"/>
                <w:w w:val="91"/>
              </w:rPr>
              <w:t>Book-Running Managers</w:t>
            </w:r>
          </w:p>
        </w:tc>
      </w:tr>
      <w:tr>
        <w:trPr>
          <w:trHeight w:val="490"/>
        </w:trPr>
        <w:tc>
          <w:tcPr>
            <w:tcW w:w="80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7860" w:type="dxa"/>
            <w:vAlign w:val="bottom"/>
            <w:gridSpan w:val="2"/>
          </w:tcPr>
          <w:p>
            <w:pPr>
              <w:jc w:val="center"/>
              <w:ind w:right="3281"/>
              <w:spacing w:after="0"/>
              <w:rPr>
                <w:sz w:val="20"/>
                <w:szCs w:val="20"/>
                <w:color w:val="auto"/>
              </w:rPr>
            </w:pPr>
            <w:r>
              <w:rPr>
                <w:rFonts w:ascii="Arial" w:cs="Arial" w:eastAsia="Arial" w:hAnsi="Arial"/>
                <w:sz w:val="25"/>
                <w:szCs w:val="25"/>
                <w:b w:val="1"/>
                <w:bCs w:val="1"/>
                <w:color w:val="auto"/>
                <w:w w:val="93"/>
              </w:rPr>
              <w:t>J.P. Morgan</w:t>
            </w:r>
          </w:p>
        </w:tc>
      </w:tr>
      <w:tr>
        <w:trPr>
          <w:trHeight w:val="256"/>
        </w:trPr>
        <w:tc>
          <w:tcPr>
            <w:tcW w:w="3380" w:type="dxa"/>
            <w:vAlign w:val="bottom"/>
            <w:gridSpan w:val="2"/>
          </w:tcPr>
          <w:p>
            <w:pPr>
              <w:spacing w:after="0"/>
              <w:rPr>
                <w:sz w:val="20"/>
                <w:szCs w:val="20"/>
                <w:color w:val="auto"/>
              </w:rPr>
            </w:pPr>
            <w:r>
              <w:rPr>
                <w:rFonts w:ascii="Arial" w:cs="Arial" w:eastAsia="Arial" w:hAnsi="Arial"/>
                <w:sz w:val="20"/>
                <w:szCs w:val="20"/>
                <w:b w:val="1"/>
                <w:bCs w:val="1"/>
                <w:color w:val="auto"/>
              </w:rPr>
              <w:t>Deutsche Bank Securities</w:t>
            </w:r>
          </w:p>
        </w:tc>
        <w:tc>
          <w:tcPr>
            <w:tcW w:w="4480" w:type="dxa"/>
            <w:vAlign w:val="bottom"/>
          </w:tcPr>
          <w:p>
            <w:pPr>
              <w:spacing w:after="0"/>
              <w:rPr>
                <w:sz w:val="22"/>
                <w:szCs w:val="22"/>
                <w:color w:val="auto"/>
              </w:rPr>
            </w:pPr>
          </w:p>
        </w:tc>
        <w:tc>
          <w:tcPr>
            <w:tcW w:w="3380" w:type="dxa"/>
            <w:vAlign w:val="bottom"/>
          </w:tcPr>
          <w:p>
            <w:pPr>
              <w:ind w:left="2020"/>
              <w:spacing w:after="0"/>
              <w:rPr>
                <w:sz w:val="20"/>
                <w:szCs w:val="20"/>
                <w:color w:val="auto"/>
              </w:rPr>
            </w:pPr>
            <w:r>
              <w:rPr>
                <w:rFonts w:ascii="Arial" w:cs="Arial" w:eastAsia="Arial" w:hAnsi="Arial"/>
                <w:sz w:val="20"/>
                <w:szCs w:val="20"/>
                <w:b w:val="1"/>
                <w:bCs w:val="1"/>
                <w:color w:val="auto"/>
                <w:w w:val="89"/>
              </w:rPr>
              <w:t>Morgan Stanley</w:t>
            </w:r>
          </w:p>
        </w:tc>
      </w:tr>
      <w:tr>
        <w:trPr>
          <w:trHeight w:val="658"/>
        </w:trPr>
        <w:tc>
          <w:tcPr>
            <w:tcW w:w="800" w:type="dxa"/>
            <w:vAlign w:val="bottom"/>
          </w:tcPr>
          <w:p>
            <w:pPr>
              <w:spacing w:after="0"/>
              <w:rPr>
                <w:sz w:val="24"/>
                <w:szCs w:val="24"/>
                <w:color w:val="auto"/>
              </w:rPr>
            </w:pPr>
          </w:p>
        </w:tc>
        <w:tc>
          <w:tcPr>
            <w:tcW w:w="2580" w:type="dxa"/>
            <w:vAlign w:val="bottom"/>
          </w:tcPr>
          <w:p>
            <w:pPr>
              <w:ind w:left="380"/>
              <w:spacing w:after="0"/>
              <w:rPr>
                <w:sz w:val="20"/>
                <w:szCs w:val="20"/>
                <w:color w:val="auto"/>
              </w:rPr>
            </w:pPr>
            <w:r>
              <w:rPr>
                <w:rFonts w:ascii="Arial" w:cs="Arial" w:eastAsia="Arial" w:hAnsi="Arial"/>
                <w:sz w:val="18"/>
                <w:szCs w:val="18"/>
                <w:color w:val="auto"/>
              </w:rPr>
              <w:t>, 2021</w:t>
            </w:r>
          </w:p>
        </w:tc>
        <w:tc>
          <w:tcPr>
            <w:tcW w:w="448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526"/>
        </w:trPr>
        <w:tc>
          <w:tcPr>
            <w:tcW w:w="80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00" w:right="339" w:bottom="144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80" w:type="dxa"/>
            <w:vAlign w:val="bottom"/>
          </w:tcPr>
          <w:p>
            <w:pPr>
              <w:spacing w:after="0"/>
              <w:rPr>
                <w:sz w:val="20"/>
                <w:szCs w:val="20"/>
                <w:color w:val="auto"/>
              </w:rPr>
            </w:pPr>
          </w:p>
        </w:tc>
        <w:tc>
          <w:tcPr>
            <w:tcW w:w="4480" w:type="dxa"/>
            <w:vAlign w:val="bottom"/>
          </w:tcPr>
          <w:p>
            <w:pPr>
              <w:ind w:left="1280"/>
              <w:spacing w:after="0"/>
              <w:rPr>
                <w:sz w:val="20"/>
                <w:szCs w:val="20"/>
                <w:color w:val="auto"/>
              </w:rPr>
            </w:pPr>
            <w:r>
              <w:rPr>
                <w:rFonts w:ascii="Arial" w:cs="Arial" w:eastAsia="Arial" w:hAnsi="Arial"/>
                <w:sz w:val="18"/>
                <w:szCs w:val="18"/>
                <w:b w:val="1"/>
                <w:bCs w:val="1"/>
                <w:color w:val="auto"/>
              </w:rPr>
              <w:t>TABLE OF CONTENTS</w:t>
            </w:r>
          </w:p>
        </w:tc>
        <w:tc>
          <w:tcPr>
            <w:tcW w:w="3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380" w:type="dxa"/>
            <w:vAlign w:val="bottom"/>
          </w:tcPr>
          <w:p>
            <w:pPr>
              <w:spacing w:after="0"/>
              <w:rPr>
                <w:sz w:val="19"/>
                <w:szCs w:val="19"/>
                <w:color w:val="auto"/>
              </w:rPr>
            </w:pPr>
          </w:p>
        </w:tc>
        <w:tc>
          <w:tcPr>
            <w:tcW w:w="4480" w:type="dxa"/>
            <w:vAlign w:val="bottom"/>
            <w:tcBorders>
              <w:bottom w:val="single" w:sz="8" w:color="auto"/>
            </w:tcBorders>
          </w:tcPr>
          <w:p>
            <w:pPr>
              <w:spacing w:after="0"/>
              <w:rPr>
                <w:sz w:val="19"/>
                <w:szCs w:val="19"/>
                <w:color w:val="auto"/>
              </w:rPr>
            </w:pPr>
          </w:p>
        </w:tc>
        <w:tc>
          <w:tcPr>
            <w:tcW w:w="3380" w:type="dxa"/>
            <w:vAlign w:val="bottom"/>
            <w:gridSpan w:val="2"/>
            <w:vMerge w:val="restart"/>
          </w:tcPr>
          <w:p>
            <w:pPr>
              <w:jc w:val="right"/>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196"/>
        </w:trPr>
        <w:tc>
          <w:tcPr>
            <w:tcW w:w="3380" w:type="dxa"/>
            <w:vAlign w:val="bottom"/>
          </w:tcPr>
          <w:p>
            <w:pPr>
              <w:spacing w:after="0"/>
              <w:rPr>
                <w:sz w:val="17"/>
                <w:szCs w:val="17"/>
                <w:color w:val="auto"/>
              </w:rPr>
            </w:pPr>
          </w:p>
        </w:tc>
        <w:tc>
          <w:tcPr>
            <w:tcW w:w="4480" w:type="dxa"/>
            <w:vAlign w:val="bottom"/>
          </w:tcPr>
          <w:p>
            <w:pPr>
              <w:spacing w:after="0"/>
              <w:rPr>
                <w:sz w:val="17"/>
                <w:szCs w:val="17"/>
                <w:color w:val="auto"/>
              </w:rPr>
            </w:pPr>
          </w:p>
        </w:tc>
        <w:tc>
          <w:tcPr>
            <w:tcW w:w="33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438"/>
        </w:trPr>
        <w:tc>
          <w:tcPr>
            <w:tcW w:w="7860" w:type="dxa"/>
            <w:vAlign w:val="bottom"/>
            <w:gridSpan w:val="2"/>
          </w:tcPr>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Summary</w:t>
              </w:r>
            </w:hyperlink>
          </w:p>
        </w:tc>
        <w:tc>
          <w:tcPr>
            <w:tcW w:w="3040" w:type="dxa"/>
            <w:vAlign w:val="bottom"/>
          </w:tcPr>
          <w:p>
            <w:pPr>
              <w:spacing w:after="0"/>
              <w:rPr>
                <w:sz w:val="24"/>
                <w:szCs w:val="24"/>
                <w:color w:val="auto"/>
              </w:rPr>
            </w:pPr>
          </w:p>
        </w:tc>
        <w:tc>
          <w:tcPr>
            <w:tcW w:w="340" w:type="dxa"/>
            <w:vAlign w:val="bottom"/>
            <w:tcBorders>
              <w:top w:val="single" w:sz="8" w:color="auto"/>
            </w:tcBorders>
          </w:tcPr>
          <w:p>
            <w:pPr>
              <w:jc w:val="right"/>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1</w:t>
              </w:r>
            </w:hyperlink>
          </w:p>
        </w:tc>
        <w:tc>
          <w:tcPr>
            <w:tcW w:w="0" w:type="dxa"/>
            <w:vAlign w:val="bottom"/>
          </w:tcPr>
          <w:p>
            <w:pPr>
              <w:spacing w:after="0"/>
              <w:rPr>
                <w:sz w:val="1"/>
                <w:szCs w:val="1"/>
                <w:color w:val="auto"/>
              </w:rPr>
            </w:pPr>
          </w:p>
        </w:tc>
      </w:tr>
      <w:tr>
        <w:trPr>
          <w:trHeight w:val="216"/>
        </w:trPr>
        <w:tc>
          <w:tcPr>
            <w:tcW w:w="7860" w:type="dxa"/>
            <w:vAlign w:val="bottom"/>
            <w:gridSpan w:val="2"/>
          </w:tcPr>
          <w:p>
            <w:pPr>
              <w:spacing w:after="0"/>
              <w:rPr>
                <w:rFonts w:ascii="Arial" w:cs="Arial" w:eastAsia="Arial" w:hAnsi="Arial"/>
                <w:sz w:val="18"/>
                <w:szCs w:val="18"/>
                <w:u w:val="single" w:color="auto"/>
                <w:color w:val="0000EE"/>
              </w:rPr>
            </w:pPr>
            <w:hyperlink w:anchor="page15">
              <w:r>
                <w:rPr>
                  <w:rFonts w:ascii="Arial" w:cs="Arial" w:eastAsia="Arial" w:hAnsi="Arial"/>
                  <w:sz w:val="18"/>
                  <w:szCs w:val="18"/>
                  <w:u w:val="single" w:color="auto"/>
                  <w:color w:val="0000EE"/>
                </w:rPr>
                <w:t>The Offering</w:t>
              </w:r>
            </w:hyperlink>
          </w:p>
        </w:tc>
        <w:tc>
          <w:tcPr>
            <w:tcW w:w="3380" w:type="dxa"/>
            <w:vAlign w:val="bottom"/>
            <w:gridSpan w:val="2"/>
          </w:tcPr>
          <w:p>
            <w:pPr>
              <w:jc w:val="right"/>
              <w:spacing w:after="0"/>
              <w:rPr>
                <w:rFonts w:ascii="Arial" w:cs="Arial" w:eastAsia="Arial" w:hAnsi="Arial"/>
                <w:sz w:val="18"/>
                <w:szCs w:val="18"/>
                <w:u w:val="single" w:color="auto"/>
                <w:color w:val="0000EE"/>
              </w:rPr>
            </w:pPr>
            <w:hyperlink w:anchor="page15">
              <w:r>
                <w:rPr>
                  <w:rFonts w:ascii="Arial" w:cs="Arial" w:eastAsia="Arial" w:hAnsi="Arial"/>
                  <w:sz w:val="18"/>
                  <w:szCs w:val="18"/>
                  <w:u w:val="single" w:color="auto"/>
                  <w:color w:val="0000EE"/>
                </w:rPr>
                <w:t>9</w:t>
              </w:r>
            </w:hyperlink>
          </w:p>
        </w:tc>
        <w:tc>
          <w:tcPr>
            <w:tcW w:w="0" w:type="dxa"/>
            <w:vAlign w:val="bottom"/>
          </w:tcPr>
          <w:p>
            <w:pPr>
              <w:spacing w:after="0"/>
              <w:rPr>
                <w:sz w:val="1"/>
                <w:szCs w:val="1"/>
                <w:color w:val="auto"/>
              </w:rPr>
            </w:pPr>
          </w:p>
        </w:tc>
      </w:tr>
      <w:tr>
        <w:trPr>
          <w:trHeight w:val="216"/>
        </w:trPr>
        <w:tc>
          <w:tcPr>
            <w:tcW w:w="7860" w:type="dxa"/>
            <w:vAlign w:val="bottom"/>
            <w:gridSpan w:val="2"/>
          </w:tcPr>
          <w:p>
            <w:pPr>
              <w:spacing w:after="0"/>
              <w:rPr>
                <w:rFonts w:ascii="Arial" w:cs="Arial" w:eastAsia="Arial" w:hAnsi="Arial"/>
                <w:sz w:val="18"/>
                <w:szCs w:val="18"/>
                <w:u w:val="single" w:color="auto"/>
                <w:color w:val="0000EE"/>
              </w:rPr>
            </w:pPr>
            <w:hyperlink w:anchor="page38">
              <w:r>
                <w:rPr>
                  <w:rFonts w:ascii="Arial" w:cs="Arial" w:eastAsia="Arial" w:hAnsi="Arial"/>
                  <w:sz w:val="18"/>
                  <w:szCs w:val="18"/>
                  <w:u w:val="single" w:color="auto"/>
                  <w:color w:val="0000EE"/>
                </w:rPr>
                <w:t>Risks</w:t>
              </w:r>
            </w:hyperlink>
          </w:p>
        </w:tc>
        <w:tc>
          <w:tcPr>
            <w:tcW w:w="3380" w:type="dxa"/>
            <w:vAlign w:val="bottom"/>
            <w:gridSpan w:val="2"/>
          </w:tcPr>
          <w:p>
            <w:pPr>
              <w:jc w:val="right"/>
              <w:spacing w:after="0"/>
              <w:rPr>
                <w:rFonts w:ascii="Arial" w:cs="Arial" w:eastAsia="Arial" w:hAnsi="Arial"/>
                <w:sz w:val="18"/>
                <w:szCs w:val="18"/>
                <w:u w:val="single" w:color="auto"/>
                <w:color w:val="0000EE"/>
              </w:rPr>
            </w:pPr>
            <w:hyperlink w:anchor="page38">
              <w:r>
                <w:rPr>
                  <w:rFonts w:ascii="Arial" w:cs="Arial" w:eastAsia="Arial" w:hAnsi="Arial"/>
                  <w:sz w:val="18"/>
                  <w:szCs w:val="18"/>
                  <w:u w:val="single" w:color="auto"/>
                  <w:color w:val="0000EE"/>
                </w:rPr>
                <w:t>32</w:t>
              </w:r>
            </w:hyperlink>
          </w:p>
        </w:tc>
        <w:tc>
          <w:tcPr>
            <w:tcW w:w="0" w:type="dxa"/>
            <w:vAlign w:val="bottom"/>
          </w:tcPr>
          <w:p>
            <w:pPr>
              <w:spacing w:after="0"/>
              <w:rPr>
                <w:sz w:val="1"/>
                <w:szCs w:val="1"/>
                <w:color w:val="auto"/>
              </w:rPr>
            </w:pPr>
          </w:p>
        </w:tc>
      </w:tr>
      <w:tr>
        <w:trPr>
          <w:trHeight w:val="216"/>
        </w:trPr>
        <w:tc>
          <w:tcPr>
            <w:tcW w:w="7860" w:type="dxa"/>
            <w:vAlign w:val="bottom"/>
            <w:gridSpan w:val="2"/>
          </w:tcPr>
          <w:p>
            <w:pPr>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Summary Financial Data</w:t>
              </w:r>
            </w:hyperlink>
          </w:p>
        </w:tc>
        <w:tc>
          <w:tcPr>
            <w:tcW w:w="3380" w:type="dxa"/>
            <w:vAlign w:val="bottom"/>
            <w:gridSpan w:val="2"/>
          </w:tcPr>
          <w:p>
            <w:pPr>
              <w:jc w:val="right"/>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33</w:t>
              </w:r>
            </w:hyperlink>
          </w:p>
        </w:tc>
        <w:tc>
          <w:tcPr>
            <w:tcW w:w="0" w:type="dxa"/>
            <w:vAlign w:val="bottom"/>
          </w:tcPr>
          <w:p>
            <w:pPr>
              <w:spacing w:after="0"/>
              <w:rPr>
                <w:sz w:val="1"/>
                <w:szCs w:val="1"/>
                <w:color w:val="auto"/>
              </w:rPr>
            </w:pPr>
          </w:p>
        </w:tc>
      </w:tr>
      <w:tr>
        <w:trPr>
          <w:trHeight w:val="216"/>
        </w:trPr>
        <w:tc>
          <w:tcPr>
            <w:tcW w:w="7860" w:type="dxa"/>
            <w:vAlign w:val="bottom"/>
            <w:gridSpan w:val="2"/>
          </w:tcPr>
          <w:p>
            <w:pPr>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Cautionary Note Regarding Forward-Looking Statements and Risk Factor Summary</w:t>
              </w:r>
            </w:hyperlink>
          </w:p>
        </w:tc>
        <w:tc>
          <w:tcPr>
            <w:tcW w:w="3380" w:type="dxa"/>
            <w:vAlign w:val="bottom"/>
            <w:gridSpan w:val="2"/>
          </w:tcPr>
          <w:p>
            <w:pPr>
              <w:jc w:val="right"/>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34</w:t>
              </w:r>
            </w:hyperlink>
          </w:p>
        </w:tc>
        <w:tc>
          <w:tcPr>
            <w:tcW w:w="0" w:type="dxa"/>
            <w:vAlign w:val="bottom"/>
          </w:tcPr>
          <w:p>
            <w:pPr>
              <w:spacing w:after="0"/>
              <w:rPr>
                <w:sz w:val="1"/>
                <w:szCs w:val="1"/>
                <w:color w:val="auto"/>
              </w:rPr>
            </w:pPr>
          </w:p>
        </w:tc>
      </w:tr>
      <w:tr>
        <w:trPr>
          <w:trHeight w:val="216"/>
        </w:trPr>
        <w:tc>
          <w:tcPr>
            <w:tcW w:w="7860" w:type="dxa"/>
            <w:vAlign w:val="bottom"/>
            <w:gridSpan w:val="2"/>
          </w:tcPr>
          <w:p>
            <w:pPr>
              <w:spacing w:after="0"/>
              <w:rPr>
                <w:rFonts w:ascii="Arial" w:cs="Arial" w:eastAsia="Arial" w:hAnsi="Arial"/>
                <w:sz w:val="18"/>
                <w:szCs w:val="18"/>
                <w:u w:val="single" w:color="auto"/>
                <w:color w:val="0000EE"/>
              </w:rPr>
            </w:pPr>
            <w:hyperlink w:anchor="page42">
              <w:r>
                <w:rPr>
                  <w:rFonts w:ascii="Arial" w:cs="Arial" w:eastAsia="Arial" w:hAnsi="Arial"/>
                  <w:sz w:val="18"/>
                  <w:szCs w:val="18"/>
                  <w:u w:val="single" w:color="auto"/>
                  <w:color w:val="0000EE"/>
                </w:rPr>
                <w:t>Risk Factors</w:t>
              </w:r>
            </w:hyperlink>
          </w:p>
        </w:tc>
        <w:tc>
          <w:tcPr>
            <w:tcW w:w="3380" w:type="dxa"/>
            <w:vAlign w:val="bottom"/>
            <w:gridSpan w:val="2"/>
          </w:tcPr>
          <w:p>
            <w:pPr>
              <w:jc w:val="right"/>
              <w:spacing w:after="0"/>
              <w:rPr>
                <w:rFonts w:ascii="Arial" w:cs="Arial" w:eastAsia="Arial" w:hAnsi="Arial"/>
                <w:sz w:val="18"/>
                <w:szCs w:val="18"/>
                <w:u w:val="single" w:color="auto"/>
                <w:color w:val="0000EE"/>
              </w:rPr>
            </w:pPr>
            <w:hyperlink w:anchor="page42">
              <w:r>
                <w:rPr>
                  <w:rFonts w:ascii="Arial" w:cs="Arial" w:eastAsia="Arial" w:hAnsi="Arial"/>
                  <w:sz w:val="18"/>
                  <w:szCs w:val="18"/>
                  <w:u w:val="single" w:color="auto"/>
                  <w:color w:val="0000EE"/>
                </w:rPr>
                <w:t>36</w:t>
              </w:r>
            </w:hyperlink>
          </w:p>
        </w:tc>
        <w:tc>
          <w:tcPr>
            <w:tcW w:w="0" w:type="dxa"/>
            <w:vAlign w:val="bottom"/>
          </w:tcPr>
          <w:p>
            <w:pPr>
              <w:spacing w:after="0"/>
              <w:rPr>
                <w:sz w:val="1"/>
                <w:szCs w:val="1"/>
                <w:color w:val="auto"/>
              </w:rPr>
            </w:pPr>
          </w:p>
        </w:tc>
      </w:tr>
      <w:tr>
        <w:trPr>
          <w:trHeight w:val="216"/>
        </w:trPr>
        <w:tc>
          <w:tcPr>
            <w:tcW w:w="7860" w:type="dxa"/>
            <w:vAlign w:val="bottom"/>
            <w:gridSpan w:val="2"/>
          </w:tcPr>
          <w:p>
            <w:pPr>
              <w:spacing w:after="0"/>
              <w:rPr>
                <w:rFonts w:ascii="Arial" w:cs="Arial" w:eastAsia="Arial" w:hAnsi="Arial"/>
                <w:sz w:val="18"/>
                <w:szCs w:val="18"/>
                <w:u w:val="single" w:color="auto"/>
                <w:color w:val="0000EE"/>
              </w:rPr>
            </w:pPr>
            <w:hyperlink w:anchor="page76">
              <w:r>
                <w:rPr>
                  <w:rFonts w:ascii="Arial" w:cs="Arial" w:eastAsia="Arial" w:hAnsi="Arial"/>
                  <w:sz w:val="18"/>
                  <w:szCs w:val="18"/>
                  <w:u w:val="single" w:color="auto"/>
                  <w:color w:val="0000EE"/>
                </w:rPr>
                <w:t>Use of Proceeds</w:t>
              </w:r>
            </w:hyperlink>
          </w:p>
        </w:tc>
        <w:tc>
          <w:tcPr>
            <w:tcW w:w="3380" w:type="dxa"/>
            <w:vAlign w:val="bottom"/>
            <w:gridSpan w:val="2"/>
          </w:tcPr>
          <w:p>
            <w:pPr>
              <w:jc w:val="right"/>
              <w:spacing w:after="0"/>
              <w:rPr>
                <w:rFonts w:ascii="Arial" w:cs="Arial" w:eastAsia="Arial" w:hAnsi="Arial"/>
                <w:sz w:val="18"/>
                <w:szCs w:val="18"/>
                <w:u w:val="single" w:color="auto"/>
                <w:color w:val="0000EE"/>
              </w:rPr>
            </w:pPr>
            <w:hyperlink w:anchor="page76">
              <w:r>
                <w:rPr>
                  <w:rFonts w:ascii="Arial" w:cs="Arial" w:eastAsia="Arial" w:hAnsi="Arial"/>
                  <w:sz w:val="18"/>
                  <w:szCs w:val="18"/>
                  <w:u w:val="single" w:color="auto"/>
                  <w:color w:val="0000EE"/>
                </w:rPr>
                <w:t>70</w:t>
              </w:r>
            </w:hyperlink>
          </w:p>
        </w:tc>
        <w:tc>
          <w:tcPr>
            <w:tcW w:w="0" w:type="dxa"/>
            <w:vAlign w:val="bottom"/>
          </w:tcPr>
          <w:p>
            <w:pPr>
              <w:spacing w:after="0"/>
              <w:rPr>
                <w:sz w:val="1"/>
                <w:szCs w:val="1"/>
                <w:color w:val="auto"/>
              </w:rPr>
            </w:pPr>
          </w:p>
        </w:tc>
      </w:tr>
      <w:tr>
        <w:trPr>
          <w:trHeight w:val="216"/>
        </w:trPr>
        <w:tc>
          <w:tcPr>
            <w:tcW w:w="7860" w:type="dxa"/>
            <w:vAlign w:val="bottom"/>
            <w:gridSpan w:val="2"/>
          </w:tcPr>
          <w:p>
            <w:pPr>
              <w:spacing w:after="0"/>
              <w:rPr>
                <w:rFonts w:ascii="Arial" w:cs="Arial" w:eastAsia="Arial" w:hAnsi="Arial"/>
                <w:sz w:val="18"/>
                <w:szCs w:val="18"/>
                <w:u w:val="single" w:color="auto"/>
                <w:color w:val="0000EE"/>
              </w:rPr>
            </w:pPr>
            <w:hyperlink w:anchor="page79">
              <w:r>
                <w:rPr>
                  <w:rFonts w:ascii="Arial" w:cs="Arial" w:eastAsia="Arial" w:hAnsi="Arial"/>
                  <w:sz w:val="18"/>
                  <w:szCs w:val="18"/>
                  <w:u w:val="single" w:color="auto"/>
                  <w:color w:val="0000EE"/>
                </w:rPr>
                <w:t>Dividend Policy</w:t>
              </w:r>
            </w:hyperlink>
          </w:p>
        </w:tc>
        <w:tc>
          <w:tcPr>
            <w:tcW w:w="3380" w:type="dxa"/>
            <w:vAlign w:val="bottom"/>
            <w:gridSpan w:val="2"/>
          </w:tcPr>
          <w:p>
            <w:pPr>
              <w:jc w:val="right"/>
              <w:spacing w:after="0"/>
              <w:rPr>
                <w:rFonts w:ascii="Arial" w:cs="Arial" w:eastAsia="Arial" w:hAnsi="Arial"/>
                <w:sz w:val="18"/>
                <w:szCs w:val="18"/>
                <w:u w:val="single" w:color="auto"/>
                <w:color w:val="0000EE"/>
              </w:rPr>
            </w:pPr>
            <w:hyperlink w:anchor="page79">
              <w:r>
                <w:rPr>
                  <w:rFonts w:ascii="Arial" w:cs="Arial" w:eastAsia="Arial" w:hAnsi="Arial"/>
                  <w:sz w:val="18"/>
                  <w:szCs w:val="18"/>
                  <w:u w:val="single" w:color="auto"/>
                  <w:color w:val="0000EE"/>
                </w:rPr>
                <w:t>73</w:t>
              </w:r>
            </w:hyperlink>
          </w:p>
        </w:tc>
        <w:tc>
          <w:tcPr>
            <w:tcW w:w="0" w:type="dxa"/>
            <w:vAlign w:val="bottom"/>
          </w:tcPr>
          <w:p>
            <w:pPr>
              <w:spacing w:after="0"/>
              <w:rPr>
                <w:sz w:val="1"/>
                <w:szCs w:val="1"/>
                <w:color w:val="auto"/>
              </w:rPr>
            </w:pPr>
          </w:p>
        </w:tc>
      </w:tr>
      <w:tr>
        <w:trPr>
          <w:trHeight w:val="216"/>
        </w:trPr>
        <w:tc>
          <w:tcPr>
            <w:tcW w:w="7860" w:type="dxa"/>
            <w:vAlign w:val="bottom"/>
            <w:gridSpan w:val="2"/>
          </w:tcPr>
          <w:p>
            <w:pPr>
              <w:spacing w:after="0"/>
              <w:rPr>
                <w:rFonts w:ascii="Arial" w:cs="Arial" w:eastAsia="Arial" w:hAnsi="Arial"/>
                <w:sz w:val="18"/>
                <w:szCs w:val="18"/>
                <w:u w:val="single" w:color="auto"/>
                <w:color w:val="0000EE"/>
              </w:rPr>
            </w:pPr>
            <w:hyperlink w:anchor="page80">
              <w:r>
                <w:rPr>
                  <w:rFonts w:ascii="Arial" w:cs="Arial" w:eastAsia="Arial" w:hAnsi="Arial"/>
                  <w:sz w:val="18"/>
                  <w:szCs w:val="18"/>
                  <w:u w:val="single" w:color="auto"/>
                  <w:color w:val="0000EE"/>
                </w:rPr>
                <w:t>Dilution</w:t>
              </w:r>
            </w:hyperlink>
          </w:p>
        </w:tc>
        <w:tc>
          <w:tcPr>
            <w:tcW w:w="3380" w:type="dxa"/>
            <w:vAlign w:val="bottom"/>
            <w:gridSpan w:val="2"/>
          </w:tcPr>
          <w:p>
            <w:pPr>
              <w:jc w:val="right"/>
              <w:spacing w:after="0"/>
              <w:rPr>
                <w:rFonts w:ascii="Arial" w:cs="Arial" w:eastAsia="Arial" w:hAnsi="Arial"/>
                <w:sz w:val="18"/>
                <w:szCs w:val="18"/>
                <w:u w:val="single" w:color="auto"/>
                <w:color w:val="0000EE"/>
              </w:rPr>
            </w:pPr>
            <w:hyperlink w:anchor="page80">
              <w:r>
                <w:rPr>
                  <w:rFonts w:ascii="Arial" w:cs="Arial" w:eastAsia="Arial" w:hAnsi="Arial"/>
                  <w:sz w:val="18"/>
                  <w:szCs w:val="18"/>
                  <w:u w:val="single" w:color="auto"/>
                  <w:color w:val="0000EE"/>
                </w:rPr>
                <w:t>74</w:t>
              </w:r>
            </w:hyperlink>
          </w:p>
        </w:tc>
        <w:tc>
          <w:tcPr>
            <w:tcW w:w="0" w:type="dxa"/>
            <w:vAlign w:val="bottom"/>
          </w:tcPr>
          <w:p>
            <w:pPr>
              <w:spacing w:after="0"/>
              <w:rPr>
                <w:sz w:val="1"/>
                <w:szCs w:val="1"/>
                <w:color w:val="auto"/>
              </w:rPr>
            </w:pPr>
          </w:p>
        </w:tc>
      </w:tr>
      <w:tr>
        <w:trPr>
          <w:trHeight w:val="216"/>
        </w:trPr>
        <w:tc>
          <w:tcPr>
            <w:tcW w:w="7860" w:type="dxa"/>
            <w:vAlign w:val="bottom"/>
            <w:gridSpan w:val="2"/>
          </w:tcPr>
          <w:p>
            <w:pPr>
              <w:spacing w:after="0"/>
              <w:rPr>
                <w:rFonts w:ascii="Arial" w:cs="Arial" w:eastAsia="Arial" w:hAnsi="Arial"/>
                <w:sz w:val="18"/>
                <w:szCs w:val="18"/>
                <w:u w:val="single" w:color="auto"/>
                <w:color w:val="0000EE"/>
              </w:rPr>
            </w:pPr>
            <w:hyperlink w:anchor="page82">
              <w:r>
                <w:rPr>
                  <w:rFonts w:ascii="Arial" w:cs="Arial" w:eastAsia="Arial" w:hAnsi="Arial"/>
                  <w:sz w:val="18"/>
                  <w:szCs w:val="18"/>
                  <w:u w:val="single" w:color="auto"/>
                  <w:color w:val="0000EE"/>
                </w:rPr>
                <w:t>Capitalization</w:t>
              </w:r>
            </w:hyperlink>
          </w:p>
        </w:tc>
        <w:tc>
          <w:tcPr>
            <w:tcW w:w="3380" w:type="dxa"/>
            <w:vAlign w:val="bottom"/>
            <w:gridSpan w:val="2"/>
          </w:tcPr>
          <w:p>
            <w:pPr>
              <w:jc w:val="right"/>
              <w:spacing w:after="0"/>
              <w:rPr>
                <w:rFonts w:ascii="Arial" w:cs="Arial" w:eastAsia="Arial" w:hAnsi="Arial"/>
                <w:sz w:val="18"/>
                <w:szCs w:val="18"/>
                <w:u w:val="single" w:color="auto"/>
                <w:color w:val="0000EE"/>
              </w:rPr>
            </w:pPr>
            <w:hyperlink w:anchor="page82">
              <w:r>
                <w:rPr>
                  <w:rFonts w:ascii="Arial" w:cs="Arial" w:eastAsia="Arial" w:hAnsi="Arial"/>
                  <w:sz w:val="18"/>
                  <w:szCs w:val="18"/>
                  <w:u w:val="single" w:color="auto"/>
                  <w:color w:val="0000EE"/>
                </w:rPr>
                <w:t>76</w:t>
              </w:r>
            </w:hyperlink>
          </w:p>
        </w:tc>
        <w:tc>
          <w:tcPr>
            <w:tcW w:w="0" w:type="dxa"/>
            <w:vAlign w:val="bottom"/>
          </w:tcPr>
          <w:p>
            <w:pPr>
              <w:spacing w:after="0"/>
              <w:rPr>
                <w:sz w:val="1"/>
                <w:szCs w:val="1"/>
                <w:color w:val="auto"/>
              </w:rPr>
            </w:pPr>
          </w:p>
        </w:tc>
      </w:tr>
      <w:tr>
        <w:trPr>
          <w:trHeight w:val="216"/>
        </w:trPr>
        <w:tc>
          <w:tcPr>
            <w:tcW w:w="7860" w:type="dxa"/>
            <w:vAlign w:val="bottom"/>
            <w:gridSpan w:val="2"/>
          </w:tcPr>
          <w:p>
            <w:pPr>
              <w:spacing w:after="0"/>
              <w:rPr>
                <w:rFonts w:ascii="Arial" w:cs="Arial" w:eastAsia="Arial" w:hAnsi="Arial"/>
                <w:sz w:val="18"/>
                <w:szCs w:val="18"/>
                <w:u w:val="single" w:color="auto"/>
                <w:color w:val="0000EE"/>
              </w:rPr>
            </w:pPr>
            <w:hyperlink w:anchor="page83">
              <w:r>
                <w:rPr>
                  <w:rFonts w:ascii="Arial" w:cs="Arial" w:eastAsia="Arial" w:hAnsi="Arial"/>
                  <w:sz w:val="18"/>
                  <w:szCs w:val="18"/>
                  <w:u w:val="single" w:color="auto"/>
                  <w:color w:val="0000EE"/>
                </w:rPr>
                <w:t>Management’s Discussion and Analysis of Financial Condition and Results of Operations</w:t>
              </w:r>
            </w:hyperlink>
          </w:p>
        </w:tc>
        <w:tc>
          <w:tcPr>
            <w:tcW w:w="3380" w:type="dxa"/>
            <w:vAlign w:val="bottom"/>
            <w:gridSpan w:val="2"/>
          </w:tcPr>
          <w:p>
            <w:pPr>
              <w:jc w:val="right"/>
              <w:spacing w:after="0"/>
              <w:rPr>
                <w:rFonts w:ascii="Arial" w:cs="Arial" w:eastAsia="Arial" w:hAnsi="Arial"/>
                <w:sz w:val="18"/>
                <w:szCs w:val="18"/>
                <w:u w:val="single" w:color="auto"/>
                <w:color w:val="0000EE"/>
              </w:rPr>
            </w:pPr>
            <w:hyperlink w:anchor="page83">
              <w:r>
                <w:rPr>
                  <w:rFonts w:ascii="Arial" w:cs="Arial" w:eastAsia="Arial" w:hAnsi="Arial"/>
                  <w:sz w:val="18"/>
                  <w:szCs w:val="18"/>
                  <w:u w:val="single" w:color="auto"/>
                  <w:color w:val="0000EE"/>
                </w:rPr>
                <w:t>77</w:t>
              </w:r>
            </w:hyperlink>
          </w:p>
        </w:tc>
        <w:tc>
          <w:tcPr>
            <w:tcW w:w="0" w:type="dxa"/>
            <w:vAlign w:val="bottom"/>
          </w:tcPr>
          <w:p>
            <w:pPr>
              <w:spacing w:after="0"/>
              <w:rPr>
                <w:sz w:val="1"/>
                <w:szCs w:val="1"/>
                <w:color w:val="auto"/>
              </w:rPr>
            </w:pPr>
          </w:p>
        </w:tc>
      </w:tr>
      <w:tr>
        <w:trPr>
          <w:trHeight w:val="216"/>
        </w:trPr>
        <w:tc>
          <w:tcPr>
            <w:tcW w:w="7860" w:type="dxa"/>
            <w:vAlign w:val="bottom"/>
            <w:gridSpan w:val="2"/>
          </w:tcPr>
          <w:p>
            <w:pPr>
              <w:spacing w:after="0"/>
              <w:rPr>
                <w:rFonts w:ascii="Arial" w:cs="Arial" w:eastAsia="Arial" w:hAnsi="Arial"/>
                <w:sz w:val="18"/>
                <w:szCs w:val="18"/>
                <w:u w:val="single" w:color="auto"/>
                <w:color w:val="0000EE"/>
              </w:rPr>
            </w:pPr>
            <w:hyperlink w:anchor="page88">
              <w:r>
                <w:rPr>
                  <w:rFonts w:ascii="Arial" w:cs="Arial" w:eastAsia="Arial" w:hAnsi="Arial"/>
                  <w:sz w:val="18"/>
                  <w:szCs w:val="18"/>
                  <w:u w:val="single" w:color="auto"/>
                  <w:color w:val="0000EE"/>
                </w:rPr>
                <w:t>Proposed Business</w:t>
              </w:r>
            </w:hyperlink>
          </w:p>
        </w:tc>
        <w:tc>
          <w:tcPr>
            <w:tcW w:w="3380" w:type="dxa"/>
            <w:vAlign w:val="bottom"/>
            <w:gridSpan w:val="2"/>
          </w:tcPr>
          <w:p>
            <w:pPr>
              <w:jc w:val="right"/>
              <w:spacing w:after="0"/>
              <w:rPr>
                <w:rFonts w:ascii="Arial" w:cs="Arial" w:eastAsia="Arial" w:hAnsi="Arial"/>
                <w:sz w:val="18"/>
                <w:szCs w:val="18"/>
                <w:u w:val="single" w:color="auto"/>
                <w:color w:val="0000EE"/>
              </w:rPr>
            </w:pPr>
            <w:hyperlink w:anchor="page88">
              <w:r>
                <w:rPr>
                  <w:rFonts w:ascii="Arial" w:cs="Arial" w:eastAsia="Arial" w:hAnsi="Arial"/>
                  <w:sz w:val="18"/>
                  <w:szCs w:val="18"/>
                  <w:u w:val="single" w:color="auto"/>
                  <w:color w:val="0000EE"/>
                </w:rPr>
                <w:t>82</w:t>
              </w:r>
            </w:hyperlink>
          </w:p>
        </w:tc>
        <w:tc>
          <w:tcPr>
            <w:tcW w:w="0" w:type="dxa"/>
            <w:vAlign w:val="bottom"/>
          </w:tcPr>
          <w:p>
            <w:pPr>
              <w:spacing w:after="0"/>
              <w:rPr>
                <w:sz w:val="1"/>
                <w:szCs w:val="1"/>
                <w:color w:val="auto"/>
              </w:rPr>
            </w:pPr>
          </w:p>
        </w:tc>
      </w:tr>
      <w:tr>
        <w:trPr>
          <w:trHeight w:val="216"/>
        </w:trPr>
        <w:tc>
          <w:tcPr>
            <w:tcW w:w="7860" w:type="dxa"/>
            <w:vAlign w:val="bottom"/>
            <w:gridSpan w:val="2"/>
          </w:tcPr>
          <w:p>
            <w:pPr>
              <w:spacing w:after="0"/>
              <w:rPr>
                <w:rFonts w:ascii="Arial" w:cs="Arial" w:eastAsia="Arial" w:hAnsi="Arial"/>
                <w:sz w:val="18"/>
                <w:szCs w:val="18"/>
                <w:u w:val="single" w:color="auto"/>
                <w:color w:val="0000EE"/>
              </w:rPr>
            </w:pPr>
            <w:hyperlink w:anchor="page116">
              <w:r>
                <w:rPr>
                  <w:rFonts w:ascii="Arial" w:cs="Arial" w:eastAsia="Arial" w:hAnsi="Arial"/>
                  <w:sz w:val="18"/>
                  <w:szCs w:val="18"/>
                  <w:u w:val="single" w:color="auto"/>
                  <w:color w:val="0000EE"/>
                </w:rPr>
                <w:t>Management</w:t>
              </w:r>
            </w:hyperlink>
          </w:p>
        </w:tc>
        <w:tc>
          <w:tcPr>
            <w:tcW w:w="3380" w:type="dxa"/>
            <w:vAlign w:val="bottom"/>
            <w:gridSpan w:val="2"/>
          </w:tcPr>
          <w:p>
            <w:pPr>
              <w:jc w:val="right"/>
              <w:spacing w:after="0"/>
              <w:rPr>
                <w:rFonts w:ascii="Arial" w:cs="Arial" w:eastAsia="Arial" w:hAnsi="Arial"/>
                <w:sz w:val="18"/>
                <w:szCs w:val="18"/>
                <w:u w:val="single" w:color="auto"/>
                <w:color w:val="0000EE"/>
              </w:rPr>
            </w:pPr>
            <w:hyperlink w:anchor="page116">
              <w:r>
                <w:rPr>
                  <w:rFonts w:ascii="Arial" w:cs="Arial" w:eastAsia="Arial" w:hAnsi="Arial"/>
                  <w:sz w:val="18"/>
                  <w:szCs w:val="18"/>
                  <w:u w:val="single" w:color="auto"/>
                  <w:color w:val="0000EE"/>
                </w:rPr>
                <w:t>108</w:t>
              </w:r>
            </w:hyperlink>
          </w:p>
        </w:tc>
        <w:tc>
          <w:tcPr>
            <w:tcW w:w="0" w:type="dxa"/>
            <w:vAlign w:val="bottom"/>
          </w:tcPr>
          <w:p>
            <w:pPr>
              <w:spacing w:after="0"/>
              <w:rPr>
                <w:sz w:val="1"/>
                <w:szCs w:val="1"/>
                <w:color w:val="auto"/>
              </w:rPr>
            </w:pPr>
          </w:p>
        </w:tc>
      </w:tr>
      <w:tr>
        <w:trPr>
          <w:trHeight w:val="216"/>
        </w:trPr>
        <w:tc>
          <w:tcPr>
            <w:tcW w:w="7860" w:type="dxa"/>
            <w:vAlign w:val="bottom"/>
            <w:gridSpan w:val="2"/>
          </w:tcPr>
          <w:p>
            <w:pPr>
              <w:spacing w:after="0"/>
              <w:rPr>
                <w:rFonts w:ascii="Arial" w:cs="Arial" w:eastAsia="Arial" w:hAnsi="Arial"/>
                <w:sz w:val="18"/>
                <w:szCs w:val="18"/>
                <w:u w:val="single" w:color="auto"/>
                <w:color w:val="0000EE"/>
              </w:rPr>
            </w:pPr>
            <w:hyperlink w:anchor="page125">
              <w:r>
                <w:rPr>
                  <w:rFonts w:ascii="Arial" w:cs="Arial" w:eastAsia="Arial" w:hAnsi="Arial"/>
                  <w:sz w:val="18"/>
                  <w:szCs w:val="18"/>
                  <w:u w:val="single" w:color="auto"/>
                  <w:color w:val="0000EE"/>
                </w:rPr>
                <w:t>Principal Shareholders</w:t>
              </w:r>
            </w:hyperlink>
          </w:p>
        </w:tc>
        <w:tc>
          <w:tcPr>
            <w:tcW w:w="3380" w:type="dxa"/>
            <w:vAlign w:val="bottom"/>
            <w:gridSpan w:val="2"/>
          </w:tcPr>
          <w:p>
            <w:pPr>
              <w:jc w:val="right"/>
              <w:spacing w:after="0"/>
              <w:rPr>
                <w:rFonts w:ascii="Arial" w:cs="Arial" w:eastAsia="Arial" w:hAnsi="Arial"/>
                <w:sz w:val="18"/>
                <w:szCs w:val="18"/>
                <w:u w:val="single" w:color="auto"/>
                <w:color w:val="0000EE"/>
              </w:rPr>
            </w:pPr>
            <w:hyperlink w:anchor="page125">
              <w:r>
                <w:rPr>
                  <w:rFonts w:ascii="Arial" w:cs="Arial" w:eastAsia="Arial" w:hAnsi="Arial"/>
                  <w:sz w:val="18"/>
                  <w:szCs w:val="18"/>
                  <w:u w:val="single" w:color="auto"/>
                  <w:color w:val="0000EE"/>
                </w:rPr>
                <w:t>116</w:t>
              </w:r>
            </w:hyperlink>
          </w:p>
        </w:tc>
        <w:tc>
          <w:tcPr>
            <w:tcW w:w="0" w:type="dxa"/>
            <w:vAlign w:val="bottom"/>
          </w:tcPr>
          <w:p>
            <w:pPr>
              <w:spacing w:after="0"/>
              <w:rPr>
                <w:sz w:val="1"/>
                <w:szCs w:val="1"/>
                <w:color w:val="auto"/>
              </w:rPr>
            </w:pPr>
          </w:p>
        </w:tc>
      </w:tr>
      <w:tr>
        <w:trPr>
          <w:trHeight w:val="216"/>
        </w:trPr>
        <w:tc>
          <w:tcPr>
            <w:tcW w:w="7860" w:type="dxa"/>
            <w:vAlign w:val="bottom"/>
            <w:gridSpan w:val="2"/>
          </w:tcPr>
          <w:p>
            <w:pPr>
              <w:spacing w:after="0"/>
              <w:rPr>
                <w:rFonts w:ascii="Arial" w:cs="Arial" w:eastAsia="Arial" w:hAnsi="Arial"/>
                <w:sz w:val="18"/>
                <w:szCs w:val="18"/>
                <w:u w:val="single" w:color="auto"/>
                <w:color w:val="0000EE"/>
              </w:rPr>
            </w:pPr>
            <w:hyperlink w:anchor="page128">
              <w:r>
                <w:rPr>
                  <w:rFonts w:ascii="Arial" w:cs="Arial" w:eastAsia="Arial" w:hAnsi="Arial"/>
                  <w:sz w:val="18"/>
                  <w:szCs w:val="18"/>
                  <w:u w:val="single" w:color="auto"/>
                  <w:color w:val="0000EE"/>
                </w:rPr>
                <w:t>Certain Relationships and Related Party Transactions</w:t>
              </w:r>
            </w:hyperlink>
          </w:p>
        </w:tc>
        <w:tc>
          <w:tcPr>
            <w:tcW w:w="3380" w:type="dxa"/>
            <w:vAlign w:val="bottom"/>
            <w:gridSpan w:val="2"/>
          </w:tcPr>
          <w:p>
            <w:pPr>
              <w:jc w:val="right"/>
              <w:spacing w:after="0"/>
              <w:rPr>
                <w:rFonts w:ascii="Arial" w:cs="Arial" w:eastAsia="Arial" w:hAnsi="Arial"/>
                <w:sz w:val="18"/>
                <w:szCs w:val="18"/>
                <w:u w:val="single" w:color="auto"/>
                <w:color w:val="0000EE"/>
              </w:rPr>
            </w:pPr>
            <w:hyperlink w:anchor="page128">
              <w:r>
                <w:rPr>
                  <w:rFonts w:ascii="Arial" w:cs="Arial" w:eastAsia="Arial" w:hAnsi="Arial"/>
                  <w:sz w:val="18"/>
                  <w:szCs w:val="18"/>
                  <w:u w:val="single" w:color="auto"/>
                  <w:color w:val="0000EE"/>
                </w:rPr>
                <w:t>119</w:t>
              </w:r>
            </w:hyperlink>
          </w:p>
        </w:tc>
        <w:tc>
          <w:tcPr>
            <w:tcW w:w="0" w:type="dxa"/>
            <w:vAlign w:val="bottom"/>
          </w:tcPr>
          <w:p>
            <w:pPr>
              <w:spacing w:after="0"/>
              <w:rPr>
                <w:sz w:val="1"/>
                <w:szCs w:val="1"/>
                <w:color w:val="auto"/>
              </w:rPr>
            </w:pPr>
          </w:p>
        </w:tc>
      </w:tr>
      <w:tr>
        <w:trPr>
          <w:trHeight w:val="216"/>
        </w:trPr>
        <w:tc>
          <w:tcPr>
            <w:tcW w:w="7860" w:type="dxa"/>
            <w:vAlign w:val="bottom"/>
            <w:gridSpan w:val="2"/>
          </w:tcPr>
          <w:p>
            <w:pPr>
              <w:spacing w:after="0"/>
              <w:rPr>
                <w:rFonts w:ascii="Arial" w:cs="Arial" w:eastAsia="Arial" w:hAnsi="Arial"/>
                <w:sz w:val="18"/>
                <w:szCs w:val="18"/>
                <w:u w:val="single" w:color="auto"/>
                <w:color w:val="0000EE"/>
              </w:rPr>
            </w:pPr>
            <w:hyperlink w:anchor="page130">
              <w:r>
                <w:rPr>
                  <w:rFonts w:ascii="Arial" w:cs="Arial" w:eastAsia="Arial" w:hAnsi="Arial"/>
                  <w:sz w:val="18"/>
                  <w:szCs w:val="18"/>
                  <w:u w:val="single" w:color="auto"/>
                  <w:color w:val="0000EE"/>
                </w:rPr>
                <w:t>Description of Securities</w:t>
              </w:r>
            </w:hyperlink>
          </w:p>
        </w:tc>
        <w:tc>
          <w:tcPr>
            <w:tcW w:w="3380" w:type="dxa"/>
            <w:vAlign w:val="bottom"/>
            <w:gridSpan w:val="2"/>
          </w:tcPr>
          <w:p>
            <w:pPr>
              <w:jc w:val="right"/>
              <w:spacing w:after="0"/>
              <w:rPr>
                <w:rFonts w:ascii="Arial" w:cs="Arial" w:eastAsia="Arial" w:hAnsi="Arial"/>
                <w:sz w:val="18"/>
                <w:szCs w:val="18"/>
                <w:u w:val="single" w:color="auto"/>
                <w:color w:val="0000EE"/>
              </w:rPr>
            </w:pPr>
            <w:hyperlink w:anchor="page130">
              <w:r>
                <w:rPr>
                  <w:rFonts w:ascii="Arial" w:cs="Arial" w:eastAsia="Arial" w:hAnsi="Arial"/>
                  <w:sz w:val="18"/>
                  <w:szCs w:val="18"/>
                  <w:u w:val="single" w:color="auto"/>
                  <w:color w:val="0000EE"/>
                </w:rPr>
                <w:t>121</w:t>
              </w:r>
            </w:hyperlink>
          </w:p>
        </w:tc>
        <w:tc>
          <w:tcPr>
            <w:tcW w:w="0" w:type="dxa"/>
            <w:vAlign w:val="bottom"/>
          </w:tcPr>
          <w:p>
            <w:pPr>
              <w:spacing w:after="0"/>
              <w:rPr>
                <w:sz w:val="1"/>
                <w:szCs w:val="1"/>
                <w:color w:val="auto"/>
              </w:rPr>
            </w:pPr>
          </w:p>
        </w:tc>
      </w:tr>
      <w:tr>
        <w:trPr>
          <w:trHeight w:val="216"/>
        </w:trPr>
        <w:tc>
          <w:tcPr>
            <w:tcW w:w="7860" w:type="dxa"/>
            <w:vAlign w:val="bottom"/>
            <w:gridSpan w:val="2"/>
          </w:tcPr>
          <w:p>
            <w:pPr>
              <w:spacing w:after="0"/>
              <w:rPr>
                <w:rFonts w:ascii="Arial" w:cs="Arial" w:eastAsia="Arial" w:hAnsi="Arial"/>
                <w:sz w:val="18"/>
                <w:szCs w:val="18"/>
                <w:u w:val="single" w:color="auto"/>
                <w:color w:val="0000EE"/>
              </w:rPr>
            </w:pPr>
            <w:hyperlink w:anchor="page150">
              <w:r>
                <w:rPr>
                  <w:rFonts w:ascii="Arial" w:cs="Arial" w:eastAsia="Arial" w:hAnsi="Arial"/>
                  <w:sz w:val="18"/>
                  <w:szCs w:val="18"/>
                  <w:u w:val="single" w:color="auto"/>
                  <w:color w:val="0000EE"/>
                </w:rPr>
                <w:t>Taxation</w:t>
              </w:r>
            </w:hyperlink>
          </w:p>
        </w:tc>
        <w:tc>
          <w:tcPr>
            <w:tcW w:w="3380" w:type="dxa"/>
            <w:vAlign w:val="bottom"/>
            <w:gridSpan w:val="2"/>
          </w:tcPr>
          <w:p>
            <w:pPr>
              <w:jc w:val="right"/>
              <w:spacing w:after="0"/>
              <w:rPr>
                <w:rFonts w:ascii="Arial" w:cs="Arial" w:eastAsia="Arial" w:hAnsi="Arial"/>
                <w:sz w:val="18"/>
                <w:szCs w:val="18"/>
                <w:u w:val="single" w:color="auto"/>
                <w:color w:val="0000EE"/>
              </w:rPr>
            </w:pPr>
            <w:hyperlink w:anchor="page150">
              <w:r>
                <w:rPr>
                  <w:rFonts w:ascii="Arial" w:cs="Arial" w:eastAsia="Arial" w:hAnsi="Arial"/>
                  <w:sz w:val="18"/>
                  <w:szCs w:val="18"/>
                  <w:u w:val="single" w:color="auto"/>
                  <w:color w:val="0000EE"/>
                </w:rPr>
                <w:t>141</w:t>
              </w:r>
            </w:hyperlink>
          </w:p>
        </w:tc>
        <w:tc>
          <w:tcPr>
            <w:tcW w:w="0" w:type="dxa"/>
            <w:vAlign w:val="bottom"/>
          </w:tcPr>
          <w:p>
            <w:pPr>
              <w:spacing w:after="0"/>
              <w:rPr>
                <w:sz w:val="1"/>
                <w:szCs w:val="1"/>
                <w:color w:val="auto"/>
              </w:rPr>
            </w:pPr>
          </w:p>
        </w:tc>
      </w:tr>
      <w:tr>
        <w:trPr>
          <w:trHeight w:val="216"/>
        </w:trPr>
        <w:tc>
          <w:tcPr>
            <w:tcW w:w="7860" w:type="dxa"/>
            <w:vAlign w:val="bottom"/>
            <w:gridSpan w:val="2"/>
          </w:tcPr>
          <w:p>
            <w:pPr>
              <w:spacing w:after="0"/>
              <w:rPr>
                <w:rFonts w:ascii="Arial" w:cs="Arial" w:eastAsia="Arial" w:hAnsi="Arial"/>
                <w:sz w:val="18"/>
                <w:szCs w:val="18"/>
                <w:u w:val="single" w:color="auto"/>
                <w:color w:val="0000EE"/>
              </w:rPr>
            </w:pPr>
            <w:hyperlink w:anchor="page161">
              <w:r>
                <w:rPr>
                  <w:rFonts w:ascii="Arial" w:cs="Arial" w:eastAsia="Arial" w:hAnsi="Arial"/>
                  <w:sz w:val="18"/>
                  <w:szCs w:val="18"/>
                  <w:u w:val="single" w:color="auto"/>
                  <w:color w:val="0000EE"/>
                </w:rPr>
                <w:t>Underwriting</w:t>
              </w:r>
            </w:hyperlink>
          </w:p>
        </w:tc>
        <w:tc>
          <w:tcPr>
            <w:tcW w:w="3380" w:type="dxa"/>
            <w:vAlign w:val="bottom"/>
            <w:gridSpan w:val="2"/>
          </w:tcPr>
          <w:p>
            <w:pPr>
              <w:jc w:val="right"/>
              <w:spacing w:after="0"/>
              <w:rPr>
                <w:rFonts w:ascii="Arial" w:cs="Arial" w:eastAsia="Arial" w:hAnsi="Arial"/>
                <w:sz w:val="18"/>
                <w:szCs w:val="18"/>
                <w:u w:val="single" w:color="auto"/>
                <w:color w:val="0000EE"/>
              </w:rPr>
            </w:pPr>
            <w:hyperlink w:anchor="page161">
              <w:r>
                <w:rPr>
                  <w:rFonts w:ascii="Arial" w:cs="Arial" w:eastAsia="Arial" w:hAnsi="Arial"/>
                  <w:sz w:val="18"/>
                  <w:szCs w:val="18"/>
                  <w:u w:val="single" w:color="auto"/>
                  <w:color w:val="0000EE"/>
                </w:rPr>
                <w:t>152</w:t>
              </w:r>
            </w:hyperlink>
          </w:p>
        </w:tc>
        <w:tc>
          <w:tcPr>
            <w:tcW w:w="0" w:type="dxa"/>
            <w:vAlign w:val="bottom"/>
          </w:tcPr>
          <w:p>
            <w:pPr>
              <w:spacing w:after="0"/>
              <w:rPr>
                <w:sz w:val="1"/>
                <w:szCs w:val="1"/>
                <w:color w:val="auto"/>
              </w:rPr>
            </w:pPr>
          </w:p>
        </w:tc>
      </w:tr>
      <w:tr>
        <w:trPr>
          <w:trHeight w:val="216"/>
        </w:trPr>
        <w:tc>
          <w:tcPr>
            <w:tcW w:w="7860" w:type="dxa"/>
            <w:vAlign w:val="bottom"/>
            <w:gridSpan w:val="2"/>
          </w:tcPr>
          <w:p>
            <w:pPr>
              <w:spacing w:after="0"/>
              <w:rPr>
                <w:rFonts w:ascii="Arial" w:cs="Arial" w:eastAsia="Arial" w:hAnsi="Arial"/>
                <w:sz w:val="18"/>
                <w:szCs w:val="18"/>
                <w:u w:val="single" w:color="auto"/>
                <w:color w:val="0000EE"/>
              </w:rPr>
            </w:pPr>
            <w:hyperlink w:anchor="page168">
              <w:r>
                <w:rPr>
                  <w:rFonts w:ascii="Arial" w:cs="Arial" w:eastAsia="Arial" w:hAnsi="Arial"/>
                  <w:sz w:val="18"/>
                  <w:szCs w:val="18"/>
                  <w:u w:val="single" w:color="auto"/>
                  <w:color w:val="0000EE"/>
                </w:rPr>
                <w:t>Legal Matters</w:t>
              </w:r>
            </w:hyperlink>
          </w:p>
        </w:tc>
        <w:tc>
          <w:tcPr>
            <w:tcW w:w="3380" w:type="dxa"/>
            <w:vAlign w:val="bottom"/>
            <w:gridSpan w:val="2"/>
          </w:tcPr>
          <w:p>
            <w:pPr>
              <w:jc w:val="right"/>
              <w:spacing w:after="0"/>
              <w:rPr>
                <w:rFonts w:ascii="Arial" w:cs="Arial" w:eastAsia="Arial" w:hAnsi="Arial"/>
                <w:sz w:val="18"/>
                <w:szCs w:val="18"/>
                <w:u w:val="single" w:color="auto"/>
                <w:color w:val="0000EE"/>
              </w:rPr>
            </w:pPr>
            <w:hyperlink w:anchor="page168">
              <w:r>
                <w:rPr>
                  <w:rFonts w:ascii="Arial" w:cs="Arial" w:eastAsia="Arial" w:hAnsi="Arial"/>
                  <w:sz w:val="18"/>
                  <w:szCs w:val="18"/>
                  <w:u w:val="single" w:color="auto"/>
                  <w:color w:val="0000EE"/>
                </w:rPr>
                <w:t>159</w:t>
              </w:r>
            </w:hyperlink>
          </w:p>
        </w:tc>
        <w:tc>
          <w:tcPr>
            <w:tcW w:w="0" w:type="dxa"/>
            <w:vAlign w:val="bottom"/>
          </w:tcPr>
          <w:p>
            <w:pPr>
              <w:spacing w:after="0"/>
              <w:rPr>
                <w:sz w:val="1"/>
                <w:szCs w:val="1"/>
                <w:color w:val="auto"/>
              </w:rPr>
            </w:pPr>
          </w:p>
        </w:tc>
      </w:tr>
      <w:tr>
        <w:trPr>
          <w:trHeight w:val="216"/>
        </w:trPr>
        <w:tc>
          <w:tcPr>
            <w:tcW w:w="7860" w:type="dxa"/>
            <w:vAlign w:val="bottom"/>
            <w:gridSpan w:val="2"/>
          </w:tcPr>
          <w:p>
            <w:pPr>
              <w:spacing w:after="0"/>
              <w:rPr>
                <w:rFonts w:ascii="Arial" w:cs="Arial" w:eastAsia="Arial" w:hAnsi="Arial"/>
                <w:sz w:val="18"/>
                <w:szCs w:val="18"/>
                <w:u w:val="single" w:color="auto"/>
                <w:color w:val="0000EE"/>
              </w:rPr>
            </w:pPr>
            <w:hyperlink w:anchor="page168">
              <w:r>
                <w:rPr>
                  <w:rFonts w:ascii="Arial" w:cs="Arial" w:eastAsia="Arial" w:hAnsi="Arial"/>
                  <w:sz w:val="18"/>
                  <w:szCs w:val="18"/>
                  <w:u w:val="single" w:color="auto"/>
                  <w:color w:val="0000EE"/>
                </w:rPr>
                <w:t>Experts</w:t>
              </w:r>
            </w:hyperlink>
          </w:p>
        </w:tc>
        <w:tc>
          <w:tcPr>
            <w:tcW w:w="3380" w:type="dxa"/>
            <w:vAlign w:val="bottom"/>
            <w:gridSpan w:val="2"/>
          </w:tcPr>
          <w:p>
            <w:pPr>
              <w:jc w:val="right"/>
              <w:spacing w:after="0"/>
              <w:rPr>
                <w:rFonts w:ascii="Arial" w:cs="Arial" w:eastAsia="Arial" w:hAnsi="Arial"/>
                <w:sz w:val="18"/>
                <w:szCs w:val="18"/>
                <w:u w:val="single" w:color="auto"/>
                <w:color w:val="0000EE"/>
              </w:rPr>
            </w:pPr>
            <w:hyperlink w:anchor="page168">
              <w:r>
                <w:rPr>
                  <w:rFonts w:ascii="Arial" w:cs="Arial" w:eastAsia="Arial" w:hAnsi="Arial"/>
                  <w:sz w:val="18"/>
                  <w:szCs w:val="18"/>
                  <w:u w:val="single" w:color="auto"/>
                  <w:color w:val="0000EE"/>
                </w:rPr>
                <w:t>159</w:t>
              </w:r>
            </w:hyperlink>
          </w:p>
        </w:tc>
        <w:tc>
          <w:tcPr>
            <w:tcW w:w="0" w:type="dxa"/>
            <w:vAlign w:val="bottom"/>
          </w:tcPr>
          <w:p>
            <w:pPr>
              <w:spacing w:after="0"/>
              <w:rPr>
                <w:sz w:val="1"/>
                <w:szCs w:val="1"/>
                <w:color w:val="auto"/>
              </w:rPr>
            </w:pPr>
          </w:p>
        </w:tc>
      </w:tr>
      <w:tr>
        <w:trPr>
          <w:trHeight w:val="216"/>
        </w:trPr>
        <w:tc>
          <w:tcPr>
            <w:tcW w:w="7860" w:type="dxa"/>
            <w:vAlign w:val="bottom"/>
            <w:gridSpan w:val="2"/>
          </w:tcPr>
          <w:p>
            <w:pPr>
              <w:spacing w:after="0"/>
              <w:rPr>
                <w:rFonts w:ascii="Arial" w:cs="Arial" w:eastAsia="Arial" w:hAnsi="Arial"/>
                <w:sz w:val="18"/>
                <w:szCs w:val="18"/>
                <w:u w:val="single" w:color="auto"/>
                <w:color w:val="0000EE"/>
              </w:rPr>
            </w:pPr>
            <w:hyperlink w:anchor="page168">
              <w:r>
                <w:rPr>
                  <w:rFonts w:ascii="Arial" w:cs="Arial" w:eastAsia="Arial" w:hAnsi="Arial"/>
                  <w:sz w:val="18"/>
                  <w:szCs w:val="18"/>
                  <w:u w:val="single" w:color="auto"/>
                  <w:color w:val="0000EE"/>
                </w:rPr>
                <w:t>Where You Can Find Additional Information</w:t>
              </w:r>
            </w:hyperlink>
          </w:p>
        </w:tc>
        <w:tc>
          <w:tcPr>
            <w:tcW w:w="3380" w:type="dxa"/>
            <w:vAlign w:val="bottom"/>
            <w:gridSpan w:val="2"/>
          </w:tcPr>
          <w:p>
            <w:pPr>
              <w:jc w:val="right"/>
              <w:spacing w:after="0"/>
              <w:rPr>
                <w:rFonts w:ascii="Arial" w:cs="Arial" w:eastAsia="Arial" w:hAnsi="Arial"/>
                <w:sz w:val="18"/>
                <w:szCs w:val="18"/>
                <w:u w:val="single" w:color="auto"/>
                <w:color w:val="0000EE"/>
              </w:rPr>
            </w:pPr>
            <w:hyperlink w:anchor="page168">
              <w:r>
                <w:rPr>
                  <w:rFonts w:ascii="Arial" w:cs="Arial" w:eastAsia="Arial" w:hAnsi="Arial"/>
                  <w:sz w:val="18"/>
                  <w:szCs w:val="18"/>
                  <w:u w:val="single" w:color="auto"/>
                  <w:color w:val="0000EE"/>
                </w:rPr>
                <w:t>159</w:t>
              </w:r>
            </w:hyperlink>
          </w:p>
        </w:tc>
        <w:tc>
          <w:tcPr>
            <w:tcW w:w="0" w:type="dxa"/>
            <w:vAlign w:val="bottom"/>
          </w:tcPr>
          <w:p>
            <w:pPr>
              <w:spacing w:after="0"/>
              <w:rPr>
                <w:sz w:val="1"/>
                <w:szCs w:val="1"/>
                <w:color w:val="auto"/>
              </w:rPr>
            </w:pPr>
          </w:p>
        </w:tc>
      </w:tr>
      <w:tr>
        <w:trPr>
          <w:trHeight w:val="230"/>
        </w:trPr>
        <w:tc>
          <w:tcPr>
            <w:tcW w:w="7860" w:type="dxa"/>
            <w:vAlign w:val="bottom"/>
            <w:gridSpan w:val="2"/>
          </w:tcPr>
          <w:p>
            <w:pPr>
              <w:spacing w:after="0"/>
              <w:rPr>
                <w:rFonts w:ascii="Arial" w:cs="Arial" w:eastAsia="Arial" w:hAnsi="Arial"/>
                <w:sz w:val="18"/>
                <w:szCs w:val="18"/>
                <w:u w:val="single" w:color="auto"/>
                <w:color w:val="0000EE"/>
              </w:rPr>
            </w:pPr>
            <w:hyperlink w:anchor="page169">
              <w:r>
                <w:rPr>
                  <w:rFonts w:ascii="Arial" w:cs="Arial" w:eastAsia="Arial" w:hAnsi="Arial"/>
                  <w:sz w:val="18"/>
                  <w:szCs w:val="18"/>
                  <w:u w:val="single" w:color="auto"/>
                  <w:color w:val="0000EE"/>
                </w:rPr>
                <w:t>Index To Financial Statements</w:t>
              </w:r>
            </w:hyperlink>
          </w:p>
        </w:tc>
        <w:tc>
          <w:tcPr>
            <w:tcW w:w="3040" w:type="dxa"/>
            <w:vAlign w:val="bottom"/>
          </w:tcPr>
          <w:p>
            <w:pPr>
              <w:spacing w:after="0"/>
              <w:rPr>
                <w:sz w:val="20"/>
                <w:szCs w:val="20"/>
                <w:color w:val="auto"/>
              </w:rPr>
            </w:pPr>
          </w:p>
        </w:tc>
        <w:tc>
          <w:tcPr>
            <w:tcW w:w="340" w:type="dxa"/>
            <w:vAlign w:val="bottom"/>
          </w:tcPr>
          <w:p>
            <w:pPr>
              <w:jc w:val="right"/>
              <w:spacing w:after="0"/>
              <w:rPr>
                <w:rFonts w:ascii="Arial" w:cs="Arial" w:eastAsia="Arial" w:hAnsi="Arial"/>
                <w:sz w:val="18"/>
                <w:szCs w:val="18"/>
                <w:u w:val="single" w:color="auto"/>
                <w:color w:val="0000EE"/>
              </w:rPr>
            </w:pPr>
            <w:hyperlink w:anchor="page169">
              <w:r>
                <w:rPr>
                  <w:rFonts w:ascii="Arial" w:cs="Arial" w:eastAsia="Arial" w:hAnsi="Arial"/>
                  <w:sz w:val="18"/>
                  <w:szCs w:val="18"/>
                  <w:u w:val="single" w:color="auto"/>
                  <w:color w:val="0000EE"/>
                </w:rPr>
                <w:t>F-1</w:t>
              </w:r>
            </w:hyperlink>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40" w:firstLine="324"/>
        <w:spacing w:after="0" w:line="261" w:lineRule="auto"/>
        <w:rPr>
          <w:sz w:val="20"/>
          <w:szCs w:val="20"/>
          <w:color w:val="auto"/>
        </w:rPr>
      </w:pPr>
      <w:r>
        <w:rPr>
          <w:rFonts w:ascii="Arial" w:cs="Arial" w:eastAsia="Arial" w:hAnsi="Arial"/>
          <w:sz w:val="18"/>
          <w:szCs w:val="18"/>
          <w:b w:val="1"/>
          <w:bCs w:val="1"/>
          <w:color w:val="auto"/>
        </w:rPr>
        <w:t>We have not, and the underwriters have not, authorized anyone to provide you with information that is different from or inconsistent with that contained in this prospectus. We are not, and the underwriters are not, making an offer to sell securities in any jurisdiction where the offer or sale is not permitted. You should not assume that the information contained in this prospectus is accurate as of any date other than the date on the front of this prospectus or any earlier date specified for such information.</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Trademarks</w:t>
      </w:r>
    </w:p>
    <w:p>
      <w:pPr>
        <w:spacing w:after="0" w:line="229" w:lineRule="exact"/>
        <w:rPr>
          <w:sz w:val="20"/>
          <w:szCs w:val="20"/>
          <w:color w:val="auto"/>
        </w:rPr>
      </w:pPr>
    </w:p>
    <w:p>
      <w:pPr>
        <w:ind w:right="200" w:firstLine="324"/>
        <w:spacing w:after="0" w:line="301" w:lineRule="auto"/>
        <w:rPr>
          <w:sz w:val="20"/>
          <w:szCs w:val="20"/>
          <w:color w:val="auto"/>
        </w:rPr>
      </w:pPr>
      <w:r>
        <w:rPr>
          <w:rFonts w:ascii="Arial" w:cs="Arial" w:eastAsia="Arial" w:hAnsi="Arial"/>
          <w:sz w:val="16"/>
          <w:szCs w:val="16"/>
          <w:color w:val="auto"/>
        </w:rPr>
        <w:t>This prospectus contains references to trademarks and service marks belonging to other entities. Solely for convenience, trademarks and trade names referred to in this prospectus may appear without the ® or ™ symbols, but such references are not intended to indicate, in any way, that the applicable licensor will not assert, to the fullest extent under applicable law, its rights to these trademarks and trade names. We do not intend our use or display of other companies’ trade names, trademarks or service marks to imply a relationship with, or endorsement or sponsorship of us by, any other companies.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5" w:name="page6"/>
    <w:bookmarkEnd w:id="5"/>
    <w:p>
      <w:pPr>
        <w:spacing w:after="0"/>
        <w:rPr>
          <w:rFonts w:ascii="Arial" w:cs="Arial" w:eastAsia="Arial" w:hAnsi="Arial"/>
          <w:sz w:val="16"/>
          <w:szCs w:val="16"/>
          <w:b w:val="1"/>
          <w:bCs w:val="1"/>
          <w:u w:val="single" w:color="auto"/>
          <w:color w:val="0000EE"/>
        </w:rPr>
      </w:pPr>
      <w:hyperlink w:anchor="page5">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136130" cy="76765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6130" cy="7676515"/>
                    </a:xfrm>
                    <a:prstGeom prst="rect">
                      <a:avLst/>
                    </a:prstGeom>
                    <a:noFill/>
                  </pic:spPr>
                </pic:pic>
              </a:graphicData>
            </a:graphic>
          </wp:anchor>
        </w:drawing>
      </w:r>
    </w:p>
    <w:p>
      <w:pPr>
        <w:spacing w:after="0" w:line="200" w:lineRule="exact"/>
        <w:rPr>
          <w:sz w:val="20"/>
          <w:szCs w:val="20"/>
          <w:color w:val="auto"/>
        </w:rPr>
      </w:pPr>
    </w:p>
    <w:p>
      <w:pPr>
        <w:spacing w:after="0" w:line="240"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SUMMARY</w:t>
      </w:r>
    </w:p>
    <w:p>
      <w:pPr>
        <w:spacing w:after="0" w:line="229" w:lineRule="exact"/>
        <w:rPr>
          <w:sz w:val="20"/>
          <w:szCs w:val="20"/>
          <w:color w:val="auto"/>
        </w:rPr>
      </w:pPr>
    </w:p>
    <w:p>
      <w:pPr>
        <w:ind w:left="100" w:right="60" w:firstLine="324"/>
        <w:spacing w:after="0" w:line="286" w:lineRule="auto"/>
        <w:rPr>
          <w:sz w:val="20"/>
          <w:szCs w:val="20"/>
          <w:color w:val="auto"/>
        </w:rPr>
      </w:pPr>
      <w:r>
        <w:rPr>
          <w:rFonts w:ascii="Arial" w:cs="Arial" w:eastAsia="Arial" w:hAnsi="Arial"/>
          <w:sz w:val="17"/>
          <w:szCs w:val="17"/>
          <w:i w:val="1"/>
          <w:iCs w:val="1"/>
          <w:color w:val="auto"/>
        </w:rPr>
        <w:t>This summary only highlights the more detailed information appearing elsewhere in this prospectus. As this is a summary, it does not contain all of the information that you should consider in making an investment decision. You should read this entire prospectus carefully, including the information under “Risk Factors” and our financial statements and the related notes included elsewhere in this prospectus, before investing.</w:t>
      </w:r>
    </w:p>
    <w:p>
      <w:pPr>
        <w:spacing w:after="0" w:line="165"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Unless otherwise stated in this prospectus or the context otherwise requires, references to:</w:t>
      </w:r>
    </w:p>
    <w:p>
      <w:pPr>
        <w:spacing w:after="0" w:line="225" w:lineRule="exact"/>
        <w:rPr>
          <w:sz w:val="20"/>
          <w:szCs w:val="20"/>
          <w:color w:val="auto"/>
        </w:rPr>
      </w:pPr>
    </w:p>
    <w:p>
      <w:pPr>
        <w:ind w:left="740" w:hanging="318"/>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“we,” “us,” “company” or “our company” are to Freedom Acquisition I Corp., a Cayman Islands exempted company;</w:t>
      </w:r>
    </w:p>
    <w:p>
      <w:pPr>
        <w:spacing w:after="0" w:line="225" w:lineRule="exact"/>
        <w:rPr>
          <w:rFonts w:ascii="Arial" w:cs="Arial" w:eastAsia="Arial" w:hAnsi="Arial"/>
          <w:sz w:val="18"/>
          <w:szCs w:val="18"/>
          <w:color w:val="auto"/>
        </w:rPr>
      </w:pPr>
    </w:p>
    <w:p>
      <w:pPr>
        <w:ind w:left="740" w:hanging="318"/>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“Companies Act” are to the Companies Act (As Revised) of the Cayman Islands as the same may be amended from time to time;</w:t>
      </w:r>
    </w:p>
    <w:p>
      <w:pPr>
        <w:spacing w:after="0" w:line="225" w:lineRule="exact"/>
        <w:rPr>
          <w:rFonts w:ascii="Arial" w:cs="Arial" w:eastAsia="Arial" w:hAnsi="Arial"/>
          <w:sz w:val="18"/>
          <w:szCs w:val="18"/>
          <w:color w:val="auto"/>
        </w:rPr>
      </w:pPr>
    </w:p>
    <w:p>
      <w:pPr>
        <w:ind w:left="740" w:hanging="318"/>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“directors” are to our current directors and director nominees (if any);</w:t>
      </w:r>
    </w:p>
    <w:p>
      <w:pPr>
        <w:spacing w:after="0" w:line="225" w:lineRule="exact"/>
        <w:rPr>
          <w:rFonts w:ascii="Arial" w:cs="Arial" w:eastAsia="Arial" w:hAnsi="Arial"/>
          <w:sz w:val="18"/>
          <w:szCs w:val="18"/>
          <w:color w:val="auto"/>
        </w:rPr>
      </w:pPr>
    </w:p>
    <w:p>
      <w:pPr>
        <w:ind w:left="740" w:right="220" w:hanging="318"/>
        <w:spacing w:after="0" w:line="263" w:lineRule="auto"/>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“founder shares” are to our Class B ordinary shares initially purchased by our sponsor in a private placement prior to this offering and our Class A ordinary shares that will be issued upon the automatic conversion of the Class B ordinary shares at the time of our initial business combination as described herein;</w:t>
      </w:r>
    </w:p>
    <w:p>
      <w:pPr>
        <w:spacing w:after="0" w:line="183" w:lineRule="exact"/>
        <w:rPr>
          <w:rFonts w:ascii="Arial" w:cs="Arial" w:eastAsia="Arial" w:hAnsi="Arial"/>
          <w:sz w:val="18"/>
          <w:szCs w:val="18"/>
          <w:color w:val="auto"/>
        </w:rPr>
      </w:pPr>
    </w:p>
    <w:p>
      <w:pPr>
        <w:ind w:left="740" w:right="280" w:hanging="318"/>
        <w:spacing w:after="0" w:line="342" w:lineRule="auto"/>
        <w:tabs>
          <w:tab w:leader="none" w:pos="740" w:val="left"/>
        </w:tabs>
        <w:numPr>
          <w:ilvl w:val="0"/>
          <w:numId w:val="3"/>
        </w:numPr>
        <w:rPr>
          <w:rFonts w:ascii="Arial" w:cs="Arial" w:eastAsia="Arial" w:hAnsi="Arial"/>
          <w:sz w:val="16"/>
          <w:szCs w:val="16"/>
          <w:color w:val="auto"/>
        </w:rPr>
      </w:pPr>
      <w:r>
        <w:rPr>
          <w:rFonts w:ascii="Arial" w:cs="Arial" w:eastAsia="Arial" w:hAnsi="Arial"/>
          <w:sz w:val="16"/>
          <w:szCs w:val="16"/>
          <w:i w:val="1"/>
          <w:iCs w:val="1"/>
          <w:color w:val="auto"/>
        </w:rPr>
        <w:t>“Freedom Acquisition LLC” are to a member of our sponsor, Freedom Acquisition LLC, a Cayman Islands limited liability company that is owned by Tidjane Thiam, our Executive Chairman, Abhishek Bhatia, a board observer, and Adam Gishen, our Chief Executive Officer;</w:t>
      </w:r>
    </w:p>
    <w:p>
      <w:pPr>
        <w:spacing w:after="0" w:line="123" w:lineRule="exact"/>
        <w:rPr>
          <w:rFonts w:ascii="Arial" w:cs="Arial" w:eastAsia="Arial" w:hAnsi="Arial"/>
          <w:sz w:val="16"/>
          <w:szCs w:val="16"/>
          <w:color w:val="auto"/>
        </w:rPr>
      </w:pPr>
    </w:p>
    <w:p>
      <w:pPr>
        <w:ind w:left="740" w:hanging="318"/>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“initial shareholders” are to holders of our founder shares prior to this offering;</w:t>
      </w:r>
    </w:p>
    <w:p>
      <w:pPr>
        <w:spacing w:after="0" w:line="225" w:lineRule="exact"/>
        <w:rPr>
          <w:rFonts w:ascii="Arial" w:cs="Arial" w:eastAsia="Arial" w:hAnsi="Arial"/>
          <w:sz w:val="18"/>
          <w:szCs w:val="18"/>
          <w:color w:val="auto"/>
        </w:rPr>
      </w:pPr>
    </w:p>
    <w:p>
      <w:pPr>
        <w:ind w:left="740" w:hanging="318"/>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“management” or our “management team” are to our officers and directors;</w:t>
      </w:r>
    </w:p>
    <w:p>
      <w:pPr>
        <w:spacing w:after="0" w:line="225" w:lineRule="exact"/>
        <w:rPr>
          <w:rFonts w:ascii="Arial" w:cs="Arial" w:eastAsia="Arial" w:hAnsi="Arial"/>
          <w:sz w:val="18"/>
          <w:szCs w:val="18"/>
          <w:color w:val="auto"/>
        </w:rPr>
      </w:pPr>
    </w:p>
    <w:p>
      <w:pPr>
        <w:ind w:left="740" w:hanging="318"/>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“ordinary shares” are to our Class A ordinary shares and our Class B ordinary shares;</w:t>
      </w:r>
    </w:p>
    <w:p>
      <w:pPr>
        <w:spacing w:after="0" w:line="225" w:lineRule="exact"/>
        <w:rPr>
          <w:rFonts w:ascii="Arial" w:cs="Arial" w:eastAsia="Arial" w:hAnsi="Arial"/>
          <w:sz w:val="18"/>
          <w:szCs w:val="18"/>
          <w:color w:val="auto"/>
        </w:rPr>
      </w:pPr>
    </w:p>
    <w:p>
      <w:pPr>
        <w:ind w:left="740" w:hanging="318"/>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“PIMCO private fund” are to a member of our sponsor that is affiliated with PIMCO (as defined below);</w:t>
      </w:r>
    </w:p>
    <w:p>
      <w:pPr>
        <w:spacing w:after="0" w:line="225" w:lineRule="exact"/>
        <w:rPr>
          <w:rFonts w:ascii="Arial" w:cs="Arial" w:eastAsia="Arial" w:hAnsi="Arial"/>
          <w:sz w:val="18"/>
          <w:szCs w:val="18"/>
          <w:color w:val="auto"/>
        </w:rPr>
      </w:pPr>
    </w:p>
    <w:p>
      <w:pPr>
        <w:ind w:left="740" w:hanging="318"/>
        <w:spacing w:after="0"/>
        <w:tabs>
          <w:tab w:leader="none" w:pos="740" w:val="left"/>
        </w:tabs>
        <w:numPr>
          <w:ilvl w:val="0"/>
          <w:numId w:val="3"/>
        </w:numPr>
        <w:rPr>
          <w:rFonts w:ascii="Arial" w:cs="Arial" w:eastAsia="Arial" w:hAnsi="Arial"/>
          <w:sz w:val="16"/>
          <w:szCs w:val="16"/>
          <w:color w:val="auto"/>
        </w:rPr>
      </w:pPr>
      <w:r>
        <w:rPr>
          <w:rFonts w:ascii="Arial" w:cs="Arial" w:eastAsia="Arial" w:hAnsi="Arial"/>
          <w:sz w:val="16"/>
          <w:szCs w:val="16"/>
          <w:i w:val="1"/>
          <w:iCs w:val="1"/>
          <w:color w:val="auto"/>
        </w:rPr>
        <w:t>“private placement warrants” are to the warrants issued to our sponsor in a private placement simultaneously with the closing of this offering;</w:t>
      </w:r>
    </w:p>
    <w:p>
      <w:pPr>
        <w:spacing w:after="0" w:line="248" w:lineRule="exact"/>
        <w:rPr>
          <w:rFonts w:ascii="Arial" w:cs="Arial" w:eastAsia="Arial" w:hAnsi="Arial"/>
          <w:sz w:val="16"/>
          <w:szCs w:val="16"/>
          <w:color w:val="auto"/>
        </w:rPr>
      </w:pPr>
    </w:p>
    <w:p>
      <w:pPr>
        <w:ind w:left="740" w:right="400" w:hanging="318"/>
        <w:spacing w:after="0" w:line="277" w:lineRule="auto"/>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“public shares” are to our Class A ordinary shares sold as part of the units in this offering (whether they are purchased in this offering or thereafter in the open market);</w:t>
      </w:r>
    </w:p>
    <w:p>
      <w:pPr>
        <w:spacing w:after="0" w:line="170" w:lineRule="exact"/>
        <w:rPr>
          <w:rFonts w:ascii="Arial" w:cs="Arial" w:eastAsia="Arial" w:hAnsi="Arial"/>
          <w:sz w:val="18"/>
          <w:szCs w:val="18"/>
          <w:color w:val="auto"/>
        </w:rPr>
      </w:pPr>
    </w:p>
    <w:p>
      <w:pPr>
        <w:ind w:left="740" w:right="20" w:hanging="318"/>
        <w:spacing w:after="0" w:line="286" w:lineRule="auto"/>
        <w:tabs>
          <w:tab w:leader="none" w:pos="740"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“public shareholders” are to the holders of our public shares, including our initial shareholders and management team to the extent our initial shareholders and/or members of our management team purchase public shares, provided that each initial shareholder’s and member of our management team’s status as a “public shareholder” will only exist with respect to such public shares;</w:t>
      </w:r>
    </w:p>
    <w:p>
      <w:pPr>
        <w:spacing w:after="0" w:line="165" w:lineRule="exact"/>
        <w:rPr>
          <w:rFonts w:ascii="Arial" w:cs="Arial" w:eastAsia="Arial" w:hAnsi="Arial"/>
          <w:sz w:val="17"/>
          <w:szCs w:val="17"/>
          <w:color w:val="auto"/>
        </w:rPr>
      </w:pPr>
    </w:p>
    <w:p>
      <w:pPr>
        <w:ind w:left="740" w:right="120" w:hanging="318"/>
        <w:spacing w:after="0" w:line="277" w:lineRule="auto"/>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“public warrants” are to the warrants sold as part of the units in this offering (whether they are purchased in this offering or thereafter in the open market);</w:t>
      </w:r>
    </w:p>
    <w:p>
      <w:pPr>
        <w:spacing w:after="0" w:line="170" w:lineRule="exact"/>
        <w:rPr>
          <w:rFonts w:ascii="Arial" w:cs="Arial" w:eastAsia="Arial" w:hAnsi="Arial"/>
          <w:sz w:val="18"/>
          <w:szCs w:val="18"/>
          <w:color w:val="auto"/>
        </w:rPr>
      </w:pPr>
    </w:p>
    <w:p>
      <w:pPr>
        <w:ind w:left="740" w:hanging="318"/>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“sponsor” are to Freedom Acquisition I LLC, a Cayman Islands limited liability company; and</w:t>
      </w:r>
    </w:p>
    <w:p>
      <w:pPr>
        <w:spacing w:after="0" w:line="225" w:lineRule="exact"/>
        <w:rPr>
          <w:rFonts w:ascii="Arial" w:cs="Arial" w:eastAsia="Arial" w:hAnsi="Arial"/>
          <w:sz w:val="18"/>
          <w:szCs w:val="18"/>
          <w:color w:val="auto"/>
        </w:rPr>
      </w:pPr>
    </w:p>
    <w:p>
      <w:pPr>
        <w:ind w:left="740" w:hanging="318"/>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“warrants” are to our public warrants and private placement warrants.</w:t>
      </w:r>
    </w:p>
    <w:p>
      <w:pPr>
        <w:spacing w:after="0" w:line="225" w:lineRule="exact"/>
        <w:rPr>
          <w:sz w:val="20"/>
          <w:szCs w:val="20"/>
          <w:color w:val="auto"/>
        </w:rPr>
      </w:pPr>
    </w:p>
    <w:p>
      <w:pPr>
        <w:ind w:left="100" w:right="140" w:firstLine="324"/>
        <w:spacing w:after="0" w:line="259" w:lineRule="auto"/>
        <w:rPr>
          <w:sz w:val="20"/>
          <w:szCs w:val="20"/>
          <w:color w:val="auto"/>
        </w:rPr>
      </w:pPr>
      <w:r>
        <w:rPr>
          <w:rFonts w:ascii="Arial" w:cs="Arial" w:eastAsia="Arial" w:hAnsi="Arial"/>
          <w:sz w:val="18"/>
          <w:szCs w:val="18"/>
          <w:i w:val="1"/>
          <w:iCs w:val="1"/>
          <w:color w:val="auto"/>
        </w:rPr>
        <w:t>Any conversion of the Class B ordinary shares described in this prospectus will take effect as a redemption of Class B ordinary shares and an issuance of Class A ordinary shares as a matter of Cayman Islands law. Any forfeiture of shares, and all references to forfeiture of shares, described in this prospectus shall take effect as a surrender of shares for no consideration as a matter of Cayman Islands law. Any share dividend described in this prospectus will take effect as a share capitalization as a matter of Cayman Islands law.</w:t>
      </w:r>
    </w:p>
    <w:p>
      <w:pPr>
        <w:spacing w:after="0" w:line="187" w:lineRule="exact"/>
        <w:rPr>
          <w:sz w:val="20"/>
          <w:szCs w:val="20"/>
          <w:color w:val="auto"/>
        </w:rPr>
      </w:pPr>
    </w:p>
    <w:p>
      <w:pPr>
        <w:ind w:left="420"/>
        <w:spacing w:after="0"/>
        <w:rPr>
          <w:sz w:val="20"/>
          <w:szCs w:val="20"/>
          <w:color w:val="auto"/>
        </w:rPr>
      </w:pPr>
      <w:r>
        <w:rPr>
          <w:rFonts w:ascii="Arial" w:cs="Arial" w:eastAsia="Arial" w:hAnsi="Arial"/>
          <w:sz w:val="16"/>
          <w:szCs w:val="16"/>
          <w:i w:val="1"/>
          <w:iCs w:val="1"/>
          <w:color w:val="auto"/>
        </w:rPr>
        <w:t>Unless we tell you otherwise, the information in this prospectus assumes that (i) the underwriters will not exercise their over-allotment option and</w:t>
      </w:r>
    </w:p>
    <w:p>
      <w:pPr>
        <w:spacing w:after="0" w:line="46" w:lineRule="exact"/>
        <w:rPr>
          <w:sz w:val="20"/>
          <w:szCs w:val="20"/>
          <w:color w:val="auto"/>
        </w:rPr>
      </w:pPr>
    </w:p>
    <w:p>
      <w:pPr>
        <w:ind w:left="360" w:hanging="262"/>
        <w:spacing w:after="0"/>
        <w:tabs>
          <w:tab w:leader="none" w:pos="3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the PIMCO private fund or its affiliates purchase 2,475,000 units in this offering.</w:t>
      </w:r>
    </w:p>
    <w:p>
      <w:pPr>
        <w:spacing w:after="0" w:line="200" w:lineRule="exact"/>
        <w:rPr>
          <w:rFonts w:ascii="Arial" w:cs="Arial" w:eastAsia="Arial" w:hAnsi="Arial"/>
          <w:sz w:val="18"/>
          <w:szCs w:val="18"/>
          <w:i w:val="1"/>
          <w:iCs w:val="1"/>
          <w:color w:val="auto"/>
        </w:rPr>
      </w:pPr>
    </w:p>
    <w:p>
      <w:pPr>
        <w:spacing w:after="0" w:line="200" w:lineRule="exact"/>
        <w:rPr>
          <w:rFonts w:ascii="Arial" w:cs="Arial" w:eastAsia="Arial" w:hAnsi="Arial"/>
          <w:sz w:val="18"/>
          <w:szCs w:val="18"/>
          <w:i w:val="1"/>
          <w:iCs w:val="1"/>
          <w:color w:val="auto"/>
        </w:rPr>
      </w:pPr>
    </w:p>
    <w:p>
      <w:pPr>
        <w:spacing w:after="0" w:line="215" w:lineRule="exact"/>
        <w:rPr>
          <w:rFonts w:ascii="Arial" w:cs="Arial" w:eastAsia="Arial" w:hAnsi="Arial"/>
          <w:sz w:val="18"/>
          <w:szCs w:val="18"/>
          <w:i w:val="1"/>
          <w:iCs w:val="1"/>
          <w:color w:val="auto"/>
        </w:rPr>
      </w:pPr>
    </w:p>
    <w:p>
      <w:pPr>
        <w:ind w:left="5560"/>
        <w:spacing w:after="0"/>
        <w:rPr>
          <w:rFonts w:ascii="Arial" w:cs="Arial" w:eastAsia="Arial" w:hAnsi="Arial"/>
          <w:sz w:val="18"/>
          <w:szCs w:val="18"/>
          <w:i w:val="1"/>
          <w:iCs w:val="1"/>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80"/>
          </w:cols>
          <w:pgMar w:left="320" w:top="234" w:right="49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378460</wp:posOffset>
            </wp:positionV>
            <wp:extent cx="7136130" cy="91681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6130" cy="9168130"/>
                    </a:xfrm>
                    <a:prstGeom prst="rect">
                      <a:avLst/>
                    </a:prstGeom>
                    <a:noFill/>
                  </pic:spPr>
                </pic:pic>
              </a:graphicData>
            </a:graphic>
          </wp:anchor>
        </w:drawing>
        <w:t>Our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Freedom Acquisition I Corp. is a newly incorporated blank check company, incorporated as a Cayman Islands exempted company for the purpose of effecting a merger, share exchange, asset acquisition, share purchase, reorganization or similar business combination with one or more businesses, which we refer to throughout this prospectus as our initial business combination. We have not selected any specific business combination target and we have not, nor has anyone on our behalf, engaged in any substantive discussions, directly or indirectly, with any business combination target with respect to an initial business combination with us.</w:t>
      </w:r>
    </w:p>
    <w:p>
      <w:pPr>
        <w:spacing w:after="0" w:line="188" w:lineRule="exact"/>
        <w:rPr>
          <w:sz w:val="20"/>
          <w:szCs w:val="20"/>
          <w:color w:val="auto"/>
        </w:rPr>
      </w:pPr>
    </w:p>
    <w:p>
      <w:pPr>
        <w:ind w:right="320" w:firstLine="324"/>
        <w:spacing w:after="0" w:line="279" w:lineRule="auto"/>
        <w:rPr>
          <w:sz w:val="20"/>
          <w:szCs w:val="20"/>
          <w:color w:val="auto"/>
        </w:rPr>
      </w:pPr>
      <w:r>
        <w:rPr>
          <w:rFonts w:ascii="Arial" w:cs="Arial" w:eastAsia="Arial" w:hAnsi="Arial"/>
          <w:sz w:val="17"/>
          <w:szCs w:val="17"/>
          <w:color w:val="auto"/>
        </w:rPr>
        <w:t>While we may pursue an initial business combination with any target business and in any sector or geographical location, we intend to focus our search for an initial business combination in the area of Financial Services, in businesses that are technology-enabled and demonstrate growth and scalability potential. We anticipate that these target businesses may be located in developed markets, such as North America or Europe, or emerging markets, which may include Asia, Latin America and select countries in Africa.</w:t>
      </w:r>
    </w:p>
    <w:p>
      <w:pPr>
        <w:spacing w:after="0" w:line="171"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Freedom Acquisition I Corp. was established by Tidjane Thiam, Adam Gishen and Abhishek Bhatia to leverage their extensive experience in acquiring, building, operating and scaling global financial services businesses in constantly evolving environments. Mr. Thiam, with his more than 30 years of experience in financial services businesses, led global institutions like Credit Suisse and Prudential as CEO for 5 years and 6 years, respectively. Mr. Gishen has over 20 years of experience in financial services and has held senior leadership responsibilities in recent years at Credit Suisse running its Global Investor Relations and Corporate Communications functions. Mr. Bhatia has more than 20 years of global experience in life and general insurance and asset management and has created businesses from scratch, including a technology-enabled life insurer in Europe and a full-stack digital insurer in Asia for which he served as CEO.</w:t>
      </w:r>
    </w:p>
    <w:p>
      <w:pPr>
        <w:spacing w:after="0" w:line="195" w:lineRule="exact"/>
        <w:rPr>
          <w:sz w:val="20"/>
          <w:szCs w:val="20"/>
          <w:color w:val="auto"/>
        </w:rPr>
      </w:pPr>
    </w:p>
    <w:p>
      <w:pPr>
        <w:ind w:right="180" w:firstLine="324"/>
        <w:spacing w:after="0" w:line="257" w:lineRule="auto"/>
        <w:rPr>
          <w:sz w:val="20"/>
          <w:szCs w:val="20"/>
          <w:color w:val="auto"/>
        </w:rPr>
      </w:pPr>
      <w:r>
        <w:rPr>
          <w:rFonts w:ascii="Arial" w:cs="Arial" w:eastAsia="Arial" w:hAnsi="Arial"/>
          <w:sz w:val="18"/>
          <w:szCs w:val="18"/>
          <w:color w:val="auto"/>
        </w:rPr>
        <w:t>We believe that the collective experience of our founders, in combination with their deep and broad global network of relationships across public and private sectors in both mature as well as emerging markets, provides us with a competitive advantage to identify, structure, finance and acquire the operations of a compelling target business. In pursuing our strategy of creating a global financial services group, we intend to add value to the target business through active engagement with its management team, and enabling that company to leverage the benefits of scale to grow and increase profitability.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Team</w:t>
      </w:r>
    </w:p>
    <w:p>
      <w:pPr>
        <w:spacing w:after="0" w:line="229" w:lineRule="exact"/>
        <w:rPr>
          <w:sz w:val="20"/>
          <w:szCs w:val="20"/>
          <w:color w:val="auto"/>
        </w:rPr>
      </w:pPr>
    </w:p>
    <w:p>
      <w:pPr>
        <w:ind w:right="100" w:firstLine="324"/>
        <w:spacing w:after="0" w:line="275" w:lineRule="auto"/>
        <w:rPr>
          <w:sz w:val="20"/>
          <w:szCs w:val="20"/>
          <w:color w:val="auto"/>
        </w:rPr>
      </w:pPr>
      <w:r>
        <w:rPr>
          <w:rFonts w:ascii="Arial" w:cs="Arial" w:eastAsia="Arial" w:hAnsi="Arial"/>
          <w:sz w:val="17"/>
          <w:szCs w:val="17"/>
          <w:b w:val="1"/>
          <w:bCs w:val="1"/>
          <w:i w:val="1"/>
          <w:iCs w:val="1"/>
          <w:color w:val="auto"/>
        </w:rPr>
        <w:t>Tidjane Thiam</w:t>
      </w:r>
      <w:r>
        <w:rPr>
          <w:rFonts w:ascii="Arial" w:cs="Arial" w:eastAsia="Arial" w:hAnsi="Arial"/>
          <w:sz w:val="17"/>
          <w:szCs w:val="17"/>
          <w:color w:val="auto"/>
        </w:rPr>
        <w:t>, our Executive Chairman, has over 30 years of experience in global financial services. Mr. Thiam was the CEO of Credit Suisse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Group AG from 2015 to 2020, where he successfully turned around the performance of Credit Suisse and delivered record-breaking profits in 2019, Credit Suisse’s most profitable year in over a decade. He was able to significantly restructure the bank’s trading and investment banking business, while simultaneously growing its wealth management activities with a focus on entrepreneurs and ultra-high net worth individuals. For these achievements, Mr. Thiam was awarded with the Banker of the Year - Euromoney award in 2018.</w:t>
      </w:r>
    </w:p>
    <w:p>
      <w:pPr>
        <w:spacing w:after="0" w:line="176"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Prior to joining Credit Suisse, Mr. Thiam served as the Group CEO of Prudential plc from 2009 to 2015, after being Group CFO from 2008 to 2009. While at the helm of Prudential, Mr. Thiam foresaw the latent potential of insurance markets in Asia and spearheaded the strategy of transforming Prudential’s Asia business into a best-in-class franchise across the region. Within six years, new business premiums from the region nearly doubled to £2.2bn, operating profit more than doubled and dividends to the group increased by 10x. Mr. Thiam also played a key role in navigating Jackson National Life through the 2008-2009 market dislocation. Jackson emerged from the 2008-2009 market dislocation a few years later as a leader in the US variable annuities market. Under Mr. Thiam’s leadership, Prudential created substantial shareholder value by increasing the group’s market capitalization by 3.3x from approximately £10.6 billion in 2009 to approximately £35.3 billion in 2014 (based on 12-month volume-weighted average price). Mr. Thiam also served as a Director of Prudential plc from 2008 to 2015.</w:t>
      </w:r>
    </w:p>
    <w:p>
      <w:pPr>
        <w:spacing w:after="0" w:line="178" w:lineRule="exact"/>
        <w:rPr>
          <w:sz w:val="20"/>
          <w:szCs w:val="20"/>
          <w:color w:val="auto"/>
        </w:rPr>
      </w:pPr>
    </w:p>
    <w:p>
      <w:pPr>
        <w:ind w:right="60" w:firstLine="324"/>
        <w:spacing w:after="0" w:line="290" w:lineRule="auto"/>
        <w:rPr>
          <w:sz w:val="20"/>
          <w:szCs w:val="20"/>
          <w:color w:val="auto"/>
        </w:rPr>
      </w:pPr>
      <w:r>
        <w:rPr>
          <w:rFonts w:ascii="Arial" w:cs="Arial" w:eastAsia="Arial" w:hAnsi="Arial"/>
          <w:sz w:val="16"/>
          <w:szCs w:val="16"/>
          <w:color w:val="auto"/>
        </w:rPr>
        <w:t>Previously, Mr. Thiam served in a variety of leadership roles at Aviva from 2002 to 2007, holding successively the positions of Group Strategy and Development Director, Managing Director of Aviva International, Group Executive Director and Chief Executive Officer, Europe, and being appointed to the Aviva plc board in 2007. Mr. Thiam joined Aviva in 2002 from McKinsey &amp; Company, the consulting firm, where he was a partner. From 1994 to 1999, he was successively CEO of the National Bureau for Technical Studies and Development, and Secretary of Development and Planning, Côte d’Ivoire. Mr. Thiam served as Chairman of the Board of the Association of British Insurers from 2012 to 2014. In addition, Mr. Thiam is a chevalier of the French Legion of Honor, a member of Group of 30, a member of the Board of Directors and the Chair of the Audit Committee of Kering S.A., a member of the International Olympic Committee and a member of its Finance Commission. Mr. Thiam is a graduate from the École Polytechnique in Paris and the École Nationale Supérieure des Mines de Paris (top of his class) and holds an MBA from INSEAD, with distinction.</w:t>
      </w:r>
    </w:p>
    <w:p>
      <w:pPr>
        <w:spacing w:after="0" w:line="165" w:lineRule="exact"/>
        <w:rPr>
          <w:sz w:val="20"/>
          <w:szCs w:val="20"/>
          <w:color w:val="auto"/>
        </w:rPr>
      </w:pPr>
    </w:p>
    <w:p>
      <w:pPr>
        <w:ind w:right="180" w:firstLine="324"/>
        <w:spacing w:after="0" w:line="296" w:lineRule="auto"/>
        <w:rPr>
          <w:sz w:val="20"/>
          <w:szCs w:val="20"/>
          <w:color w:val="auto"/>
        </w:rPr>
      </w:pPr>
      <w:r>
        <w:rPr>
          <w:rFonts w:ascii="Arial" w:cs="Arial" w:eastAsia="Arial" w:hAnsi="Arial"/>
          <w:sz w:val="16"/>
          <w:szCs w:val="16"/>
          <w:b w:val="1"/>
          <w:bCs w:val="1"/>
          <w:i w:val="1"/>
          <w:iCs w:val="1"/>
          <w:color w:val="auto"/>
        </w:rPr>
        <w:t xml:space="preserve">Adam Gishen </w:t>
      </w:r>
      <w:r>
        <w:rPr>
          <w:rFonts w:ascii="Arial" w:cs="Arial" w:eastAsia="Arial" w:hAnsi="Arial"/>
          <w:sz w:val="16"/>
          <w:szCs w:val="16"/>
          <w:color w:val="auto"/>
        </w:rPr>
        <w:t>is our Chief Executive Officer and is expected to serve as one of our initial board observers. Mr. Gishen has over 20 years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experience in financial services. Mr. Gishen served in several senior roles at Credit Suisse from 2015 to 2020, including Head of Investor Relations, Corporate Communications, Marketing and Branding from 2019 to 2020 and Head of Investor Relations and Corporate Communications from 2017 to 2019. Prior to 2015, Mr. Gishen was a Partner at Ondra Partners, a financial advisory firm and prior to that a Managing Director at Nomura in London and Lehman Brothers from 1999 to 2008 where he specialized in the area of Equity Capital Markets. He graduated from University of Leeds.</w:t>
      </w:r>
    </w:p>
    <w:p>
      <w:pPr>
        <w:spacing w:after="0" w:line="161" w:lineRule="exact"/>
        <w:rPr>
          <w:sz w:val="20"/>
          <w:szCs w:val="20"/>
          <w:color w:val="auto"/>
        </w:rPr>
      </w:pPr>
    </w:p>
    <w:p>
      <w:pPr>
        <w:ind w:right="120" w:firstLine="324"/>
        <w:spacing w:after="0" w:line="311" w:lineRule="auto"/>
        <w:rPr>
          <w:sz w:val="20"/>
          <w:szCs w:val="20"/>
          <w:color w:val="auto"/>
        </w:rPr>
      </w:pPr>
      <w:r>
        <w:rPr>
          <w:rFonts w:ascii="Arial" w:cs="Arial" w:eastAsia="Arial" w:hAnsi="Arial"/>
          <w:sz w:val="16"/>
          <w:szCs w:val="16"/>
          <w:b w:val="1"/>
          <w:bCs w:val="1"/>
          <w:i w:val="1"/>
          <w:iCs w:val="1"/>
          <w:color w:val="auto"/>
        </w:rPr>
        <w:t xml:space="preserve">Abhishek Bhatia </w:t>
      </w:r>
      <w:r>
        <w:rPr>
          <w:rFonts w:ascii="Arial" w:cs="Arial" w:eastAsia="Arial" w:hAnsi="Arial"/>
          <w:sz w:val="16"/>
          <w:szCs w:val="16"/>
          <w:color w:val="auto"/>
        </w:rPr>
        <w:t>is expected to serve as one of our initial board observers. Mr. Bhatia has over 20 years of experience across various geographies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industries. Mr. Bhatia was with FWD group from 2015 to 2020 and served as Group Chief Officer of New Business Models in his last role. Prior to the group role, he served as the CEO of FWD’s business in Singapore and established it as an exemplar in digital insurance within four years.</w:t>
      </w:r>
    </w:p>
    <w:p>
      <w:pPr>
        <w:spacing w:after="0" w:line="33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23495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40"/>
          </w:cols>
          <w:pgMar w:left="420" w:top="891" w:right="439" w:bottom="943" w:gutter="0" w:footer="0" w:header="0"/>
        </w:sectPr>
      </w:pPr>
    </w:p>
    <w:bookmarkStart w:id="7" w:name="page8"/>
    <w:bookmarkEnd w:id="7"/>
    <w:p>
      <w:pPr>
        <w:ind w:right="200" w:firstLine="324"/>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206375</wp:posOffset>
            </wp:positionH>
            <wp:positionV relativeFrom="page">
              <wp:posOffset>378460</wp:posOffset>
            </wp:positionV>
            <wp:extent cx="7136130" cy="95796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6130" cy="9579610"/>
                    </a:xfrm>
                    <a:prstGeom prst="rect">
                      <a:avLst/>
                    </a:prstGeom>
                    <a:noFill/>
                  </pic:spPr>
                </pic:pic>
              </a:graphicData>
            </a:graphic>
          </wp:anchor>
        </w:drawing>
        <w:t>Before joining FWD, Mr. Bhatia spent 15 years with Prudential plc in senior roles across the globe. In his last job with the company, he was Chief Executive Officer, Prudential Poland, where he oversaw the establishment of the company and was instrumental in achieving Prudential’s leadership position in sales technology and product innovation. Prior to that, he was the Regional Director of Insurance based out of Hong Kong. He also held senior roles with Prudential in Malaysia and India. Mr. Bhatia is an Economics Graduate from SRCC, University of Delhi and holds a post-graduate in Management from IIM Kolkata.</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PIMCO</w:t>
      </w:r>
    </w:p>
    <w:p>
      <w:pPr>
        <w:spacing w:after="0" w:line="229" w:lineRule="exact"/>
        <w:rPr>
          <w:sz w:val="20"/>
          <w:szCs w:val="20"/>
          <w:color w:val="auto"/>
        </w:rPr>
      </w:pPr>
    </w:p>
    <w:p>
      <w:pPr>
        <w:ind w:right="240" w:firstLine="324"/>
        <w:spacing w:after="0" w:line="289" w:lineRule="auto"/>
        <w:rPr>
          <w:sz w:val="20"/>
          <w:szCs w:val="20"/>
          <w:color w:val="auto"/>
        </w:rPr>
      </w:pPr>
      <w:r>
        <w:rPr>
          <w:rFonts w:ascii="Arial" w:cs="Arial" w:eastAsia="Arial" w:hAnsi="Arial"/>
          <w:sz w:val="16"/>
          <w:szCs w:val="16"/>
          <w:b w:val="1"/>
          <w:bCs w:val="1"/>
          <w:i w:val="1"/>
          <w:iCs w:val="1"/>
          <w:color w:val="auto"/>
        </w:rPr>
        <w:t xml:space="preserve">Jamie Weinstein </w:t>
      </w:r>
      <w:r>
        <w:rPr>
          <w:rFonts w:ascii="Arial" w:cs="Arial" w:eastAsia="Arial" w:hAnsi="Arial"/>
          <w:sz w:val="16"/>
          <w:szCs w:val="16"/>
          <w:color w:val="auto"/>
        </w:rPr>
        <w:t>is expected to serve on our board of directors. Mr. Weinstein is a managing director, portfolio manager and head of corporate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special situations at Pacific Investment Management Company LLC (“PIMCO”), focusing on PIMCO’s opportunistic and alternative strategies within corporate credit. Prior to joining PIMCO in 2019, Mr. Weinstein worked for Kohlberg Kravis Roberts &amp; Co. (“KKR”) as a portfolio manager for the firm’s special situations funds and portfolios, which he managed from their inception in 2009. Mr. Weinstein was also a member of KKR’s special situations, real estate, and India NBFC investment committees and the KKR credit portfolio management committee. Previously, Mr. Weinstein was a portfolio manager with responsibility across KKR’s credit strategies. Prior to joining KKR, Mr. Weinstein was with Tishman Speyer Properties as director of acquisitions for Northern California and at Boston Consulting Group as a consultant. Mr. Weinstein serves on the boards of directors of Climate Change Crisis Real Impact I Acquisition Corporation (“CRIS I”), Climate Real Impact Solutions II Acquisition Corporation (“CRIS II”), Capstar Special Purpose Acquisition Corp (“Capstar”) and Sandbridge Acquisition Corporation (“Sandbridge”).</w:t>
      </w:r>
    </w:p>
    <w:p>
      <w:pPr>
        <w:spacing w:after="0" w:line="166" w:lineRule="exact"/>
        <w:rPr>
          <w:sz w:val="20"/>
          <w:szCs w:val="20"/>
          <w:color w:val="auto"/>
        </w:rPr>
      </w:pPr>
    </w:p>
    <w:p>
      <w:pPr>
        <w:ind w:right="40" w:firstLine="324"/>
        <w:spacing w:after="0" w:line="290" w:lineRule="auto"/>
        <w:rPr>
          <w:sz w:val="20"/>
          <w:szCs w:val="20"/>
          <w:color w:val="auto"/>
        </w:rPr>
      </w:pPr>
      <w:r>
        <w:rPr>
          <w:rFonts w:ascii="Arial" w:cs="Arial" w:eastAsia="Arial" w:hAnsi="Arial"/>
          <w:sz w:val="16"/>
          <w:szCs w:val="16"/>
          <w:b w:val="1"/>
          <w:bCs w:val="1"/>
          <w:i w:val="1"/>
          <w:iCs w:val="1"/>
          <w:color w:val="auto"/>
        </w:rPr>
        <w:t xml:space="preserve">Daniel Ballen </w:t>
      </w:r>
      <w:r>
        <w:rPr>
          <w:rFonts w:ascii="Arial" w:cs="Arial" w:eastAsia="Arial" w:hAnsi="Arial"/>
          <w:sz w:val="16"/>
          <w:szCs w:val="16"/>
          <w:color w:val="auto"/>
        </w:rPr>
        <w:t>is expected to serve as one of PIMCO’s initial board observers. Since June 2014, Mr. Ballen has served as a Portfolio Manager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Executive Vice President at PIMCO, where he helps lead the corporate private equity investment strategy for the firm’s alternative investment complex. He has led numerous private equity investments in both the U.S. and Europe and currently serves as a board member on a wide range of both private and public companies in the financial services and technology sectors. Prior to joining PIMCO, Mr. Ballen was a member of the private equity investment teams at Pine Brook Partners from 2011 to April 2014 and at Bain Capital, LP from 2007 to 2010, where he executed and managed private equity investments in the U.S. across a variety of sectors. Mr. Ballen started his career in the investment banking division of Bear, Stearns &amp; Co., where he was a member of the U.S. financial institutions advisory team. Mr. Ballen currently serves on the boards of directors of Velocity Financial (NYSE: VEL), Cardholder Management Services, Inc., Finance Ireland Ltd, Great Rock Capital Partners, LLC and Amur Equipment Finance, Inc.</w:t>
      </w:r>
    </w:p>
    <w:p>
      <w:pPr>
        <w:spacing w:after="0" w:line="165"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b w:val="1"/>
          <w:bCs w:val="1"/>
          <w:i w:val="1"/>
          <w:iCs w:val="1"/>
          <w:color w:val="auto"/>
        </w:rPr>
        <w:t xml:space="preserve">Dan Degtyar </w:t>
      </w:r>
      <w:r>
        <w:rPr>
          <w:rFonts w:ascii="Arial" w:cs="Arial" w:eastAsia="Arial" w:hAnsi="Arial"/>
          <w:sz w:val="18"/>
          <w:szCs w:val="18"/>
          <w:color w:val="auto"/>
        </w:rPr>
        <w:t>is expected to serve as one of PIMCO’s initial board observers. Mr. Degtyar is an Executive Vice President, portfolio manager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senior analyst for PIMCO’s Global Credit Opportunity Strategy, where he focuses on credit relative value opportunities and special situations. Prior to joining PIMCO, Mr. Degtyar was a senior analyst at Beach Point Capital, a private equity associate at Ares Management and an investment banking associate at Credit Suisse. Mr. Degtyar is a CFA charterholder with 14 years of investment experience. Mr. Degtyar serves as a board observer for CRIS I, CRIS II, Capstar and Sandbridge.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Co-Sponsor</w:t>
      </w:r>
    </w:p>
    <w:p>
      <w:pPr>
        <w:spacing w:after="0" w:line="229"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The PIMCO private fund, part of our sponsor group, is managed by PIMCO, one of the world’s premier fixed income investment managers. For 50 years, PIMCO has worked relentlessly to help millions of investors achieve their financial objectives across a wide range of market environments. Today, PIMCO has offices around the world and more than 3,000 professionals committed to its mission: delivering superior investment returns, solutions and service to its clients. PIMCO’s alternatives platform combines the firm’s time-tested investment process with opportunistic approaches to marketable and private credit, equity, global real estate, macroeconomic, and quantitative strategies. As of December 31, 2020, PIMCO had approximately $2.2 trillion in assets under management and is owned by Allianz S.E., a leading global diversified financial services provider.</w:t>
      </w:r>
    </w:p>
    <w:p>
      <w:pPr>
        <w:spacing w:after="0" w:line="164"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Similar to our management team, PIMCO has been dedicated to being a best-in-class operator in the global financial services industry. In addition to being a large user of third party technology and services, PIMCO has dedicated investment teams that continually source, evaluate, execute and manage equity and debt investments in the financial services and technology sectors, both in the US and abroad. Our team will leverage the knowledge, leadership, access and reach of the PIMCO private fund and PIMCO’s global platform to identify and evaluate potential targets for our initial business combination. We believe our ability to draw from such a longstanding and respected institution will further enhance our ability to identify and source the best opportunities for our stockholders.</w:t>
      </w:r>
    </w:p>
    <w:p>
      <w:pPr>
        <w:spacing w:after="0" w:line="192"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The past performance of our management team, directors, advisors, the PIMCO private fund and their respective affiliates is not a guarantee (i) that we will be able to identify a suitable candidate for our initial business combination or (ii) of success with respect to any business combination we may consummate. You should not rely on the historical record of our management team’s, directors’, advisors’, the PIMCO private fund’s or their respective affiliates’ performance as indicative of our future performance.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Independent Directors</w:t>
      </w:r>
    </w:p>
    <w:p>
      <w:pPr>
        <w:spacing w:after="0" w:line="229" w:lineRule="exact"/>
        <w:rPr>
          <w:sz w:val="20"/>
          <w:szCs w:val="20"/>
          <w:color w:val="auto"/>
        </w:rPr>
      </w:pPr>
    </w:p>
    <w:p>
      <w:pPr>
        <w:ind w:right="440" w:firstLine="324"/>
        <w:spacing w:after="0" w:line="277" w:lineRule="auto"/>
        <w:rPr>
          <w:sz w:val="20"/>
          <w:szCs w:val="20"/>
          <w:color w:val="auto"/>
        </w:rPr>
      </w:pPr>
      <w:r>
        <w:rPr>
          <w:rFonts w:ascii="Arial" w:cs="Arial" w:eastAsia="Arial" w:hAnsi="Arial"/>
          <w:sz w:val="18"/>
          <w:szCs w:val="18"/>
          <w:color w:val="auto"/>
        </w:rPr>
        <w:t>We have chosen our independent board members for the purposes of assisting our sponsors with sourcing and evaluating business combination opportunities and developing plans and strategies to optimize any business that we acquire.</w:t>
      </w:r>
    </w:p>
    <w:p>
      <w:pPr>
        <w:spacing w:after="0" w:line="170" w:lineRule="exact"/>
        <w:rPr>
          <w:sz w:val="20"/>
          <w:szCs w:val="20"/>
          <w:color w:val="auto"/>
        </w:rPr>
      </w:pPr>
    </w:p>
    <w:p>
      <w:pPr>
        <w:ind w:right="40" w:firstLine="324"/>
        <w:spacing w:after="0" w:line="290" w:lineRule="auto"/>
        <w:rPr>
          <w:sz w:val="20"/>
          <w:szCs w:val="20"/>
          <w:color w:val="auto"/>
        </w:rPr>
      </w:pPr>
      <w:r>
        <w:rPr>
          <w:rFonts w:ascii="Arial" w:cs="Arial" w:eastAsia="Arial" w:hAnsi="Arial"/>
          <w:sz w:val="16"/>
          <w:szCs w:val="16"/>
          <w:b w:val="1"/>
          <w:bCs w:val="1"/>
          <w:i w:val="1"/>
          <w:iCs w:val="1"/>
          <w:color w:val="auto"/>
        </w:rPr>
        <w:t xml:space="preserve">Noreen Doyle </w:t>
      </w:r>
      <w:r>
        <w:rPr>
          <w:rFonts w:ascii="Arial" w:cs="Arial" w:eastAsia="Arial" w:hAnsi="Arial"/>
          <w:sz w:val="16"/>
          <w:szCs w:val="16"/>
          <w:color w:val="auto"/>
        </w:rPr>
        <w:t>is expected to serve on our board of directors. Since 2005, Ms. Doyle has been a member of the Board of Directors of Newmont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Corporation, the world’s largest gold producer. Since 2016, she has served as Chair of the Board and of the Nominating and Corporate Governance Committee, having previously served as Chair of the Audit Committee. From 2004 to 2017, she served on the Board of Directors of Credit Suisse Group AG, including as Vice Chair and Senior Independent Director from 2014 to 2017. Ms. Doyle has also served on the boards of Rexam PLC and QinetiQ plc. In her executive career, Ms. Doyle was First Vice President of the European Bank for Reconstruction and Development (EBRD) from 2001 to 2005, having previously served as head of Risk Management and of Syndications. Prior to EBRD, Ms. Doyle was a senior officer at Bankers Trust Company (now Deutsche Bank) specializing in leveraged finance and natural resources. Ms. Doyle holds an MBA from Tuck School at Dartmouth, where she served on its Board of Overseers, and a B.A. from the College of Mount Saint Vincent, where she served on and chaired its Board of Trustees.</w:t>
      </w:r>
    </w:p>
    <w:p>
      <w:pPr>
        <w:spacing w:after="0" w:line="35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23495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40"/>
          </w:cols>
          <w:pgMar w:left="420" w:top="895" w:right="439" w:bottom="295" w:gutter="0" w:footer="0" w:header="0"/>
        </w:sectPr>
      </w:pPr>
    </w:p>
    <w:bookmarkStart w:id="8" w:name="page9"/>
    <w:bookmarkEnd w:id="8"/>
    <w:p>
      <w:pPr>
        <w:ind w:right="20" w:firstLine="324"/>
        <w:spacing w:after="0" w:line="275" w:lineRule="auto"/>
        <w:rPr>
          <w:sz w:val="20"/>
          <w:szCs w:val="20"/>
          <w:color w:val="auto"/>
        </w:rPr>
      </w:pPr>
      <w:r>
        <w:rPr>
          <w:rFonts w:ascii="Arial" w:cs="Arial" w:eastAsia="Arial" w:hAnsi="Arial"/>
          <w:sz w:val="17"/>
          <w:szCs w:val="17"/>
          <w:b w:val="1"/>
          <w:bCs w:val="1"/>
          <w:i w:val="1"/>
          <w:iCs w:val="1"/>
          <w:color w:val="auto"/>
        </w:rPr>
        <w:drawing>
          <wp:anchor simplePos="0" relativeHeight="251657728" behindDoc="1" locked="0" layoutInCell="0" allowOverlap="1">
            <wp:simplePos x="0" y="0"/>
            <wp:positionH relativeFrom="page">
              <wp:posOffset>206375</wp:posOffset>
            </wp:positionH>
            <wp:positionV relativeFrom="page">
              <wp:posOffset>378460</wp:posOffset>
            </wp:positionV>
            <wp:extent cx="7136130" cy="51904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6130" cy="5190490"/>
                    </a:xfrm>
                    <a:prstGeom prst="rect">
                      <a:avLst/>
                    </a:prstGeom>
                    <a:noFill/>
                  </pic:spPr>
                </pic:pic>
              </a:graphicData>
            </a:graphic>
          </wp:anchor>
        </w:drawing>
        <w:t xml:space="preserve">William Janetschek </w:t>
      </w:r>
      <w:r>
        <w:rPr>
          <w:rFonts w:ascii="Arial" w:cs="Arial" w:eastAsia="Arial" w:hAnsi="Arial"/>
          <w:sz w:val="17"/>
          <w:szCs w:val="17"/>
          <w:color w:val="auto"/>
        </w:rPr>
        <w:t>is expected to serve on our board of directors. Mr. Janetschek joined KKR in 1997 and retired in 2020 as a Partner and its Chief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Financial Officer. Mr. Janetschek was also a member of KKR’s Balance Sheet Committee, Global Valuation Committee and Risk and Operations Committee. Prior to joining KKR, he was a Tax Partner at Deloitte &amp; Touche LLP. He serves as a sponsor and member of a variety of non-profit organizations including Student Sponsor Partners and St. Brigid Catholic Church. Mr. Janetschek holds a M.S. from Pace University and a B.S. from St. John’s University, where he is now the Chairman of the Board of Trustees.</w:t>
      </w:r>
    </w:p>
    <w:p>
      <w:pPr>
        <w:spacing w:after="0" w:line="176" w:lineRule="exact"/>
        <w:rPr>
          <w:sz w:val="20"/>
          <w:szCs w:val="20"/>
          <w:color w:val="auto"/>
        </w:rPr>
      </w:pPr>
    </w:p>
    <w:p>
      <w:pPr>
        <w:ind w:right="100" w:firstLine="324"/>
        <w:spacing w:after="0" w:line="275" w:lineRule="auto"/>
        <w:rPr>
          <w:sz w:val="20"/>
          <w:szCs w:val="20"/>
          <w:color w:val="auto"/>
        </w:rPr>
      </w:pPr>
      <w:r>
        <w:rPr>
          <w:rFonts w:ascii="Arial" w:cs="Arial" w:eastAsia="Arial" w:hAnsi="Arial"/>
          <w:sz w:val="17"/>
          <w:szCs w:val="17"/>
          <w:b w:val="1"/>
          <w:bCs w:val="1"/>
          <w:i w:val="1"/>
          <w:iCs w:val="1"/>
          <w:color w:val="auto"/>
        </w:rPr>
        <w:t xml:space="preserve">David Poritz </w:t>
      </w:r>
      <w:r>
        <w:rPr>
          <w:rFonts w:ascii="Arial" w:cs="Arial" w:eastAsia="Arial" w:hAnsi="Arial"/>
          <w:sz w:val="17"/>
          <w:szCs w:val="17"/>
          <w:color w:val="auto"/>
        </w:rPr>
        <w:t>is expected to serve on our board of directors. Since 2015, Mr. Poritz has served as Co-CEO and Co-Founder of Credijusto, a leading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Mexican financial technology company focused on small business lending. Since 2008, Mr. Poritz has served as President and Co-Founder of Equitable Origin, an NGO dedicated to improving social, environmental and governance practices in the global energy industry. Mr. Poritz currently serves as a board member of Credijusto and Equitable Origin. Mr. Poritz has a B.A. from Brown University, where he was a Harry S. Truman and Henry David Thoreau scholar as well as an MSc. from Oxford University, where he was a Rhodes Scholar.</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Opportunity</w:t>
      </w:r>
    </w:p>
    <w:p>
      <w:pPr>
        <w:spacing w:after="0" w:line="229" w:lineRule="exact"/>
        <w:rPr>
          <w:sz w:val="20"/>
          <w:szCs w:val="20"/>
          <w:color w:val="auto"/>
        </w:rPr>
      </w:pPr>
    </w:p>
    <w:p>
      <w:pPr>
        <w:ind w:right="20" w:firstLine="324"/>
        <w:spacing w:after="0" w:line="290" w:lineRule="auto"/>
        <w:rPr>
          <w:sz w:val="20"/>
          <w:szCs w:val="20"/>
          <w:color w:val="auto"/>
        </w:rPr>
      </w:pPr>
      <w:r>
        <w:rPr>
          <w:rFonts w:ascii="Arial" w:cs="Arial" w:eastAsia="Arial" w:hAnsi="Arial"/>
          <w:sz w:val="16"/>
          <w:szCs w:val="16"/>
          <w:color w:val="auto"/>
        </w:rPr>
        <w:t>We will seek to acquire one or more businesses which currently or may in the future have the potential to benefit from disruption caused by the convergence of financial services and technology, driven by the exponential increase in data generation, advances in artificial intelligence and robotics, rising processing power and/or ubiquitous global connectivity through smartphones, among other technologies. COVID-19 has accelerated many of these trends and introduced changes in consumer behavior that we believe are here to stay, such as: insurers’ relationship with policyholders shifting away from one that is merely transactional to that of a value-added service provider; increasing usage of telemedicine and digital channels in accessing healthcare; and banks responding to the demands for multi-product and multi-geography solutions and alternative payment methods. We believe that these trends are generating significant market opportunities, and we plan to focus (based on the principles outlined in Business Strategy section) on these technology-enabled challenger businesses demonstrating differentiated growth and high scalability potential.</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Strategy</w:t>
      </w:r>
    </w:p>
    <w:p>
      <w:pPr>
        <w:spacing w:after="0" w:line="229"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Our business strategy is to identify opportunities where a combination of capital, talent and network will improve the customer experience and drive value for all stakeholders. Our business strategy focuses on leveraging our proven management team, led by Mr. Thiam with over a decade of combined experience as CEO of Prudential and Credit Suisse, and our partnership with the PIMCO private fund, to execute our business strategy, improve profitability and demonstrate growth across mature and emerging markets.</w:t>
      </w:r>
    </w:p>
    <w:p>
      <w:pPr>
        <w:spacing w:after="0" w:line="187"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Our management team, in partnership with the PIMCO private fund, has an extensive network of relationships that supports our capability to partner with public and private companies, as well as with large financial sponsors. This network includes senior executives, investment bankers, venture capital firms, various investment professionals and owners of private businesses. We further believe that PIMCO’s active investment platform across North America and Europe will provide us with an advantage in accessing business combination targets, as well as deep insights into macro trends, investor expectations and market sentiment.</w:t>
      </w:r>
    </w:p>
    <w:p>
      <w:pPr>
        <w:spacing w:after="0" w:line="37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23495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20"/>
          </w:cols>
          <w:pgMar w:left="420" w:top="895" w:right="459" w:bottom="1440" w:gutter="0" w:footer="0" w:header="0"/>
        </w:sectPr>
      </w:pPr>
    </w:p>
    <w:bookmarkStart w:id="9" w:name="page10"/>
    <w:bookmarkEnd w:id="9"/>
    <w:p>
      <w:pPr>
        <w:ind w:right="80" w:firstLine="324"/>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206375</wp:posOffset>
            </wp:positionH>
            <wp:positionV relativeFrom="page">
              <wp:posOffset>378460</wp:posOffset>
            </wp:positionV>
            <wp:extent cx="7136130" cy="61677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6130" cy="6167755"/>
                    </a:xfrm>
                    <a:prstGeom prst="rect">
                      <a:avLst/>
                    </a:prstGeom>
                    <a:noFill/>
                  </pic:spPr>
                </pic:pic>
              </a:graphicData>
            </a:graphic>
          </wp:anchor>
        </w:drawing>
        <w:t>Our independent board members have been selected for their extensive sector and geographic expertise, operating experience, access to proprietary deal flow, strong relationships with business leaders and entrepreneurs and their ability to source attractive targets and assist us in implementing our business combination strategy. They have held senior leadership positions with companies where they have a strong track record of creating shareholder value, organically and through transformational acquisitions or corporate restructurings, as well as extensive relationships with owners and operators of companies within their respective industries.</w:t>
      </w:r>
    </w:p>
    <w:p>
      <w:pPr>
        <w:spacing w:after="0" w:line="188" w:lineRule="exact"/>
        <w:rPr>
          <w:sz w:val="20"/>
          <w:szCs w:val="20"/>
          <w:color w:val="auto"/>
        </w:rPr>
      </w:pPr>
    </w:p>
    <w:p>
      <w:pPr>
        <w:ind w:right="40" w:firstLine="324"/>
        <w:spacing w:after="0" w:line="342" w:lineRule="auto"/>
        <w:rPr>
          <w:sz w:val="20"/>
          <w:szCs w:val="20"/>
          <w:color w:val="auto"/>
        </w:rPr>
      </w:pPr>
      <w:r>
        <w:rPr>
          <w:rFonts w:ascii="Arial" w:cs="Arial" w:eastAsia="Arial" w:hAnsi="Arial"/>
          <w:sz w:val="16"/>
          <w:szCs w:val="16"/>
          <w:color w:val="auto"/>
        </w:rPr>
        <w:t>We believe that the networks and experience of our management team and independent board members and our partnership with the PIMCO private fund provide us with specific competitive advantages over other blank check companies in sourcing attractive targets for the following reasons:</w:t>
      </w:r>
    </w:p>
    <w:p>
      <w:pPr>
        <w:spacing w:after="0" w:line="124"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World-class leadership team fueled by the combination of proven management team and Board of Directors.</w:t>
      </w:r>
    </w:p>
    <w:p>
      <w:pPr>
        <w:spacing w:after="0" w:line="225"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Our leadership team has extensive expertise across the target regions and sectors, with private and public board experience as well as a proven track record of generating value for investors across macroeconomic and industry cycles.</w:t>
      </w:r>
    </w:p>
    <w:p>
      <w:pPr>
        <w:spacing w:after="0" w:line="170"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Diverse global network drives sourcing of unique opportunities.</w:t>
      </w:r>
    </w:p>
    <w:p>
      <w:pPr>
        <w:spacing w:after="0" w:line="225" w:lineRule="exact"/>
        <w:rPr>
          <w:sz w:val="20"/>
          <w:szCs w:val="20"/>
          <w:color w:val="auto"/>
        </w:rPr>
      </w:pPr>
    </w:p>
    <w:p>
      <w:pPr>
        <w:ind w:right="240" w:firstLine="324"/>
        <w:spacing w:after="0" w:line="342" w:lineRule="auto"/>
        <w:rPr>
          <w:sz w:val="20"/>
          <w:szCs w:val="20"/>
          <w:color w:val="auto"/>
        </w:rPr>
      </w:pPr>
      <w:r>
        <w:rPr>
          <w:rFonts w:ascii="Arial" w:cs="Arial" w:eastAsia="Arial" w:hAnsi="Arial"/>
          <w:sz w:val="16"/>
          <w:szCs w:val="16"/>
          <w:color w:val="auto"/>
        </w:rPr>
        <w:t>The leadership team has a broad network of relationships in both the public and private sectors, with access to both mature (U.S. and Europe) and emerging markets (Asia, Latin America and Africa), which we believe will provide us with a range of attractive potential business combinations.</w:t>
      </w:r>
    </w:p>
    <w:p>
      <w:pPr>
        <w:spacing w:after="0" w:line="124"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Proven track record of deploying technology in regulated businesses.</w:t>
      </w:r>
    </w:p>
    <w:p>
      <w:pPr>
        <w:spacing w:after="0" w:line="225" w:lineRule="exact"/>
        <w:rPr>
          <w:sz w:val="20"/>
          <w:szCs w:val="20"/>
          <w:color w:val="auto"/>
        </w:rPr>
      </w:pPr>
    </w:p>
    <w:p>
      <w:pPr>
        <w:ind w:right="140" w:firstLine="324"/>
        <w:spacing w:after="0" w:line="311" w:lineRule="auto"/>
        <w:rPr>
          <w:sz w:val="20"/>
          <w:szCs w:val="20"/>
          <w:color w:val="auto"/>
        </w:rPr>
      </w:pPr>
      <w:r>
        <w:rPr>
          <w:rFonts w:ascii="Arial" w:cs="Arial" w:eastAsia="Arial" w:hAnsi="Arial"/>
          <w:sz w:val="16"/>
          <w:szCs w:val="16"/>
          <w:color w:val="auto"/>
        </w:rPr>
        <w:t>Our management team has substantial experience in managing change and leveraging technology to drive improved business performance across a broad range of sectors, including insurance, banking and wealth/asset management. Their experience covers a diverse range of technology strategies, including both in-house development and joint-venture creation, and have a track-record of successfully deploying these strategies in the past.</w:t>
      </w:r>
    </w:p>
    <w:p>
      <w:pPr>
        <w:spacing w:after="0" w:line="149"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Demonstrated track-record of attracting talent and business scale-up.</w:t>
      </w:r>
    </w:p>
    <w:p>
      <w:pPr>
        <w:spacing w:after="0" w:line="225" w:lineRule="exact"/>
        <w:rPr>
          <w:sz w:val="20"/>
          <w:szCs w:val="20"/>
          <w:color w:val="auto"/>
        </w:rPr>
      </w:pPr>
    </w:p>
    <w:p>
      <w:pPr>
        <w:ind w:right="200" w:firstLine="324"/>
        <w:spacing w:after="0" w:line="263" w:lineRule="auto"/>
        <w:rPr>
          <w:sz w:val="20"/>
          <w:szCs w:val="20"/>
          <w:color w:val="auto"/>
        </w:rPr>
      </w:pPr>
      <w:r>
        <w:rPr>
          <w:rFonts w:ascii="Arial" w:cs="Arial" w:eastAsia="Arial" w:hAnsi="Arial"/>
          <w:sz w:val="18"/>
          <w:szCs w:val="18"/>
          <w:color w:val="auto"/>
        </w:rPr>
        <w:t>Our vastly experienced leadership team has experience fostering a company culture which both attracts and retains talent. Our team has a strong track record of achieving sustained business growth as well as significant value creation for investors, with experience in leadership roles at prominent companies.</w:t>
      </w:r>
    </w:p>
    <w:p>
      <w:pPr>
        <w:spacing w:after="0" w:line="184"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Extensive experience of disciplined M&amp;A.</w:t>
      </w:r>
    </w:p>
    <w:p>
      <w:pPr>
        <w:spacing w:after="0" w:line="225" w:lineRule="exact"/>
        <w:rPr>
          <w:sz w:val="20"/>
          <w:szCs w:val="20"/>
          <w:color w:val="auto"/>
        </w:rPr>
      </w:pPr>
    </w:p>
    <w:p>
      <w:pPr>
        <w:ind w:right="80" w:firstLine="324"/>
        <w:spacing w:after="0" w:line="311" w:lineRule="auto"/>
        <w:rPr>
          <w:sz w:val="20"/>
          <w:szCs w:val="20"/>
          <w:color w:val="auto"/>
        </w:rPr>
      </w:pPr>
      <w:r>
        <w:rPr>
          <w:rFonts w:ascii="Arial" w:cs="Arial" w:eastAsia="Arial" w:hAnsi="Arial"/>
          <w:sz w:val="16"/>
          <w:szCs w:val="16"/>
          <w:color w:val="auto"/>
        </w:rPr>
        <w:t>Our management team and independent board members have a significant background in executing competitive, sizeable and complex transactions. The rigorous and disciplined criteria we intend to use to assess potential acquisitions derives from our leadership team’s collective industry experience across a range of leading companies, which has provided them with a deep understanding of the market as well as expertise in scaling businesses.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 Criteria</w:t>
      </w:r>
    </w:p>
    <w:p>
      <w:pPr>
        <w:spacing w:after="0" w:line="229" w:lineRule="exact"/>
        <w:rPr>
          <w:sz w:val="20"/>
          <w:szCs w:val="20"/>
          <w:color w:val="auto"/>
        </w:rPr>
      </w:pPr>
    </w:p>
    <w:p>
      <w:pPr>
        <w:ind w:firstLine="324"/>
        <w:spacing w:after="0" w:line="286" w:lineRule="auto"/>
        <w:rPr>
          <w:sz w:val="20"/>
          <w:szCs w:val="20"/>
          <w:color w:val="auto"/>
        </w:rPr>
      </w:pPr>
      <w:r>
        <w:rPr>
          <w:rFonts w:ascii="Arial" w:cs="Arial" w:eastAsia="Arial" w:hAnsi="Arial"/>
          <w:sz w:val="17"/>
          <w:szCs w:val="17"/>
          <w:color w:val="auto"/>
          <w:highlight w:val="white"/>
        </w:rPr>
        <w:t>Consistent with our business strategy, we have identified the following general criteria and guidelines that we believe are important in evaluating prospective target businesses. We intend to use these criteria and guidelines in evaluating business combination opportunities, although we may decide to enter into our initial business combination with a target business that does not meet these criteria and guidelines.</w:t>
      </w:r>
    </w:p>
    <w:p>
      <w:pPr>
        <w:spacing w:after="0" w:line="35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23495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40"/>
          </w:cols>
          <w:pgMar w:left="420" w:top="922" w:right="439" w:bottom="1440" w:gutter="0" w:footer="0" w:header="0"/>
        </w:sectPr>
      </w:pPr>
    </w:p>
    <w:bookmarkStart w:id="10" w:name="page11"/>
    <w:bookmarkEnd w:id="10"/>
    <w:p>
      <w:pPr>
        <w:ind w:left="160"/>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206375</wp:posOffset>
            </wp:positionH>
            <wp:positionV relativeFrom="page">
              <wp:posOffset>378460</wp:posOffset>
            </wp:positionV>
            <wp:extent cx="7136130" cy="61506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6130" cy="6150610"/>
                    </a:xfrm>
                    <a:prstGeom prst="rect">
                      <a:avLst/>
                    </a:prstGeom>
                    <a:noFill/>
                  </pic:spPr>
                </pic:pic>
              </a:graphicData>
            </a:graphic>
          </wp:anchor>
        </w:drawing>
        <w:t>Large addressable market underpinning long term growth prospects.</w:t>
      </w:r>
    </w:p>
    <w:p>
      <w:pPr>
        <w:spacing w:after="0" w:line="225" w:lineRule="exact"/>
        <w:rPr>
          <w:sz w:val="20"/>
          <w:szCs w:val="20"/>
          <w:color w:val="auto"/>
        </w:rPr>
      </w:pPr>
    </w:p>
    <w:p>
      <w:pPr>
        <w:ind w:right="140" w:firstLine="324"/>
        <w:spacing w:after="0" w:line="286" w:lineRule="auto"/>
        <w:rPr>
          <w:sz w:val="20"/>
          <w:szCs w:val="20"/>
          <w:color w:val="auto"/>
        </w:rPr>
      </w:pPr>
      <w:r>
        <w:rPr>
          <w:rFonts w:ascii="Arial" w:cs="Arial" w:eastAsia="Arial" w:hAnsi="Arial"/>
          <w:sz w:val="17"/>
          <w:szCs w:val="17"/>
          <w:color w:val="auto"/>
        </w:rPr>
        <w:t>We will seek to acquire one or more businesses with significant runway to capture market share in a large addressable market, with attractive long-term growth prospects, favorable secular trends and superior unit economics that can be further enhanced through diverse revenue drivers. We will evaluate companies with significant potential to grow both organically and through strategic mergers and acquisitions.</w:t>
      </w:r>
    </w:p>
    <w:p>
      <w:pPr>
        <w:spacing w:after="0" w:line="16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Business with significant revenue and earnings growth potential.</w:t>
      </w:r>
    </w:p>
    <w:p>
      <w:pPr>
        <w:spacing w:after="0" w:line="225"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We will seek to acquire one or more businesses with a leading market position in an attractive industry, with a focus on the financial services sector. We believe scale and technological differentiation can provide a basis for superior competitive performance relative to industry peers. Our team’s deep understanding of the industry as well as our experience in managing businesses and achieving sustainable growth is unparalleled when compared to other sources of equity and growth capital.</w:t>
      </w:r>
    </w:p>
    <w:p>
      <w:pPr>
        <w:spacing w:after="0" w:line="18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Distinct business strengths driving competitive differentiation and attractive unit economics.</w:t>
      </w:r>
    </w:p>
    <w:p>
      <w:pPr>
        <w:spacing w:after="0" w:line="225" w:lineRule="exact"/>
        <w:rPr>
          <w:sz w:val="20"/>
          <w:szCs w:val="20"/>
          <w:color w:val="auto"/>
        </w:rPr>
      </w:pPr>
    </w:p>
    <w:p>
      <w:pPr>
        <w:ind w:right="20" w:firstLine="324"/>
        <w:spacing w:after="0" w:line="342" w:lineRule="auto"/>
        <w:rPr>
          <w:sz w:val="20"/>
          <w:szCs w:val="20"/>
          <w:color w:val="auto"/>
        </w:rPr>
      </w:pPr>
      <w:r>
        <w:rPr>
          <w:rFonts w:ascii="Arial" w:cs="Arial" w:eastAsia="Arial" w:hAnsi="Arial"/>
          <w:sz w:val="16"/>
          <w:szCs w:val="16"/>
          <w:color w:val="auto"/>
        </w:rPr>
        <w:t>We will seek to acquire one or more businesses that has long-term, sustainable competitive differentiation coupled with superior unit economics. We are focused on companies with strong business models and favorable sector tailwinds which we believe can lead to durable and profitable growth.</w:t>
      </w:r>
    </w:p>
    <w:p>
      <w:pPr>
        <w:spacing w:after="0" w:line="124"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Scalable operations.</w:t>
      </w:r>
    </w:p>
    <w:p>
      <w:pPr>
        <w:spacing w:after="0" w:line="225"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We will seek to acquire one or more businesses that will be able to significantly scale its operations to take advantage of its opportunities. We intend to leverage our management team’s experience in scaling businesses in order to help accelerate growth.</w:t>
      </w:r>
    </w:p>
    <w:p>
      <w:pPr>
        <w:spacing w:after="0" w:line="170"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Uncorrelated returns with minimal cyclicality risk.</w:t>
      </w:r>
    </w:p>
    <w:p>
      <w:pPr>
        <w:spacing w:after="0" w:line="22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will seek to acquire one or more businesses with limited susceptibility to cyclical risk and shifts in the macroeconomic environment.</w:t>
      </w:r>
    </w:p>
    <w:p>
      <w:pPr>
        <w:spacing w:after="0" w:line="22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Reputable management team with well-defined vision and credible track record.</w:t>
      </w:r>
    </w:p>
    <w:p>
      <w:pPr>
        <w:spacing w:after="0" w:line="225"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We will seek to acquire one or more businesses with a professional management team which has a clear and compelling vision for the company, with skills that complement the expertise of our founders and whose interests are aligned with those of our investors. Where necessary, we may also look to complement and enhance the capabilities of the target business’ management team by recruiting additional talent through our deep network of contacts.</w:t>
      </w:r>
    </w:p>
    <w:p>
      <w:pPr>
        <w:spacing w:after="0" w:line="187"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These criteria and guidelines are not intended to be exhaustive. Any evaluation relating to the merits of a particular initial business combination may be based, to the extent relevant, on these general criteria and guidelines as well as other considerations, factors and criteria that our management team may deem relevant. In the event that we decide to enter into our initial business combination with a target business that does not meet the above criteria and guidelines, we will disclose that the target business does not meet the above criteria and guidelines in our shareholder communications related to our initial business combination, which, as discussed in this prospectus, would be in the form of proxy solicitation materials or tender offer documents that we would file with the SEC. In addition to any potential business candidates we may identify on our own, we anticipate that other target business candidates will be brought to our attention from various unaffiliated sources, including investment market participants, private equity funds, and large business enterprises seeking to divest non-core assets or divisions.</w:t>
      </w:r>
    </w:p>
    <w:p>
      <w:pPr>
        <w:spacing w:after="0" w:line="200" w:lineRule="exact"/>
        <w:rPr>
          <w:sz w:val="20"/>
          <w:szCs w:val="20"/>
          <w:color w:val="auto"/>
        </w:rPr>
      </w:pPr>
    </w:p>
    <w:p>
      <w:pPr>
        <w:spacing w:after="0" w:line="38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23495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40"/>
          </w:cols>
          <w:pgMar w:left="420" w:top="895" w:right="4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378460</wp:posOffset>
            </wp:positionV>
            <wp:extent cx="7136130" cy="62877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6130" cy="6287770"/>
                    </a:xfrm>
                    <a:prstGeom prst="rect">
                      <a:avLst/>
                    </a:prstGeom>
                    <a:noFill/>
                  </pic:spPr>
                </pic:pic>
              </a:graphicData>
            </a:graphic>
          </wp:anchor>
        </w:drawing>
        <w:t>Initial Business Combination</w:t>
      </w:r>
    </w:p>
    <w:p>
      <w:pPr>
        <w:spacing w:after="0" w:line="229"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The rules of the NYSE require and our amended and restated memorandum and articles of association provide that we must consummate an initial business combination with one or more operating businesses or assets with a fair market value equal to at least 80% of the net assets held in the trust account (excluding the amount of any deferred underwriting commission held in trust) as determined at the time of our signing a definitive agreement in connection with our initial business combination. Our board of directors will make the determination as to the fair market value of our initial business combination upon standards generally accepted by the financial community. If our board of directors is not able to independently determine the fair market value of our initial business combination (including with the assistance of financial advisors), we will obtain an opinion from an independent investment banking firm or a valuation or appraisal firm with respect to the satisfaction of such criteria. While we consider it likely that our board of directors will be able to make an independent determination of the fair market value of our initial business combination, it may be unable to do so if it is less familiar or experienced with the business of a particular target or if there is a significant amount of uncertainty as to the value of the target’s assets or prospects. In addition, we have agreed not to enter into a definitive agreement regarding an initial business combination without the prior written consent of the PIMCO private fund.</w:t>
      </w:r>
    </w:p>
    <w:p>
      <w:pPr>
        <w:spacing w:after="0" w:line="182" w:lineRule="exact"/>
        <w:rPr>
          <w:sz w:val="20"/>
          <w:szCs w:val="20"/>
          <w:color w:val="auto"/>
        </w:rPr>
      </w:pPr>
    </w:p>
    <w:p>
      <w:pPr>
        <w:ind w:right="40" w:firstLine="324"/>
        <w:spacing w:after="0" w:line="285" w:lineRule="auto"/>
        <w:rPr>
          <w:sz w:val="20"/>
          <w:szCs w:val="20"/>
          <w:color w:val="auto"/>
        </w:rPr>
      </w:pPr>
      <w:r>
        <w:rPr>
          <w:rFonts w:ascii="Arial" w:cs="Arial" w:eastAsia="Arial" w:hAnsi="Arial"/>
          <w:sz w:val="16"/>
          <w:szCs w:val="16"/>
          <w:color w:val="auto"/>
        </w:rPr>
        <w:t>We anticipate structuring our initial business combination so that the post-transaction company in which our public shareholders own shares will own or acquire 100% of the outstanding equity interests or assets of the target business or businesses. We may, however, structure our initial business combination such that the post-transaction company owns or acquires less than 100% of such interests or assets of the target business in order to meet certain objectives of the target management team or shareholders or for other reasons, but we will only complete such business combination if the post-transaction company owns or acquires 50% or more of the outstanding voting securities of the target or otherwise acquires a controlling interest in the target business sufficient for it not to be required to register as an investment company under the Investment Company Act of 1940, as amended, or the Investment Company Act. Even if the post-transaction company owns or acquires 50% or more of the voting securities of the target, our shareholders prior to the business combination may collectively own a minority interest in the post-business combination company, depending on valuations ascribed to the target and us in the business combination. For example, we could pursue a transaction in which we issue a substantial number of new shares in exchange for all of the outstanding capital stock, shares or other equity interests of a target, or issue a substantial number of new shares to third parties in connection with financing our initial business combination. In this case, we would acquire a 100% controlling interest in the target. However, as a result of the issuance of a substantial number of new shares, our shareholders immediately prior to our initial business combination could own less than a majority of our issued and outstanding shares subsequent to our initial business combination. If less than 100% of the outstanding equity interests or assets of a target business or businesses are owned or acquired by the post-transaction company, the portion of such business or businesses that is owned or acquired is what will be taken into account for purposes of the 80% of net assets test described above. If the business combination involves more than one target business, the 80% of net assets test will be based on the aggregate value of all of the target businesses.</w:t>
      </w:r>
    </w:p>
    <w:p>
      <w:pPr>
        <w:spacing w:after="0" w:line="176" w:lineRule="exact"/>
        <w:rPr>
          <w:sz w:val="20"/>
          <w:szCs w:val="20"/>
          <w:color w:val="auto"/>
        </w:rPr>
      </w:pPr>
    </w:p>
    <w:p>
      <w:pPr>
        <w:ind w:right="260" w:firstLine="324"/>
        <w:spacing w:after="0" w:line="255" w:lineRule="auto"/>
        <w:rPr>
          <w:sz w:val="20"/>
          <w:szCs w:val="20"/>
          <w:color w:val="auto"/>
        </w:rPr>
      </w:pPr>
      <w:r>
        <w:rPr>
          <w:rFonts w:ascii="Arial" w:cs="Arial" w:eastAsia="Arial" w:hAnsi="Arial"/>
          <w:sz w:val="18"/>
          <w:szCs w:val="18"/>
          <w:color w:val="auto"/>
        </w:rPr>
        <w:t>We may, at our option, pursue an acquisition opportunity jointly with one or more parties affiliated with PIMCO, including, without limitation, officers and partners of PIMCO, investment funds, accounts, co-investment vehicles and other entities managed by affiliates of PIMCO, including the PIMCO private fund, and/or investors in funds, accounts, co-investment vehicles and other entities managed by affiliates of PIMCO. Any such party may co-invest with us in the target business at the time of our initial business combination, or we could raise additional proceeds to complete the acquisition by issuing equity to such parties. The amount and other terms and conditions of any such joint acquisition or equity issuance would be determined at the time thereof.</w:t>
      </w:r>
    </w:p>
    <w:p>
      <w:pPr>
        <w:spacing w:after="0" w:line="192" w:lineRule="exact"/>
        <w:rPr>
          <w:sz w:val="20"/>
          <w:szCs w:val="20"/>
          <w:color w:val="auto"/>
        </w:rPr>
      </w:pPr>
    </w:p>
    <w:p>
      <w:pPr>
        <w:ind w:right="100" w:firstLine="324"/>
        <w:spacing w:after="0" w:line="296" w:lineRule="auto"/>
        <w:rPr>
          <w:sz w:val="20"/>
          <w:szCs w:val="20"/>
          <w:color w:val="auto"/>
        </w:rPr>
      </w:pPr>
      <w:r>
        <w:rPr>
          <w:rFonts w:ascii="Arial" w:cs="Arial" w:eastAsia="Arial" w:hAnsi="Arial"/>
          <w:sz w:val="16"/>
          <w:szCs w:val="16"/>
          <w:color w:val="auto"/>
        </w:rPr>
        <w:t>We are not prohibited from pursuing an initial business combination with a company that is affiliated with our sponsor, officers or directors, or completing the business combination through a joint venture or other form of shared ownership with our sponsor, officers or directors. In the event we seek to complete an initial business combination with a target that is affiliated with our sponsor, officers or directors, we, or a committee of independent and disinterested directors, would obtain an opinion from an independent investment banking firm or a valuation or appraisal firm that such an initial business combination is fair to our company from a financial point of view. We are not required to obtain such an opinion in any other context.</w:t>
      </w:r>
    </w:p>
    <w:p>
      <w:pPr>
        <w:spacing w:after="0" w:line="35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23495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40"/>
          </w:cols>
          <w:pgMar w:left="420" w:top="891" w:right="439" w:bottom="1440" w:gutter="0" w:footer="0" w:header="0"/>
        </w:sectPr>
      </w:pPr>
    </w:p>
    <w:bookmarkStart w:id="12" w:name="page13"/>
    <w:bookmarkEnd w:id="12"/>
    <w:p>
      <w:pPr>
        <w:ind w:right="220" w:firstLine="324"/>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206375</wp:posOffset>
            </wp:positionH>
            <wp:positionV relativeFrom="page">
              <wp:posOffset>378460</wp:posOffset>
            </wp:positionV>
            <wp:extent cx="7136130" cy="83451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6130" cy="8345170"/>
                    </a:xfrm>
                    <a:prstGeom prst="rect">
                      <a:avLst/>
                    </a:prstGeom>
                    <a:noFill/>
                  </pic:spPr>
                </pic:pic>
              </a:graphicData>
            </a:graphic>
          </wp:anchor>
        </w:drawing>
        <w:t>Members of our management team and our independent directors will directly or indirectly own founder shares and/or private placement warrants following this offering and, accordingly, may have a conflict of interest in determining whether a particular target business is an appropriate business with which to effectuate our initial business combination. Further, each of our officers and directors may have a conflict of interest with respect to evaluating a particular business combination if the retention or resignation of any such officers and directors was included by a target business as a condition to any agreement with respect to our initial business combination.</w:t>
      </w:r>
    </w:p>
    <w:p>
      <w:pPr>
        <w:spacing w:after="0" w:line="176"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Each of our officers and directors presently has, and any of them in the future may have additional, fiduciary or contractual obligations to another entity pursuant to which such officer or director is or will be required to present a business combination opportunity to such entity. Accordingly, if any of our officers or directors becomes aware of a business combination opportunity which is suitable for an entity to which he or she has then current fiduciary or contractual obligations, he or she will honor his or her fiduciary or contractual obligations to present such business combination opportunity to such other entity, subject to their fiduciary duties under Cayman Islands law. Our amended and restated memorandum and articles of association provide that, to the fullest extent permitted by applicable law: (i) no individual serving as a director or an officer shall have any duty, except and to the extent expressly assumed by contract, to refrain from engaging directly or indirectly in the same or similar business activities or lines of business as us; and (ii) we renounce any interest or expectancy in, or in being offered an opportunity to participate in, any potential transaction or matter which may be a corporate opportunity for any director or officer, on the one hand, and us, on the other. We do not believe, however, that the fiduciary duties or contractual obligations of our officers or directors will materially affect our ability to complete our initial business combination.</w:t>
      </w:r>
    </w:p>
    <w:p>
      <w:pPr>
        <w:spacing w:after="0" w:line="168"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In addition, PIMCO and its affiliates manage multiple funds and investment vehicles, including the PIMCO private fund, and affiliates of PIMCO have sponsored other special purpose acquisition companies. Mr. Weinstein, who is expected to serve as a member of our board of directors, serves as a director of other special purpose acquisition companies. PIMCO and its affiliates will also raise additional funds and/or accounts in the future and may also sponsor additional special purpose acquisition companies, which may be during the period in which we are seeking our initial business combination. Any of these PIMCO-affiliated investment entities and special purpose acquisition companies may be seeking acquisition opportunities and related financing at any time, and we may compete with any one or more of them on any given acquisition opportunity. In addition, our officers and directors are not required to commit any specified amount of time to our affairs, and, accordingly, will have conflicts of interest in allocating management time among various business activities, including identifying potential business combinations and monitoring the related due diligence. Moreover, certain of our officers and directors have and will have in the future time and attention requirements for current and future investment funds, accounts, co-investment vehicles and other entities managed or sponsored by PIMCO or one of its affiliated entities. To the extent any conflict of interest arises between, on the one hand, us and, on the other hand, investment funds, accounts, co-investment vehicles and other entities managed or sponsored by PIMCO or one of its affiliated entities (including, without limitation, arising as a result of certain of our officers and directors being required to offer acquisition opportunities to such investment funds, accounts, co-investment vehicles or other entities), PIMCO and its applicable affiliate entities, including the PIMCO private fund, will resolve such conflicts of interest in their sole discretion in accordance with their then existing fiduciary, contractual and other duties, and PIMCO’s internal policies and procedures, and there can be no assurance that such conflict of interest will be resolved in our favor.</w:t>
      </w:r>
    </w:p>
    <w:p>
      <w:pPr>
        <w:spacing w:after="0" w:line="167" w:lineRule="exact"/>
        <w:rPr>
          <w:sz w:val="20"/>
          <w:szCs w:val="20"/>
          <w:color w:val="auto"/>
        </w:rPr>
      </w:pPr>
    </w:p>
    <w:p>
      <w:pPr>
        <w:ind w:right="120" w:firstLine="324"/>
        <w:spacing w:after="0" w:line="301" w:lineRule="auto"/>
        <w:rPr>
          <w:sz w:val="20"/>
          <w:szCs w:val="20"/>
          <w:color w:val="auto"/>
        </w:rPr>
      </w:pPr>
      <w:r>
        <w:rPr>
          <w:rFonts w:ascii="Arial" w:cs="Arial" w:eastAsia="Arial" w:hAnsi="Arial"/>
          <w:sz w:val="16"/>
          <w:szCs w:val="16"/>
          <w:color w:val="auto"/>
        </w:rPr>
        <w:t>In addition, our sponsor and our officers and directors may sponsor, form, invest in or otherwise become involved with other special purpose acquisition companies similar to ours or may pursue other business or investment ventures during the period in which we are seeking an initial business combination. Any such companies, businesses or investments may present additional conflicts of interest in pursuing an initial business combination. However, we do not believe that any such potential conflicts would materially affect our ability to complete our initial business combination.</w:t>
      </w:r>
    </w:p>
    <w:p>
      <w:pPr>
        <w:spacing w:after="0" w:line="157" w:lineRule="exact"/>
        <w:rPr>
          <w:sz w:val="20"/>
          <w:szCs w:val="20"/>
          <w:color w:val="auto"/>
        </w:rPr>
      </w:pPr>
    </w:p>
    <w:p>
      <w:pPr>
        <w:ind w:right="40" w:firstLine="324"/>
        <w:spacing w:after="0" w:line="279" w:lineRule="auto"/>
        <w:rPr>
          <w:sz w:val="20"/>
          <w:szCs w:val="20"/>
          <w:color w:val="auto"/>
        </w:rPr>
      </w:pPr>
      <w:r>
        <w:rPr>
          <w:rFonts w:ascii="Arial" w:cs="Arial" w:eastAsia="Arial" w:hAnsi="Arial"/>
          <w:sz w:val="17"/>
          <w:szCs w:val="17"/>
          <w:color w:val="auto"/>
        </w:rPr>
        <w:t>Prior to the effectiveness of the registration statement of which this prospectus forms a part, we will file a Registration Statement on Form 8-A with the SEC to voluntarily register our securities under Section 12 of the Securities Exchange Act of 1934, as amended, or the Exchange Act. As a result, we will be subject to the rules and regulations promulgated under the Exchange Act. We have no current intention of filing a Form 15 to suspend our reporting or other obligations under the Exchange Act prior or subsequent to the consummation of our initial business combination.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229" w:lineRule="exact"/>
        <w:rPr>
          <w:sz w:val="20"/>
          <w:szCs w:val="20"/>
          <w:color w:val="auto"/>
        </w:rPr>
      </w:pPr>
    </w:p>
    <w:p>
      <w:pPr>
        <w:ind w:left="320"/>
        <w:spacing w:after="0"/>
        <w:rPr>
          <w:sz w:val="20"/>
          <w:szCs w:val="20"/>
          <w:color w:val="auto"/>
        </w:rPr>
      </w:pPr>
      <w:r>
        <w:rPr>
          <w:rFonts w:ascii="Arial" w:cs="Arial" w:eastAsia="Arial" w:hAnsi="Arial"/>
          <w:sz w:val="16"/>
          <w:szCs w:val="16"/>
          <w:color w:val="auto"/>
        </w:rPr>
        <w:t>Our executive offices are located at 14 Wall Street, 20th Floor, New York, 10005, and our telephone number is (212) 618-1798. Upon completion of</w:t>
      </w:r>
    </w:p>
    <w:p>
      <w:pPr>
        <w:spacing w:after="0" w:line="46" w:lineRule="exact"/>
        <w:rPr>
          <w:sz w:val="20"/>
          <w:szCs w:val="20"/>
          <w:color w:val="auto"/>
        </w:rPr>
      </w:pPr>
    </w:p>
    <w:p>
      <w:pPr>
        <w:jc w:val="both"/>
        <w:ind w:right="580"/>
        <w:spacing w:after="0" w:line="255" w:lineRule="auto"/>
        <w:rPr>
          <w:sz w:val="20"/>
          <w:szCs w:val="20"/>
          <w:color w:val="auto"/>
        </w:rPr>
      </w:pPr>
      <w:r>
        <w:rPr>
          <w:rFonts w:ascii="Arial" w:cs="Arial" w:eastAsia="Arial" w:hAnsi="Arial"/>
          <w:sz w:val="18"/>
          <w:szCs w:val="18"/>
          <w:color w:val="auto"/>
        </w:rPr>
        <w:t>this offering our corporate website address will be . Our website and the information contained on, or that can be accessed through, the website is not deemed to be incorporated by reference in, and is not considered part of, this prospectus or the registration statement of which this prospectus is a part.</w:t>
      </w:r>
    </w:p>
    <w:p>
      <w:pPr>
        <w:spacing w:after="0" w:line="190"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We are a Cayman Islands exempted company. Exempted companies are Cayman Islands companies conducting business mainly outside the Cayman Islands and, as such, are exempted from complying with certain provisions of the Companies Act. As an exempted company, we have received a tax exemption undertaking from the Cayman Islands government that, in accordance with Section 6 of the Tax Concessions Act (As Revised) of the Cayman Islands, for a period of 20 years from the date of the undertaking, no law which is enacted in the Cayman Islands imposing any tax to be levied on profits, income, gains or appreciations will apply to us or our operations and, in addition, that no tax to be levied on profits, income, gains or appreciations or which is in the nature of estate duty or inheritance tax will be payable (i) on or in respect of our shares, debentures or other obligations or (ii) by way of the withholding in whole or in part of a payment of dividend or other distribution of income or capital by us to our shareholders or a payment of principal or interest or other sums due under a debenture or other obligation of us.</w:t>
      </w:r>
    </w:p>
    <w:p>
      <w:pPr>
        <w:spacing w:after="0" w:line="36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23495</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40"/>
          </w:cols>
          <w:pgMar w:left="420" w:top="895" w:right="439" w:bottom="1440" w:gutter="0" w:footer="0" w:header="0"/>
        </w:sectPr>
      </w:pPr>
    </w:p>
    <w:bookmarkStart w:id="13" w:name="page14"/>
    <w:bookmarkEnd w:id="13"/>
    <w:p>
      <w:pPr>
        <w:ind w:right="80" w:firstLine="324"/>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206375</wp:posOffset>
            </wp:positionH>
            <wp:positionV relativeFrom="page">
              <wp:posOffset>378460</wp:posOffset>
            </wp:positionV>
            <wp:extent cx="7136130" cy="381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6130" cy="3818890"/>
                    </a:xfrm>
                    <a:prstGeom prst="rect">
                      <a:avLst/>
                    </a:prstGeom>
                    <a:noFill/>
                  </pic:spPr>
                </pic:pic>
              </a:graphicData>
            </a:graphic>
          </wp:anchor>
        </w:drawing>
        <w:t>We are an “emerging growth company,” as defined in Section 2(a) of the Securities Act of 1933, as amended (the “Securities Act”), as modified by the Jumpstart Our Business Startups Act of 2012 (the “JOBS Act”). As such, we are eligible to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of 2002, or the Sarbanes-Oxley Act, reduced disclosure obligations regarding executive compensation in our periodic reports and proxy statements, and exemptions from the requirements of holding a non-binding advisory vote on executive compensation and shareholder approval of any golden parachute payments not previously approved. If some investors find our securities less attractive as a result, there may be a less active trading market for our securities and the prices of our securities may be more volatile.</w:t>
      </w:r>
    </w:p>
    <w:p>
      <w:pPr>
        <w:spacing w:after="0" w:line="192" w:lineRule="exact"/>
        <w:rPr>
          <w:sz w:val="20"/>
          <w:szCs w:val="20"/>
          <w:color w:val="auto"/>
        </w:rPr>
      </w:pPr>
    </w:p>
    <w:p>
      <w:pPr>
        <w:ind w:right="240" w:firstLine="324"/>
        <w:spacing w:after="0" w:line="259" w:lineRule="auto"/>
        <w:rPr>
          <w:sz w:val="20"/>
          <w:szCs w:val="20"/>
          <w:color w:val="auto"/>
        </w:rPr>
      </w:pPr>
      <w:r>
        <w:rPr>
          <w:rFonts w:ascii="Arial" w:cs="Arial" w:eastAsia="Arial" w:hAnsi="Arial"/>
          <w:sz w:val="18"/>
          <w:szCs w:val="18"/>
          <w:color w:val="auto"/>
        </w:rPr>
        <w:t>In addition, Section 107 of the JOBS Act also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 We intend to take advantage of the benefits of this extended transition period.</w:t>
      </w:r>
    </w:p>
    <w:p>
      <w:pPr>
        <w:spacing w:after="0" w:line="187"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We will remain an emerging growth company until the earlier of (1) the last day of the fiscal year (a) following the fifth anniversary of the completion of this offering, (b) in which we have total annual gross revenue of at least $1.07 billion, or (c) in which we are deemed to be a large accelerated filer, which means the market value of our Class A ordinary shares that is held by non-affiliates exceeds $700 million as of the prior June 30, and (2) the date on which we have issued more than $1.0 billion in non-convertible debt securities during the prior three-year period. References herein to “emerging growth company” will have the meaning associated with it in the JOBS Act.</w:t>
      </w:r>
    </w:p>
    <w:p>
      <w:pPr>
        <w:spacing w:after="0" w:line="188"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Additionally, we are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any fiscal year for so long as either (1) the market value of our ordinary shares held by non-affiliates did not exceed $250 million as of the prior June 30, or (2) our annual revenues did not exceed $100 million during such completed fiscal year and the market value of our ordinary shares held by non-affiliates did not exceed $700 million as of the prior June 30.</w:t>
      </w:r>
    </w:p>
    <w:p>
      <w:pPr>
        <w:spacing w:after="0" w:line="200" w:lineRule="exact"/>
        <w:rPr>
          <w:sz w:val="20"/>
          <w:szCs w:val="20"/>
          <w:color w:val="auto"/>
        </w:rPr>
      </w:pPr>
    </w:p>
    <w:p>
      <w:pPr>
        <w:spacing w:after="0" w:line="38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23495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40"/>
          </w:cols>
          <w:pgMar w:left="420" w:top="895" w:right="439" w:bottom="1440" w:gutter="0" w:footer="0" w:header="0"/>
        </w:sectPr>
      </w:pPr>
    </w:p>
    <w:bookmarkStart w:id="14" w:name="page15"/>
    <w:bookmarkEnd w:id="14"/>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378460</wp:posOffset>
            </wp:positionV>
            <wp:extent cx="7136130" cy="61677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6130" cy="6167755"/>
                    </a:xfrm>
                    <a:prstGeom prst="rect">
                      <a:avLst/>
                    </a:prstGeom>
                    <a:noFill/>
                  </pic:spPr>
                </pic:pic>
              </a:graphicData>
            </a:graphic>
          </wp:anchor>
        </w:drawing>
        <w:t>THE OFFERING</w:t>
      </w:r>
    </w:p>
    <w:p>
      <w:pPr>
        <w:spacing w:after="0" w:line="229" w:lineRule="exact"/>
        <w:rPr>
          <w:sz w:val="20"/>
          <w:szCs w:val="20"/>
          <w:color w:val="auto"/>
        </w:rPr>
      </w:pPr>
    </w:p>
    <w:p>
      <w:pPr>
        <w:ind w:right="100" w:firstLine="324"/>
        <w:spacing w:after="0" w:line="279" w:lineRule="auto"/>
        <w:rPr>
          <w:sz w:val="20"/>
          <w:szCs w:val="20"/>
          <w:color w:val="auto"/>
        </w:rPr>
      </w:pPr>
      <w:r>
        <w:rPr>
          <w:rFonts w:ascii="Arial" w:cs="Arial" w:eastAsia="Arial" w:hAnsi="Arial"/>
          <w:sz w:val="17"/>
          <w:szCs w:val="17"/>
          <w:i w:val="1"/>
          <w:iCs w:val="1"/>
          <w:color w:val="auto"/>
        </w:rPr>
        <w:t>In making your decision on whether to invest in our securities, you should take into account not only the backgrounds of the members of our management team, but also the special risks we face as a blank check company and the fact that this offering is not being conducted in compliance with Rule 419 promulgated under the Securities Act. You will not be entitled to protections normally afforded to investors in Rule 419 blank check offerings. You should carefully consider these and the other risks set forth in the section below entitled “Risk Factors”.</w:t>
      </w:r>
    </w:p>
    <w:p>
      <w:pPr>
        <w:sectPr>
          <w:pgSz w:w="11900" w:h="16838" w:orient="portrait"/>
          <w:cols w:equalWidth="0" w:num="1">
            <w:col w:w="11020"/>
          </w:cols>
          <w:pgMar w:left="420" w:top="918" w:right="459" w:bottom="1440" w:gutter="0" w:footer="0" w:header="0"/>
        </w:sect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Securities offered: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color w:val="auto"/>
        </w:rPr>
        <w:t>NYSE symbols: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Trading commencement and separation of Class A ordinary shares and warrants: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right"/>
        <w:ind w:right="580"/>
        <w:spacing w:after="0" w:line="342" w:lineRule="auto"/>
        <w:rPr>
          <w:sz w:val="20"/>
          <w:szCs w:val="20"/>
          <w:color w:val="auto"/>
        </w:rPr>
      </w:pPr>
      <w:r>
        <w:rPr>
          <w:rFonts w:ascii="Arial" w:cs="Arial" w:eastAsia="Arial" w:hAnsi="Arial"/>
          <w:sz w:val="16"/>
          <w:szCs w:val="16"/>
          <w:color w:val="auto"/>
        </w:rPr>
        <w:t>Separate trading of the Class A ordinary shares and warrants is prohibited until we have filed a Current Report on Form 8-K</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ind w:left="1" w:right="260"/>
        <w:spacing w:after="0" w:line="342" w:lineRule="auto"/>
        <w:rPr>
          <w:sz w:val="20"/>
          <w:szCs w:val="20"/>
          <w:color w:val="auto"/>
        </w:rPr>
      </w:pPr>
      <w:r>
        <w:rPr>
          <w:rFonts w:ascii="Arial" w:cs="Arial" w:eastAsia="Arial" w:hAnsi="Arial"/>
          <w:sz w:val="16"/>
          <w:szCs w:val="16"/>
          <w:color w:val="auto"/>
        </w:rPr>
        <w:t>25,000,000 units (or 28,750,000 units if the underwriters’ over-allotment option is exercised in full), at $10.00 per unit, each unit consisting of:</w:t>
      </w:r>
    </w:p>
    <w:p>
      <w:pPr>
        <w:spacing w:after="0" w:line="70" w:lineRule="exact"/>
        <w:rPr>
          <w:sz w:val="20"/>
          <w:szCs w:val="20"/>
          <w:color w:val="auto"/>
        </w:rPr>
      </w:pPr>
    </w:p>
    <w:p>
      <w:pPr>
        <w:ind w:left="81" w:hanging="81"/>
        <w:spacing w:after="0"/>
        <w:tabs>
          <w:tab w:leader="none" w:pos="81" w:val="left"/>
        </w:tabs>
        <w:numPr>
          <w:ilvl w:val="0"/>
          <w:numId w:val="5"/>
        </w:numPr>
        <w:rPr>
          <w:rFonts w:ascii="Arial" w:cs="Arial" w:eastAsia="Arial" w:hAnsi="Arial"/>
          <w:sz w:val="18"/>
          <w:szCs w:val="18"/>
          <w:color w:val="auto"/>
        </w:rPr>
      </w:pPr>
      <w:r>
        <w:rPr>
          <w:rFonts w:ascii="Arial" w:cs="Arial" w:eastAsia="Arial" w:hAnsi="Arial"/>
          <w:sz w:val="18"/>
          <w:szCs w:val="18"/>
          <w:color w:val="auto"/>
        </w:rPr>
        <w:t>one Class A ordinary share; and</w:t>
      </w:r>
    </w:p>
    <w:p>
      <w:pPr>
        <w:spacing w:after="0" w:line="171" w:lineRule="exact"/>
        <w:rPr>
          <w:rFonts w:ascii="Arial" w:cs="Arial" w:eastAsia="Arial" w:hAnsi="Arial"/>
          <w:sz w:val="18"/>
          <w:szCs w:val="18"/>
          <w:color w:val="auto"/>
        </w:rPr>
      </w:pPr>
    </w:p>
    <w:p>
      <w:pPr>
        <w:ind w:left="1" w:right="2640" w:hanging="1"/>
        <w:spacing w:after="0" w:line="438" w:lineRule="auto"/>
        <w:tabs>
          <w:tab w:leader="none" w:pos="90" w:val="left"/>
        </w:tabs>
        <w:numPr>
          <w:ilvl w:val="0"/>
          <w:numId w:val="5"/>
        </w:numPr>
        <w:rPr>
          <w:rFonts w:ascii="Arial" w:cs="Arial" w:eastAsia="Arial" w:hAnsi="Arial"/>
          <w:sz w:val="18"/>
          <w:szCs w:val="18"/>
          <w:color w:val="auto"/>
        </w:rPr>
      </w:pPr>
      <w:r>
        <w:rPr>
          <w:rFonts w:ascii="Arial" w:cs="Arial" w:eastAsia="Arial" w:hAnsi="Arial"/>
          <w:sz w:val="18"/>
          <w:szCs w:val="18"/>
          <w:color w:val="auto"/>
        </w:rPr>
        <w:t>one-fourth of one redeemable warrant. Units: “FACT.U”</w:t>
      </w:r>
    </w:p>
    <w:p>
      <w:pPr>
        <w:ind w:left="1"/>
        <w:spacing w:after="0"/>
        <w:rPr>
          <w:rFonts w:ascii="Arial" w:cs="Arial" w:eastAsia="Arial" w:hAnsi="Arial"/>
          <w:sz w:val="18"/>
          <w:szCs w:val="18"/>
          <w:color w:val="auto"/>
        </w:rPr>
      </w:pPr>
      <w:r>
        <w:rPr>
          <w:rFonts w:ascii="Arial" w:cs="Arial" w:eastAsia="Arial" w:hAnsi="Arial"/>
          <w:sz w:val="18"/>
          <w:szCs w:val="18"/>
          <w:color w:val="auto"/>
        </w:rPr>
        <w:t>Class A Ordinary Shares: “FACT ”</w:t>
      </w:r>
    </w:p>
    <w:p>
      <w:pPr>
        <w:spacing w:after="0" w:line="171" w:lineRule="exact"/>
        <w:rPr>
          <w:rFonts w:ascii="Arial" w:cs="Arial" w:eastAsia="Arial" w:hAnsi="Arial"/>
          <w:sz w:val="18"/>
          <w:szCs w:val="18"/>
          <w:color w:val="auto"/>
        </w:rPr>
      </w:pPr>
    </w:p>
    <w:p>
      <w:pPr>
        <w:ind w:left="1"/>
        <w:spacing w:after="0"/>
        <w:rPr>
          <w:rFonts w:ascii="Arial" w:cs="Arial" w:eastAsia="Arial" w:hAnsi="Arial"/>
          <w:sz w:val="18"/>
          <w:szCs w:val="18"/>
          <w:color w:val="auto"/>
        </w:rPr>
      </w:pPr>
      <w:r>
        <w:rPr>
          <w:rFonts w:ascii="Arial" w:cs="Arial" w:eastAsia="Arial" w:hAnsi="Arial"/>
          <w:sz w:val="18"/>
          <w:szCs w:val="18"/>
          <w:color w:val="auto"/>
        </w:rPr>
        <w:t>Warrants: “FACT WS”</w:t>
      </w:r>
    </w:p>
    <w:p>
      <w:pPr>
        <w:spacing w:after="0" w:line="171" w:lineRule="exact"/>
        <w:rPr>
          <w:sz w:val="20"/>
          <w:szCs w:val="20"/>
          <w:color w:val="auto"/>
        </w:rPr>
      </w:pPr>
    </w:p>
    <w:p>
      <w:pPr>
        <w:ind w:left="1"/>
        <w:spacing w:after="0" w:line="286" w:lineRule="auto"/>
        <w:rPr>
          <w:sz w:val="20"/>
          <w:szCs w:val="20"/>
          <w:color w:val="auto"/>
        </w:rPr>
      </w:pPr>
      <w:r>
        <w:rPr>
          <w:rFonts w:ascii="Arial" w:cs="Arial" w:eastAsia="Arial" w:hAnsi="Arial"/>
          <w:sz w:val="16"/>
          <w:szCs w:val="16"/>
          <w:color w:val="auto"/>
        </w:rPr>
        <w:t>The units are expected to begin trading on or promptly after the date of this prospectus. The Class A ordinary shares and warrants comprising the units will begin separate trading on the 52nd day following the date of this prospectus (or the immediately following business day if such 52nd day is not a business day) unless J.P. Morgan Securities LLC informs us of its decision to allow earlier separate trading, subject to our having filed the Current Report on Form 8-K described below and having issued a press release announcing when such separate trading will begin. Once the Class A ordinary shares and warrants commence separate trading, holders will have the option to continue to hold units or separate their units into the component securities. Holders will need to have their brokers contact our transfer agent in order to separate the units into Class A ordinary shares and warrants. No fractional warrants will be issued upon separation of the units and only whole warrants will trade. Accordingly, unless you purchase at least four units, you will not be able to receive or trade a whole warrant.</w:t>
      </w:r>
    </w:p>
    <w:p>
      <w:pPr>
        <w:spacing w:after="0" w:line="167" w:lineRule="exact"/>
        <w:rPr>
          <w:sz w:val="20"/>
          <w:szCs w:val="20"/>
          <w:color w:val="auto"/>
        </w:rPr>
      </w:pPr>
    </w:p>
    <w:p>
      <w:pPr>
        <w:ind w:left="1" w:right="380"/>
        <w:spacing w:after="0" w:line="263" w:lineRule="auto"/>
        <w:rPr>
          <w:sz w:val="20"/>
          <w:szCs w:val="20"/>
          <w:color w:val="auto"/>
        </w:rPr>
      </w:pPr>
      <w:r>
        <w:rPr>
          <w:rFonts w:ascii="Arial" w:cs="Arial" w:eastAsia="Arial" w:hAnsi="Arial"/>
          <w:sz w:val="18"/>
          <w:szCs w:val="18"/>
          <w:color w:val="auto"/>
        </w:rPr>
        <w:t>Additionally, the units will automatically separate into their component parts and will not be traded after completion of our initial business combination.</w:t>
      </w:r>
    </w:p>
    <w:p>
      <w:pPr>
        <w:spacing w:after="0" w:line="130" w:lineRule="exact"/>
        <w:rPr>
          <w:sz w:val="20"/>
          <w:szCs w:val="20"/>
          <w:color w:val="auto"/>
        </w:rPr>
      </w:pPr>
    </w:p>
    <w:p>
      <w:pPr>
        <w:ind w:left="1" w:right="140"/>
        <w:spacing w:after="0" w:line="263" w:lineRule="auto"/>
        <w:rPr>
          <w:sz w:val="20"/>
          <w:szCs w:val="20"/>
          <w:color w:val="auto"/>
        </w:rPr>
      </w:pPr>
      <w:r>
        <w:rPr>
          <w:rFonts w:ascii="Arial" w:cs="Arial" w:eastAsia="Arial" w:hAnsi="Arial"/>
          <w:sz w:val="18"/>
          <w:szCs w:val="18"/>
          <w:color w:val="auto"/>
        </w:rPr>
        <w:t>In no event will the Class A ordinary shares and warrants be traded separately until we have filed with the SEC a Current Report on Form 8-K which</w:t>
      </w:r>
    </w:p>
    <w:p>
      <w:pPr>
        <w:spacing w:after="0" w:line="200" w:lineRule="exact"/>
        <w:rPr>
          <w:sz w:val="20"/>
          <w:szCs w:val="20"/>
          <w:color w:val="auto"/>
        </w:rPr>
      </w:pPr>
    </w:p>
    <w:p>
      <w:pPr>
        <w:sectPr>
          <w:pgSz w:w="11900" w:h="16838" w:orient="portrait"/>
          <w:cols w:equalWidth="0" w:num="2">
            <w:col w:w="5100" w:space="419"/>
            <w:col w:w="5501"/>
          </w:cols>
          <w:pgMar w:left="420" w:top="918" w:right="459" w:bottom="1440" w:gutter="0" w:footer="0" w:header="0"/>
          <w:type w:val="continuous"/>
        </w:sect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38100</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20"/>
          </w:cols>
          <w:pgMar w:left="420" w:top="918" w:right="459" w:bottom="1440" w:gutter="0" w:footer="0" w:header="0"/>
          <w:type w:val="continuous"/>
        </w:sectPr>
      </w:pPr>
    </w:p>
    <w:bookmarkStart w:id="15" w:name="page16"/>
    <w:bookmarkEnd w:id="1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100"/>
        <w:spacing w:after="0"/>
        <w:rPr>
          <w:sz w:val="20"/>
          <w:szCs w:val="20"/>
          <w:color w:val="auto"/>
        </w:rPr>
      </w:pPr>
      <w:r>
        <w:rPr>
          <w:rFonts w:ascii="Arial" w:cs="Arial" w:eastAsia="Arial" w:hAnsi="Arial"/>
          <w:sz w:val="18"/>
          <w:szCs w:val="18"/>
          <w:color w:val="auto"/>
        </w:rPr>
        <w:t>Units:</w:t>
      </w:r>
    </w:p>
    <w:p>
      <w:pPr>
        <w:spacing w:after="0" w:line="23" w:lineRule="exact"/>
        <w:rPr>
          <w:sz w:val="20"/>
          <w:szCs w:val="20"/>
          <w:color w:val="auto"/>
        </w:rPr>
      </w:pPr>
    </w:p>
    <w:p>
      <w:pPr>
        <w:ind w:left="420" w:right="1900"/>
        <w:spacing w:after="0" w:line="510" w:lineRule="auto"/>
        <w:rPr>
          <w:sz w:val="20"/>
          <w:szCs w:val="20"/>
          <w:color w:val="auto"/>
        </w:rPr>
      </w:pPr>
      <w:r>
        <w:rPr>
          <w:rFonts w:ascii="Arial" w:cs="Arial" w:eastAsia="Arial" w:hAnsi="Arial"/>
          <w:sz w:val="16"/>
          <w:szCs w:val="16"/>
          <w:color w:val="auto"/>
        </w:rPr>
        <w:t>Number outstanding before this offering Number outstanding after this offering</w:t>
      </w:r>
    </w:p>
    <w:p>
      <w:pPr>
        <w:ind w:left="100"/>
        <w:spacing w:after="0"/>
        <w:rPr>
          <w:sz w:val="20"/>
          <w:szCs w:val="20"/>
          <w:color w:val="auto"/>
        </w:rPr>
      </w:pPr>
      <w:r>
        <w:rPr>
          <w:rFonts w:ascii="Arial" w:cs="Arial" w:eastAsia="Arial" w:hAnsi="Arial"/>
          <w:sz w:val="18"/>
          <w:szCs w:val="18"/>
          <w:color w:val="auto"/>
        </w:rPr>
        <w:t>Ordinary shares:</w:t>
      </w:r>
    </w:p>
    <w:p>
      <w:pPr>
        <w:spacing w:after="0" w:line="2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Number outstanding before this offering</w:t>
      </w:r>
    </w:p>
    <w:p>
      <w:pPr>
        <w:spacing w:after="0" w:line="19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Number outstanding after this offering</w:t>
      </w:r>
    </w:p>
    <w:p>
      <w:pPr>
        <w:spacing w:after="0" w:line="212" w:lineRule="exact"/>
        <w:rPr>
          <w:sz w:val="20"/>
          <w:szCs w:val="20"/>
          <w:color w:val="auto"/>
        </w:rPr>
      </w:pPr>
    </w:p>
    <w:p>
      <w:pPr>
        <w:ind w:left="260" w:hanging="161"/>
        <w:spacing w:after="0" w:line="277" w:lineRule="auto"/>
        <w:rPr>
          <w:sz w:val="20"/>
          <w:szCs w:val="20"/>
          <w:color w:val="auto"/>
        </w:rPr>
      </w:pPr>
      <w:r>
        <w:rPr>
          <w:rFonts w:ascii="Arial" w:cs="Arial" w:eastAsia="Arial" w:hAnsi="Arial"/>
          <w:sz w:val="18"/>
          <w:szCs w:val="18"/>
          <w:color w:val="auto"/>
        </w:rPr>
        <w:t>Warrants: Number of private placement warrants to be sold in a private placement simultaneously with this offering</w:t>
      </w:r>
    </w:p>
    <w:p>
      <w:pPr>
        <w:spacing w:after="0" w:line="116" w:lineRule="exact"/>
        <w:rPr>
          <w:sz w:val="20"/>
          <w:szCs w:val="20"/>
          <w:color w:val="auto"/>
        </w:rPr>
      </w:pPr>
    </w:p>
    <w:p>
      <w:pPr>
        <w:ind w:left="260" w:right="520" w:hanging="161"/>
        <w:spacing w:after="0" w:line="277" w:lineRule="auto"/>
        <w:rPr>
          <w:sz w:val="20"/>
          <w:szCs w:val="20"/>
          <w:color w:val="auto"/>
        </w:rPr>
      </w:pPr>
      <w:r>
        <w:rPr>
          <w:rFonts w:ascii="Arial" w:cs="Arial" w:eastAsia="Arial" w:hAnsi="Arial"/>
          <w:sz w:val="18"/>
          <w:szCs w:val="18"/>
          <w:color w:val="auto"/>
        </w:rPr>
        <w:t>Number of warrants to be outstanding after this offering and the private placement</w:t>
      </w:r>
    </w:p>
    <w:p>
      <w:pPr>
        <w:spacing w:after="0" w:line="20" w:lineRule="exact"/>
        <w:rPr>
          <w:sz w:val="20"/>
          <w:szCs w:val="20"/>
          <w:color w:val="auto"/>
        </w:rPr>
      </w:pPr>
      <w:r>
        <w:rPr>
          <w:sz w:val="20"/>
          <w:szCs w:val="20"/>
          <w:color w:val="auto"/>
        </w:rPr>
        <w:br w:type="column"/>
      </w:r>
    </w:p>
    <w:p>
      <w:pPr>
        <w:ind w:right="100"/>
        <w:spacing w:after="0" w:line="272" w:lineRule="auto"/>
        <w:rPr>
          <w:sz w:val="20"/>
          <w:szCs w:val="20"/>
          <w:color w:val="auto"/>
        </w:rPr>
      </w:pPr>
      <w:r>
        <w:rPr>
          <w:rFonts w:ascii="Arial" w:cs="Arial" w:eastAsia="Arial" w:hAnsi="Arial"/>
          <w:sz w:val="17"/>
          <w:szCs w:val="17"/>
          <w:color w:val="auto"/>
        </w:rPr>
        <w:t>includes an audited balance sheet reflecting our receipt of the gross proceeds at the closing of this offering. We will file the Current Report on Form 8-K promptly after the closing of this offering. If the underwriters’ over-allotment option is exercised following the initial filing of such Current Report on Form 8-K, a second or amended Current Report on Form 8-K will be filed to provide updated financial information to reflect the exercise of the underwriters’ over-allotment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-3564890</wp:posOffset>
            </wp:positionH>
            <wp:positionV relativeFrom="paragraph">
              <wp:posOffset>-1225550</wp:posOffset>
            </wp:positionV>
            <wp:extent cx="7136130" cy="73933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6130" cy="7393305"/>
                    </a:xfrm>
                    <a:prstGeom prst="rect">
                      <a:avLst/>
                    </a:prstGeom>
                    <a:noFill/>
                  </pic:spPr>
                </pic:pic>
              </a:graphicData>
            </a:graphic>
          </wp:anchor>
        </w:drawing>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25,000,000</w:t>
      </w:r>
      <w:r>
        <w:rPr>
          <w:rFonts w:ascii="Arial" w:cs="Arial" w:eastAsia="Arial" w:hAnsi="Arial"/>
          <w:sz w:val="29"/>
          <w:szCs w:val="29"/>
          <w:color w:val="auto"/>
          <w:vertAlign w:val="superscript"/>
        </w:rPr>
        <w:t>(1)</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color w:val="auto"/>
        </w:rPr>
        <w:t>7,187,500</w:t>
      </w:r>
      <w:r>
        <w:rPr>
          <w:rFonts w:ascii="Arial" w:cs="Arial" w:eastAsia="Arial" w:hAnsi="Arial"/>
          <w:sz w:val="29"/>
          <w:szCs w:val="29"/>
          <w:color w:val="auto"/>
          <w:vertAlign w:val="superscript"/>
        </w:rPr>
        <w:t>(2)</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31,250,000</w:t>
      </w:r>
      <w:r>
        <w:rPr>
          <w:rFonts w:ascii="Arial" w:cs="Arial" w:eastAsia="Arial" w:hAnsi="Arial"/>
          <w:sz w:val="29"/>
          <w:szCs w:val="29"/>
          <w:color w:val="auto"/>
          <w:vertAlign w:val="superscript"/>
        </w:rPr>
        <w:t>(1)(3)</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5,000,000</w:t>
      </w:r>
      <w:r>
        <w:rPr>
          <w:rFonts w:ascii="Arial" w:cs="Arial" w:eastAsia="Arial" w:hAnsi="Arial"/>
          <w:sz w:val="29"/>
          <w:szCs w:val="29"/>
          <w:color w:val="auto"/>
          <w:vertAlign w:val="superscript"/>
        </w:rPr>
        <w:t>(1)</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11,250,000</w:t>
      </w:r>
      <w:r>
        <w:rPr>
          <w:rFonts w:ascii="Arial" w:cs="Arial" w:eastAsia="Arial" w:hAnsi="Arial"/>
          <w:sz w:val="29"/>
          <w:szCs w:val="29"/>
          <w:color w:val="auto"/>
          <w:vertAlign w:val="superscript"/>
        </w:rPr>
        <w:t>(1)(4)</w:t>
      </w:r>
    </w:p>
    <w:p>
      <w:pPr>
        <w:spacing w:after="0" w:line="256" w:lineRule="exact"/>
        <w:rPr>
          <w:sz w:val="20"/>
          <w:szCs w:val="20"/>
          <w:color w:val="auto"/>
        </w:rPr>
      </w:pPr>
    </w:p>
    <w:p>
      <w:pPr>
        <w:sectPr>
          <w:pgSz w:w="11900" w:h="16838" w:orient="portrait"/>
          <w:cols w:equalWidth="0" w:num="2">
            <w:col w:w="5220" w:space="400"/>
            <w:col w:w="5620"/>
          </w:cols>
          <w:pgMar w:left="320" w:top="976" w:right="339" w:bottom="1440" w:gutter="0" w:footer="0" w:header="0"/>
        </w:sectPr>
      </w:pPr>
    </w:p>
    <w:p>
      <w:pPr>
        <w:ind w:left="100"/>
        <w:spacing w:after="0"/>
        <w:rPr>
          <w:sz w:val="20"/>
          <w:szCs w:val="20"/>
          <w:color w:val="auto"/>
        </w:rPr>
      </w:pPr>
      <w:r>
        <w:rPr>
          <w:rFonts w:ascii="Arial" w:cs="Arial" w:eastAsia="Arial" w:hAnsi="Arial"/>
          <w:sz w:val="18"/>
          <w:szCs w:val="18"/>
          <w:color w:val="auto"/>
        </w:rPr>
        <w:t>________________________</w:t>
      </w:r>
    </w:p>
    <w:p>
      <w:pPr>
        <w:spacing w:after="0" w:line="23" w:lineRule="exact"/>
        <w:rPr>
          <w:sz w:val="20"/>
          <w:szCs w:val="20"/>
          <w:color w:val="auto"/>
        </w:rPr>
      </w:pPr>
    </w:p>
    <w:p>
      <w:pPr>
        <w:ind w:left="480" w:hanging="382"/>
        <w:spacing w:after="0"/>
        <w:tabs>
          <w:tab w:leader="none" w:pos="480" w:val="left"/>
        </w:tabs>
        <w:numPr>
          <w:ilvl w:val="0"/>
          <w:numId w:val="6"/>
        </w:numPr>
        <w:rPr>
          <w:rFonts w:ascii="Arial" w:cs="Arial" w:eastAsia="Arial" w:hAnsi="Arial"/>
          <w:sz w:val="17"/>
          <w:szCs w:val="17"/>
          <w:color w:val="auto"/>
        </w:rPr>
      </w:pPr>
      <w:r>
        <w:rPr>
          <w:rFonts w:ascii="Arial" w:cs="Arial" w:eastAsia="Arial" w:hAnsi="Arial"/>
          <w:sz w:val="17"/>
          <w:szCs w:val="17"/>
          <w:color w:val="auto"/>
        </w:rPr>
        <w:t>Assumes no exercise of the underwriters’ over-allotment option and the surrender of 937,500 founder shares to us for no consideration.</w:t>
      </w:r>
    </w:p>
    <w:p>
      <w:pPr>
        <w:spacing w:after="0" w:line="222" w:lineRule="exact"/>
        <w:rPr>
          <w:rFonts w:ascii="Arial" w:cs="Arial" w:eastAsia="Arial" w:hAnsi="Arial"/>
          <w:sz w:val="17"/>
          <w:szCs w:val="17"/>
          <w:color w:val="auto"/>
        </w:rPr>
      </w:pPr>
    </w:p>
    <w:p>
      <w:pPr>
        <w:ind w:left="420" w:right="220" w:hanging="322"/>
        <w:spacing w:after="0" w:line="277" w:lineRule="auto"/>
        <w:tabs>
          <w:tab w:leader="none" w:pos="486"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Includes up to 937,500 founder shares that may be surrendered to us for no consideration depending on the extent to which the underwriters’ over-allotment option is exercised.</w:t>
      </w:r>
    </w:p>
    <w:p>
      <w:pPr>
        <w:spacing w:after="0" w:line="170" w:lineRule="exact"/>
        <w:rPr>
          <w:rFonts w:ascii="Arial" w:cs="Arial" w:eastAsia="Arial" w:hAnsi="Arial"/>
          <w:sz w:val="18"/>
          <w:szCs w:val="18"/>
          <w:color w:val="auto"/>
        </w:rPr>
      </w:pPr>
    </w:p>
    <w:p>
      <w:pPr>
        <w:ind w:left="420" w:right="120" w:hanging="322"/>
        <w:spacing w:after="0" w:line="279" w:lineRule="auto"/>
        <w:tabs>
          <w:tab w:leader="none" w:pos="486" w:val="left"/>
        </w:tabs>
        <w:numPr>
          <w:ilvl w:val="0"/>
          <w:numId w:val="6"/>
        </w:numPr>
        <w:rPr>
          <w:rFonts w:ascii="Arial" w:cs="Arial" w:eastAsia="Arial" w:hAnsi="Arial"/>
          <w:sz w:val="17"/>
          <w:szCs w:val="17"/>
          <w:color w:val="auto"/>
        </w:rPr>
      </w:pPr>
      <w:r>
        <w:rPr>
          <w:rFonts w:ascii="Arial" w:cs="Arial" w:eastAsia="Arial" w:hAnsi="Arial"/>
          <w:sz w:val="17"/>
          <w:szCs w:val="17"/>
          <w:color w:val="auto"/>
        </w:rPr>
        <w:t>Comprised of 25,000,000 Class A ordinary shares included in the units to be sold in this offering and 6,250,000 Class B ordinary shares (or founder shares). Founder shares are currently classified as Class B ordinary shares, which shares will automatically convert into Class A ordinary shares concurrently with or immediately following the consummation of our initial business combination on a one-for-one basis, subject to adjustment as described below adjacent to the caption “Founder shares conversion and anti-dilution rights.”</w:t>
      </w:r>
    </w:p>
    <w:p>
      <w:pPr>
        <w:spacing w:after="0" w:line="171" w:lineRule="exact"/>
        <w:rPr>
          <w:rFonts w:ascii="Arial" w:cs="Arial" w:eastAsia="Arial" w:hAnsi="Arial"/>
          <w:sz w:val="17"/>
          <w:szCs w:val="17"/>
          <w:color w:val="auto"/>
        </w:rPr>
      </w:pPr>
    </w:p>
    <w:p>
      <w:pPr>
        <w:ind w:left="420" w:right="220" w:hanging="322"/>
        <w:spacing w:after="0" w:line="277" w:lineRule="auto"/>
        <w:tabs>
          <w:tab w:leader="none" w:pos="486"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Comprised of 6,250,000 public warrants included in the units to be sold in this offering and 5,000,000 private placement warrants to be sold in the private placement.</w:t>
      </w: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00" w:type="dxa"/>
            <w:vAlign w:val="bottom"/>
          </w:tcPr>
          <w:p>
            <w:pPr>
              <w:ind w:left="100"/>
              <w:spacing w:after="0"/>
              <w:rPr>
                <w:sz w:val="20"/>
                <w:szCs w:val="20"/>
                <w:color w:val="auto"/>
              </w:rPr>
            </w:pPr>
            <w:r>
              <w:rPr>
                <w:rFonts w:ascii="Arial" w:cs="Arial" w:eastAsia="Arial" w:hAnsi="Arial"/>
                <w:sz w:val="18"/>
                <w:szCs w:val="18"/>
                <w:color w:val="auto"/>
              </w:rPr>
              <w:t>Exercisability</w:t>
            </w:r>
          </w:p>
        </w:tc>
        <w:tc>
          <w:tcPr>
            <w:tcW w:w="7940" w:type="dxa"/>
            <w:vAlign w:val="bottom"/>
          </w:tcPr>
          <w:p>
            <w:pPr>
              <w:ind w:left="2320"/>
              <w:spacing w:after="0"/>
              <w:rPr>
                <w:sz w:val="20"/>
                <w:szCs w:val="20"/>
                <w:color w:val="auto"/>
              </w:rPr>
            </w:pPr>
            <w:r>
              <w:rPr>
                <w:rFonts w:ascii="Arial" w:cs="Arial" w:eastAsia="Arial" w:hAnsi="Arial"/>
                <w:sz w:val="18"/>
                <w:szCs w:val="18"/>
                <w:color w:val="auto"/>
                <w:w w:val="95"/>
              </w:rPr>
              <w:t>Each whole warrant offered in this offering is exercisable to purchase one</w:t>
            </w:r>
          </w:p>
        </w:tc>
      </w:tr>
      <w:tr>
        <w:trPr>
          <w:trHeight w:val="216"/>
        </w:trPr>
        <w:tc>
          <w:tcPr>
            <w:tcW w:w="3300" w:type="dxa"/>
            <w:vAlign w:val="bottom"/>
          </w:tcPr>
          <w:p>
            <w:pPr>
              <w:spacing w:after="0"/>
              <w:rPr>
                <w:sz w:val="18"/>
                <w:szCs w:val="18"/>
                <w:color w:val="auto"/>
              </w:rPr>
            </w:pPr>
          </w:p>
        </w:tc>
        <w:tc>
          <w:tcPr>
            <w:tcW w:w="7940" w:type="dxa"/>
            <w:vAlign w:val="bottom"/>
          </w:tcPr>
          <w:p>
            <w:pPr>
              <w:ind w:left="2320"/>
              <w:spacing w:after="0"/>
              <w:rPr>
                <w:sz w:val="20"/>
                <w:szCs w:val="20"/>
                <w:color w:val="auto"/>
              </w:rPr>
            </w:pPr>
            <w:r>
              <w:rPr>
                <w:rFonts w:ascii="Arial" w:cs="Arial" w:eastAsia="Arial" w:hAnsi="Arial"/>
                <w:sz w:val="18"/>
                <w:szCs w:val="18"/>
                <w:color w:val="auto"/>
                <w:w w:val="96"/>
              </w:rPr>
              <w:t>Class A ordinary share, subject to adjustments as described herein. Only</w:t>
            </w:r>
          </w:p>
        </w:tc>
      </w:tr>
      <w:tr>
        <w:trPr>
          <w:trHeight w:val="216"/>
        </w:trPr>
        <w:tc>
          <w:tcPr>
            <w:tcW w:w="3300" w:type="dxa"/>
            <w:vAlign w:val="bottom"/>
          </w:tcPr>
          <w:p>
            <w:pPr>
              <w:spacing w:after="0"/>
              <w:rPr>
                <w:sz w:val="18"/>
                <w:szCs w:val="18"/>
                <w:color w:val="auto"/>
              </w:rPr>
            </w:pPr>
          </w:p>
        </w:tc>
        <w:tc>
          <w:tcPr>
            <w:tcW w:w="7940" w:type="dxa"/>
            <w:vAlign w:val="bottom"/>
          </w:tcPr>
          <w:p>
            <w:pPr>
              <w:ind w:left="2320"/>
              <w:spacing w:after="0"/>
              <w:rPr>
                <w:sz w:val="20"/>
                <w:szCs w:val="20"/>
                <w:color w:val="auto"/>
              </w:rPr>
            </w:pPr>
            <w:r>
              <w:rPr>
                <w:rFonts w:ascii="Arial" w:cs="Arial" w:eastAsia="Arial" w:hAnsi="Arial"/>
                <w:sz w:val="18"/>
                <w:szCs w:val="18"/>
                <w:color w:val="auto"/>
                <w:w w:val="94"/>
              </w:rPr>
              <w:t>whole warrants are exercisable. No fractional warrants will be issued upon</w:t>
            </w:r>
          </w:p>
        </w:tc>
      </w:tr>
      <w:tr>
        <w:trPr>
          <w:trHeight w:val="230"/>
        </w:trPr>
        <w:tc>
          <w:tcPr>
            <w:tcW w:w="3300" w:type="dxa"/>
            <w:vAlign w:val="bottom"/>
          </w:tcPr>
          <w:p>
            <w:pPr>
              <w:spacing w:after="0"/>
              <w:rPr>
                <w:sz w:val="20"/>
                <w:szCs w:val="20"/>
                <w:color w:val="auto"/>
              </w:rPr>
            </w:pPr>
          </w:p>
        </w:tc>
        <w:tc>
          <w:tcPr>
            <w:tcW w:w="7940" w:type="dxa"/>
            <w:vAlign w:val="bottom"/>
          </w:tcPr>
          <w:p>
            <w:pPr>
              <w:ind w:left="2320"/>
              <w:spacing w:after="0"/>
              <w:rPr>
                <w:sz w:val="20"/>
                <w:szCs w:val="20"/>
                <w:color w:val="auto"/>
              </w:rPr>
            </w:pPr>
            <w:r>
              <w:rPr>
                <w:rFonts w:ascii="Arial" w:cs="Arial" w:eastAsia="Arial" w:hAnsi="Arial"/>
                <w:sz w:val="18"/>
                <w:szCs w:val="18"/>
                <w:color w:val="auto"/>
              </w:rPr>
              <w:t>separation of the units and only whole warrants will trade.</w:t>
            </w:r>
          </w:p>
        </w:tc>
      </w:tr>
      <w:tr>
        <w:trPr>
          <w:trHeight w:val="364"/>
        </w:trPr>
        <w:tc>
          <w:tcPr>
            <w:tcW w:w="3300" w:type="dxa"/>
            <w:vAlign w:val="bottom"/>
          </w:tcPr>
          <w:p>
            <w:pPr>
              <w:spacing w:after="0"/>
              <w:rPr>
                <w:sz w:val="24"/>
                <w:szCs w:val="24"/>
                <w:color w:val="auto"/>
              </w:rPr>
            </w:pPr>
          </w:p>
        </w:tc>
        <w:tc>
          <w:tcPr>
            <w:tcW w:w="7940" w:type="dxa"/>
            <w:vAlign w:val="bottom"/>
          </w:tcPr>
          <w:p>
            <w:pPr>
              <w:ind w:left="2320"/>
              <w:spacing w:after="0"/>
              <w:rPr>
                <w:sz w:val="20"/>
                <w:szCs w:val="20"/>
                <w:color w:val="auto"/>
              </w:rPr>
            </w:pPr>
            <w:r>
              <w:rPr>
                <w:rFonts w:ascii="Arial" w:cs="Arial" w:eastAsia="Arial" w:hAnsi="Arial"/>
                <w:sz w:val="18"/>
                <w:szCs w:val="18"/>
                <w:color w:val="auto"/>
                <w:w w:val="95"/>
              </w:rPr>
              <w:t>We structured each unit to contain one-fourth of one redeemable warrant,</w:t>
            </w:r>
          </w:p>
        </w:tc>
      </w:tr>
      <w:tr>
        <w:trPr>
          <w:trHeight w:val="216"/>
        </w:trPr>
        <w:tc>
          <w:tcPr>
            <w:tcW w:w="3300" w:type="dxa"/>
            <w:vAlign w:val="bottom"/>
          </w:tcPr>
          <w:p>
            <w:pPr>
              <w:spacing w:after="0"/>
              <w:rPr>
                <w:sz w:val="18"/>
                <w:szCs w:val="18"/>
                <w:color w:val="auto"/>
              </w:rPr>
            </w:pPr>
          </w:p>
        </w:tc>
        <w:tc>
          <w:tcPr>
            <w:tcW w:w="7940" w:type="dxa"/>
            <w:vAlign w:val="bottom"/>
          </w:tcPr>
          <w:p>
            <w:pPr>
              <w:ind w:left="2320"/>
              <w:spacing w:after="0"/>
              <w:rPr>
                <w:sz w:val="20"/>
                <w:szCs w:val="20"/>
                <w:color w:val="auto"/>
              </w:rPr>
            </w:pPr>
            <w:r>
              <w:rPr>
                <w:rFonts w:ascii="Arial" w:cs="Arial" w:eastAsia="Arial" w:hAnsi="Arial"/>
                <w:sz w:val="18"/>
                <w:szCs w:val="18"/>
                <w:color w:val="auto"/>
                <w:w w:val="98"/>
              </w:rPr>
              <w:t>with each whole warrant exercisable for one Class A ordinary share, as</w:t>
            </w:r>
          </w:p>
        </w:tc>
      </w:tr>
      <w:tr>
        <w:trPr>
          <w:trHeight w:val="216"/>
        </w:trPr>
        <w:tc>
          <w:tcPr>
            <w:tcW w:w="3300" w:type="dxa"/>
            <w:vAlign w:val="bottom"/>
          </w:tcPr>
          <w:p>
            <w:pPr>
              <w:spacing w:after="0"/>
              <w:rPr>
                <w:sz w:val="18"/>
                <w:szCs w:val="18"/>
                <w:color w:val="auto"/>
              </w:rPr>
            </w:pPr>
          </w:p>
        </w:tc>
        <w:tc>
          <w:tcPr>
            <w:tcW w:w="7940" w:type="dxa"/>
            <w:vAlign w:val="bottom"/>
          </w:tcPr>
          <w:p>
            <w:pPr>
              <w:ind w:left="2320"/>
              <w:spacing w:after="0"/>
              <w:rPr>
                <w:sz w:val="20"/>
                <w:szCs w:val="20"/>
                <w:color w:val="auto"/>
              </w:rPr>
            </w:pPr>
            <w:r>
              <w:rPr>
                <w:rFonts w:ascii="Arial" w:cs="Arial" w:eastAsia="Arial" w:hAnsi="Arial"/>
                <w:sz w:val="18"/>
                <w:szCs w:val="18"/>
                <w:color w:val="auto"/>
                <w:w w:val="93"/>
              </w:rPr>
              <w:t>compared to units issued by some other similar special purpose acquisition</w:t>
            </w:r>
          </w:p>
        </w:tc>
      </w:tr>
      <w:tr>
        <w:trPr>
          <w:trHeight w:val="216"/>
        </w:trPr>
        <w:tc>
          <w:tcPr>
            <w:tcW w:w="3300" w:type="dxa"/>
            <w:vAlign w:val="bottom"/>
          </w:tcPr>
          <w:p>
            <w:pPr>
              <w:spacing w:after="0"/>
              <w:rPr>
                <w:sz w:val="18"/>
                <w:szCs w:val="18"/>
                <w:color w:val="auto"/>
              </w:rPr>
            </w:pPr>
          </w:p>
        </w:tc>
        <w:tc>
          <w:tcPr>
            <w:tcW w:w="7940" w:type="dxa"/>
            <w:vAlign w:val="bottom"/>
          </w:tcPr>
          <w:p>
            <w:pPr>
              <w:ind w:left="2320"/>
              <w:spacing w:after="0"/>
              <w:rPr>
                <w:sz w:val="20"/>
                <w:szCs w:val="20"/>
                <w:color w:val="auto"/>
              </w:rPr>
            </w:pPr>
            <w:r>
              <w:rPr>
                <w:rFonts w:ascii="Arial" w:cs="Arial" w:eastAsia="Arial" w:hAnsi="Arial"/>
                <w:sz w:val="18"/>
                <w:szCs w:val="18"/>
                <w:color w:val="auto"/>
                <w:w w:val="94"/>
              </w:rPr>
              <w:t>companies which contain whole warrants exercisable for one whole share,</w:t>
            </w:r>
          </w:p>
        </w:tc>
      </w:tr>
      <w:tr>
        <w:trPr>
          <w:trHeight w:val="216"/>
        </w:trPr>
        <w:tc>
          <w:tcPr>
            <w:tcW w:w="3300" w:type="dxa"/>
            <w:vAlign w:val="bottom"/>
          </w:tcPr>
          <w:p>
            <w:pPr>
              <w:spacing w:after="0"/>
              <w:rPr>
                <w:sz w:val="18"/>
                <w:szCs w:val="18"/>
                <w:color w:val="auto"/>
              </w:rPr>
            </w:pPr>
          </w:p>
        </w:tc>
        <w:tc>
          <w:tcPr>
            <w:tcW w:w="7940" w:type="dxa"/>
            <w:vAlign w:val="bottom"/>
          </w:tcPr>
          <w:p>
            <w:pPr>
              <w:ind w:left="2320"/>
              <w:spacing w:after="0"/>
              <w:rPr>
                <w:sz w:val="20"/>
                <w:szCs w:val="20"/>
                <w:color w:val="auto"/>
              </w:rPr>
            </w:pPr>
            <w:r>
              <w:rPr>
                <w:rFonts w:ascii="Arial" w:cs="Arial" w:eastAsia="Arial" w:hAnsi="Arial"/>
                <w:sz w:val="18"/>
                <w:szCs w:val="18"/>
                <w:color w:val="auto"/>
                <w:w w:val="96"/>
              </w:rPr>
              <w:t>in order to reduce the dilutive effect of the warrants upon completion of a</w:t>
            </w:r>
          </w:p>
        </w:tc>
      </w:tr>
      <w:tr>
        <w:trPr>
          <w:trHeight w:val="216"/>
        </w:trPr>
        <w:tc>
          <w:tcPr>
            <w:tcW w:w="3300" w:type="dxa"/>
            <w:vAlign w:val="bottom"/>
          </w:tcPr>
          <w:p>
            <w:pPr>
              <w:spacing w:after="0"/>
              <w:rPr>
                <w:sz w:val="18"/>
                <w:szCs w:val="18"/>
                <w:color w:val="auto"/>
              </w:rPr>
            </w:pPr>
          </w:p>
        </w:tc>
        <w:tc>
          <w:tcPr>
            <w:tcW w:w="7940" w:type="dxa"/>
            <w:vAlign w:val="bottom"/>
          </w:tcPr>
          <w:p>
            <w:pPr>
              <w:ind w:left="2320"/>
              <w:spacing w:after="0"/>
              <w:rPr>
                <w:sz w:val="20"/>
                <w:szCs w:val="20"/>
                <w:color w:val="auto"/>
              </w:rPr>
            </w:pPr>
            <w:r>
              <w:rPr>
                <w:rFonts w:ascii="Arial" w:cs="Arial" w:eastAsia="Arial" w:hAnsi="Arial"/>
                <w:sz w:val="18"/>
                <w:szCs w:val="18"/>
                <w:color w:val="auto"/>
              </w:rPr>
              <w:t>business combination as compared to units that each contain a whole</w:t>
            </w:r>
          </w:p>
        </w:tc>
      </w:tr>
      <w:tr>
        <w:trPr>
          <w:trHeight w:val="216"/>
        </w:trPr>
        <w:tc>
          <w:tcPr>
            <w:tcW w:w="3300" w:type="dxa"/>
            <w:vAlign w:val="bottom"/>
          </w:tcPr>
          <w:p>
            <w:pPr>
              <w:spacing w:after="0"/>
              <w:rPr>
                <w:sz w:val="18"/>
                <w:szCs w:val="18"/>
                <w:color w:val="auto"/>
              </w:rPr>
            </w:pPr>
          </w:p>
        </w:tc>
        <w:tc>
          <w:tcPr>
            <w:tcW w:w="7940" w:type="dxa"/>
            <w:vAlign w:val="bottom"/>
          </w:tcPr>
          <w:p>
            <w:pPr>
              <w:ind w:left="2320"/>
              <w:spacing w:after="0"/>
              <w:rPr>
                <w:sz w:val="20"/>
                <w:szCs w:val="20"/>
                <w:color w:val="auto"/>
              </w:rPr>
            </w:pPr>
            <w:r>
              <w:rPr>
                <w:rFonts w:ascii="Arial" w:cs="Arial" w:eastAsia="Arial" w:hAnsi="Arial"/>
                <w:sz w:val="18"/>
                <w:szCs w:val="18"/>
                <w:color w:val="auto"/>
                <w:w w:val="95"/>
              </w:rPr>
              <w:t>warrant to purchase one whole share, thus making us, we believe, a more</w:t>
            </w:r>
          </w:p>
        </w:tc>
      </w:tr>
      <w:tr>
        <w:trPr>
          <w:trHeight w:val="230"/>
        </w:trPr>
        <w:tc>
          <w:tcPr>
            <w:tcW w:w="3300" w:type="dxa"/>
            <w:vAlign w:val="bottom"/>
          </w:tcPr>
          <w:p>
            <w:pPr>
              <w:spacing w:after="0"/>
              <w:rPr>
                <w:sz w:val="20"/>
                <w:szCs w:val="20"/>
                <w:color w:val="auto"/>
              </w:rPr>
            </w:pPr>
          </w:p>
        </w:tc>
        <w:tc>
          <w:tcPr>
            <w:tcW w:w="7940" w:type="dxa"/>
            <w:vAlign w:val="bottom"/>
          </w:tcPr>
          <w:p>
            <w:pPr>
              <w:ind w:left="2320"/>
              <w:spacing w:after="0"/>
              <w:rPr>
                <w:sz w:val="20"/>
                <w:szCs w:val="20"/>
                <w:color w:val="auto"/>
              </w:rPr>
            </w:pPr>
            <w:r>
              <w:rPr>
                <w:rFonts w:ascii="Arial" w:cs="Arial" w:eastAsia="Arial" w:hAnsi="Arial"/>
                <w:sz w:val="18"/>
                <w:szCs w:val="18"/>
                <w:color w:val="auto"/>
              </w:rPr>
              <w:t>attractive business combination partner for target businesses.</w:t>
            </w:r>
          </w:p>
        </w:tc>
      </w:tr>
      <w:tr>
        <w:trPr>
          <w:trHeight w:val="361"/>
        </w:trPr>
        <w:tc>
          <w:tcPr>
            <w:tcW w:w="3300" w:type="dxa"/>
            <w:vAlign w:val="bottom"/>
            <w:tcBorders>
              <w:bottom w:val="single" w:sz="8" w:color="auto"/>
            </w:tcBorders>
          </w:tcPr>
          <w:p>
            <w:pPr>
              <w:spacing w:after="0"/>
              <w:rPr>
                <w:sz w:val="24"/>
                <w:szCs w:val="24"/>
                <w:color w:val="auto"/>
              </w:rPr>
            </w:pPr>
          </w:p>
        </w:tc>
        <w:tc>
          <w:tcPr>
            <w:tcW w:w="7940" w:type="dxa"/>
            <w:vAlign w:val="bottom"/>
            <w:tcBorders>
              <w:bottom w:val="single" w:sz="8" w:color="auto"/>
            </w:tcBorders>
          </w:tcPr>
          <w:p>
            <w:pPr>
              <w:spacing w:after="0"/>
              <w:rPr>
                <w:sz w:val="24"/>
                <w:szCs w:val="24"/>
                <w:color w:val="auto"/>
              </w:rPr>
            </w:pPr>
          </w:p>
        </w:tc>
      </w:tr>
      <w:tr>
        <w:trPr>
          <w:trHeight w:val="328"/>
        </w:trPr>
        <w:tc>
          <w:tcPr>
            <w:tcW w:w="3300" w:type="dxa"/>
            <w:vAlign w:val="bottom"/>
            <w:tcBorders>
              <w:bottom w:val="single" w:sz="8" w:color="auto"/>
            </w:tcBorders>
          </w:tcPr>
          <w:p>
            <w:pPr>
              <w:spacing w:after="0"/>
              <w:rPr>
                <w:sz w:val="24"/>
                <w:szCs w:val="24"/>
                <w:color w:val="auto"/>
              </w:rPr>
            </w:pPr>
          </w:p>
        </w:tc>
        <w:tc>
          <w:tcPr>
            <w:tcW w:w="7940" w:type="dxa"/>
            <w:vAlign w:val="bottom"/>
            <w:tcBorders>
              <w:bottom w:val="single" w:sz="8" w:color="auto"/>
            </w:tcBorders>
          </w:tcPr>
          <w:p>
            <w:pPr>
              <w:ind w:left="2220"/>
              <w:spacing w:after="0"/>
              <w:rPr>
                <w:sz w:val="20"/>
                <w:szCs w:val="20"/>
                <w:color w:val="auto"/>
              </w:rPr>
            </w:pPr>
            <w:r>
              <w:rPr>
                <w:rFonts w:ascii="Arial" w:cs="Arial" w:eastAsia="Arial" w:hAnsi="Arial"/>
                <w:sz w:val="18"/>
                <w:szCs w:val="18"/>
                <w:color w:val="auto"/>
              </w:rPr>
              <w:t>11</w:t>
            </w:r>
          </w:p>
        </w:tc>
      </w:tr>
    </w:tbl>
    <w:p>
      <w:pPr>
        <w:sectPr>
          <w:pgSz w:w="11900" w:h="16838" w:orient="portrait"/>
          <w:cols w:equalWidth="0" w:num="1">
            <w:col w:w="11240"/>
          </w:cols>
          <w:pgMar w:left="320" w:top="976" w:right="339" w:bottom="1440" w:gutter="0" w:footer="0" w:header="0"/>
          <w:type w:val="continuous"/>
        </w:sectPr>
      </w:pPr>
    </w:p>
    <w:bookmarkStart w:id="16" w:name="page17"/>
    <w:bookmarkEnd w:id="16"/>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596"/>
        </w:trPr>
        <w:tc>
          <w:tcPr>
            <w:tcW w:w="3360" w:type="dxa"/>
            <w:vAlign w:val="bottom"/>
            <w:tcBorders>
              <w:top w:val="single" w:sz="8" w:color="auto"/>
              <w:left w:val="single" w:sz="8" w:color="auto"/>
            </w:tcBorders>
          </w:tcPr>
          <w:p>
            <w:pPr>
              <w:ind w:left="100"/>
              <w:spacing w:after="0"/>
              <w:rPr>
                <w:sz w:val="20"/>
                <w:szCs w:val="20"/>
                <w:color w:val="auto"/>
              </w:rPr>
            </w:pPr>
            <w:r>
              <w:rPr>
                <w:rFonts w:ascii="Arial" w:cs="Arial" w:eastAsia="Arial" w:hAnsi="Arial"/>
                <w:sz w:val="18"/>
                <w:szCs w:val="18"/>
                <w:color w:val="auto"/>
              </w:rPr>
              <w:t>Exercise price</w:t>
            </w:r>
          </w:p>
        </w:tc>
        <w:tc>
          <w:tcPr>
            <w:tcW w:w="7880" w:type="dxa"/>
            <w:vAlign w:val="bottom"/>
            <w:tcBorders>
              <w:top w:val="single" w:sz="8" w:color="auto"/>
              <w:right w:val="single" w:sz="8" w:color="auto"/>
            </w:tcBorders>
          </w:tcPr>
          <w:p>
            <w:pPr>
              <w:ind w:left="2260"/>
              <w:spacing w:after="0"/>
              <w:rPr>
                <w:sz w:val="20"/>
                <w:szCs w:val="20"/>
                <w:color w:val="auto"/>
              </w:rPr>
            </w:pPr>
            <w:r>
              <w:rPr>
                <w:rFonts w:ascii="Arial" w:cs="Arial" w:eastAsia="Arial" w:hAnsi="Arial"/>
                <w:sz w:val="18"/>
                <w:szCs w:val="18"/>
                <w:color w:val="auto"/>
                <w:w w:val="93"/>
              </w:rPr>
              <w:t>$11.50 per share, subject to adjustments as described herein. In addition, if</w:t>
            </w:r>
          </w:p>
        </w:tc>
      </w:tr>
      <w:tr>
        <w:trPr>
          <w:trHeight w:val="216"/>
        </w:trPr>
        <w:tc>
          <w:tcPr>
            <w:tcW w:w="3360" w:type="dxa"/>
            <w:vAlign w:val="bottom"/>
            <w:tcBorders>
              <w:left w:val="single" w:sz="8" w:color="auto"/>
            </w:tcBorders>
          </w:tcPr>
          <w:p>
            <w:pPr>
              <w:spacing w:after="0"/>
              <w:rPr>
                <w:sz w:val="18"/>
                <w:szCs w:val="18"/>
                <w:color w:val="auto"/>
              </w:rPr>
            </w:pPr>
          </w:p>
        </w:tc>
        <w:tc>
          <w:tcPr>
            <w:tcW w:w="7880" w:type="dxa"/>
            <w:vAlign w:val="bottom"/>
            <w:tcBorders>
              <w:right w:val="single" w:sz="8" w:color="auto"/>
            </w:tcBorders>
          </w:tcPr>
          <w:p>
            <w:pPr>
              <w:ind w:left="2260"/>
              <w:spacing w:after="0"/>
              <w:rPr>
                <w:sz w:val="20"/>
                <w:szCs w:val="20"/>
                <w:color w:val="auto"/>
              </w:rPr>
            </w:pPr>
            <w:r>
              <w:rPr>
                <w:rFonts w:ascii="Arial" w:cs="Arial" w:eastAsia="Arial" w:hAnsi="Arial"/>
                <w:sz w:val="18"/>
                <w:szCs w:val="18"/>
                <w:color w:val="auto"/>
                <w:w w:val="95"/>
              </w:rPr>
              <w:t>(x) we issue additional Class A ordinary shares or equity-linked securities</w:t>
            </w:r>
          </w:p>
        </w:tc>
      </w:tr>
      <w:tr>
        <w:trPr>
          <w:trHeight w:val="216"/>
        </w:trPr>
        <w:tc>
          <w:tcPr>
            <w:tcW w:w="3360" w:type="dxa"/>
            <w:vAlign w:val="bottom"/>
            <w:tcBorders>
              <w:left w:val="single" w:sz="8" w:color="auto"/>
            </w:tcBorders>
          </w:tcPr>
          <w:p>
            <w:pPr>
              <w:spacing w:after="0"/>
              <w:rPr>
                <w:sz w:val="18"/>
                <w:szCs w:val="18"/>
                <w:color w:val="auto"/>
              </w:rPr>
            </w:pPr>
          </w:p>
        </w:tc>
        <w:tc>
          <w:tcPr>
            <w:tcW w:w="7880" w:type="dxa"/>
            <w:vAlign w:val="bottom"/>
            <w:tcBorders>
              <w:right w:val="single" w:sz="8" w:color="auto"/>
            </w:tcBorders>
          </w:tcPr>
          <w:p>
            <w:pPr>
              <w:ind w:left="2260"/>
              <w:spacing w:after="0"/>
              <w:rPr>
                <w:sz w:val="20"/>
                <w:szCs w:val="20"/>
                <w:color w:val="auto"/>
              </w:rPr>
            </w:pPr>
            <w:r>
              <w:rPr>
                <w:rFonts w:ascii="Arial" w:cs="Arial" w:eastAsia="Arial" w:hAnsi="Arial"/>
                <w:sz w:val="18"/>
                <w:szCs w:val="18"/>
                <w:color w:val="auto"/>
              </w:rPr>
              <w:t>for capital raising purposes in connection with the closing of our initial</w:t>
            </w:r>
          </w:p>
        </w:tc>
      </w:tr>
      <w:tr>
        <w:trPr>
          <w:trHeight w:val="216"/>
        </w:trPr>
        <w:tc>
          <w:tcPr>
            <w:tcW w:w="3360" w:type="dxa"/>
            <w:vAlign w:val="bottom"/>
            <w:tcBorders>
              <w:left w:val="single" w:sz="8" w:color="auto"/>
            </w:tcBorders>
          </w:tcPr>
          <w:p>
            <w:pPr>
              <w:spacing w:after="0"/>
              <w:rPr>
                <w:sz w:val="18"/>
                <w:szCs w:val="18"/>
                <w:color w:val="auto"/>
              </w:rPr>
            </w:pPr>
          </w:p>
        </w:tc>
        <w:tc>
          <w:tcPr>
            <w:tcW w:w="7880" w:type="dxa"/>
            <w:vAlign w:val="bottom"/>
            <w:tcBorders>
              <w:right w:val="single" w:sz="8" w:color="auto"/>
            </w:tcBorders>
          </w:tcPr>
          <w:p>
            <w:pPr>
              <w:ind w:left="2260"/>
              <w:spacing w:after="0"/>
              <w:rPr>
                <w:sz w:val="20"/>
                <w:szCs w:val="20"/>
                <w:color w:val="auto"/>
              </w:rPr>
            </w:pPr>
            <w:r>
              <w:rPr>
                <w:rFonts w:ascii="Arial" w:cs="Arial" w:eastAsia="Arial" w:hAnsi="Arial"/>
                <w:sz w:val="18"/>
                <w:szCs w:val="18"/>
                <w:color w:val="auto"/>
                <w:w w:val="94"/>
              </w:rPr>
              <w:t>business combination at an issue price or effective issue price of less than</w:t>
            </w:r>
          </w:p>
        </w:tc>
      </w:tr>
      <w:tr>
        <w:trPr>
          <w:trHeight w:val="216"/>
        </w:trPr>
        <w:tc>
          <w:tcPr>
            <w:tcW w:w="3360" w:type="dxa"/>
            <w:vAlign w:val="bottom"/>
            <w:tcBorders>
              <w:left w:val="single" w:sz="8" w:color="auto"/>
            </w:tcBorders>
          </w:tcPr>
          <w:p>
            <w:pPr>
              <w:spacing w:after="0"/>
              <w:rPr>
                <w:sz w:val="18"/>
                <w:szCs w:val="18"/>
                <w:color w:val="auto"/>
              </w:rPr>
            </w:pPr>
          </w:p>
        </w:tc>
        <w:tc>
          <w:tcPr>
            <w:tcW w:w="7880" w:type="dxa"/>
            <w:vAlign w:val="bottom"/>
            <w:tcBorders>
              <w:right w:val="single" w:sz="8" w:color="auto"/>
            </w:tcBorders>
          </w:tcPr>
          <w:p>
            <w:pPr>
              <w:ind w:left="2260"/>
              <w:spacing w:after="0"/>
              <w:rPr>
                <w:sz w:val="20"/>
                <w:szCs w:val="20"/>
                <w:color w:val="auto"/>
              </w:rPr>
            </w:pPr>
            <w:r>
              <w:rPr>
                <w:rFonts w:ascii="Arial" w:cs="Arial" w:eastAsia="Arial" w:hAnsi="Arial"/>
                <w:sz w:val="18"/>
                <w:szCs w:val="18"/>
                <w:color w:val="auto"/>
                <w:w w:val="96"/>
              </w:rPr>
              <w:t>$9.20 per Class A ordinary share (with such issue price or effective issue</w:t>
            </w:r>
          </w:p>
        </w:tc>
      </w:tr>
      <w:tr>
        <w:trPr>
          <w:trHeight w:val="216"/>
        </w:trPr>
        <w:tc>
          <w:tcPr>
            <w:tcW w:w="3360" w:type="dxa"/>
            <w:vAlign w:val="bottom"/>
            <w:tcBorders>
              <w:left w:val="single" w:sz="8" w:color="auto"/>
            </w:tcBorders>
          </w:tcPr>
          <w:p>
            <w:pPr>
              <w:spacing w:after="0"/>
              <w:rPr>
                <w:sz w:val="18"/>
                <w:szCs w:val="18"/>
                <w:color w:val="auto"/>
              </w:rPr>
            </w:pPr>
          </w:p>
        </w:tc>
        <w:tc>
          <w:tcPr>
            <w:tcW w:w="7880" w:type="dxa"/>
            <w:vAlign w:val="bottom"/>
            <w:tcBorders>
              <w:right w:val="single" w:sz="8" w:color="auto"/>
            </w:tcBorders>
          </w:tcPr>
          <w:p>
            <w:pPr>
              <w:ind w:left="2260"/>
              <w:spacing w:after="0"/>
              <w:rPr>
                <w:sz w:val="20"/>
                <w:szCs w:val="20"/>
                <w:color w:val="auto"/>
              </w:rPr>
            </w:pPr>
            <w:r>
              <w:rPr>
                <w:rFonts w:ascii="Arial" w:cs="Arial" w:eastAsia="Arial" w:hAnsi="Arial"/>
                <w:sz w:val="18"/>
                <w:szCs w:val="18"/>
                <w:color w:val="auto"/>
                <w:w w:val="97"/>
              </w:rPr>
              <w:t>price to be determined in good faith by our board of directors and, in the</w:t>
            </w:r>
          </w:p>
        </w:tc>
      </w:tr>
      <w:tr>
        <w:trPr>
          <w:trHeight w:val="216"/>
        </w:trPr>
        <w:tc>
          <w:tcPr>
            <w:tcW w:w="3360" w:type="dxa"/>
            <w:vAlign w:val="bottom"/>
            <w:tcBorders>
              <w:left w:val="single" w:sz="8" w:color="auto"/>
            </w:tcBorders>
          </w:tcPr>
          <w:p>
            <w:pPr>
              <w:spacing w:after="0"/>
              <w:rPr>
                <w:sz w:val="18"/>
                <w:szCs w:val="18"/>
                <w:color w:val="auto"/>
              </w:rPr>
            </w:pPr>
          </w:p>
        </w:tc>
        <w:tc>
          <w:tcPr>
            <w:tcW w:w="7880" w:type="dxa"/>
            <w:vAlign w:val="bottom"/>
            <w:tcBorders>
              <w:right w:val="single" w:sz="8" w:color="auto"/>
            </w:tcBorders>
          </w:tcPr>
          <w:p>
            <w:pPr>
              <w:ind w:left="2260"/>
              <w:spacing w:after="0"/>
              <w:rPr>
                <w:sz w:val="20"/>
                <w:szCs w:val="20"/>
                <w:color w:val="auto"/>
              </w:rPr>
            </w:pPr>
            <w:r>
              <w:rPr>
                <w:rFonts w:ascii="Arial" w:cs="Arial" w:eastAsia="Arial" w:hAnsi="Arial"/>
                <w:sz w:val="18"/>
                <w:szCs w:val="18"/>
                <w:color w:val="auto"/>
              </w:rPr>
              <w:t>case of any such issuance to our initial shareholders or their affiliates,</w:t>
            </w:r>
          </w:p>
        </w:tc>
      </w:tr>
      <w:tr>
        <w:trPr>
          <w:trHeight w:val="216"/>
        </w:trPr>
        <w:tc>
          <w:tcPr>
            <w:tcW w:w="3360" w:type="dxa"/>
            <w:vAlign w:val="bottom"/>
            <w:tcBorders>
              <w:left w:val="single" w:sz="8" w:color="auto"/>
            </w:tcBorders>
          </w:tcPr>
          <w:p>
            <w:pPr>
              <w:spacing w:after="0"/>
              <w:rPr>
                <w:sz w:val="18"/>
                <w:szCs w:val="18"/>
                <w:color w:val="auto"/>
              </w:rPr>
            </w:pPr>
          </w:p>
        </w:tc>
        <w:tc>
          <w:tcPr>
            <w:tcW w:w="7880" w:type="dxa"/>
            <w:vAlign w:val="bottom"/>
            <w:tcBorders>
              <w:right w:val="single" w:sz="8" w:color="auto"/>
            </w:tcBorders>
          </w:tcPr>
          <w:p>
            <w:pPr>
              <w:ind w:left="2260"/>
              <w:spacing w:after="0"/>
              <w:rPr>
                <w:sz w:val="20"/>
                <w:szCs w:val="20"/>
                <w:color w:val="auto"/>
              </w:rPr>
            </w:pPr>
            <w:r>
              <w:rPr>
                <w:rFonts w:ascii="Arial" w:cs="Arial" w:eastAsia="Arial" w:hAnsi="Arial"/>
                <w:sz w:val="18"/>
                <w:szCs w:val="18"/>
                <w:color w:val="auto"/>
              </w:rPr>
              <w:t>without taking into account any founder shares held by our initial</w:t>
            </w:r>
          </w:p>
        </w:tc>
      </w:tr>
      <w:tr>
        <w:trPr>
          <w:trHeight w:val="216"/>
        </w:trPr>
        <w:tc>
          <w:tcPr>
            <w:tcW w:w="3360" w:type="dxa"/>
            <w:vAlign w:val="bottom"/>
            <w:tcBorders>
              <w:left w:val="single" w:sz="8" w:color="auto"/>
            </w:tcBorders>
          </w:tcPr>
          <w:p>
            <w:pPr>
              <w:spacing w:after="0"/>
              <w:rPr>
                <w:sz w:val="18"/>
                <w:szCs w:val="18"/>
                <w:color w:val="auto"/>
              </w:rPr>
            </w:pPr>
          </w:p>
        </w:tc>
        <w:tc>
          <w:tcPr>
            <w:tcW w:w="7880" w:type="dxa"/>
            <w:vAlign w:val="bottom"/>
            <w:tcBorders>
              <w:right w:val="single" w:sz="8" w:color="auto"/>
            </w:tcBorders>
          </w:tcPr>
          <w:p>
            <w:pPr>
              <w:ind w:left="2260"/>
              <w:spacing w:after="0"/>
              <w:rPr>
                <w:sz w:val="20"/>
                <w:szCs w:val="20"/>
                <w:color w:val="auto"/>
              </w:rPr>
            </w:pPr>
            <w:r>
              <w:rPr>
                <w:rFonts w:ascii="Arial" w:cs="Arial" w:eastAsia="Arial" w:hAnsi="Arial"/>
                <w:sz w:val="18"/>
                <w:szCs w:val="18"/>
                <w:color w:val="auto"/>
                <w:w w:val="95"/>
              </w:rPr>
              <w:t>shareholders or such affiliates, as applicable, prior to such issuance) (the</w:t>
            </w:r>
          </w:p>
        </w:tc>
      </w:tr>
      <w:tr>
        <w:trPr>
          <w:trHeight w:val="216"/>
        </w:trPr>
        <w:tc>
          <w:tcPr>
            <w:tcW w:w="3360" w:type="dxa"/>
            <w:vAlign w:val="bottom"/>
            <w:tcBorders>
              <w:left w:val="single" w:sz="8" w:color="auto"/>
            </w:tcBorders>
          </w:tcPr>
          <w:p>
            <w:pPr>
              <w:spacing w:after="0"/>
              <w:rPr>
                <w:sz w:val="18"/>
                <w:szCs w:val="18"/>
                <w:color w:val="auto"/>
              </w:rPr>
            </w:pPr>
          </w:p>
        </w:tc>
        <w:tc>
          <w:tcPr>
            <w:tcW w:w="7880" w:type="dxa"/>
            <w:vAlign w:val="bottom"/>
            <w:tcBorders>
              <w:right w:val="single" w:sz="8" w:color="auto"/>
            </w:tcBorders>
          </w:tcPr>
          <w:p>
            <w:pPr>
              <w:ind w:left="2260"/>
              <w:spacing w:after="0"/>
              <w:rPr>
                <w:sz w:val="20"/>
                <w:szCs w:val="20"/>
                <w:color w:val="auto"/>
              </w:rPr>
            </w:pPr>
            <w:r>
              <w:rPr>
                <w:rFonts w:ascii="Arial" w:cs="Arial" w:eastAsia="Arial" w:hAnsi="Arial"/>
                <w:sz w:val="18"/>
                <w:szCs w:val="18"/>
                <w:color w:val="auto"/>
              </w:rPr>
              <w:t>“Newly Issued Price”), (y) the aggregate gross proceeds from such</w:t>
            </w:r>
          </w:p>
        </w:tc>
      </w:tr>
      <w:tr>
        <w:trPr>
          <w:trHeight w:val="216"/>
        </w:trPr>
        <w:tc>
          <w:tcPr>
            <w:tcW w:w="3360" w:type="dxa"/>
            <w:vAlign w:val="bottom"/>
            <w:tcBorders>
              <w:left w:val="single" w:sz="8" w:color="auto"/>
            </w:tcBorders>
          </w:tcPr>
          <w:p>
            <w:pPr>
              <w:spacing w:after="0"/>
              <w:rPr>
                <w:sz w:val="18"/>
                <w:szCs w:val="18"/>
                <w:color w:val="auto"/>
              </w:rPr>
            </w:pPr>
          </w:p>
        </w:tc>
        <w:tc>
          <w:tcPr>
            <w:tcW w:w="7880" w:type="dxa"/>
            <w:vAlign w:val="bottom"/>
            <w:tcBorders>
              <w:right w:val="single" w:sz="8" w:color="auto"/>
            </w:tcBorders>
          </w:tcPr>
          <w:p>
            <w:pPr>
              <w:ind w:left="2260"/>
              <w:spacing w:after="0"/>
              <w:rPr>
                <w:sz w:val="20"/>
                <w:szCs w:val="20"/>
                <w:color w:val="auto"/>
              </w:rPr>
            </w:pPr>
            <w:r>
              <w:rPr>
                <w:rFonts w:ascii="Arial" w:cs="Arial" w:eastAsia="Arial" w:hAnsi="Arial"/>
                <w:sz w:val="18"/>
                <w:szCs w:val="18"/>
                <w:color w:val="auto"/>
                <w:w w:val="90"/>
              </w:rPr>
              <w:t>issuances represent more than 60% of the total equity proceeds, and interest</w:t>
            </w:r>
          </w:p>
        </w:tc>
      </w:tr>
      <w:tr>
        <w:trPr>
          <w:trHeight w:val="216"/>
        </w:trPr>
        <w:tc>
          <w:tcPr>
            <w:tcW w:w="3360" w:type="dxa"/>
            <w:vAlign w:val="bottom"/>
            <w:tcBorders>
              <w:left w:val="single" w:sz="8" w:color="auto"/>
            </w:tcBorders>
          </w:tcPr>
          <w:p>
            <w:pPr>
              <w:spacing w:after="0"/>
              <w:rPr>
                <w:sz w:val="18"/>
                <w:szCs w:val="18"/>
                <w:color w:val="auto"/>
              </w:rPr>
            </w:pPr>
          </w:p>
        </w:tc>
        <w:tc>
          <w:tcPr>
            <w:tcW w:w="7880" w:type="dxa"/>
            <w:vAlign w:val="bottom"/>
            <w:tcBorders>
              <w:right w:val="single" w:sz="8" w:color="auto"/>
            </w:tcBorders>
          </w:tcPr>
          <w:p>
            <w:pPr>
              <w:ind w:left="2260"/>
              <w:spacing w:after="0"/>
              <w:rPr>
                <w:sz w:val="20"/>
                <w:szCs w:val="20"/>
                <w:color w:val="auto"/>
              </w:rPr>
            </w:pPr>
            <w:r>
              <w:rPr>
                <w:rFonts w:ascii="Arial" w:cs="Arial" w:eastAsia="Arial" w:hAnsi="Arial"/>
                <w:sz w:val="18"/>
                <w:szCs w:val="18"/>
                <w:color w:val="auto"/>
                <w:w w:val="94"/>
              </w:rPr>
              <w:t>thereon, available for the funding of our initial business combination (net of</w:t>
            </w:r>
          </w:p>
        </w:tc>
      </w:tr>
      <w:tr>
        <w:trPr>
          <w:trHeight w:val="216"/>
        </w:trPr>
        <w:tc>
          <w:tcPr>
            <w:tcW w:w="3360" w:type="dxa"/>
            <w:vAlign w:val="bottom"/>
            <w:tcBorders>
              <w:left w:val="single" w:sz="8" w:color="auto"/>
            </w:tcBorders>
          </w:tcPr>
          <w:p>
            <w:pPr>
              <w:spacing w:after="0"/>
              <w:rPr>
                <w:sz w:val="18"/>
                <w:szCs w:val="18"/>
                <w:color w:val="auto"/>
              </w:rPr>
            </w:pPr>
          </w:p>
        </w:tc>
        <w:tc>
          <w:tcPr>
            <w:tcW w:w="7880" w:type="dxa"/>
            <w:vAlign w:val="bottom"/>
            <w:tcBorders>
              <w:right w:val="single" w:sz="8" w:color="auto"/>
            </w:tcBorders>
          </w:tcPr>
          <w:p>
            <w:pPr>
              <w:ind w:left="2260"/>
              <w:spacing w:after="0"/>
              <w:rPr>
                <w:sz w:val="20"/>
                <w:szCs w:val="20"/>
                <w:color w:val="auto"/>
              </w:rPr>
            </w:pPr>
            <w:r>
              <w:rPr>
                <w:rFonts w:ascii="Arial" w:cs="Arial" w:eastAsia="Arial" w:hAnsi="Arial"/>
                <w:sz w:val="18"/>
                <w:szCs w:val="18"/>
                <w:color w:val="auto"/>
                <w:w w:val="98"/>
              </w:rPr>
              <w:t>redemptions), and (z) the volume weighted average trading price of our</w:t>
            </w:r>
          </w:p>
        </w:tc>
      </w:tr>
      <w:tr>
        <w:trPr>
          <w:trHeight w:val="216"/>
        </w:trPr>
        <w:tc>
          <w:tcPr>
            <w:tcW w:w="3360" w:type="dxa"/>
            <w:vAlign w:val="bottom"/>
            <w:tcBorders>
              <w:left w:val="single" w:sz="8" w:color="auto"/>
            </w:tcBorders>
          </w:tcPr>
          <w:p>
            <w:pPr>
              <w:spacing w:after="0"/>
              <w:rPr>
                <w:sz w:val="18"/>
                <w:szCs w:val="18"/>
                <w:color w:val="auto"/>
              </w:rPr>
            </w:pPr>
          </w:p>
        </w:tc>
        <w:tc>
          <w:tcPr>
            <w:tcW w:w="7880" w:type="dxa"/>
            <w:vAlign w:val="bottom"/>
            <w:tcBorders>
              <w:right w:val="single" w:sz="8" w:color="auto"/>
            </w:tcBorders>
          </w:tcPr>
          <w:p>
            <w:pPr>
              <w:ind w:left="2260"/>
              <w:spacing w:after="0"/>
              <w:rPr>
                <w:sz w:val="20"/>
                <w:szCs w:val="20"/>
                <w:color w:val="auto"/>
              </w:rPr>
            </w:pPr>
            <w:r>
              <w:rPr>
                <w:rFonts w:ascii="Arial" w:cs="Arial" w:eastAsia="Arial" w:hAnsi="Arial"/>
                <w:sz w:val="18"/>
                <w:szCs w:val="18"/>
                <w:color w:val="auto"/>
                <w:w w:val="98"/>
              </w:rPr>
              <w:t>Class A ordinary shares during the 20 trading day period starting on the</w:t>
            </w:r>
          </w:p>
        </w:tc>
      </w:tr>
      <w:tr>
        <w:trPr>
          <w:trHeight w:val="216"/>
        </w:trPr>
        <w:tc>
          <w:tcPr>
            <w:tcW w:w="3360" w:type="dxa"/>
            <w:vAlign w:val="bottom"/>
            <w:tcBorders>
              <w:left w:val="single" w:sz="8" w:color="auto"/>
            </w:tcBorders>
          </w:tcPr>
          <w:p>
            <w:pPr>
              <w:spacing w:after="0"/>
              <w:rPr>
                <w:sz w:val="18"/>
                <w:szCs w:val="18"/>
                <w:color w:val="auto"/>
              </w:rPr>
            </w:pPr>
          </w:p>
        </w:tc>
        <w:tc>
          <w:tcPr>
            <w:tcW w:w="7880" w:type="dxa"/>
            <w:vAlign w:val="bottom"/>
            <w:tcBorders>
              <w:right w:val="single" w:sz="8" w:color="auto"/>
            </w:tcBorders>
          </w:tcPr>
          <w:p>
            <w:pPr>
              <w:ind w:left="2260"/>
              <w:spacing w:after="0"/>
              <w:rPr>
                <w:sz w:val="20"/>
                <w:szCs w:val="20"/>
                <w:color w:val="auto"/>
              </w:rPr>
            </w:pPr>
            <w:r>
              <w:rPr>
                <w:rFonts w:ascii="Arial" w:cs="Arial" w:eastAsia="Arial" w:hAnsi="Arial"/>
                <w:sz w:val="18"/>
                <w:szCs w:val="18"/>
                <w:color w:val="auto"/>
                <w:w w:val="96"/>
              </w:rPr>
              <w:t>trading day prior to the day on which we consummate our initial business</w:t>
            </w:r>
          </w:p>
        </w:tc>
      </w:tr>
      <w:tr>
        <w:trPr>
          <w:trHeight w:val="216"/>
        </w:trPr>
        <w:tc>
          <w:tcPr>
            <w:tcW w:w="3360" w:type="dxa"/>
            <w:vAlign w:val="bottom"/>
            <w:tcBorders>
              <w:left w:val="single" w:sz="8" w:color="auto"/>
            </w:tcBorders>
          </w:tcPr>
          <w:p>
            <w:pPr>
              <w:spacing w:after="0"/>
              <w:rPr>
                <w:sz w:val="18"/>
                <w:szCs w:val="18"/>
                <w:color w:val="auto"/>
              </w:rPr>
            </w:pPr>
          </w:p>
        </w:tc>
        <w:tc>
          <w:tcPr>
            <w:tcW w:w="7880" w:type="dxa"/>
            <w:vAlign w:val="bottom"/>
            <w:tcBorders>
              <w:right w:val="single" w:sz="8" w:color="auto"/>
            </w:tcBorders>
          </w:tcPr>
          <w:p>
            <w:pPr>
              <w:ind w:left="2260"/>
              <w:spacing w:after="0"/>
              <w:rPr>
                <w:sz w:val="20"/>
                <w:szCs w:val="20"/>
                <w:color w:val="auto"/>
              </w:rPr>
            </w:pPr>
            <w:r>
              <w:rPr>
                <w:rFonts w:ascii="Arial" w:cs="Arial" w:eastAsia="Arial" w:hAnsi="Arial"/>
                <w:sz w:val="18"/>
                <w:szCs w:val="18"/>
                <w:color w:val="auto"/>
                <w:w w:val="92"/>
              </w:rPr>
              <w:t>combination (such price, the “Market Value”) is below $9.20 per share, then</w:t>
            </w:r>
          </w:p>
        </w:tc>
      </w:tr>
      <w:tr>
        <w:trPr>
          <w:trHeight w:val="216"/>
        </w:trPr>
        <w:tc>
          <w:tcPr>
            <w:tcW w:w="3360" w:type="dxa"/>
            <w:vAlign w:val="bottom"/>
            <w:tcBorders>
              <w:left w:val="single" w:sz="8" w:color="auto"/>
            </w:tcBorders>
          </w:tcPr>
          <w:p>
            <w:pPr>
              <w:spacing w:after="0"/>
              <w:rPr>
                <w:sz w:val="18"/>
                <w:szCs w:val="18"/>
                <w:color w:val="auto"/>
              </w:rPr>
            </w:pPr>
          </w:p>
        </w:tc>
        <w:tc>
          <w:tcPr>
            <w:tcW w:w="7880" w:type="dxa"/>
            <w:vAlign w:val="bottom"/>
            <w:tcBorders>
              <w:right w:val="single" w:sz="8" w:color="auto"/>
            </w:tcBorders>
          </w:tcPr>
          <w:p>
            <w:pPr>
              <w:ind w:left="2260"/>
              <w:spacing w:after="0"/>
              <w:rPr>
                <w:sz w:val="20"/>
                <w:szCs w:val="20"/>
                <w:color w:val="auto"/>
              </w:rPr>
            </w:pPr>
            <w:r>
              <w:rPr>
                <w:rFonts w:ascii="Arial" w:cs="Arial" w:eastAsia="Arial" w:hAnsi="Arial"/>
                <w:sz w:val="18"/>
                <w:szCs w:val="18"/>
                <w:color w:val="auto"/>
                <w:w w:val="92"/>
              </w:rPr>
              <w:t>the exercise price of the warrants will be adjusted (to the nearest cent) to be</w:t>
            </w:r>
          </w:p>
        </w:tc>
      </w:tr>
      <w:tr>
        <w:trPr>
          <w:trHeight w:val="216"/>
        </w:trPr>
        <w:tc>
          <w:tcPr>
            <w:tcW w:w="3360" w:type="dxa"/>
            <w:vAlign w:val="bottom"/>
            <w:tcBorders>
              <w:left w:val="single" w:sz="8" w:color="auto"/>
            </w:tcBorders>
          </w:tcPr>
          <w:p>
            <w:pPr>
              <w:spacing w:after="0"/>
              <w:rPr>
                <w:sz w:val="18"/>
                <w:szCs w:val="18"/>
                <w:color w:val="auto"/>
              </w:rPr>
            </w:pPr>
          </w:p>
        </w:tc>
        <w:tc>
          <w:tcPr>
            <w:tcW w:w="7880" w:type="dxa"/>
            <w:vAlign w:val="bottom"/>
            <w:tcBorders>
              <w:right w:val="single" w:sz="8" w:color="auto"/>
            </w:tcBorders>
          </w:tcPr>
          <w:p>
            <w:pPr>
              <w:ind w:left="2260"/>
              <w:spacing w:after="0"/>
              <w:rPr>
                <w:sz w:val="20"/>
                <w:szCs w:val="20"/>
                <w:color w:val="auto"/>
              </w:rPr>
            </w:pPr>
            <w:r>
              <w:rPr>
                <w:rFonts w:ascii="Arial" w:cs="Arial" w:eastAsia="Arial" w:hAnsi="Arial"/>
                <w:sz w:val="18"/>
                <w:szCs w:val="18"/>
                <w:color w:val="auto"/>
                <w:w w:val="99"/>
              </w:rPr>
              <w:t>equal to 115% of the higher of the Market Value and the Newly Issued</w:t>
            </w:r>
          </w:p>
        </w:tc>
      </w:tr>
      <w:tr>
        <w:trPr>
          <w:trHeight w:val="216"/>
        </w:trPr>
        <w:tc>
          <w:tcPr>
            <w:tcW w:w="3360" w:type="dxa"/>
            <w:vAlign w:val="bottom"/>
            <w:tcBorders>
              <w:left w:val="single" w:sz="8" w:color="auto"/>
            </w:tcBorders>
          </w:tcPr>
          <w:p>
            <w:pPr>
              <w:spacing w:after="0"/>
              <w:rPr>
                <w:sz w:val="18"/>
                <w:szCs w:val="18"/>
                <w:color w:val="auto"/>
              </w:rPr>
            </w:pPr>
          </w:p>
        </w:tc>
        <w:tc>
          <w:tcPr>
            <w:tcW w:w="7880" w:type="dxa"/>
            <w:vAlign w:val="bottom"/>
            <w:tcBorders>
              <w:right w:val="single" w:sz="8" w:color="auto"/>
            </w:tcBorders>
          </w:tcPr>
          <w:p>
            <w:pPr>
              <w:ind w:left="2260"/>
              <w:spacing w:after="0"/>
              <w:rPr>
                <w:sz w:val="20"/>
                <w:szCs w:val="20"/>
                <w:color w:val="auto"/>
              </w:rPr>
            </w:pPr>
            <w:r>
              <w:rPr>
                <w:rFonts w:ascii="Arial" w:cs="Arial" w:eastAsia="Arial" w:hAnsi="Arial"/>
                <w:sz w:val="18"/>
                <w:szCs w:val="18"/>
                <w:color w:val="auto"/>
              </w:rPr>
              <w:t>Price, and the $10.00 and $18.00 per share redemption trigger prices</w:t>
            </w:r>
          </w:p>
        </w:tc>
      </w:tr>
      <w:tr>
        <w:trPr>
          <w:trHeight w:val="216"/>
        </w:trPr>
        <w:tc>
          <w:tcPr>
            <w:tcW w:w="3360" w:type="dxa"/>
            <w:vAlign w:val="bottom"/>
            <w:tcBorders>
              <w:left w:val="single" w:sz="8" w:color="auto"/>
            </w:tcBorders>
          </w:tcPr>
          <w:p>
            <w:pPr>
              <w:spacing w:after="0"/>
              <w:rPr>
                <w:sz w:val="18"/>
                <w:szCs w:val="18"/>
                <w:color w:val="auto"/>
              </w:rPr>
            </w:pPr>
          </w:p>
        </w:tc>
        <w:tc>
          <w:tcPr>
            <w:tcW w:w="7880" w:type="dxa"/>
            <w:vAlign w:val="bottom"/>
            <w:tcBorders>
              <w:right w:val="single" w:sz="8" w:color="auto"/>
            </w:tcBorders>
          </w:tcPr>
          <w:p>
            <w:pPr>
              <w:ind w:left="2260"/>
              <w:spacing w:after="0"/>
              <w:rPr>
                <w:sz w:val="20"/>
                <w:szCs w:val="20"/>
                <w:color w:val="auto"/>
              </w:rPr>
            </w:pPr>
            <w:r>
              <w:rPr>
                <w:rFonts w:ascii="Arial" w:cs="Arial" w:eastAsia="Arial" w:hAnsi="Arial"/>
                <w:sz w:val="18"/>
                <w:szCs w:val="18"/>
                <w:color w:val="auto"/>
                <w:w w:val="93"/>
              </w:rPr>
              <w:t>described below adjacent to the caption “Redemption of warrants when the</w:t>
            </w:r>
          </w:p>
        </w:tc>
      </w:tr>
      <w:tr>
        <w:trPr>
          <w:trHeight w:val="216"/>
        </w:trPr>
        <w:tc>
          <w:tcPr>
            <w:tcW w:w="3360" w:type="dxa"/>
            <w:vAlign w:val="bottom"/>
            <w:tcBorders>
              <w:left w:val="single" w:sz="8" w:color="auto"/>
            </w:tcBorders>
          </w:tcPr>
          <w:p>
            <w:pPr>
              <w:spacing w:after="0"/>
              <w:rPr>
                <w:sz w:val="18"/>
                <w:szCs w:val="18"/>
                <w:color w:val="auto"/>
              </w:rPr>
            </w:pPr>
          </w:p>
        </w:tc>
        <w:tc>
          <w:tcPr>
            <w:tcW w:w="7880" w:type="dxa"/>
            <w:vAlign w:val="bottom"/>
            <w:tcBorders>
              <w:right w:val="single" w:sz="8" w:color="auto"/>
            </w:tcBorders>
          </w:tcPr>
          <w:p>
            <w:pPr>
              <w:ind w:left="2260"/>
              <w:spacing w:after="0"/>
              <w:rPr>
                <w:sz w:val="20"/>
                <w:szCs w:val="20"/>
                <w:color w:val="auto"/>
              </w:rPr>
            </w:pPr>
            <w:r>
              <w:rPr>
                <w:rFonts w:ascii="Arial" w:cs="Arial" w:eastAsia="Arial" w:hAnsi="Arial"/>
                <w:sz w:val="18"/>
                <w:szCs w:val="18"/>
                <w:color w:val="auto"/>
              </w:rPr>
              <w:t>price per Class A ordinary share equals or exceeds $10.00” and</w:t>
            </w:r>
          </w:p>
        </w:tc>
      </w:tr>
      <w:tr>
        <w:trPr>
          <w:trHeight w:val="216"/>
        </w:trPr>
        <w:tc>
          <w:tcPr>
            <w:tcW w:w="3360" w:type="dxa"/>
            <w:vAlign w:val="bottom"/>
            <w:tcBorders>
              <w:left w:val="single" w:sz="8" w:color="auto"/>
            </w:tcBorders>
          </w:tcPr>
          <w:p>
            <w:pPr>
              <w:spacing w:after="0"/>
              <w:rPr>
                <w:sz w:val="18"/>
                <w:szCs w:val="18"/>
                <w:color w:val="auto"/>
              </w:rPr>
            </w:pPr>
          </w:p>
        </w:tc>
        <w:tc>
          <w:tcPr>
            <w:tcW w:w="7880" w:type="dxa"/>
            <w:vAlign w:val="bottom"/>
            <w:tcBorders>
              <w:right w:val="single" w:sz="8" w:color="auto"/>
            </w:tcBorders>
          </w:tcPr>
          <w:p>
            <w:pPr>
              <w:ind w:left="2260"/>
              <w:spacing w:after="0"/>
              <w:rPr>
                <w:sz w:val="20"/>
                <w:szCs w:val="20"/>
                <w:color w:val="auto"/>
              </w:rPr>
            </w:pPr>
            <w:r>
              <w:rPr>
                <w:rFonts w:ascii="Arial" w:cs="Arial" w:eastAsia="Arial" w:hAnsi="Arial"/>
                <w:sz w:val="18"/>
                <w:szCs w:val="18"/>
                <w:color w:val="auto"/>
                <w:w w:val="93"/>
              </w:rPr>
              <w:t>“Redemption of warrants when the price per Class A ordinary share equals</w:t>
            </w:r>
          </w:p>
        </w:tc>
      </w:tr>
      <w:tr>
        <w:trPr>
          <w:trHeight w:val="216"/>
        </w:trPr>
        <w:tc>
          <w:tcPr>
            <w:tcW w:w="3360" w:type="dxa"/>
            <w:vAlign w:val="bottom"/>
            <w:tcBorders>
              <w:left w:val="single" w:sz="8" w:color="auto"/>
            </w:tcBorders>
          </w:tcPr>
          <w:p>
            <w:pPr>
              <w:spacing w:after="0"/>
              <w:rPr>
                <w:sz w:val="18"/>
                <w:szCs w:val="18"/>
                <w:color w:val="auto"/>
              </w:rPr>
            </w:pPr>
          </w:p>
        </w:tc>
        <w:tc>
          <w:tcPr>
            <w:tcW w:w="7880" w:type="dxa"/>
            <w:vAlign w:val="bottom"/>
            <w:tcBorders>
              <w:right w:val="single" w:sz="8" w:color="auto"/>
            </w:tcBorders>
          </w:tcPr>
          <w:p>
            <w:pPr>
              <w:ind w:left="2260"/>
              <w:spacing w:after="0"/>
              <w:rPr>
                <w:sz w:val="20"/>
                <w:szCs w:val="20"/>
                <w:color w:val="auto"/>
              </w:rPr>
            </w:pPr>
            <w:r>
              <w:rPr>
                <w:rFonts w:ascii="Arial" w:cs="Arial" w:eastAsia="Arial" w:hAnsi="Arial"/>
                <w:sz w:val="18"/>
                <w:szCs w:val="18"/>
                <w:color w:val="auto"/>
                <w:w w:val="90"/>
              </w:rPr>
              <w:t>or exceeds $18.00” will be adjusted (to the nearest cent) to be equal to 100%</w:t>
            </w:r>
          </w:p>
        </w:tc>
      </w:tr>
      <w:tr>
        <w:trPr>
          <w:trHeight w:val="216"/>
        </w:trPr>
        <w:tc>
          <w:tcPr>
            <w:tcW w:w="3360" w:type="dxa"/>
            <w:vAlign w:val="bottom"/>
            <w:tcBorders>
              <w:left w:val="single" w:sz="8" w:color="auto"/>
            </w:tcBorders>
          </w:tcPr>
          <w:p>
            <w:pPr>
              <w:spacing w:after="0"/>
              <w:rPr>
                <w:sz w:val="18"/>
                <w:szCs w:val="18"/>
                <w:color w:val="auto"/>
              </w:rPr>
            </w:pPr>
          </w:p>
        </w:tc>
        <w:tc>
          <w:tcPr>
            <w:tcW w:w="7880" w:type="dxa"/>
            <w:vAlign w:val="bottom"/>
            <w:tcBorders>
              <w:right w:val="single" w:sz="8" w:color="auto"/>
            </w:tcBorders>
          </w:tcPr>
          <w:p>
            <w:pPr>
              <w:ind w:left="2260"/>
              <w:spacing w:after="0"/>
              <w:rPr>
                <w:sz w:val="20"/>
                <w:szCs w:val="20"/>
                <w:color w:val="auto"/>
              </w:rPr>
            </w:pPr>
            <w:r>
              <w:rPr>
                <w:rFonts w:ascii="Arial" w:cs="Arial" w:eastAsia="Arial" w:hAnsi="Arial"/>
                <w:sz w:val="18"/>
                <w:szCs w:val="18"/>
                <w:color w:val="auto"/>
                <w:w w:val="96"/>
              </w:rPr>
              <w:t>and 180% of the higher of the Market Value and the Newly Issued Price,</w:t>
            </w:r>
          </w:p>
        </w:tc>
      </w:tr>
      <w:tr>
        <w:trPr>
          <w:trHeight w:val="230"/>
        </w:trPr>
        <w:tc>
          <w:tcPr>
            <w:tcW w:w="3360" w:type="dxa"/>
            <w:vAlign w:val="bottom"/>
            <w:tcBorders>
              <w:left w:val="single" w:sz="8" w:color="auto"/>
            </w:tcBorders>
          </w:tcPr>
          <w:p>
            <w:pPr>
              <w:spacing w:after="0"/>
              <w:rPr>
                <w:sz w:val="20"/>
                <w:szCs w:val="20"/>
                <w:color w:val="auto"/>
              </w:rPr>
            </w:pPr>
          </w:p>
        </w:tc>
        <w:tc>
          <w:tcPr>
            <w:tcW w:w="7880" w:type="dxa"/>
            <w:vAlign w:val="bottom"/>
            <w:tcBorders>
              <w:right w:val="single" w:sz="8" w:color="auto"/>
            </w:tcBorders>
          </w:tcPr>
          <w:p>
            <w:pPr>
              <w:ind w:left="2260"/>
              <w:spacing w:after="0"/>
              <w:rPr>
                <w:sz w:val="20"/>
                <w:szCs w:val="20"/>
                <w:color w:val="auto"/>
              </w:rPr>
            </w:pPr>
            <w:r>
              <w:rPr>
                <w:rFonts w:ascii="Arial" w:cs="Arial" w:eastAsia="Arial" w:hAnsi="Arial"/>
                <w:sz w:val="18"/>
                <w:szCs w:val="18"/>
                <w:color w:val="auto"/>
              </w:rPr>
              <w:t>respectively.</w:t>
            </w:r>
          </w:p>
        </w:tc>
      </w:tr>
      <w:tr>
        <w:trPr>
          <w:trHeight w:val="378"/>
        </w:trPr>
        <w:tc>
          <w:tcPr>
            <w:tcW w:w="3360" w:type="dxa"/>
            <w:vAlign w:val="bottom"/>
            <w:tcBorders>
              <w:left w:val="single" w:sz="8" w:color="auto"/>
            </w:tcBorders>
          </w:tcPr>
          <w:p>
            <w:pPr>
              <w:ind w:left="100"/>
              <w:spacing w:after="0"/>
              <w:rPr>
                <w:sz w:val="20"/>
                <w:szCs w:val="20"/>
                <w:color w:val="auto"/>
              </w:rPr>
            </w:pPr>
            <w:r>
              <w:rPr>
                <w:rFonts w:ascii="Arial" w:cs="Arial" w:eastAsia="Arial" w:hAnsi="Arial"/>
                <w:sz w:val="18"/>
                <w:szCs w:val="18"/>
                <w:color w:val="auto"/>
              </w:rPr>
              <w:t>Exercise period</w:t>
            </w:r>
          </w:p>
        </w:tc>
        <w:tc>
          <w:tcPr>
            <w:tcW w:w="7880" w:type="dxa"/>
            <w:vAlign w:val="bottom"/>
            <w:tcBorders>
              <w:right w:val="single" w:sz="8" w:color="auto"/>
            </w:tcBorders>
          </w:tcPr>
          <w:p>
            <w:pPr>
              <w:ind w:left="2260"/>
              <w:spacing w:after="0"/>
              <w:rPr>
                <w:sz w:val="20"/>
                <w:szCs w:val="20"/>
                <w:color w:val="auto"/>
              </w:rPr>
            </w:pPr>
            <w:r>
              <w:rPr>
                <w:rFonts w:ascii="Arial" w:cs="Arial" w:eastAsia="Arial" w:hAnsi="Arial"/>
                <w:sz w:val="18"/>
                <w:szCs w:val="18"/>
                <w:color w:val="auto"/>
              </w:rPr>
              <w:t>The warrants will become exercisable on the later of:</w:t>
            </w:r>
          </w:p>
        </w:tc>
      </w:tr>
      <w:tr>
        <w:trPr>
          <w:trHeight w:val="378"/>
        </w:trPr>
        <w:tc>
          <w:tcPr>
            <w:tcW w:w="3360" w:type="dxa"/>
            <w:vAlign w:val="bottom"/>
            <w:tcBorders>
              <w:left w:val="single" w:sz="8" w:color="auto"/>
            </w:tcBorders>
          </w:tcPr>
          <w:p>
            <w:pPr>
              <w:spacing w:after="0"/>
              <w:rPr>
                <w:sz w:val="24"/>
                <w:szCs w:val="24"/>
                <w:color w:val="auto"/>
              </w:rPr>
            </w:pPr>
          </w:p>
        </w:tc>
        <w:tc>
          <w:tcPr>
            <w:tcW w:w="7880" w:type="dxa"/>
            <w:vAlign w:val="bottom"/>
            <w:tcBorders>
              <w:right w:val="single" w:sz="8" w:color="auto"/>
            </w:tcBorders>
          </w:tcPr>
          <w:p>
            <w:pPr>
              <w:ind w:left="2260"/>
              <w:spacing w:after="0"/>
              <w:rPr>
                <w:sz w:val="20"/>
                <w:szCs w:val="20"/>
                <w:color w:val="auto"/>
              </w:rPr>
            </w:pPr>
            <w:r>
              <w:rPr>
                <w:rFonts w:ascii="Arial" w:cs="Arial" w:eastAsia="Arial" w:hAnsi="Arial"/>
                <w:sz w:val="18"/>
                <w:szCs w:val="18"/>
                <w:color w:val="auto"/>
              </w:rPr>
              <w:t>· 30 days after the completion of our initial business combination, and</w:t>
            </w:r>
          </w:p>
        </w:tc>
      </w:tr>
      <w:tr>
        <w:trPr>
          <w:trHeight w:val="378"/>
        </w:trPr>
        <w:tc>
          <w:tcPr>
            <w:tcW w:w="3360" w:type="dxa"/>
            <w:vAlign w:val="bottom"/>
            <w:tcBorders>
              <w:left w:val="single" w:sz="8" w:color="auto"/>
            </w:tcBorders>
          </w:tcPr>
          <w:p>
            <w:pPr>
              <w:spacing w:after="0"/>
              <w:rPr>
                <w:sz w:val="24"/>
                <w:szCs w:val="24"/>
                <w:color w:val="auto"/>
              </w:rPr>
            </w:pPr>
          </w:p>
        </w:tc>
        <w:tc>
          <w:tcPr>
            <w:tcW w:w="7880" w:type="dxa"/>
            <w:vAlign w:val="bottom"/>
            <w:tcBorders>
              <w:right w:val="single" w:sz="8" w:color="auto"/>
            </w:tcBorders>
          </w:tcPr>
          <w:p>
            <w:pPr>
              <w:ind w:left="2260"/>
              <w:spacing w:after="0"/>
              <w:rPr>
                <w:sz w:val="20"/>
                <w:szCs w:val="20"/>
                <w:color w:val="auto"/>
              </w:rPr>
            </w:pPr>
            <w:r>
              <w:rPr>
                <w:rFonts w:ascii="Arial" w:cs="Arial" w:eastAsia="Arial" w:hAnsi="Arial"/>
                <w:sz w:val="18"/>
                <w:szCs w:val="18"/>
                <w:color w:val="auto"/>
              </w:rPr>
              <w:t>· 12 months from the closing of this offering;</w:t>
            </w:r>
          </w:p>
        </w:tc>
      </w:tr>
      <w:tr>
        <w:trPr>
          <w:trHeight w:val="364"/>
        </w:trPr>
        <w:tc>
          <w:tcPr>
            <w:tcW w:w="3360" w:type="dxa"/>
            <w:vAlign w:val="bottom"/>
            <w:tcBorders>
              <w:left w:val="single" w:sz="8" w:color="auto"/>
            </w:tcBorders>
          </w:tcPr>
          <w:p>
            <w:pPr>
              <w:spacing w:after="0"/>
              <w:rPr>
                <w:sz w:val="24"/>
                <w:szCs w:val="24"/>
                <w:color w:val="auto"/>
              </w:rPr>
            </w:pPr>
          </w:p>
        </w:tc>
        <w:tc>
          <w:tcPr>
            <w:tcW w:w="7880" w:type="dxa"/>
            <w:vAlign w:val="bottom"/>
            <w:tcBorders>
              <w:right w:val="single" w:sz="8" w:color="auto"/>
            </w:tcBorders>
          </w:tcPr>
          <w:p>
            <w:pPr>
              <w:ind w:left="2260"/>
              <w:spacing w:after="0"/>
              <w:rPr>
                <w:sz w:val="20"/>
                <w:szCs w:val="20"/>
                <w:color w:val="auto"/>
              </w:rPr>
            </w:pPr>
            <w:r>
              <w:rPr>
                <w:rFonts w:ascii="Arial" w:cs="Arial" w:eastAsia="Arial" w:hAnsi="Arial"/>
                <w:sz w:val="18"/>
                <w:szCs w:val="18"/>
                <w:color w:val="auto"/>
                <w:w w:val="98"/>
              </w:rPr>
              <w:t>provided, in each case, that we have an effective registration statement</w:t>
            </w:r>
          </w:p>
        </w:tc>
      </w:tr>
      <w:tr>
        <w:trPr>
          <w:trHeight w:val="216"/>
        </w:trPr>
        <w:tc>
          <w:tcPr>
            <w:tcW w:w="3360" w:type="dxa"/>
            <w:vAlign w:val="bottom"/>
            <w:tcBorders>
              <w:left w:val="single" w:sz="8" w:color="auto"/>
            </w:tcBorders>
          </w:tcPr>
          <w:p>
            <w:pPr>
              <w:spacing w:after="0"/>
              <w:rPr>
                <w:sz w:val="18"/>
                <w:szCs w:val="18"/>
                <w:color w:val="auto"/>
              </w:rPr>
            </w:pPr>
          </w:p>
        </w:tc>
        <w:tc>
          <w:tcPr>
            <w:tcW w:w="7880" w:type="dxa"/>
            <w:vAlign w:val="bottom"/>
            <w:tcBorders>
              <w:right w:val="single" w:sz="8" w:color="auto"/>
            </w:tcBorders>
          </w:tcPr>
          <w:p>
            <w:pPr>
              <w:ind w:left="2260"/>
              <w:spacing w:after="0"/>
              <w:rPr>
                <w:sz w:val="20"/>
                <w:szCs w:val="20"/>
                <w:color w:val="auto"/>
              </w:rPr>
            </w:pPr>
            <w:r>
              <w:rPr>
                <w:rFonts w:ascii="Arial" w:cs="Arial" w:eastAsia="Arial" w:hAnsi="Arial"/>
                <w:sz w:val="18"/>
                <w:szCs w:val="18"/>
                <w:color w:val="auto"/>
              </w:rPr>
              <w:t>under the Securities Act covering the issuance of the Class A ordinary</w:t>
            </w:r>
          </w:p>
        </w:tc>
      </w:tr>
      <w:tr>
        <w:trPr>
          <w:trHeight w:val="216"/>
        </w:trPr>
        <w:tc>
          <w:tcPr>
            <w:tcW w:w="3360" w:type="dxa"/>
            <w:vAlign w:val="bottom"/>
            <w:tcBorders>
              <w:left w:val="single" w:sz="8" w:color="auto"/>
            </w:tcBorders>
          </w:tcPr>
          <w:p>
            <w:pPr>
              <w:spacing w:after="0"/>
              <w:rPr>
                <w:sz w:val="18"/>
                <w:szCs w:val="18"/>
                <w:color w:val="auto"/>
              </w:rPr>
            </w:pPr>
          </w:p>
        </w:tc>
        <w:tc>
          <w:tcPr>
            <w:tcW w:w="7880" w:type="dxa"/>
            <w:vAlign w:val="bottom"/>
            <w:tcBorders>
              <w:right w:val="single" w:sz="8" w:color="auto"/>
            </w:tcBorders>
          </w:tcPr>
          <w:p>
            <w:pPr>
              <w:ind w:left="2260"/>
              <w:spacing w:after="0"/>
              <w:rPr>
                <w:sz w:val="20"/>
                <w:szCs w:val="20"/>
                <w:color w:val="auto"/>
              </w:rPr>
            </w:pPr>
            <w:r>
              <w:rPr>
                <w:rFonts w:ascii="Arial" w:cs="Arial" w:eastAsia="Arial" w:hAnsi="Arial"/>
                <w:sz w:val="18"/>
                <w:szCs w:val="18"/>
                <w:color w:val="auto"/>
                <w:w w:val="97"/>
              </w:rPr>
              <w:t>shares issuable upon exercise of the warrants and a current prospectus</w:t>
            </w:r>
          </w:p>
        </w:tc>
      </w:tr>
      <w:tr>
        <w:trPr>
          <w:trHeight w:val="216"/>
        </w:trPr>
        <w:tc>
          <w:tcPr>
            <w:tcW w:w="3360" w:type="dxa"/>
            <w:vAlign w:val="bottom"/>
            <w:tcBorders>
              <w:left w:val="single" w:sz="8" w:color="auto"/>
            </w:tcBorders>
          </w:tcPr>
          <w:p>
            <w:pPr>
              <w:spacing w:after="0"/>
              <w:rPr>
                <w:sz w:val="18"/>
                <w:szCs w:val="18"/>
                <w:color w:val="auto"/>
              </w:rPr>
            </w:pPr>
          </w:p>
        </w:tc>
        <w:tc>
          <w:tcPr>
            <w:tcW w:w="7880" w:type="dxa"/>
            <w:vAlign w:val="bottom"/>
            <w:tcBorders>
              <w:right w:val="single" w:sz="8" w:color="auto"/>
            </w:tcBorders>
          </w:tcPr>
          <w:p>
            <w:pPr>
              <w:ind w:left="2260"/>
              <w:spacing w:after="0"/>
              <w:rPr>
                <w:sz w:val="20"/>
                <w:szCs w:val="20"/>
                <w:color w:val="auto"/>
              </w:rPr>
            </w:pPr>
            <w:r>
              <w:rPr>
                <w:rFonts w:ascii="Arial" w:cs="Arial" w:eastAsia="Arial" w:hAnsi="Arial"/>
                <w:sz w:val="18"/>
                <w:szCs w:val="18"/>
                <w:color w:val="auto"/>
                <w:w w:val="98"/>
              </w:rPr>
              <w:t>relating to them is available and such shares are registered, qualified or</w:t>
            </w:r>
          </w:p>
        </w:tc>
      </w:tr>
      <w:tr>
        <w:trPr>
          <w:trHeight w:val="230"/>
        </w:trPr>
        <w:tc>
          <w:tcPr>
            <w:tcW w:w="3360" w:type="dxa"/>
            <w:vAlign w:val="bottom"/>
            <w:tcBorders>
              <w:left w:val="single" w:sz="8" w:color="auto"/>
            </w:tcBorders>
          </w:tcPr>
          <w:p>
            <w:pPr>
              <w:spacing w:after="0"/>
              <w:rPr>
                <w:sz w:val="20"/>
                <w:szCs w:val="20"/>
                <w:color w:val="auto"/>
              </w:rPr>
            </w:pPr>
          </w:p>
        </w:tc>
        <w:tc>
          <w:tcPr>
            <w:tcW w:w="7880" w:type="dxa"/>
            <w:vAlign w:val="bottom"/>
            <w:tcBorders>
              <w:right w:val="single" w:sz="8" w:color="auto"/>
            </w:tcBorders>
          </w:tcPr>
          <w:p>
            <w:pPr>
              <w:ind w:left="2260"/>
              <w:spacing w:after="0"/>
              <w:rPr>
                <w:sz w:val="20"/>
                <w:szCs w:val="20"/>
                <w:color w:val="auto"/>
              </w:rPr>
            </w:pPr>
            <w:r>
              <w:rPr>
                <w:rFonts w:ascii="Arial" w:cs="Arial" w:eastAsia="Arial" w:hAnsi="Arial"/>
                <w:sz w:val="18"/>
                <w:szCs w:val="18"/>
                <w:color w:val="auto"/>
              </w:rPr>
              <w:t>exempt from registration under the securities, or blue sky, laws of</w:t>
            </w:r>
          </w:p>
        </w:tc>
      </w:tr>
      <w:tr>
        <w:trPr>
          <w:trHeight w:val="361"/>
        </w:trPr>
        <w:tc>
          <w:tcPr>
            <w:tcW w:w="3360" w:type="dxa"/>
            <w:vAlign w:val="bottom"/>
            <w:tcBorders>
              <w:left w:val="single" w:sz="8" w:color="auto"/>
              <w:bottom w:val="single" w:sz="8" w:color="auto"/>
            </w:tcBorders>
          </w:tcPr>
          <w:p>
            <w:pPr>
              <w:spacing w:after="0"/>
              <w:rPr>
                <w:sz w:val="24"/>
                <w:szCs w:val="24"/>
                <w:color w:val="auto"/>
              </w:rPr>
            </w:pPr>
          </w:p>
        </w:tc>
        <w:tc>
          <w:tcPr>
            <w:tcW w:w="7880" w:type="dxa"/>
            <w:vAlign w:val="bottom"/>
            <w:tcBorders>
              <w:bottom w:val="single" w:sz="8" w:color="auto"/>
              <w:right w:val="single" w:sz="8" w:color="auto"/>
            </w:tcBorders>
          </w:tcPr>
          <w:p>
            <w:pPr>
              <w:spacing w:after="0"/>
              <w:rPr>
                <w:sz w:val="24"/>
                <w:szCs w:val="24"/>
                <w:color w:val="auto"/>
              </w:rPr>
            </w:pPr>
          </w:p>
        </w:tc>
      </w:tr>
      <w:tr>
        <w:trPr>
          <w:trHeight w:val="328"/>
        </w:trPr>
        <w:tc>
          <w:tcPr>
            <w:tcW w:w="3360" w:type="dxa"/>
            <w:vAlign w:val="bottom"/>
            <w:tcBorders>
              <w:bottom w:val="single" w:sz="8" w:color="auto"/>
            </w:tcBorders>
          </w:tcPr>
          <w:p>
            <w:pPr>
              <w:spacing w:after="0"/>
              <w:rPr>
                <w:sz w:val="24"/>
                <w:szCs w:val="24"/>
                <w:color w:val="auto"/>
              </w:rPr>
            </w:pPr>
          </w:p>
        </w:tc>
        <w:tc>
          <w:tcPr>
            <w:tcW w:w="7880" w:type="dxa"/>
            <w:vAlign w:val="bottom"/>
            <w:tcBorders>
              <w:bottom w:val="single" w:sz="8" w:color="auto"/>
            </w:tcBorders>
          </w:tcPr>
          <w:p>
            <w:pPr>
              <w:ind w:left="2160"/>
              <w:spacing w:after="0"/>
              <w:rPr>
                <w:sz w:val="20"/>
                <w:szCs w:val="20"/>
                <w:color w:val="auto"/>
              </w:rPr>
            </w:pPr>
            <w:r>
              <w:rPr>
                <w:rFonts w:ascii="Arial" w:cs="Arial" w:eastAsia="Arial" w:hAnsi="Arial"/>
                <w:sz w:val="18"/>
                <w:szCs w:val="18"/>
                <w:color w:val="auto"/>
              </w:rPr>
              <w:t>12</w:t>
            </w:r>
          </w:p>
        </w:tc>
      </w:tr>
    </w:tbl>
    <w:p>
      <w:pPr>
        <w:sectPr>
          <w:pgSz w:w="11900" w:h="16838" w:orient="portrait"/>
          <w:cols w:equalWidth="0" w:num="1">
            <w:col w:w="11240"/>
          </w:cols>
          <w:pgMar w:left="320" w:top="575" w:right="339" w:bottom="1440" w:gutter="0" w:footer="0" w:header="0"/>
        </w:sectPr>
      </w:pPr>
    </w:p>
    <w:bookmarkStart w:id="17" w:name="page18"/>
    <w:bookmarkEnd w:id="17"/>
    <w:p>
      <w:pPr>
        <w:ind w:left="4500" w:right="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206375</wp:posOffset>
            </wp:positionH>
            <wp:positionV relativeFrom="page">
              <wp:posOffset>378460</wp:posOffset>
            </wp:positionV>
            <wp:extent cx="7136130" cy="57734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6130" cy="5773420"/>
                    </a:xfrm>
                    <a:prstGeom prst="rect">
                      <a:avLst/>
                    </a:prstGeom>
                    <a:noFill/>
                  </pic:spPr>
                </pic:pic>
              </a:graphicData>
            </a:graphic>
          </wp:anchor>
        </w:drawing>
        <w:t>the state of residence of the holder (or we permit holders to exercise their warrants on a cashless basis under the circumstances specified in the warrant agreement). If and when the warrants become redeemable by us, we may exercise our redemption right even if we are unable to register or qualify the underlying securities for sale under all applicable state securities laws.</w:t>
      </w:r>
    </w:p>
    <w:p>
      <w:pPr>
        <w:spacing w:after="0" w:line="138" w:lineRule="exact"/>
        <w:rPr>
          <w:sz w:val="20"/>
          <w:szCs w:val="20"/>
          <w:color w:val="auto"/>
        </w:rPr>
      </w:pPr>
    </w:p>
    <w:p>
      <w:pPr>
        <w:ind w:left="4500"/>
        <w:spacing w:after="0" w:line="284" w:lineRule="auto"/>
        <w:rPr>
          <w:sz w:val="20"/>
          <w:szCs w:val="20"/>
          <w:color w:val="auto"/>
        </w:rPr>
      </w:pPr>
      <w:r>
        <w:rPr>
          <w:rFonts w:ascii="Arial" w:cs="Arial" w:eastAsia="Arial" w:hAnsi="Arial"/>
          <w:sz w:val="16"/>
          <w:szCs w:val="16"/>
          <w:color w:val="auto"/>
        </w:rPr>
        <w:t>We are not registering the Class A ordinary shares issuable upon exercise of the warrants at this time. However, we have agreed that as soon as practicable, but in no event later than 15 business days after the closing of our initial business combination, we will use our commercially reasonable efforts to file with the SEC a registration statement covering the issuance of the Class A ordinary shares issuable upon exercise of the warrants, and thereafter will use our commercially reasonable efforts to cause the same to become effective within 60 business days following our initial business combination and to maintain a current prospectus relating to those Class A ordinary shares until the warrants expire or are redeemed, as specified in the warrant agreement. If a registration statement covering the issuance of the Class A ordinary shares issuable upon exercise of the warrants is not effective by the 60th business day after the closing of our initial business combination, warrant holders may, until such time as there is an effective registration statement and during any period when we will have failed to maintain an effective registration statement, exercise warrants on a “cashless basis” in accordance with Section 3(a)(9) of the Securities Act or another exemption. Notwithstanding the above, if our Class A ordinary shares are at the time of any exercise of a warrant not listed on a national securities exchange such that they satisfy the definition of a “covered security” under Section 18(b)(1) of the Securities Act, we may, at our option, require holders of public warrants who exercise their warrants to do so on a “cashless basis” in accordance with Section 3(a)(9) of the Securities Act and, in the event we so elect, we will not be required to file or maintain in effect a registration statement, and in the event we do not so elect, we will use our commercially reasonable efforts to register or qualify the shares under applicable blue sky laws to the extent an exemption is not available.</w:t>
      </w:r>
    </w:p>
    <w:p>
      <w:pPr>
        <w:spacing w:after="0" w:line="116" w:lineRule="exact"/>
        <w:rPr>
          <w:sz w:val="20"/>
          <w:szCs w:val="20"/>
          <w:color w:val="auto"/>
        </w:rPr>
      </w:pPr>
    </w:p>
    <w:p>
      <w:pPr>
        <w:ind w:left="4500" w:right="80"/>
        <w:spacing w:after="0" w:line="301" w:lineRule="auto"/>
        <w:rPr>
          <w:sz w:val="20"/>
          <w:szCs w:val="20"/>
          <w:color w:val="auto"/>
        </w:rPr>
      </w:pPr>
      <w:r>
        <w:rPr>
          <w:rFonts w:ascii="Arial" w:cs="Arial" w:eastAsia="Arial" w:hAnsi="Arial"/>
          <w:sz w:val="16"/>
          <w:szCs w:val="16"/>
          <w:color w:val="auto"/>
        </w:rPr>
        <w:t>The warrants will expire at 5:00 p.m., New York City time, five years after the completion of our initial business combination or earlier upon redemption or liquidation. On the exercise of any warrant, the warrant exercise price will be paid directly to us and not placed in the trust account.</w:t>
      </w:r>
    </w:p>
    <w:p>
      <w:pPr>
        <w:spacing w:after="0" w:line="200" w:lineRule="exact"/>
        <w:rPr>
          <w:sz w:val="20"/>
          <w:szCs w:val="20"/>
          <w:color w:val="auto"/>
        </w:rPr>
      </w:pPr>
    </w:p>
    <w:p>
      <w:pPr>
        <w:spacing w:after="0" w:line="227"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23495</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020"/>
          </w:cols>
          <w:pgMar w:left="1440" w:top="976" w:right="439" w:bottom="1440" w:gutter="0" w:footer="0" w:header="0"/>
        </w:sectPr>
      </w:pPr>
    </w:p>
    <w:bookmarkStart w:id="18" w:name="page19"/>
    <w:bookmarkEnd w:id="18"/>
    <w:p>
      <w:pPr>
        <w:ind w:hanging="161"/>
        <w:spacing w:after="0" w:line="277" w:lineRule="auto"/>
        <w:rPr>
          <w:sz w:val="20"/>
          <w:szCs w:val="20"/>
          <w:color w:val="auto"/>
        </w:rPr>
      </w:pPr>
      <w:r>
        <w:rPr>
          <w:rFonts w:ascii="Arial" w:cs="Arial" w:eastAsia="Arial" w:hAnsi="Arial"/>
          <w:sz w:val="18"/>
          <w:szCs w:val="18"/>
          <w:color w:val="auto"/>
        </w:rPr>
        <w:t>Redemption of warrants when the price per Class A ordinary share equals or exceeds $18.00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hanging="161"/>
        <w:spacing w:after="0" w:line="277" w:lineRule="auto"/>
        <w:rPr>
          <w:sz w:val="20"/>
          <w:szCs w:val="20"/>
          <w:color w:val="auto"/>
        </w:rPr>
      </w:pPr>
      <w:r>
        <w:rPr>
          <w:rFonts w:ascii="Arial" w:cs="Arial" w:eastAsia="Arial" w:hAnsi="Arial"/>
          <w:sz w:val="18"/>
          <w:szCs w:val="18"/>
          <w:color w:val="auto"/>
        </w:rPr>
        <w:t>Redemption of warrants when the price per Class A ordinary share equals or exceeds $10.00</w:t>
      </w:r>
    </w:p>
    <w:p>
      <w:pPr>
        <w:spacing w:after="0" w:line="20" w:lineRule="exact"/>
        <w:rPr>
          <w:sz w:val="20"/>
          <w:szCs w:val="20"/>
          <w:color w:val="auto"/>
        </w:rPr>
      </w:pPr>
      <w:r>
        <w:rPr>
          <w:sz w:val="20"/>
          <w:szCs w:val="20"/>
          <w:color w:val="auto"/>
        </w:rPr>
        <w:br w:type="column"/>
      </w:r>
    </w:p>
    <w:p>
      <w:pPr>
        <w:ind w:left="1" w:right="180"/>
        <w:spacing w:after="0" w:line="263" w:lineRule="auto"/>
        <w:rPr>
          <w:sz w:val="20"/>
          <w:szCs w:val="20"/>
          <w:color w:val="auto"/>
        </w:rPr>
      </w:pPr>
      <w:r>
        <w:rPr>
          <w:rFonts w:ascii="Arial" w:cs="Arial" w:eastAsia="Arial" w:hAnsi="Arial"/>
          <w:sz w:val="18"/>
          <w:szCs w:val="18"/>
          <w:color w:val="auto"/>
        </w:rPr>
        <w:t>Once the warrants become exercisable, we may redeem the outstanding warrants (except as described herein with respect to the private placement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-3564890</wp:posOffset>
            </wp:positionH>
            <wp:positionV relativeFrom="paragraph">
              <wp:posOffset>-673100</wp:posOffset>
            </wp:positionV>
            <wp:extent cx="7136130" cy="58420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6130" cy="5842000"/>
                    </a:xfrm>
                    <a:prstGeom prst="rect">
                      <a:avLst/>
                    </a:prstGeom>
                    <a:noFill/>
                  </pic:spPr>
                </pic:pic>
              </a:graphicData>
            </a:graphic>
          </wp:anchor>
        </w:drawing>
      </w:r>
    </w:p>
    <w:p>
      <w:pPr>
        <w:spacing w:after="0" w:line="110" w:lineRule="exact"/>
        <w:rPr>
          <w:sz w:val="20"/>
          <w:szCs w:val="20"/>
          <w:color w:val="auto"/>
        </w:rPr>
      </w:pPr>
    </w:p>
    <w:p>
      <w:pPr>
        <w:ind w:left="141" w:hanging="141"/>
        <w:spacing w:after="0"/>
        <w:tabs>
          <w:tab w:leader="none" w:pos="141"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171" w:lineRule="exact"/>
        <w:rPr>
          <w:rFonts w:ascii="Arial" w:cs="Arial" w:eastAsia="Arial" w:hAnsi="Arial"/>
          <w:sz w:val="18"/>
          <w:szCs w:val="18"/>
          <w:color w:val="auto"/>
        </w:rPr>
      </w:pPr>
    </w:p>
    <w:p>
      <w:pPr>
        <w:ind w:left="141" w:hanging="141"/>
        <w:spacing w:after="0"/>
        <w:tabs>
          <w:tab w:leader="none" w:pos="141" w:val="left"/>
        </w:tabs>
        <w:numPr>
          <w:ilvl w:val="0"/>
          <w:numId w:val="7"/>
        </w:numPr>
        <w:rPr>
          <w:rFonts w:ascii="Arial" w:cs="Arial" w:eastAsia="Arial" w:hAnsi="Arial"/>
          <w:sz w:val="18"/>
          <w:szCs w:val="18"/>
          <w:color w:val="auto"/>
        </w:rPr>
      </w:pPr>
      <w:r>
        <w:rPr>
          <w:rFonts w:ascii="Arial" w:cs="Arial" w:eastAsia="Arial" w:hAnsi="Arial"/>
          <w:sz w:val="18"/>
          <w:szCs w:val="18"/>
          <w:color w:val="auto"/>
        </w:rPr>
        <w:t>at a price of $0.01 per warrant;</w:t>
      </w:r>
    </w:p>
    <w:p>
      <w:pPr>
        <w:spacing w:after="0" w:line="171" w:lineRule="exact"/>
        <w:rPr>
          <w:rFonts w:ascii="Arial" w:cs="Arial" w:eastAsia="Arial" w:hAnsi="Arial"/>
          <w:sz w:val="18"/>
          <w:szCs w:val="18"/>
          <w:color w:val="auto"/>
        </w:rPr>
      </w:pPr>
    </w:p>
    <w:p>
      <w:pPr>
        <w:ind w:left="161" w:hanging="161"/>
        <w:spacing w:after="0" w:line="277" w:lineRule="auto"/>
        <w:tabs>
          <w:tab w:leader="none" w:pos="133" w:val="left"/>
        </w:tabs>
        <w:numPr>
          <w:ilvl w:val="0"/>
          <w:numId w:val="7"/>
        </w:numPr>
        <w:rPr>
          <w:rFonts w:ascii="Arial" w:cs="Arial" w:eastAsia="Arial" w:hAnsi="Arial"/>
          <w:sz w:val="18"/>
          <w:szCs w:val="18"/>
          <w:color w:val="auto"/>
        </w:rPr>
      </w:pPr>
      <w:r>
        <w:rPr>
          <w:rFonts w:ascii="Arial" w:cs="Arial" w:eastAsia="Arial" w:hAnsi="Arial"/>
          <w:sz w:val="18"/>
          <w:szCs w:val="18"/>
          <w:color w:val="auto"/>
        </w:rPr>
        <w:t>upon a minimum of 30 days’ prior written notice of redemption, which we refer to as the 30-day redemption period; and</w:t>
      </w:r>
    </w:p>
    <w:p>
      <w:pPr>
        <w:spacing w:after="0" w:line="116" w:lineRule="exact"/>
        <w:rPr>
          <w:rFonts w:ascii="Arial" w:cs="Arial" w:eastAsia="Arial" w:hAnsi="Arial"/>
          <w:sz w:val="18"/>
          <w:szCs w:val="18"/>
          <w:color w:val="auto"/>
        </w:rPr>
      </w:pPr>
    </w:p>
    <w:p>
      <w:pPr>
        <w:ind w:left="161" w:right="20" w:hanging="161"/>
        <w:spacing w:after="0" w:line="272" w:lineRule="auto"/>
        <w:tabs>
          <w:tab w:leader="none" w:pos="133" w:val="left"/>
        </w:tabs>
        <w:numPr>
          <w:ilvl w:val="0"/>
          <w:numId w:val="7"/>
        </w:numPr>
        <w:rPr>
          <w:rFonts w:ascii="Arial" w:cs="Arial" w:eastAsia="Arial" w:hAnsi="Arial"/>
          <w:sz w:val="17"/>
          <w:szCs w:val="17"/>
          <w:color w:val="auto"/>
        </w:rPr>
      </w:pPr>
      <w:r>
        <w:rPr>
          <w:rFonts w:ascii="Arial" w:cs="Arial" w:eastAsia="Arial" w:hAnsi="Arial"/>
          <w:sz w:val="17"/>
          <w:szCs w:val="17"/>
          <w:color w:val="auto"/>
        </w:rPr>
        <w:t>if, and only if, the last reported sales price of our Class A ordinary shares equals or exceeds $18.00 per share (as adjusted for share sub-divisions, share capitalizations, reorganizations, recapitalizations and the like and as described above adjacent to the caption “Exercise Price”) for any 20 trading days within a 30-trading day period ending on the third trading day prior to the date on which we send the notice of redemption to the warrant holders (the “Reference Value”).</w:t>
      </w:r>
    </w:p>
    <w:p>
      <w:pPr>
        <w:spacing w:after="0" w:line="123" w:lineRule="exact"/>
        <w:rPr>
          <w:sz w:val="20"/>
          <w:szCs w:val="20"/>
          <w:color w:val="auto"/>
        </w:rPr>
      </w:pPr>
    </w:p>
    <w:p>
      <w:pPr>
        <w:ind w:left="1" w:right="40"/>
        <w:spacing w:after="0" w:line="271" w:lineRule="auto"/>
        <w:rPr>
          <w:sz w:val="20"/>
          <w:szCs w:val="20"/>
          <w:color w:val="auto"/>
        </w:rPr>
      </w:pPr>
      <w:r>
        <w:rPr>
          <w:rFonts w:ascii="Arial" w:cs="Arial" w:eastAsia="Arial" w:hAnsi="Arial"/>
          <w:sz w:val="17"/>
          <w:szCs w:val="17"/>
          <w:color w:val="auto"/>
        </w:rPr>
        <w:t>We will not redeem the warrants as described above unless an effective registration statement under the Securities Act covering the issuance of the Class A ordinary shares issuable upon exercise of the warrants is effective and a current prospectus relating to those Class A ordinary shares is available throughout the 30-day redemption period. If and when the warrants become redeemable by us, we may exercise our redemption right even if we are unable to register or qualify the underlying securities for sale under all applicable state securities laws.</w:t>
      </w:r>
    </w:p>
    <w:p>
      <w:pPr>
        <w:spacing w:after="0" w:line="124" w:lineRule="exact"/>
        <w:rPr>
          <w:sz w:val="20"/>
          <w:szCs w:val="20"/>
          <w:color w:val="auto"/>
        </w:rPr>
      </w:pPr>
    </w:p>
    <w:p>
      <w:pPr>
        <w:ind w:left="1" w:right="180"/>
        <w:spacing w:after="0" w:line="263" w:lineRule="auto"/>
        <w:rPr>
          <w:sz w:val="20"/>
          <w:szCs w:val="20"/>
          <w:color w:val="auto"/>
        </w:rPr>
      </w:pPr>
      <w:r>
        <w:rPr>
          <w:rFonts w:ascii="Arial" w:cs="Arial" w:eastAsia="Arial" w:hAnsi="Arial"/>
          <w:sz w:val="18"/>
          <w:szCs w:val="18"/>
          <w:color w:val="auto"/>
        </w:rPr>
        <w:t>Once the warrants become exercisable, we may redeem the outstanding warrants (except as described herein with respect to the private placement warrants):</w:t>
      </w:r>
    </w:p>
    <w:p>
      <w:pPr>
        <w:spacing w:after="0" w:line="130" w:lineRule="exact"/>
        <w:rPr>
          <w:sz w:val="20"/>
          <w:szCs w:val="20"/>
          <w:color w:val="auto"/>
        </w:rPr>
      </w:pPr>
    </w:p>
    <w:p>
      <w:pPr>
        <w:ind w:left="141" w:hanging="141"/>
        <w:spacing w:after="0"/>
        <w:tabs>
          <w:tab w:leader="none" w:pos="141"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171" w:lineRule="exact"/>
        <w:rPr>
          <w:rFonts w:ascii="Arial" w:cs="Arial" w:eastAsia="Arial" w:hAnsi="Arial"/>
          <w:sz w:val="18"/>
          <w:szCs w:val="18"/>
          <w:color w:val="auto"/>
        </w:rPr>
      </w:pPr>
    </w:p>
    <w:p>
      <w:pPr>
        <w:ind w:left="161" w:right="140" w:hanging="161"/>
        <w:spacing w:after="0" w:line="272" w:lineRule="auto"/>
        <w:tabs>
          <w:tab w:leader="none" w:pos="133" w:val="left"/>
        </w:tabs>
        <w:numPr>
          <w:ilvl w:val="0"/>
          <w:numId w:val="8"/>
        </w:numPr>
        <w:rPr>
          <w:rFonts w:ascii="Arial" w:cs="Arial" w:eastAsia="Arial" w:hAnsi="Arial"/>
          <w:sz w:val="17"/>
          <w:szCs w:val="17"/>
          <w:color w:val="auto"/>
        </w:rPr>
      </w:pPr>
      <w:r>
        <w:rPr>
          <w:rFonts w:ascii="Arial" w:cs="Arial" w:eastAsia="Arial" w:hAnsi="Arial"/>
          <w:sz w:val="17"/>
          <w:szCs w:val="17"/>
          <w:color w:val="auto"/>
        </w:rPr>
        <w:t>at $0.10 per warrant upon a minimum of 30 days’ prior written notice of redemption, provided that holders will be able to exercise their warrants on a cashless basis prior to redemption and receive the number of shares determined by reference to the table set forth under “Description of Securities – Warrants – Public Shareholders’ Warrants” based on the redemption date and the “fair market value” of our Class A ordinary shares (as defined below);</w:t>
      </w:r>
    </w:p>
    <w:p>
      <w:pPr>
        <w:spacing w:after="0" w:line="200" w:lineRule="exact"/>
        <w:rPr>
          <w:sz w:val="20"/>
          <w:szCs w:val="20"/>
          <w:color w:val="auto"/>
        </w:rPr>
      </w:pPr>
    </w:p>
    <w:p>
      <w:pPr>
        <w:sectPr>
          <w:pgSz w:w="11900" w:h="16838" w:orient="portrait"/>
          <w:cols w:equalWidth="0" w:num="2">
            <w:col w:w="4640" w:space="719"/>
            <w:col w:w="5501"/>
          </w:cols>
          <w:pgMar w:left="580" w:top="976" w:right="459" w:bottom="1440" w:gutter="0" w:footer="0" w:header="0"/>
        </w:sectPr>
      </w:pPr>
    </w:p>
    <w:p>
      <w:pPr>
        <w:spacing w:after="0" w:line="247"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38100</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860"/>
          </w:cols>
          <w:pgMar w:left="580" w:top="976" w:right="459" w:bottom="1440" w:gutter="0" w:footer="0" w:header="0"/>
          <w:type w:val="continuous"/>
        </w:sectPr>
      </w:pPr>
    </w:p>
    <w:bookmarkStart w:id="19" w:name="page20"/>
    <w:bookmarkEnd w:id="19"/>
    <w:tbl>
      <w:tblPr>
        <w:tblLayout w:type="fixed"/>
        <w:tblInd w:w="0" w:type="dxa"/>
        <w:tblCellMar>
          <w:top w:w="0" w:type="dxa"/>
          <w:left w:w="0" w:type="dxa"/>
          <w:bottom w:w="0" w:type="dxa"/>
          <w:right w:w="0" w:type="dxa"/>
        </w:tblCellMar>
      </w:tblPr>
      <w:tr>
        <w:trPr>
          <w:trHeight w:val="216"/>
        </w:trPr>
        <w:tc>
          <w:tcPr>
            <w:tcW w:w="4240" w:type="dxa"/>
            <w:vAlign w:val="bottom"/>
          </w:tcPr>
          <w:p>
            <w:pPr>
              <w:spacing w:after="0"/>
              <w:rPr>
                <w:sz w:val="18"/>
                <w:szCs w:val="18"/>
                <w:color w:val="auto"/>
              </w:rPr>
            </w:pPr>
          </w:p>
        </w:tc>
        <w:tc>
          <w:tcPr>
            <w:tcW w:w="1360" w:type="dxa"/>
            <w:vAlign w:val="bottom"/>
          </w:tcPr>
          <w:p>
            <w:pPr>
              <w:ind w:left="1280"/>
              <w:spacing w:after="0"/>
              <w:rPr>
                <w:sz w:val="20"/>
                <w:szCs w:val="20"/>
                <w:color w:val="auto"/>
              </w:rPr>
            </w:pPr>
            <w:r>
              <w:rPr>
                <w:rFonts w:ascii="Arial" w:cs="Arial" w:eastAsia="Arial" w:hAnsi="Arial"/>
                <w:sz w:val="18"/>
                <w:szCs w:val="18"/>
                <w:color w:val="auto"/>
                <w:w w:val="99"/>
              </w:rPr>
              <w:t>·</w:t>
            </w:r>
          </w:p>
        </w:tc>
        <w:tc>
          <w:tcPr>
            <w:tcW w:w="5440" w:type="dxa"/>
            <w:vAlign w:val="bottom"/>
          </w:tcPr>
          <w:p>
            <w:pPr>
              <w:ind w:left="60"/>
              <w:spacing w:after="0"/>
              <w:rPr>
                <w:sz w:val="20"/>
                <w:szCs w:val="20"/>
                <w:color w:val="auto"/>
              </w:rPr>
            </w:pPr>
            <w:r>
              <w:rPr>
                <w:rFonts w:ascii="Arial" w:cs="Arial" w:eastAsia="Arial" w:hAnsi="Arial"/>
                <w:sz w:val="18"/>
                <w:szCs w:val="18"/>
                <w:color w:val="auto"/>
                <w:w w:val="98"/>
              </w:rPr>
              <w:t>if, and only if, the Reference Value (as defined above adjacent to the</w:t>
            </w:r>
          </w:p>
        </w:tc>
      </w:tr>
      <w:tr>
        <w:trPr>
          <w:trHeight w:val="216"/>
        </w:trPr>
        <w:tc>
          <w:tcPr>
            <w:tcW w:w="4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440" w:type="dxa"/>
            <w:vAlign w:val="bottom"/>
          </w:tcPr>
          <w:p>
            <w:pPr>
              <w:ind w:left="80"/>
              <w:spacing w:after="0"/>
              <w:rPr>
                <w:sz w:val="20"/>
                <w:szCs w:val="20"/>
                <w:color w:val="auto"/>
              </w:rPr>
            </w:pPr>
            <w:r>
              <w:rPr>
                <w:rFonts w:ascii="Arial" w:cs="Arial" w:eastAsia="Arial" w:hAnsi="Arial"/>
                <w:sz w:val="18"/>
                <w:szCs w:val="18"/>
                <w:color w:val="auto"/>
                <w:w w:val="97"/>
              </w:rPr>
              <w:t>caption “Redemption of warrants when the price per Class A ordinary</w:t>
            </w:r>
          </w:p>
        </w:tc>
      </w:tr>
      <w:tr>
        <w:trPr>
          <w:trHeight w:val="216"/>
        </w:trPr>
        <w:tc>
          <w:tcPr>
            <w:tcW w:w="4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440" w:type="dxa"/>
            <w:vAlign w:val="bottom"/>
          </w:tcPr>
          <w:p>
            <w:pPr>
              <w:ind w:left="80"/>
              <w:spacing w:after="0"/>
              <w:rPr>
                <w:sz w:val="20"/>
                <w:szCs w:val="20"/>
                <w:color w:val="auto"/>
              </w:rPr>
            </w:pPr>
            <w:r>
              <w:rPr>
                <w:rFonts w:ascii="Arial" w:cs="Arial" w:eastAsia="Arial" w:hAnsi="Arial"/>
                <w:sz w:val="18"/>
                <w:szCs w:val="18"/>
                <w:color w:val="auto"/>
                <w:w w:val="90"/>
              </w:rPr>
              <w:t>share equals or exceeds $18.00”) equals or exceeds $10.00 per share (as</w:t>
            </w:r>
          </w:p>
        </w:tc>
      </w:tr>
      <w:tr>
        <w:trPr>
          <w:trHeight w:val="216"/>
        </w:trPr>
        <w:tc>
          <w:tcPr>
            <w:tcW w:w="4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440" w:type="dxa"/>
            <w:vAlign w:val="bottom"/>
          </w:tcPr>
          <w:p>
            <w:pPr>
              <w:ind w:left="80"/>
              <w:spacing w:after="0"/>
              <w:rPr>
                <w:sz w:val="20"/>
                <w:szCs w:val="20"/>
                <w:color w:val="auto"/>
              </w:rPr>
            </w:pPr>
            <w:r>
              <w:rPr>
                <w:rFonts w:ascii="Arial" w:cs="Arial" w:eastAsia="Arial" w:hAnsi="Arial"/>
                <w:sz w:val="18"/>
                <w:szCs w:val="18"/>
                <w:color w:val="auto"/>
                <w:w w:val="94"/>
              </w:rPr>
              <w:t>adjusted for share sub-divisions, share capitalizations, reorganizations,</w:t>
            </w:r>
          </w:p>
        </w:tc>
      </w:tr>
      <w:tr>
        <w:trPr>
          <w:trHeight w:val="216"/>
        </w:trPr>
        <w:tc>
          <w:tcPr>
            <w:tcW w:w="4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440" w:type="dxa"/>
            <w:vAlign w:val="bottom"/>
          </w:tcPr>
          <w:p>
            <w:pPr>
              <w:ind w:left="80"/>
              <w:spacing w:after="0"/>
              <w:rPr>
                <w:sz w:val="20"/>
                <w:szCs w:val="20"/>
                <w:color w:val="auto"/>
              </w:rPr>
            </w:pPr>
            <w:r>
              <w:rPr>
                <w:rFonts w:ascii="Arial" w:cs="Arial" w:eastAsia="Arial" w:hAnsi="Arial"/>
                <w:sz w:val="18"/>
                <w:szCs w:val="18"/>
                <w:color w:val="auto"/>
                <w:w w:val="97"/>
              </w:rPr>
              <w:t>recapitalizations and the like and as described above adjacent to the</w:t>
            </w:r>
          </w:p>
        </w:tc>
      </w:tr>
      <w:tr>
        <w:trPr>
          <w:trHeight w:val="230"/>
        </w:trPr>
        <w:tc>
          <w:tcPr>
            <w:tcW w:w="42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5440" w:type="dxa"/>
            <w:vAlign w:val="bottom"/>
          </w:tcPr>
          <w:p>
            <w:pPr>
              <w:ind w:left="80"/>
              <w:spacing w:after="0"/>
              <w:rPr>
                <w:sz w:val="20"/>
                <w:szCs w:val="20"/>
                <w:color w:val="auto"/>
              </w:rPr>
            </w:pPr>
            <w:r>
              <w:rPr>
                <w:rFonts w:ascii="Arial" w:cs="Arial" w:eastAsia="Arial" w:hAnsi="Arial"/>
                <w:sz w:val="18"/>
                <w:szCs w:val="18"/>
                <w:color w:val="auto"/>
              </w:rPr>
              <w:t>caption “Exercise Price”); and</w:t>
            </w:r>
          </w:p>
        </w:tc>
      </w:tr>
      <w:tr>
        <w:trPr>
          <w:trHeight w:val="364"/>
        </w:trPr>
        <w:tc>
          <w:tcPr>
            <w:tcW w:w="4240" w:type="dxa"/>
            <w:vAlign w:val="bottom"/>
          </w:tcPr>
          <w:p>
            <w:pPr>
              <w:spacing w:after="0"/>
              <w:rPr>
                <w:sz w:val="24"/>
                <w:szCs w:val="24"/>
                <w:color w:val="auto"/>
              </w:rPr>
            </w:pPr>
          </w:p>
        </w:tc>
        <w:tc>
          <w:tcPr>
            <w:tcW w:w="1360" w:type="dxa"/>
            <w:vAlign w:val="bottom"/>
          </w:tcPr>
          <w:p>
            <w:pPr>
              <w:ind w:left="1280"/>
              <w:spacing w:after="0"/>
              <w:rPr>
                <w:sz w:val="20"/>
                <w:szCs w:val="20"/>
                <w:color w:val="auto"/>
              </w:rPr>
            </w:pPr>
            <w:r>
              <w:rPr>
                <w:rFonts w:ascii="Arial" w:cs="Arial" w:eastAsia="Arial" w:hAnsi="Arial"/>
                <w:sz w:val="18"/>
                <w:szCs w:val="18"/>
                <w:color w:val="auto"/>
                <w:w w:val="99"/>
              </w:rPr>
              <w:t>·</w:t>
            </w:r>
          </w:p>
        </w:tc>
        <w:tc>
          <w:tcPr>
            <w:tcW w:w="5440" w:type="dxa"/>
            <w:vAlign w:val="bottom"/>
          </w:tcPr>
          <w:p>
            <w:pPr>
              <w:ind w:left="60"/>
              <w:spacing w:after="0"/>
              <w:rPr>
                <w:sz w:val="20"/>
                <w:szCs w:val="20"/>
                <w:color w:val="auto"/>
              </w:rPr>
            </w:pPr>
            <w:r>
              <w:rPr>
                <w:rFonts w:ascii="Arial" w:cs="Arial" w:eastAsia="Arial" w:hAnsi="Arial"/>
                <w:sz w:val="18"/>
                <w:szCs w:val="18"/>
                <w:color w:val="auto"/>
                <w:w w:val="90"/>
              </w:rPr>
              <w:t>if the Reference Value is less than $18.00 per share (as adjusted for share</w:t>
            </w:r>
          </w:p>
        </w:tc>
      </w:tr>
      <w:tr>
        <w:trPr>
          <w:trHeight w:val="216"/>
        </w:trPr>
        <w:tc>
          <w:tcPr>
            <w:tcW w:w="4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440" w:type="dxa"/>
            <w:vAlign w:val="bottom"/>
          </w:tcPr>
          <w:p>
            <w:pPr>
              <w:ind w:left="80"/>
              <w:spacing w:after="0"/>
              <w:rPr>
                <w:sz w:val="20"/>
                <w:szCs w:val="20"/>
                <w:color w:val="auto"/>
              </w:rPr>
            </w:pPr>
            <w:r>
              <w:rPr>
                <w:rFonts w:ascii="Arial" w:cs="Arial" w:eastAsia="Arial" w:hAnsi="Arial"/>
                <w:sz w:val="18"/>
                <w:szCs w:val="18"/>
                <w:color w:val="auto"/>
                <w:w w:val="91"/>
              </w:rPr>
              <w:t>sub-divisions, share capitalizations, reorganizations, recapitalizations and</w:t>
            </w:r>
          </w:p>
        </w:tc>
      </w:tr>
      <w:tr>
        <w:trPr>
          <w:trHeight w:val="216"/>
        </w:trPr>
        <w:tc>
          <w:tcPr>
            <w:tcW w:w="4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440" w:type="dxa"/>
            <w:vAlign w:val="bottom"/>
          </w:tcPr>
          <w:p>
            <w:pPr>
              <w:ind w:left="80"/>
              <w:spacing w:after="0"/>
              <w:rPr>
                <w:sz w:val="20"/>
                <w:szCs w:val="20"/>
                <w:color w:val="auto"/>
              </w:rPr>
            </w:pPr>
            <w:r>
              <w:rPr>
                <w:rFonts w:ascii="Arial" w:cs="Arial" w:eastAsia="Arial" w:hAnsi="Arial"/>
                <w:sz w:val="18"/>
                <w:szCs w:val="18"/>
                <w:color w:val="auto"/>
                <w:w w:val="91"/>
              </w:rPr>
              <w:t>the like and as described above adjacent to the caption “Exercise Price”),</w:t>
            </w:r>
          </w:p>
        </w:tc>
      </w:tr>
      <w:tr>
        <w:trPr>
          <w:trHeight w:val="216"/>
        </w:trPr>
        <w:tc>
          <w:tcPr>
            <w:tcW w:w="4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440" w:type="dxa"/>
            <w:vAlign w:val="bottom"/>
          </w:tcPr>
          <w:p>
            <w:pPr>
              <w:ind w:left="80"/>
              <w:spacing w:after="0"/>
              <w:rPr>
                <w:sz w:val="20"/>
                <w:szCs w:val="20"/>
                <w:color w:val="auto"/>
              </w:rPr>
            </w:pPr>
            <w:r>
              <w:rPr>
                <w:rFonts w:ascii="Arial" w:cs="Arial" w:eastAsia="Arial" w:hAnsi="Arial"/>
                <w:sz w:val="18"/>
                <w:szCs w:val="18"/>
                <w:color w:val="auto"/>
                <w:w w:val="99"/>
              </w:rPr>
              <w:t>the private placement warrants must also concurrently be called for</w:t>
            </w:r>
          </w:p>
        </w:tc>
      </w:tr>
      <w:tr>
        <w:trPr>
          <w:trHeight w:val="216"/>
        </w:trPr>
        <w:tc>
          <w:tcPr>
            <w:tcW w:w="4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440" w:type="dxa"/>
            <w:vAlign w:val="bottom"/>
          </w:tcPr>
          <w:p>
            <w:pPr>
              <w:ind w:left="80"/>
              <w:spacing w:after="0"/>
              <w:rPr>
                <w:sz w:val="20"/>
                <w:szCs w:val="20"/>
                <w:color w:val="auto"/>
              </w:rPr>
            </w:pPr>
            <w:r>
              <w:rPr>
                <w:rFonts w:ascii="Arial" w:cs="Arial" w:eastAsia="Arial" w:hAnsi="Arial"/>
                <w:sz w:val="18"/>
                <w:szCs w:val="18"/>
                <w:color w:val="auto"/>
                <w:w w:val="96"/>
              </w:rPr>
              <w:t>redemption on the same terms as the outstanding public warrants, as</w:t>
            </w:r>
          </w:p>
        </w:tc>
      </w:tr>
      <w:tr>
        <w:trPr>
          <w:trHeight w:val="230"/>
        </w:trPr>
        <w:tc>
          <w:tcPr>
            <w:tcW w:w="42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5440" w:type="dxa"/>
            <w:vAlign w:val="bottom"/>
          </w:tcPr>
          <w:p>
            <w:pPr>
              <w:ind w:left="80"/>
              <w:spacing w:after="0"/>
              <w:rPr>
                <w:sz w:val="20"/>
                <w:szCs w:val="20"/>
                <w:color w:val="auto"/>
              </w:rPr>
            </w:pPr>
            <w:r>
              <w:rPr>
                <w:rFonts w:ascii="Arial" w:cs="Arial" w:eastAsia="Arial" w:hAnsi="Arial"/>
                <w:sz w:val="18"/>
                <w:szCs w:val="18"/>
                <w:color w:val="auto"/>
              </w:rPr>
              <w:t>described above.</w:t>
            </w:r>
          </w:p>
        </w:tc>
      </w:tr>
      <w:tr>
        <w:trPr>
          <w:trHeight w:val="364"/>
        </w:trPr>
        <w:tc>
          <w:tcPr>
            <w:tcW w:w="4240" w:type="dxa"/>
            <w:vAlign w:val="bottom"/>
          </w:tcPr>
          <w:p>
            <w:pPr>
              <w:spacing w:after="0"/>
              <w:rPr>
                <w:sz w:val="24"/>
                <w:szCs w:val="24"/>
                <w:color w:val="auto"/>
              </w:rPr>
            </w:pPr>
          </w:p>
        </w:tc>
        <w:tc>
          <w:tcPr>
            <w:tcW w:w="6800" w:type="dxa"/>
            <w:vAlign w:val="bottom"/>
            <w:gridSpan w:val="2"/>
          </w:tcPr>
          <w:p>
            <w:pPr>
              <w:ind w:left="1280"/>
              <w:spacing w:after="0"/>
              <w:rPr>
                <w:sz w:val="20"/>
                <w:szCs w:val="20"/>
                <w:color w:val="auto"/>
              </w:rPr>
            </w:pPr>
            <w:r>
              <w:rPr>
                <w:rFonts w:ascii="Arial" w:cs="Arial" w:eastAsia="Arial" w:hAnsi="Arial"/>
                <w:sz w:val="18"/>
                <w:szCs w:val="18"/>
                <w:color w:val="auto"/>
              </w:rPr>
              <w:t>The “fair market value” of our Class A ordinary shares for the above</w:t>
            </w:r>
          </w:p>
        </w:tc>
      </w:tr>
      <w:tr>
        <w:trPr>
          <w:trHeight w:val="216"/>
        </w:trPr>
        <w:tc>
          <w:tcPr>
            <w:tcW w:w="4240" w:type="dxa"/>
            <w:vAlign w:val="bottom"/>
          </w:tcPr>
          <w:p>
            <w:pPr>
              <w:spacing w:after="0"/>
              <w:rPr>
                <w:sz w:val="18"/>
                <w:szCs w:val="18"/>
                <w:color w:val="auto"/>
              </w:rPr>
            </w:pPr>
          </w:p>
        </w:tc>
        <w:tc>
          <w:tcPr>
            <w:tcW w:w="6800" w:type="dxa"/>
            <w:vAlign w:val="bottom"/>
            <w:gridSpan w:val="2"/>
          </w:tcPr>
          <w:p>
            <w:pPr>
              <w:ind w:left="1280"/>
              <w:spacing w:after="0"/>
              <w:rPr>
                <w:sz w:val="20"/>
                <w:szCs w:val="20"/>
                <w:color w:val="auto"/>
              </w:rPr>
            </w:pPr>
            <w:r>
              <w:rPr>
                <w:rFonts w:ascii="Arial" w:cs="Arial" w:eastAsia="Arial" w:hAnsi="Arial"/>
                <w:sz w:val="18"/>
                <w:szCs w:val="18"/>
                <w:color w:val="auto"/>
                <w:w w:val="98"/>
              </w:rPr>
              <w:t>purpose shall mean the volume-weighted average price of our Class A</w:t>
            </w:r>
          </w:p>
        </w:tc>
      </w:tr>
      <w:tr>
        <w:trPr>
          <w:trHeight w:val="216"/>
        </w:trPr>
        <w:tc>
          <w:tcPr>
            <w:tcW w:w="4240" w:type="dxa"/>
            <w:vAlign w:val="bottom"/>
          </w:tcPr>
          <w:p>
            <w:pPr>
              <w:spacing w:after="0"/>
              <w:rPr>
                <w:sz w:val="18"/>
                <w:szCs w:val="18"/>
                <w:color w:val="auto"/>
              </w:rPr>
            </w:pPr>
          </w:p>
        </w:tc>
        <w:tc>
          <w:tcPr>
            <w:tcW w:w="6800" w:type="dxa"/>
            <w:vAlign w:val="bottom"/>
            <w:gridSpan w:val="2"/>
          </w:tcPr>
          <w:p>
            <w:pPr>
              <w:ind w:left="1280"/>
              <w:spacing w:after="0"/>
              <w:rPr>
                <w:sz w:val="20"/>
                <w:szCs w:val="20"/>
                <w:color w:val="auto"/>
              </w:rPr>
            </w:pPr>
            <w:r>
              <w:rPr>
                <w:rFonts w:ascii="Arial" w:cs="Arial" w:eastAsia="Arial" w:hAnsi="Arial"/>
                <w:sz w:val="18"/>
                <w:szCs w:val="18"/>
                <w:color w:val="auto"/>
                <w:w w:val="94"/>
              </w:rPr>
              <w:t>ordinary shares for the 10 trading days immediately following the date on</w:t>
            </w:r>
          </w:p>
        </w:tc>
      </w:tr>
      <w:tr>
        <w:trPr>
          <w:trHeight w:val="216"/>
        </w:trPr>
        <w:tc>
          <w:tcPr>
            <w:tcW w:w="4240" w:type="dxa"/>
            <w:vAlign w:val="bottom"/>
          </w:tcPr>
          <w:p>
            <w:pPr>
              <w:spacing w:after="0"/>
              <w:rPr>
                <w:sz w:val="18"/>
                <w:szCs w:val="18"/>
                <w:color w:val="auto"/>
              </w:rPr>
            </w:pPr>
          </w:p>
        </w:tc>
        <w:tc>
          <w:tcPr>
            <w:tcW w:w="6800" w:type="dxa"/>
            <w:vAlign w:val="bottom"/>
            <w:gridSpan w:val="2"/>
          </w:tcPr>
          <w:p>
            <w:pPr>
              <w:ind w:left="1280"/>
              <w:spacing w:after="0"/>
              <w:rPr>
                <w:sz w:val="20"/>
                <w:szCs w:val="20"/>
                <w:color w:val="auto"/>
              </w:rPr>
            </w:pPr>
            <w:r>
              <w:rPr>
                <w:rFonts w:ascii="Arial" w:cs="Arial" w:eastAsia="Arial" w:hAnsi="Arial"/>
                <w:sz w:val="18"/>
                <w:szCs w:val="18"/>
                <w:color w:val="auto"/>
                <w:w w:val="95"/>
              </w:rPr>
              <w:t>which the notice of redemption is sent to the holders of warrants. We will</w:t>
            </w:r>
          </w:p>
        </w:tc>
      </w:tr>
      <w:tr>
        <w:trPr>
          <w:trHeight w:val="216"/>
        </w:trPr>
        <w:tc>
          <w:tcPr>
            <w:tcW w:w="4240" w:type="dxa"/>
            <w:vAlign w:val="bottom"/>
          </w:tcPr>
          <w:p>
            <w:pPr>
              <w:spacing w:after="0"/>
              <w:rPr>
                <w:sz w:val="18"/>
                <w:szCs w:val="18"/>
                <w:color w:val="auto"/>
              </w:rPr>
            </w:pPr>
          </w:p>
        </w:tc>
        <w:tc>
          <w:tcPr>
            <w:tcW w:w="6800" w:type="dxa"/>
            <w:vAlign w:val="bottom"/>
            <w:gridSpan w:val="2"/>
          </w:tcPr>
          <w:p>
            <w:pPr>
              <w:ind w:left="1280"/>
              <w:spacing w:after="0"/>
              <w:rPr>
                <w:sz w:val="20"/>
                <w:szCs w:val="20"/>
                <w:color w:val="auto"/>
              </w:rPr>
            </w:pPr>
            <w:r>
              <w:rPr>
                <w:rFonts w:ascii="Arial" w:cs="Arial" w:eastAsia="Arial" w:hAnsi="Arial"/>
                <w:sz w:val="18"/>
                <w:szCs w:val="18"/>
                <w:color w:val="auto"/>
                <w:w w:val="96"/>
              </w:rPr>
              <w:t>provide our warrant holders with the final fair market value no later than</w:t>
            </w:r>
          </w:p>
        </w:tc>
      </w:tr>
      <w:tr>
        <w:trPr>
          <w:trHeight w:val="216"/>
        </w:trPr>
        <w:tc>
          <w:tcPr>
            <w:tcW w:w="4240" w:type="dxa"/>
            <w:vAlign w:val="bottom"/>
          </w:tcPr>
          <w:p>
            <w:pPr>
              <w:spacing w:after="0"/>
              <w:rPr>
                <w:sz w:val="18"/>
                <w:szCs w:val="18"/>
                <w:color w:val="auto"/>
              </w:rPr>
            </w:pPr>
          </w:p>
        </w:tc>
        <w:tc>
          <w:tcPr>
            <w:tcW w:w="6800" w:type="dxa"/>
            <w:vAlign w:val="bottom"/>
            <w:gridSpan w:val="2"/>
          </w:tcPr>
          <w:p>
            <w:pPr>
              <w:ind w:left="1280"/>
              <w:spacing w:after="0"/>
              <w:rPr>
                <w:sz w:val="20"/>
                <w:szCs w:val="20"/>
                <w:color w:val="auto"/>
              </w:rPr>
            </w:pPr>
            <w:r>
              <w:rPr>
                <w:rFonts w:ascii="Arial" w:cs="Arial" w:eastAsia="Arial" w:hAnsi="Arial"/>
                <w:sz w:val="18"/>
                <w:szCs w:val="18"/>
                <w:color w:val="auto"/>
                <w:w w:val="89"/>
              </w:rPr>
              <w:t>one business day after the 10-day trading period described above ends. In no</w:t>
            </w:r>
          </w:p>
        </w:tc>
      </w:tr>
      <w:tr>
        <w:trPr>
          <w:trHeight w:val="216"/>
        </w:trPr>
        <w:tc>
          <w:tcPr>
            <w:tcW w:w="4240" w:type="dxa"/>
            <w:vAlign w:val="bottom"/>
          </w:tcPr>
          <w:p>
            <w:pPr>
              <w:spacing w:after="0"/>
              <w:rPr>
                <w:sz w:val="18"/>
                <w:szCs w:val="18"/>
                <w:color w:val="auto"/>
              </w:rPr>
            </w:pPr>
          </w:p>
        </w:tc>
        <w:tc>
          <w:tcPr>
            <w:tcW w:w="6800" w:type="dxa"/>
            <w:vAlign w:val="bottom"/>
            <w:gridSpan w:val="2"/>
          </w:tcPr>
          <w:p>
            <w:pPr>
              <w:ind w:left="1280"/>
              <w:spacing w:after="0"/>
              <w:rPr>
                <w:sz w:val="20"/>
                <w:szCs w:val="20"/>
                <w:color w:val="auto"/>
              </w:rPr>
            </w:pPr>
            <w:r>
              <w:rPr>
                <w:rFonts w:ascii="Arial" w:cs="Arial" w:eastAsia="Arial" w:hAnsi="Arial"/>
                <w:sz w:val="18"/>
                <w:szCs w:val="18"/>
                <w:color w:val="auto"/>
                <w:w w:val="95"/>
              </w:rPr>
              <w:t>event will the warrants be exercisable in connection with this redemption</w:t>
            </w:r>
          </w:p>
        </w:tc>
      </w:tr>
      <w:tr>
        <w:trPr>
          <w:trHeight w:val="216"/>
        </w:trPr>
        <w:tc>
          <w:tcPr>
            <w:tcW w:w="4240" w:type="dxa"/>
            <w:vAlign w:val="bottom"/>
          </w:tcPr>
          <w:p>
            <w:pPr>
              <w:spacing w:after="0"/>
              <w:rPr>
                <w:sz w:val="18"/>
                <w:szCs w:val="18"/>
                <w:color w:val="auto"/>
              </w:rPr>
            </w:pPr>
          </w:p>
        </w:tc>
        <w:tc>
          <w:tcPr>
            <w:tcW w:w="6800" w:type="dxa"/>
            <w:vAlign w:val="bottom"/>
            <w:gridSpan w:val="2"/>
          </w:tcPr>
          <w:p>
            <w:pPr>
              <w:ind w:left="1280"/>
              <w:spacing w:after="0"/>
              <w:rPr>
                <w:sz w:val="20"/>
                <w:szCs w:val="20"/>
                <w:color w:val="auto"/>
              </w:rPr>
            </w:pPr>
            <w:r>
              <w:rPr>
                <w:rFonts w:ascii="Arial" w:cs="Arial" w:eastAsia="Arial" w:hAnsi="Arial"/>
                <w:sz w:val="18"/>
                <w:szCs w:val="18"/>
                <w:color w:val="auto"/>
                <w:w w:val="91"/>
              </w:rPr>
              <w:t>feature for more than 0.361 Class A ordinary shares per warrant (subject to</w:t>
            </w:r>
          </w:p>
        </w:tc>
      </w:tr>
      <w:tr>
        <w:trPr>
          <w:trHeight w:val="230"/>
        </w:trPr>
        <w:tc>
          <w:tcPr>
            <w:tcW w:w="4240" w:type="dxa"/>
            <w:vAlign w:val="bottom"/>
          </w:tcPr>
          <w:p>
            <w:pPr>
              <w:spacing w:after="0"/>
              <w:rPr>
                <w:sz w:val="20"/>
                <w:szCs w:val="20"/>
                <w:color w:val="auto"/>
              </w:rPr>
            </w:pPr>
          </w:p>
        </w:tc>
        <w:tc>
          <w:tcPr>
            <w:tcW w:w="6800" w:type="dxa"/>
            <w:vAlign w:val="bottom"/>
            <w:gridSpan w:val="2"/>
          </w:tcPr>
          <w:p>
            <w:pPr>
              <w:ind w:left="1280"/>
              <w:spacing w:after="0"/>
              <w:rPr>
                <w:sz w:val="20"/>
                <w:szCs w:val="20"/>
                <w:color w:val="auto"/>
              </w:rPr>
            </w:pPr>
            <w:r>
              <w:rPr>
                <w:rFonts w:ascii="Arial" w:cs="Arial" w:eastAsia="Arial" w:hAnsi="Arial"/>
                <w:sz w:val="18"/>
                <w:szCs w:val="18"/>
                <w:color w:val="auto"/>
              </w:rPr>
              <w:t>adjustment).</w:t>
            </w:r>
          </w:p>
        </w:tc>
      </w:tr>
      <w:tr>
        <w:trPr>
          <w:trHeight w:val="364"/>
        </w:trPr>
        <w:tc>
          <w:tcPr>
            <w:tcW w:w="4240" w:type="dxa"/>
            <w:vAlign w:val="bottom"/>
          </w:tcPr>
          <w:p>
            <w:pPr>
              <w:spacing w:after="0"/>
              <w:rPr>
                <w:sz w:val="24"/>
                <w:szCs w:val="24"/>
                <w:color w:val="auto"/>
              </w:rPr>
            </w:pPr>
          </w:p>
        </w:tc>
        <w:tc>
          <w:tcPr>
            <w:tcW w:w="6800" w:type="dxa"/>
            <w:vAlign w:val="bottom"/>
            <w:gridSpan w:val="2"/>
          </w:tcPr>
          <w:p>
            <w:pPr>
              <w:ind w:left="1280"/>
              <w:spacing w:after="0"/>
              <w:rPr>
                <w:sz w:val="20"/>
                <w:szCs w:val="20"/>
                <w:color w:val="auto"/>
              </w:rPr>
            </w:pPr>
            <w:r>
              <w:rPr>
                <w:rFonts w:ascii="Arial" w:cs="Arial" w:eastAsia="Arial" w:hAnsi="Arial"/>
                <w:sz w:val="18"/>
                <w:szCs w:val="18"/>
                <w:color w:val="auto"/>
                <w:w w:val="92"/>
              </w:rPr>
              <w:t>No fractional Class A ordinary shares will be issued upon exercise. If, upon</w:t>
            </w:r>
          </w:p>
        </w:tc>
      </w:tr>
      <w:tr>
        <w:trPr>
          <w:trHeight w:val="216"/>
        </w:trPr>
        <w:tc>
          <w:tcPr>
            <w:tcW w:w="4240" w:type="dxa"/>
            <w:vAlign w:val="bottom"/>
          </w:tcPr>
          <w:p>
            <w:pPr>
              <w:spacing w:after="0"/>
              <w:rPr>
                <w:sz w:val="18"/>
                <w:szCs w:val="18"/>
                <w:color w:val="auto"/>
              </w:rPr>
            </w:pPr>
          </w:p>
        </w:tc>
        <w:tc>
          <w:tcPr>
            <w:tcW w:w="6800" w:type="dxa"/>
            <w:vAlign w:val="bottom"/>
            <w:gridSpan w:val="2"/>
          </w:tcPr>
          <w:p>
            <w:pPr>
              <w:ind w:left="1280"/>
              <w:spacing w:after="0"/>
              <w:rPr>
                <w:sz w:val="20"/>
                <w:szCs w:val="20"/>
                <w:color w:val="auto"/>
              </w:rPr>
            </w:pPr>
            <w:r>
              <w:rPr>
                <w:rFonts w:ascii="Arial" w:cs="Arial" w:eastAsia="Arial" w:hAnsi="Arial"/>
                <w:sz w:val="18"/>
                <w:szCs w:val="18"/>
                <w:color w:val="auto"/>
                <w:w w:val="89"/>
              </w:rPr>
              <w:t>exercise, a holder would be entitled to receive a fractional interest in a share,</w:t>
            </w:r>
          </w:p>
        </w:tc>
      </w:tr>
      <w:tr>
        <w:trPr>
          <w:trHeight w:val="216"/>
        </w:trPr>
        <w:tc>
          <w:tcPr>
            <w:tcW w:w="4240" w:type="dxa"/>
            <w:vAlign w:val="bottom"/>
          </w:tcPr>
          <w:p>
            <w:pPr>
              <w:spacing w:after="0"/>
              <w:rPr>
                <w:sz w:val="18"/>
                <w:szCs w:val="18"/>
                <w:color w:val="auto"/>
              </w:rPr>
            </w:pPr>
          </w:p>
        </w:tc>
        <w:tc>
          <w:tcPr>
            <w:tcW w:w="6800" w:type="dxa"/>
            <w:vAlign w:val="bottom"/>
            <w:gridSpan w:val="2"/>
          </w:tcPr>
          <w:p>
            <w:pPr>
              <w:ind w:left="1280"/>
              <w:spacing w:after="0"/>
              <w:rPr>
                <w:sz w:val="20"/>
                <w:szCs w:val="20"/>
                <w:color w:val="auto"/>
              </w:rPr>
            </w:pPr>
            <w:r>
              <w:rPr>
                <w:rFonts w:ascii="Arial" w:cs="Arial" w:eastAsia="Arial" w:hAnsi="Arial"/>
                <w:sz w:val="18"/>
                <w:szCs w:val="18"/>
                <w:color w:val="auto"/>
                <w:w w:val="93"/>
              </w:rPr>
              <w:t>we will round down to the nearest whole number of the number of Class A</w:t>
            </w:r>
          </w:p>
        </w:tc>
      </w:tr>
      <w:tr>
        <w:trPr>
          <w:trHeight w:val="216"/>
        </w:trPr>
        <w:tc>
          <w:tcPr>
            <w:tcW w:w="4240" w:type="dxa"/>
            <w:vAlign w:val="bottom"/>
          </w:tcPr>
          <w:p>
            <w:pPr>
              <w:spacing w:after="0"/>
              <w:rPr>
                <w:sz w:val="18"/>
                <w:szCs w:val="18"/>
                <w:color w:val="auto"/>
              </w:rPr>
            </w:pPr>
          </w:p>
        </w:tc>
        <w:tc>
          <w:tcPr>
            <w:tcW w:w="6800" w:type="dxa"/>
            <w:vAlign w:val="bottom"/>
            <w:gridSpan w:val="2"/>
          </w:tcPr>
          <w:p>
            <w:pPr>
              <w:ind w:left="1280"/>
              <w:spacing w:after="0"/>
              <w:rPr>
                <w:sz w:val="20"/>
                <w:szCs w:val="20"/>
                <w:color w:val="auto"/>
              </w:rPr>
            </w:pPr>
            <w:r>
              <w:rPr>
                <w:rFonts w:ascii="Arial" w:cs="Arial" w:eastAsia="Arial" w:hAnsi="Arial"/>
                <w:sz w:val="18"/>
                <w:szCs w:val="18"/>
                <w:color w:val="auto"/>
                <w:w w:val="93"/>
              </w:rPr>
              <w:t>ordinary shares to be issued to the holder. Please see the section entitled</w:t>
            </w:r>
          </w:p>
        </w:tc>
      </w:tr>
      <w:tr>
        <w:trPr>
          <w:trHeight w:val="216"/>
        </w:trPr>
        <w:tc>
          <w:tcPr>
            <w:tcW w:w="4240" w:type="dxa"/>
            <w:vAlign w:val="bottom"/>
          </w:tcPr>
          <w:p>
            <w:pPr>
              <w:spacing w:after="0"/>
              <w:rPr>
                <w:sz w:val="18"/>
                <w:szCs w:val="18"/>
                <w:color w:val="auto"/>
              </w:rPr>
            </w:pPr>
          </w:p>
        </w:tc>
        <w:tc>
          <w:tcPr>
            <w:tcW w:w="6800" w:type="dxa"/>
            <w:vAlign w:val="bottom"/>
            <w:gridSpan w:val="2"/>
          </w:tcPr>
          <w:p>
            <w:pPr>
              <w:ind w:left="1280"/>
              <w:spacing w:after="0"/>
              <w:rPr>
                <w:sz w:val="20"/>
                <w:szCs w:val="20"/>
                <w:color w:val="auto"/>
              </w:rPr>
            </w:pPr>
            <w:r>
              <w:rPr>
                <w:rFonts w:ascii="Arial" w:cs="Arial" w:eastAsia="Arial" w:hAnsi="Arial"/>
                <w:sz w:val="18"/>
                <w:szCs w:val="18"/>
                <w:color w:val="auto"/>
                <w:w w:val="94"/>
              </w:rPr>
              <w:t>“Description of Securities—Warrants—Public Shareholders’ Warrants” for</w:t>
            </w:r>
          </w:p>
        </w:tc>
      </w:tr>
      <w:tr>
        <w:trPr>
          <w:trHeight w:val="230"/>
        </w:trPr>
        <w:tc>
          <w:tcPr>
            <w:tcW w:w="4240" w:type="dxa"/>
            <w:vAlign w:val="bottom"/>
          </w:tcPr>
          <w:p>
            <w:pPr>
              <w:spacing w:after="0"/>
              <w:rPr>
                <w:sz w:val="20"/>
                <w:szCs w:val="20"/>
                <w:color w:val="auto"/>
              </w:rPr>
            </w:pPr>
          </w:p>
        </w:tc>
        <w:tc>
          <w:tcPr>
            <w:tcW w:w="6800" w:type="dxa"/>
            <w:vAlign w:val="bottom"/>
            <w:gridSpan w:val="2"/>
          </w:tcPr>
          <w:p>
            <w:pPr>
              <w:ind w:left="1280"/>
              <w:spacing w:after="0"/>
              <w:rPr>
                <w:sz w:val="20"/>
                <w:szCs w:val="20"/>
                <w:color w:val="auto"/>
              </w:rPr>
            </w:pPr>
            <w:r>
              <w:rPr>
                <w:rFonts w:ascii="Arial" w:cs="Arial" w:eastAsia="Arial" w:hAnsi="Arial"/>
                <w:sz w:val="18"/>
                <w:szCs w:val="18"/>
                <w:color w:val="auto"/>
              </w:rPr>
              <w:t>additional information.</w:t>
            </w:r>
          </w:p>
        </w:tc>
      </w:tr>
      <w:tr>
        <w:trPr>
          <w:trHeight w:val="364"/>
        </w:trPr>
        <w:tc>
          <w:tcPr>
            <w:tcW w:w="4240" w:type="dxa"/>
            <w:vAlign w:val="bottom"/>
          </w:tcPr>
          <w:p>
            <w:pPr>
              <w:spacing w:after="0"/>
              <w:rPr>
                <w:sz w:val="20"/>
                <w:szCs w:val="20"/>
                <w:color w:val="auto"/>
              </w:rPr>
            </w:pPr>
            <w:r>
              <w:rPr>
                <w:rFonts w:ascii="Arial" w:cs="Arial" w:eastAsia="Arial" w:hAnsi="Arial"/>
                <w:sz w:val="18"/>
                <w:szCs w:val="18"/>
                <w:color w:val="auto"/>
              </w:rPr>
              <w:t>PIMCO private fund participation in IPO</w:t>
            </w:r>
          </w:p>
        </w:tc>
        <w:tc>
          <w:tcPr>
            <w:tcW w:w="6800" w:type="dxa"/>
            <w:vAlign w:val="bottom"/>
            <w:gridSpan w:val="2"/>
          </w:tcPr>
          <w:p>
            <w:pPr>
              <w:ind w:left="1280"/>
              <w:spacing w:after="0"/>
              <w:rPr>
                <w:sz w:val="20"/>
                <w:szCs w:val="20"/>
                <w:color w:val="auto"/>
              </w:rPr>
            </w:pPr>
            <w:r>
              <w:rPr>
                <w:rFonts w:ascii="Arial" w:cs="Arial" w:eastAsia="Arial" w:hAnsi="Arial"/>
                <w:sz w:val="18"/>
                <w:szCs w:val="18"/>
                <w:color w:val="auto"/>
                <w:w w:val="89"/>
              </w:rPr>
              <w:t>The PIMCO private fund has expressed an intent to purchase, or to have one</w:t>
            </w:r>
          </w:p>
        </w:tc>
      </w:tr>
      <w:tr>
        <w:trPr>
          <w:trHeight w:val="216"/>
        </w:trPr>
        <w:tc>
          <w:tcPr>
            <w:tcW w:w="4240" w:type="dxa"/>
            <w:vAlign w:val="bottom"/>
          </w:tcPr>
          <w:p>
            <w:pPr>
              <w:spacing w:after="0"/>
              <w:rPr>
                <w:sz w:val="18"/>
                <w:szCs w:val="18"/>
                <w:color w:val="auto"/>
              </w:rPr>
            </w:pPr>
          </w:p>
        </w:tc>
        <w:tc>
          <w:tcPr>
            <w:tcW w:w="6800" w:type="dxa"/>
            <w:vAlign w:val="bottom"/>
            <w:gridSpan w:val="2"/>
          </w:tcPr>
          <w:p>
            <w:pPr>
              <w:ind w:left="1280"/>
              <w:spacing w:after="0"/>
              <w:rPr>
                <w:sz w:val="20"/>
                <w:szCs w:val="20"/>
                <w:color w:val="auto"/>
              </w:rPr>
            </w:pPr>
            <w:r>
              <w:rPr>
                <w:rFonts w:ascii="Arial" w:cs="Arial" w:eastAsia="Arial" w:hAnsi="Arial"/>
                <w:sz w:val="18"/>
                <w:szCs w:val="18"/>
                <w:color w:val="auto"/>
                <w:w w:val="94"/>
              </w:rPr>
              <w:t>or more of its affiliates purchase, up to an aggregate of 2,475,000 units in</w:t>
            </w:r>
          </w:p>
        </w:tc>
      </w:tr>
      <w:tr>
        <w:trPr>
          <w:trHeight w:val="216"/>
        </w:trPr>
        <w:tc>
          <w:tcPr>
            <w:tcW w:w="4240" w:type="dxa"/>
            <w:vAlign w:val="bottom"/>
          </w:tcPr>
          <w:p>
            <w:pPr>
              <w:spacing w:after="0"/>
              <w:rPr>
                <w:sz w:val="18"/>
                <w:szCs w:val="18"/>
                <w:color w:val="auto"/>
              </w:rPr>
            </w:pPr>
          </w:p>
        </w:tc>
        <w:tc>
          <w:tcPr>
            <w:tcW w:w="6800" w:type="dxa"/>
            <w:vAlign w:val="bottom"/>
            <w:gridSpan w:val="2"/>
          </w:tcPr>
          <w:p>
            <w:pPr>
              <w:ind w:left="1280"/>
              <w:spacing w:after="0"/>
              <w:rPr>
                <w:sz w:val="20"/>
                <w:szCs w:val="20"/>
                <w:color w:val="auto"/>
              </w:rPr>
            </w:pPr>
            <w:r>
              <w:rPr>
                <w:rFonts w:ascii="Arial" w:cs="Arial" w:eastAsia="Arial" w:hAnsi="Arial"/>
                <w:sz w:val="18"/>
                <w:szCs w:val="18"/>
                <w:color w:val="auto"/>
                <w:w w:val="94"/>
              </w:rPr>
              <w:t>this offering at the public offering price. Because this indication of interest</w:t>
            </w:r>
          </w:p>
        </w:tc>
      </w:tr>
      <w:tr>
        <w:trPr>
          <w:trHeight w:val="216"/>
        </w:trPr>
        <w:tc>
          <w:tcPr>
            <w:tcW w:w="4240" w:type="dxa"/>
            <w:vAlign w:val="bottom"/>
          </w:tcPr>
          <w:p>
            <w:pPr>
              <w:spacing w:after="0"/>
              <w:rPr>
                <w:sz w:val="18"/>
                <w:szCs w:val="18"/>
                <w:color w:val="auto"/>
              </w:rPr>
            </w:pPr>
          </w:p>
        </w:tc>
        <w:tc>
          <w:tcPr>
            <w:tcW w:w="6800" w:type="dxa"/>
            <w:vAlign w:val="bottom"/>
            <w:gridSpan w:val="2"/>
          </w:tcPr>
          <w:p>
            <w:pPr>
              <w:ind w:left="1280"/>
              <w:spacing w:after="0"/>
              <w:rPr>
                <w:sz w:val="20"/>
                <w:szCs w:val="20"/>
                <w:color w:val="auto"/>
              </w:rPr>
            </w:pPr>
            <w:r>
              <w:rPr>
                <w:rFonts w:ascii="Arial" w:cs="Arial" w:eastAsia="Arial" w:hAnsi="Arial"/>
                <w:sz w:val="18"/>
                <w:szCs w:val="18"/>
                <w:color w:val="auto"/>
                <w:w w:val="91"/>
              </w:rPr>
              <w:t>is not a binding agreement or a commitment to purchase, such entities may</w:t>
            </w:r>
          </w:p>
        </w:tc>
      </w:tr>
      <w:tr>
        <w:trPr>
          <w:trHeight w:val="216"/>
        </w:trPr>
        <w:tc>
          <w:tcPr>
            <w:tcW w:w="4240" w:type="dxa"/>
            <w:vAlign w:val="bottom"/>
          </w:tcPr>
          <w:p>
            <w:pPr>
              <w:spacing w:after="0"/>
              <w:rPr>
                <w:sz w:val="18"/>
                <w:szCs w:val="18"/>
                <w:color w:val="auto"/>
              </w:rPr>
            </w:pPr>
          </w:p>
        </w:tc>
        <w:tc>
          <w:tcPr>
            <w:tcW w:w="6800" w:type="dxa"/>
            <w:vAlign w:val="bottom"/>
            <w:gridSpan w:val="2"/>
          </w:tcPr>
          <w:p>
            <w:pPr>
              <w:ind w:left="1280"/>
              <w:spacing w:after="0"/>
              <w:rPr>
                <w:sz w:val="20"/>
                <w:szCs w:val="20"/>
                <w:color w:val="auto"/>
              </w:rPr>
            </w:pPr>
            <w:r>
              <w:rPr>
                <w:rFonts w:ascii="Arial" w:cs="Arial" w:eastAsia="Arial" w:hAnsi="Arial"/>
                <w:sz w:val="18"/>
                <w:szCs w:val="18"/>
                <w:color w:val="auto"/>
                <w:w w:val="93"/>
              </w:rPr>
              <w:t>elect to purchase fewer or no units in this offering, or the underwriters may</w:t>
            </w:r>
          </w:p>
        </w:tc>
      </w:tr>
      <w:tr>
        <w:trPr>
          <w:trHeight w:val="216"/>
        </w:trPr>
        <w:tc>
          <w:tcPr>
            <w:tcW w:w="4240" w:type="dxa"/>
            <w:vAlign w:val="bottom"/>
          </w:tcPr>
          <w:p>
            <w:pPr>
              <w:spacing w:after="0"/>
              <w:rPr>
                <w:sz w:val="18"/>
                <w:szCs w:val="18"/>
                <w:color w:val="auto"/>
              </w:rPr>
            </w:pPr>
          </w:p>
        </w:tc>
        <w:tc>
          <w:tcPr>
            <w:tcW w:w="6800" w:type="dxa"/>
            <w:vAlign w:val="bottom"/>
            <w:gridSpan w:val="2"/>
          </w:tcPr>
          <w:p>
            <w:pPr>
              <w:ind w:left="1280"/>
              <w:spacing w:after="0"/>
              <w:rPr>
                <w:sz w:val="20"/>
                <w:szCs w:val="20"/>
                <w:color w:val="auto"/>
              </w:rPr>
            </w:pPr>
            <w:r>
              <w:rPr>
                <w:rFonts w:ascii="Arial" w:cs="Arial" w:eastAsia="Arial" w:hAnsi="Arial"/>
                <w:sz w:val="18"/>
                <w:szCs w:val="18"/>
                <w:color w:val="auto"/>
              </w:rPr>
              <w:t>elect to sell fewer or no units in this offering to such entities. The</w:t>
            </w:r>
          </w:p>
        </w:tc>
      </w:tr>
      <w:tr>
        <w:trPr>
          <w:trHeight w:val="216"/>
        </w:trPr>
        <w:tc>
          <w:tcPr>
            <w:tcW w:w="4240" w:type="dxa"/>
            <w:vAlign w:val="bottom"/>
          </w:tcPr>
          <w:p>
            <w:pPr>
              <w:spacing w:after="0"/>
              <w:rPr>
                <w:sz w:val="18"/>
                <w:szCs w:val="18"/>
                <w:color w:val="auto"/>
              </w:rPr>
            </w:pPr>
          </w:p>
        </w:tc>
        <w:tc>
          <w:tcPr>
            <w:tcW w:w="6800" w:type="dxa"/>
            <w:vAlign w:val="bottom"/>
            <w:gridSpan w:val="2"/>
          </w:tcPr>
          <w:p>
            <w:pPr>
              <w:ind w:left="1280"/>
              <w:spacing w:after="0"/>
              <w:rPr>
                <w:sz w:val="20"/>
                <w:szCs w:val="20"/>
                <w:color w:val="auto"/>
              </w:rPr>
            </w:pPr>
            <w:r>
              <w:rPr>
                <w:rFonts w:ascii="Arial" w:cs="Arial" w:eastAsia="Arial" w:hAnsi="Arial"/>
                <w:sz w:val="18"/>
                <w:szCs w:val="18"/>
                <w:color w:val="auto"/>
              </w:rPr>
              <w:t>underwriters will not receive any upfront underwriting discount or</w:t>
            </w:r>
          </w:p>
        </w:tc>
      </w:tr>
      <w:tr>
        <w:trPr>
          <w:trHeight w:val="216"/>
        </w:trPr>
        <w:tc>
          <w:tcPr>
            <w:tcW w:w="4240" w:type="dxa"/>
            <w:vAlign w:val="bottom"/>
          </w:tcPr>
          <w:p>
            <w:pPr>
              <w:spacing w:after="0"/>
              <w:rPr>
                <w:sz w:val="18"/>
                <w:szCs w:val="18"/>
                <w:color w:val="auto"/>
              </w:rPr>
            </w:pPr>
          </w:p>
        </w:tc>
        <w:tc>
          <w:tcPr>
            <w:tcW w:w="6800" w:type="dxa"/>
            <w:vAlign w:val="bottom"/>
            <w:gridSpan w:val="2"/>
          </w:tcPr>
          <w:p>
            <w:pPr>
              <w:ind w:left="1280"/>
              <w:spacing w:after="0"/>
              <w:rPr>
                <w:sz w:val="20"/>
                <w:szCs w:val="20"/>
                <w:color w:val="auto"/>
              </w:rPr>
            </w:pPr>
            <w:r>
              <w:rPr>
                <w:rFonts w:ascii="Arial" w:cs="Arial" w:eastAsia="Arial" w:hAnsi="Arial"/>
                <w:sz w:val="18"/>
                <w:szCs w:val="18"/>
                <w:color w:val="auto"/>
                <w:w w:val="91"/>
              </w:rPr>
              <w:t>commissions on any such units purchased by the PIMCO private fund or its</w:t>
            </w:r>
          </w:p>
        </w:tc>
      </w:tr>
      <w:tr>
        <w:trPr>
          <w:trHeight w:val="216"/>
        </w:trPr>
        <w:tc>
          <w:tcPr>
            <w:tcW w:w="4240" w:type="dxa"/>
            <w:vAlign w:val="bottom"/>
          </w:tcPr>
          <w:p>
            <w:pPr>
              <w:spacing w:after="0"/>
              <w:rPr>
                <w:sz w:val="18"/>
                <w:szCs w:val="18"/>
                <w:color w:val="auto"/>
              </w:rPr>
            </w:pPr>
          </w:p>
        </w:tc>
        <w:tc>
          <w:tcPr>
            <w:tcW w:w="6800" w:type="dxa"/>
            <w:vAlign w:val="bottom"/>
            <w:gridSpan w:val="2"/>
          </w:tcPr>
          <w:p>
            <w:pPr>
              <w:ind w:left="1280"/>
              <w:spacing w:after="0"/>
              <w:rPr>
                <w:sz w:val="20"/>
                <w:szCs w:val="20"/>
                <w:color w:val="auto"/>
              </w:rPr>
            </w:pPr>
            <w:r>
              <w:rPr>
                <w:rFonts w:ascii="Arial" w:cs="Arial" w:eastAsia="Arial" w:hAnsi="Arial"/>
                <w:sz w:val="18"/>
                <w:szCs w:val="18"/>
                <w:color w:val="auto"/>
                <w:w w:val="92"/>
              </w:rPr>
              <w:t>affiliates but will receive deferred underwriting commissions with respect to</w:t>
            </w:r>
          </w:p>
        </w:tc>
      </w:tr>
      <w:tr>
        <w:trPr>
          <w:trHeight w:val="216"/>
        </w:trPr>
        <w:tc>
          <w:tcPr>
            <w:tcW w:w="4240" w:type="dxa"/>
            <w:vAlign w:val="bottom"/>
          </w:tcPr>
          <w:p>
            <w:pPr>
              <w:spacing w:after="0"/>
              <w:rPr>
                <w:sz w:val="18"/>
                <w:szCs w:val="18"/>
                <w:color w:val="auto"/>
              </w:rPr>
            </w:pPr>
          </w:p>
        </w:tc>
        <w:tc>
          <w:tcPr>
            <w:tcW w:w="6800" w:type="dxa"/>
            <w:vAlign w:val="bottom"/>
            <w:gridSpan w:val="2"/>
          </w:tcPr>
          <w:p>
            <w:pPr>
              <w:ind w:left="1280"/>
              <w:spacing w:after="0"/>
              <w:rPr>
                <w:sz w:val="20"/>
                <w:szCs w:val="20"/>
                <w:color w:val="auto"/>
              </w:rPr>
            </w:pPr>
            <w:r>
              <w:rPr>
                <w:rFonts w:ascii="Arial" w:cs="Arial" w:eastAsia="Arial" w:hAnsi="Arial"/>
                <w:sz w:val="18"/>
                <w:szCs w:val="18"/>
                <w:color w:val="auto"/>
                <w:w w:val="93"/>
              </w:rPr>
              <w:t>such units, and these units (and their constituent shares and warrants) will</w:t>
            </w:r>
          </w:p>
        </w:tc>
      </w:tr>
      <w:tr>
        <w:trPr>
          <w:trHeight w:val="216"/>
        </w:trPr>
        <w:tc>
          <w:tcPr>
            <w:tcW w:w="4240" w:type="dxa"/>
            <w:vAlign w:val="bottom"/>
          </w:tcPr>
          <w:p>
            <w:pPr>
              <w:spacing w:after="0"/>
              <w:rPr>
                <w:sz w:val="18"/>
                <w:szCs w:val="18"/>
                <w:color w:val="auto"/>
              </w:rPr>
            </w:pPr>
          </w:p>
        </w:tc>
        <w:tc>
          <w:tcPr>
            <w:tcW w:w="6800" w:type="dxa"/>
            <w:vAlign w:val="bottom"/>
            <w:gridSpan w:val="2"/>
          </w:tcPr>
          <w:p>
            <w:pPr>
              <w:ind w:left="1280"/>
              <w:spacing w:after="0"/>
              <w:rPr>
                <w:sz w:val="20"/>
                <w:szCs w:val="20"/>
                <w:color w:val="auto"/>
              </w:rPr>
            </w:pPr>
            <w:r>
              <w:rPr>
                <w:rFonts w:ascii="Arial" w:cs="Arial" w:eastAsia="Arial" w:hAnsi="Arial"/>
                <w:sz w:val="18"/>
                <w:szCs w:val="18"/>
                <w:color w:val="auto"/>
                <w:w w:val="90"/>
              </w:rPr>
              <w:t>not be subject to the restrictions on transfer applicable to the founder shares</w:t>
            </w:r>
          </w:p>
        </w:tc>
      </w:tr>
      <w:tr>
        <w:trPr>
          <w:trHeight w:val="216"/>
        </w:trPr>
        <w:tc>
          <w:tcPr>
            <w:tcW w:w="4240" w:type="dxa"/>
            <w:vAlign w:val="bottom"/>
          </w:tcPr>
          <w:p>
            <w:pPr>
              <w:spacing w:after="0"/>
              <w:rPr>
                <w:sz w:val="18"/>
                <w:szCs w:val="18"/>
                <w:color w:val="auto"/>
              </w:rPr>
            </w:pPr>
          </w:p>
        </w:tc>
        <w:tc>
          <w:tcPr>
            <w:tcW w:w="6800" w:type="dxa"/>
            <w:vAlign w:val="bottom"/>
            <w:gridSpan w:val="2"/>
          </w:tcPr>
          <w:p>
            <w:pPr>
              <w:ind w:left="1280"/>
              <w:spacing w:after="0"/>
              <w:rPr>
                <w:sz w:val="20"/>
                <w:szCs w:val="20"/>
                <w:color w:val="auto"/>
              </w:rPr>
            </w:pPr>
            <w:r>
              <w:rPr>
                <w:rFonts w:ascii="Arial" w:cs="Arial" w:eastAsia="Arial" w:hAnsi="Arial"/>
                <w:sz w:val="18"/>
                <w:szCs w:val="18"/>
                <w:color w:val="auto"/>
              </w:rPr>
              <w:t>and private placement warrants as described below under “Transfer</w:t>
            </w:r>
          </w:p>
        </w:tc>
      </w:tr>
      <w:tr>
        <w:trPr>
          <w:trHeight w:val="216"/>
        </w:trPr>
        <w:tc>
          <w:tcPr>
            <w:tcW w:w="4240" w:type="dxa"/>
            <w:vAlign w:val="bottom"/>
          </w:tcPr>
          <w:p>
            <w:pPr>
              <w:spacing w:after="0"/>
              <w:rPr>
                <w:sz w:val="18"/>
                <w:szCs w:val="18"/>
                <w:color w:val="auto"/>
              </w:rPr>
            </w:pPr>
          </w:p>
        </w:tc>
        <w:tc>
          <w:tcPr>
            <w:tcW w:w="6800" w:type="dxa"/>
            <w:vAlign w:val="bottom"/>
            <w:gridSpan w:val="2"/>
          </w:tcPr>
          <w:p>
            <w:pPr>
              <w:ind w:left="1280"/>
              <w:spacing w:after="0"/>
              <w:rPr>
                <w:sz w:val="20"/>
                <w:szCs w:val="20"/>
                <w:color w:val="auto"/>
              </w:rPr>
            </w:pPr>
            <w:r>
              <w:rPr>
                <w:rFonts w:ascii="Arial" w:cs="Arial" w:eastAsia="Arial" w:hAnsi="Arial"/>
                <w:sz w:val="18"/>
                <w:szCs w:val="18"/>
                <w:color w:val="auto"/>
              </w:rPr>
              <w:t>restrictions on founder shares” and “Transfer restrictions on private</w:t>
            </w:r>
          </w:p>
        </w:tc>
      </w:tr>
      <w:tr>
        <w:trPr>
          <w:trHeight w:val="230"/>
        </w:trPr>
        <w:tc>
          <w:tcPr>
            <w:tcW w:w="4240" w:type="dxa"/>
            <w:vAlign w:val="bottom"/>
          </w:tcPr>
          <w:p>
            <w:pPr>
              <w:spacing w:after="0"/>
              <w:rPr>
                <w:sz w:val="20"/>
                <w:szCs w:val="20"/>
                <w:color w:val="auto"/>
              </w:rPr>
            </w:pPr>
          </w:p>
        </w:tc>
        <w:tc>
          <w:tcPr>
            <w:tcW w:w="6800" w:type="dxa"/>
            <w:vAlign w:val="bottom"/>
            <w:gridSpan w:val="2"/>
          </w:tcPr>
          <w:p>
            <w:pPr>
              <w:ind w:left="1280"/>
              <w:spacing w:after="0"/>
              <w:rPr>
                <w:sz w:val="20"/>
                <w:szCs w:val="20"/>
                <w:color w:val="auto"/>
              </w:rPr>
            </w:pPr>
            <w:r>
              <w:rPr>
                <w:rFonts w:ascii="Arial" w:cs="Arial" w:eastAsia="Arial" w:hAnsi="Arial"/>
                <w:sz w:val="18"/>
                <w:szCs w:val="18"/>
                <w:color w:val="auto"/>
              </w:rPr>
              <w:t>placement warrants”.</w:t>
            </w:r>
          </w:p>
        </w:tc>
      </w:tr>
      <w:tr>
        <w:trPr>
          <w:trHeight w:val="364"/>
        </w:trPr>
        <w:tc>
          <w:tcPr>
            <w:tcW w:w="4240" w:type="dxa"/>
            <w:vAlign w:val="bottom"/>
          </w:tcPr>
          <w:p>
            <w:pPr>
              <w:spacing w:after="0"/>
              <w:rPr>
                <w:sz w:val="20"/>
                <w:szCs w:val="20"/>
                <w:color w:val="auto"/>
              </w:rPr>
            </w:pPr>
            <w:r>
              <w:rPr>
                <w:rFonts w:ascii="Arial" w:cs="Arial" w:eastAsia="Arial" w:hAnsi="Arial"/>
                <w:sz w:val="18"/>
                <w:szCs w:val="18"/>
                <w:color w:val="auto"/>
              </w:rPr>
              <w:t>Founder shares</w:t>
            </w:r>
          </w:p>
        </w:tc>
        <w:tc>
          <w:tcPr>
            <w:tcW w:w="6800" w:type="dxa"/>
            <w:vAlign w:val="bottom"/>
            <w:gridSpan w:val="2"/>
          </w:tcPr>
          <w:p>
            <w:pPr>
              <w:ind w:left="1280"/>
              <w:spacing w:after="0"/>
              <w:rPr>
                <w:sz w:val="20"/>
                <w:szCs w:val="20"/>
                <w:color w:val="auto"/>
              </w:rPr>
            </w:pPr>
            <w:r>
              <w:rPr>
                <w:rFonts w:ascii="Arial" w:cs="Arial" w:eastAsia="Arial" w:hAnsi="Arial"/>
                <w:sz w:val="18"/>
                <w:szCs w:val="18"/>
                <w:color w:val="auto"/>
                <w:w w:val="89"/>
              </w:rPr>
              <w:t>On December 30, 2020, we issued to our sponsor an aggregate of 7,187,500</w:t>
            </w:r>
          </w:p>
        </w:tc>
      </w:tr>
      <w:tr>
        <w:trPr>
          <w:trHeight w:val="216"/>
        </w:trPr>
        <w:tc>
          <w:tcPr>
            <w:tcW w:w="4240" w:type="dxa"/>
            <w:vAlign w:val="bottom"/>
          </w:tcPr>
          <w:p>
            <w:pPr>
              <w:spacing w:after="0"/>
              <w:rPr>
                <w:sz w:val="18"/>
                <w:szCs w:val="18"/>
                <w:color w:val="auto"/>
              </w:rPr>
            </w:pPr>
          </w:p>
        </w:tc>
        <w:tc>
          <w:tcPr>
            <w:tcW w:w="6800" w:type="dxa"/>
            <w:vAlign w:val="bottom"/>
            <w:gridSpan w:val="2"/>
          </w:tcPr>
          <w:p>
            <w:pPr>
              <w:ind w:left="1280"/>
              <w:spacing w:after="0"/>
              <w:rPr>
                <w:sz w:val="20"/>
                <w:szCs w:val="20"/>
                <w:color w:val="auto"/>
              </w:rPr>
            </w:pPr>
            <w:r>
              <w:rPr>
                <w:rFonts w:ascii="Arial" w:cs="Arial" w:eastAsia="Arial" w:hAnsi="Arial"/>
                <w:sz w:val="18"/>
                <w:szCs w:val="18"/>
                <w:color w:val="auto"/>
              </w:rPr>
              <w:t>founder shares in exchange for a capital contribution of $25,000, or</w:t>
            </w:r>
          </w:p>
        </w:tc>
      </w:tr>
      <w:tr>
        <w:trPr>
          <w:trHeight w:val="230"/>
        </w:trPr>
        <w:tc>
          <w:tcPr>
            <w:tcW w:w="4240" w:type="dxa"/>
            <w:vAlign w:val="bottom"/>
          </w:tcPr>
          <w:p>
            <w:pPr>
              <w:spacing w:after="0"/>
              <w:rPr>
                <w:sz w:val="20"/>
                <w:szCs w:val="20"/>
                <w:color w:val="auto"/>
              </w:rPr>
            </w:pPr>
          </w:p>
        </w:tc>
        <w:tc>
          <w:tcPr>
            <w:tcW w:w="6800" w:type="dxa"/>
            <w:vAlign w:val="bottom"/>
            <w:gridSpan w:val="2"/>
          </w:tcPr>
          <w:p>
            <w:pPr>
              <w:ind w:left="1280"/>
              <w:spacing w:after="0"/>
              <w:rPr>
                <w:sz w:val="20"/>
                <w:szCs w:val="20"/>
                <w:color w:val="auto"/>
              </w:rPr>
            </w:pPr>
            <w:r>
              <w:rPr>
                <w:rFonts w:ascii="Arial" w:cs="Arial" w:eastAsia="Arial" w:hAnsi="Arial"/>
                <w:sz w:val="18"/>
                <w:szCs w:val="18"/>
                <w:color w:val="auto"/>
                <w:w w:val="91"/>
              </w:rPr>
              <w:t>approximately $0.003 per share, to cover certain offering costs. Prior to this</w:t>
            </w:r>
          </w:p>
        </w:tc>
      </w:tr>
    </w:tbl>
    <w:p>
      <w:pPr>
        <w:ind w:left="55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206375</wp:posOffset>
            </wp:positionH>
            <wp:positionV relativeFrom="page">
              <wp:posOffset>378460</wp:posOffset>
            </wp:positionV>
            <wp:extent cx="7136130" cy="78390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6130" cy="7839075"/>
                    </a:xfrm>
                    <a:prstGeom prst="rect">
                      <a:avLst/>
                    </a:prstGeom>
                    <a:noFill/>
                  </pic:spPr>
                </pic:pic>
              </a:graphicData>
            </a:graphic>
          </wp:anchor>
        </w:drawing>
        <w:t>offering, our sponsor intends to transfer 25,000 of our founder shares to</w:t>
      </w:r>
    </w:p>
    <w:p>
      <w:pPr>
        <w:spacing w:after="0" w:line="21" w:lineRule="exact"/>
        <w:rPr>
          <w:sz w:val="20"/>
          <w:szCs w:val="20"/>
          <w:color w:val="auto"/>
        </w:rPr>
      </w:pPr>
    </w:p>
    <w:p>
      <w:pPr>
        <w:ind w:left="5520"/>
        <w:spacing w:after="0"/>
        <w:rPr>
          <w:sz w:val="20"/>
          <w:szCs w:val="20"/>
          <w:color w:val="auto"/>
        </w:rPr>
      </w:pPr>
      <w:r>
        <w:rPr>
          <w:rFonts w:ascii="Arial" w:cs="Arial" w:eastAsia="Arial" w:hAnsi="Arial"/>
          <w:sz w:val="16"/>
          <w:szCs w:val="16"/>
          <w:color w:val="auto"/>
        </w:rPr>
        <w:t>each of our three independent directors and an aggregate of up to 62,500 of</w:t>
      </w:r>
    </w:p>
    <w:p>
      <w:pPr>
        <w:spacing w:after="0" w:line="32" w:lineRule="exact"/>
        <w:rPr>
          <w:sz w:val="20"/>
          <w:szCs w:val="20"/>
          <w:color w:val="auto"/>
        </w:rPr>
      </w:pPr>
    </w:p>
    <w:p>
      <w:pPr>
        <w:ind w:left="5520"/>
        <w:spacing w:after="0"/>
        <w:rPr>
          <w:sz w:val="20"/>
          <w:szCs w:val="20"/>
          <w:color w:val="auto"/>
        </w:rPr>
      </w:pPr>
      <w:r>
        <w:rPr>
          <w:rFonts w:ascii="Arial" w:cs="Arial" w:eastAsia="Arial" w:hAnsi="Arial"/>
          <w:sz w:val="16"/>
          <w:szCs w:val="16"/>
          <w:color w:val="auto"/>
        </w:rPr>
        <w:t>our founder shares to certain employees. These 137,500 shares will not be</w:t>
      </w:r>
    </w:p>
    <w:p>
      <w:pPr>
        <w:spacing w:after="0" w:line="32" w:lineRule="exact"/>
        <w:rPr>
          <w:sz w:val="20"/>
          <w:szCs w:val="20"/>
          <w:color w:val="auto"/>
        </w:rPr>
      </w:pPr>
    </w:p>
    <w:p>
      <w:pPr>
        <w:ind w:left="5520"/>
        <w:spacing w:after="0"/>
        <w:rPr>
          <w:sz w:val="20"/>
          <w:szCs w:val="20"/>
          <w:color w:val="auto"/>
        </w:rPr>
      </w:pPr>
      <w:r>
        <w:rPr>
          <w:rFonts w:ascii="Arial" w:cs="Arial" w:eastAsia="Arial" w:hAnsi="Arial"/>
          <w:sz w:val="17"/>
          <w:szCs w:val="17"/>
          <w:color w:val="auto"/>
        </w:rPr>
        <w:t>subject to forfeiture in the event the underwriters’ over-allotment option is</w:t>
      </w:r>
    </w:p>
    <w:p>
      <w:pPr>
        <w:spacing w:after="0" w:line="21"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not exercised.</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23495</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40"/>
          </w:cols>
          <w:pgMar w:left="420" w:top="976" w:right="439" w:bottom="1440" w:gutter="0" w:footer="0" w:header="0"/>
        </w:sectPr>
      </w:pPr>
    </w:p>
    <w:bookmarkStart w:id="20" w:name="page21"/>
    <w:bookmarkEnd w:id="20"/>
    <w:p>
      <w:pPr>
        <w:ind w:left="4500"/>
        <w:spacing w:after="0" w:line="26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206375</wp:posOffset>
            </wp:positionH>
            <wp:positionV relativeFrom="page">
              <wp:posOffset>378460</wp:posOffset>
            </wp:positionV>
            <wp:extent cx="7136130" cy="663067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6130" cy="6630670"/>
                    </a:xfrm>
                    <a:prstGeom prst="rect">
                      <a:avLst/>
                    </a:prstGeom>
                    <a:noFill/>
                  </pic:spPr>
                </pic:pic>
              </a:graphicData>
            </a:graphic>
          </wp:anchor>
        </w:drawing>
        <w:t>Prior to the initial investment in the company of $25,000 by the sponsor, the company had no assets, tangible or intangible. The per-share price of the founder shares was determined by dividing the amount of cash contributed to the company by the number of founder shares issued. The number of founder shares outstanding was determined based on the expectation that the total size of this offering would be a maximum of 28,750,000 units if the underwriters’ over-allotment option is exercised in full, and therefore that such founder shares would represent 20% of the outstanding shares after this offering. If we increase or decrease the size of this offering, we will effect a capitalization or share repurchase or redemption or other appropriate mechanism, as applicable, with respect to our founder shares immediately prior to the consummation of this offering in such amount as to maintain the number of founder shares at 20% of our issued and outstanding ordinary shares upon the consummation of this offering. Up to 937,500 of the founder shares may be surrendered by our sponsor for no consideration depending on the extent to which the underwriters’ over-allotment option is not exercised.</w:t>
      </w:r>
    </w:p>
    <w:p>
      <w:pPr>
        <w:spacing w:after="0" w:line="137" w:lineRule="exact"/>
        <w:rPr>
          <w:sz w:val="20"/>
          <w:szCs w:val="20"/>
          <w:color w:val="auto"/>
        </w:rPr>
      </w:pPr>
    </w:p>
    <w:p>
      <w:pPr>
        <w:ind w:left="4500" w:right="160"/>
        <w:spacing w:after="0" w:line="277" w:lineRule="auto"/>
        <w:rPr>
          <w:sz w:val="20"/>
          <w:szCs w:val="20"/>
          <w:color w:val="auto"/>
        </w:rPr>
      </w:pPr>
      <w:r>
        <w:rPr>
          <w:rFonts w:ascii="Arial" w:cs="Arial" w:eastAsia="Arial" w:hAnsi="Arial"/>
          <w:sz w:val="18"/>
          <w:szCs w:val="18"/>
          <w:color w:val="auto"/>
        </w:rPr>
        <w:t>The founder shares are identical to the Class A ordinary shares included in the units being sold in this offering, except that:</w:t>
      </w:r>
    </w:p>
    <w:p>
      <w:pPr>
        <w:spacing w:after="0" w:line="116" w:lineRule="exact"/>
        <w:rPr>
          <w:sz w:val="20"/>
          <w:szCs w:val="20"/>
          <w:color w:val="auto"/>
        </w:rPr>
      </w:pPr>
    </w:p>
    <w:p>
      <w:pPr>
        <w:ind w:left="4660" w:right="120" w:hanging="161"/>
        <w:spacing w:after="0" w:line="286" w:lineRule="auto"/>
        <w:tabs>
          <w:tab w:leader="none" w:pos="4633" w:val="left"/>
        </w:tabs>
        <w:numPr>
          <w:ilvl w:val="0"/>
          <w:numId w:val="9"/>
        </w:numPr>
        <w:rPr>
          <w:rFonts w:ascii="Arial" w:cs="Arial" w:eastAsia="Arial" w:hAnsi="Arial"/>
          <w:sz w:val="17"/>
          <w:szCs w:val="17"/>
          <w:color w:val="auto"/>
        </w:rPr>
      </w:pPr>
      <w:r>
        <w:rPr>
          <w:rFonts w:ascii="Arial" w:cs="Arial" w:eastAsia="Arial" w:hAnsi="Arial"/>
          <w:sz w:val="17"/>
          <w:szCs w:val="17"/>
          <w:color w:val="auto"/>
        </w:rPr>
        <w:t>only holders of Class B ordinary shares will have the right to appoint and remove directors in any general meeting held prior to or in connection with the completion of our initial business combination;</w:t>
      </w:r>
    </w:p>
    <w:p>
      <w:pPr>
        <w:spacing w:after="0" w:line="111" w:lineRule="exact"/>
        <w:rPr>
          <w:rFonts w:ascii="Arial" w:cs="Arial" w:eastAsia="Arial" w:hAnsi="Arial"/>
          <w:sz w:val="17"/>
          <w:szCs w:val="17"/>
          <w:color w:val="auto"/>
        </w:rPr>
      </w:pPr>
    </w:p>
    <w:p>
      <w:pPr>
        <w:ind w:left="4660" w:right="120" w:hanging="161"/>
        <w:spacing w:after="0" w:line="277" w:lineRule="auto"/>
        <w:tabs>
          <w:tab w:leader="none" w:pos="4633"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founder shares are subject to certain transfer restrictions, as described in more detail below;</w:t>
      </w:r>
    </w:p>
    <w:p>
      <w:pPr>
        <w:spacing w:after="0" w:line="116" w:lineRule="exact"/>
        <w:rPr>
          <w:rFonts w:ascii="Arial" w:cs="Arial" w:eastAsia="Arial" w:hAnsi="Arial"/>
          <w:sz w:val="18"/>
          <w:szCs w:val="18"/>
          <w:color w:val="auto"/>
        </w:rPr>
      </w:pPr>
    </w:p>
    <w:p>
      <w:pPr>
        <w:ind w:left="4640" w:hanging="141"/>
        <w:spacing w:after="0"/>
        <w:tabs>
          <w:tab w:leader="none" w:pos="4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founder shares are entitled to registration rights;</w:t>
      </w:r>
    </w:p>
    <w:p>
      <w:pPr>
        <w:spacing w:after="0" w:line="171" w:lineRule="exact"/>
        <w:rPr>
          <w:rFonts w:ascii="Arial" w:cs="Arial" w:eastAsia="Arial" w:hAnsi="Arial"/>
          <w:sz w:val="18"/>
          <w:szCs w:val="18"/>
          <w:color w:val="auto"/>
        </w:rPr>
      </w:pPr>
    </w:p>
    <w:p>
      <w:pPr>
        <w:ind w:left="4660" w:right="60" w:hanging="161"/>
        <w:spacing w:after="0" w:line="285" w:lineRule="auto"/>
        <w:tabs>
          <w:tab w:leader="none" w:pos="4633" w:val="left"/>
        </w:tabs>
        <w:numPr>
          <w:ilvl w:val="0"/>
          <w:numId w:val="9"/>
        </w:numPr>
        <w:rPr>
          <w:rFonts w:ascii="Arial" w:cs="Arial" w:eastAsia="Arial" w:hAnsi="Arial"/>
          <w:sz w:val="16"/>
          <w:szCs w:val="16"/>
          <w:color w:val="auto"/>
        </w:rPr>
      </w:pPr>
      <w:r>
        <w:rPr>
          <w:rFonts w:ascii="Arial" w:cs="Arial" w:eastAsia="Arial" w:hAnsi="Arial"/>
          <w:sz w:val="16"/>
          <w:szCs w:val="16"/>
          <w:color w:val="auto"/>
        </w:rPr>
        <w:t>our initial shareholders, sponsor, officers and directors have entered into a letter agreement with us, pursuant to which they have agreed to (i) waive their redemption rights with respect to any founder shares and public shares held by them in connection with the completion of our initial business combination; (ii) waive their redemption rights with respect to any founder shares and public shares held by them in connection with a shareholder vote to amend our amended and restated memorandum and articles of association (A) to modify the substance or timing of our obligation to allow redemption in connection with our initial business combination or to redeem 100% of our public shares if we have not consummated an initial business combination within 24 months from the closing of this offering or (B) with respect to any other material provisions relating to shareholders’ rights or pre-initial business combination activity; (iii) waive their rights to liquidating distributions from the trust account with respect to any founder shares held by them if we fail to complete our initial business combination within</w:t>
      </w:r>
    </w:p>
    <w:p>
      <w:pPr>
        <w:spacing w:after="0" w:line="200" w:lineRule="exact"/>
        <w:rPr>
          <w:sz w:val="20"/>
          <w:szCs w:val="20"/>
          <w:color w:val="auto"/>
        </w:rPr>
      </w:pPr>
    </w:p>
    <w:p>
      <w:pPr>
        <w:spacing w:after="0" w:line="246"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23495</wp:posOffset>
            </wp:positionV>
            <wp:extent cx="71323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020"/>
          </w:cols>
          <w:pgMar w:left="1440" w:top="976" w:right="439" w:bottom="1440" w:gutter="0" w:footer="0" w:header="0"/>
        </w:sectPr>
      </w:pPr>
    </w:p>
    <w:bookmarkStart w:id="21" w:name="page22"/>
    <w:bookmarkEnd w:id="21"/>
    <w:p>
      <w:pPr>
        <w:ind w:left="578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206375</wp:posOffset>
            </wp:positionH>
            <wp:positionV relativeFrom="page">
              <wp:posOffset>378460</wp:posOffset>
            </wp:positionV>
            <wp:extent cx="7136130" cy="65703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6130" cy="6570345"/>
                    </a:xfrm>
                    <a:prstGeom prst="rect">
                      <a:avLst/>
                    </a:prstGeom>
                    <a:noFill/>
                  </pic:spPr>
                </pic:pic>
              </a:graphicData>
            </a:graphic>
          </wp:anchor>
        </w:drawing>
        <w:t>24 months from the closing of this offering or during any extended time</w:t>
      </w:r>
    </w:p>
    <w:p>
      <w:pPr>
        <w:spacing w:after="0" w:line="35" w:lineRule="exact"/>
        <w:rPr>
          <w:sz w:val="20"/>
          <w:szCs w:val="20"/>
          <w:color w:val="auto"/>
        </w:rPr>
      </w:pPr>
    </w:p>
    <w:p>
      <w:pPr>
        <w:ind w:left="5780"/>
        <w:spacing w:after="0"/>
        <w:rPr>
          <w:sz w:val="20"/>
          <w:szCs w:val="20"/>
          <w:color w:val="auto"/>
        </w:rPr>
      </w:pPr>
      <w:r>
        <w:rPr>
          <w:rFonts w:ascii="Arial" w:cs="Arial" w:eastAsia="Arial" w:hAnsi="Arial"/>
          <w:sz w:val="16"/>
          <w:szCs w:val="16"/>
          <w:color w:val="auto"/>
        </w:rPr>
        <w:t>that we have to consummate a business combination beyond 24 months as</w:t>
      </w:r>
    </w:p>
    <w:p>
      <w:pPr>
        <w:spacing w:after="0" w:line="32" w:lineRule="exact"/>
        <w:rPr>
          <w:sz w:val="20"/>
          <w:szCs w:val="20"/>
          <w:color w:val="auto"/>
        </w:rPr>
      </w:pPr>
    </w:p>
    <w:p>
      <w:pPr>
        <w:ind w:left="5780"/>
        <w:spacing w:after="0"/>
        <w:rPr>
          <w:sz w:val="20"/>
          <w:szCs w:val="20"/>
          <w:color w:val="auto"/>
        </w:rPr>
      </w:pPr>
      <w:r>
        <w:rPr>
          <w:rFonts w:ascii="Arial" w:cs="Arial" w:eastAsia="Arial" w:hAnsi="Arial"/>
          <w:sz w:val="16"/>
          <w:szCs w:val="16"/>
          <w:color w:val="auto"/>
        </w:rPr>
        <w:t>a result of a shareholder vote to amend our certificate of incorporation (an</w:t>
      </w:r>
    </w:p>
    <w:p>
      <w:pPr>
        <w:spacing w:after="0" w:line="32"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“Extension Period”), although they will be entitled to liquidating</w:t>
      </w:r>
    </w:p>
    <w:p>
      <w:pPr>
        <w:spacing w:after="0" w:line="9" w:lineRule="exact"/>
        <w:rPr>
          <w:sz w:val="20"/>
          <w:szCs w:val="20"/>
          <w:color w:val="auto"/>
        </w:rPr>
      </w:pPr>
    </w:p>
    <w:p>
      <w:pPr>
        <w:ind w:left="5780"/>
        <w:spacing w:after="0"/>
        <w:rPr>
          <w:sz w:val="20"/>
          <w:szCs w:val="20"/>
          <w:color w:val="auto"/>
        </w:rPr>
      </w:pPr>
      <w:r>
        <w:rPr>
          <w:rFonts w:ascii="Arial" w:cs="Arial" w:eastAsia="Arial" w:hAnsi="Arial"/>
          <w:sz w:val="16"/>
          <w:szCs w:val="16"/>
          <w:color w:val="auto"/>
        </w:rPr>
        <w:t>distributions from the trust account with respect to any public shares they</w:t>
      </w:r>
    </w:p>
    <w:p>
      <w:pPr>
        <w:spacing w:after="0" w:line="32"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hold if we fail to complete our initial business combination within the</w:t>
      </w:r>
    </w:p>
    <w:p>
      <w:pPr>
        <w:spacing w:after="0" w:line="9" w:lineRule="exact"/>
        <w:rPr>
          <w:sz w:val="20"/>
          <w:szCs w:val="20"/>
          <w:color w:val="auto"/>
        </w:rPr>
      </w:pPr>
    </w:p>
    <w:p>
      <w:pPr>
        <w:ind w:left="5780"/>
        <w:spacing w:after="0"/>
        <w:rPr>
          <w:sz w:val="20"/>
          <w:szCs w:val="20"/>
          <w:color w:val="auto"/>
        </w:rPr>
      </w:pPr>
      <w:r>
        <w:rPr>
          <w:rFonts w:ascii="Arial" w:cs="Arial" w:eastAsia="Arial" w:hAnsi="Arial"/>
          <w:sz w:val="16"/>
          <w:szCs w:val="16"/>
          <w:color w:val="auto"/>
        </w:rPr>
        <w:t>prescribed time frame; and (iv) vote any founder shares and public shares</w:t>
      </w:r>
    </w:p>
    <w:p>
      <w:pPr>
        <w:spacing w:after="0" w:line="32" w:lineRule="exact"/>
        <w:rPr>
          <w:sz w:val="20"/>
          <w:szCs w:val="20"/>
          <w:color w:val="auto"/>
        </w:rPr>
      </w:pPr>
    </w:p>
    <w:p>
      <w:pPr>
        <w:ind w:left="5780"/>
        <w:spacing w:after="0"/>
        <w:rPr>
          <w:sz w:val="20"/>
          <w:szCs w:val="20"/>
          <w:color w:val="auto"/>
        </w:rPr>
      </w:pPr>
      <w:r>
        <w:rPr>
          <w:rFonts w:ascii="Arial" w:cs="Arial" w:eastAsia="Arial" w:hAnsi="Arial"/>
          <w:sz w:val="17"/>
          <w:szCs w:val="17"/>
          <w:color w:val="auto"/>
        </w:rPr>
        <w:t>held by them in favor of our initial business combination. If we submit</w:t>
      </w:r>
    </w:p>
    <w:p>
      <w:pPr>
        <w:spacing w:after="0" w:line="21" w:lineRule="exact"/>
        <w:rPr>
          <w:sz w:val="20"/>
          <w:szCs w:val="20"/>
          <w:color w:val="auto"/>
        </w:rPr>
      </w:pPr>
    </w:p>
    <w:p>
      <w:pPr>
        <w:ind w:left="5780"/>
        <w:spacing w:after="0"/>
        <w:rPr>
          <w:sz w:val="20"/>
          <w:szCs w:val="20"/>
          <w:color w:val="auto"/>
        </w:rPr>
      </w:pPr>
      <w:r>
        <w:rPr>
          <w:rFonts w:ascii="Arial" w:cs="Arial" w:eastAsia="Arial" w:hAnsi="Arial"/>
          <w:sz w:val="17"/>
          <w:szCs w:val="17"/>
          <w:color w:val="auto"/>
        </w:rPr>
        <w:t>our initial business combination to our public shareholders for a vote, we</w:t>
      </w:r>
    </w:p>
    <w:p>
      <w:pPr>
        <w:spacing w:after="0" w:line="21"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will complete our initial business combination only if we receive an</w:t>
      </w:r>
    </w:p>
    <w:p>
      <w:pPr>
        <w:spacing w:after="0" w:line="9"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ordinary resolution under Cayman Islands law, which requires the</w:t>
      </w:r>
    </w:p>
    <w:p>
      <w:pPr>
        <w:spacing w:after="0" w:line="9" w:lineRule="exact"/>
        <w:rPr>
          <w:sz w:val="20"/>
          <w:szCs w:val="20"/>
          <w:color w:val="auto"/>
        </w:rPr>
      </w:pPr>
    </w:p>
    <w:p>
      <w:pPr>
        <w:ind w:left="5780"/>
        <w:spacing w:after="0"/>
        <w:rPr>
          <w:sz w:val="20"/>
          <w:szCs w:val="20"/>
          <w:color w:val="auto"/>
        </w:rPr>
      </w:pPr>
      <w:r>
        <w:rPr>
          <w:rFonts w:ascii="Arial" w:cs="Arial" w:eastAsia="Arial" w:hAnsi="Arial"/>
          <w:sz w:val="16"/>
          <w:szCs w:val="16"/>
          <w:color w:val="auto"/>
        </w:rPr>
        <w:t>affirmative vote of a majority of the shareholders who attend and vote at a</w:t>
      </w:r>
    </w:p>
    <w:p>
      <w:pPr>
        <w:spacing w:after="0" w:line="32"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general meeting of the company. As a result, in addition to our initial</w:t>
      </w:r>
    </w:p>
    <w:p>
      <w:pPr>
        <w:spacing w:after="0" w:line="9" w:lineRule="exact"/>
        <w:rPr>
          <w:sz w:val="20"/>
          <w:szCs w:val="20"/>
          <w:color w:val="auto"/>
        </w:rPr>
      </w:pPr>
    </w:p>
    <w:p>
      <w:pPr>
        <w:ind w:left="5780"/>
        <w:spacing w:after="0"/>
        <w:rPr>
          <w:sz w:val="20"/>
          <w:szCs w:val="20"/>
          <w:color w:val="auto"/>
        </w:rPr>
      </w:pPr>
      <w:r>
        <w:rPr>
          <w:rFonts w:ascii="Arial" w:cs="Arial" w:eastAsia="Arial" w:hAnsi="Arial"/>
          <w:sz w:val="16"/>
          <w:szCs w:val="16"/>
          <w:color w:val="auto"/>
        </w:rPr>
        <w:t>shareholders’ founder shares, we would need 9,375,001, or 37.5%, of the</w:t>
      </w:r>
    </w:p>
    <w:p>
      <w:pPr>
        <w:spacing w:after="0" w:line="32" w:lineRule="exact"/>
        <w:rPr>
          <w:sz w:val="20"/>
          <w:szCs w:val="20"/>
          <w:color w:val="auto"/>
        </w:rPr>
      </w:pPr>
    </w:p>
    <w:p>
      <w:pPr>
        <w:ind w:left="5780"/>
        <w:spacing w:after="0"/>
        <w:rPr>
          <w:sz w:val="20"/>
          <w:szCs w:val="20"/>
          <w:color w:val="auto"/>
        </w:rPr>
      </w:pPr>
      <w:r>
        <w:rPr>
          <w:rFonts w:ascii="Arial" w:cs="Arial" w:eastAsia="Arial" w:hAnsi="Arial"/>
          <w:sz w:val="17"/>
          <w:szCs w:val="17"/>
          <w:color w:val="auto"/>
        </w:rPr>
        <w:t>25,000,000 public shares sold in this offering to be voted in favor of an</w:t>
      </w:r>
    </w:p>
    <w:p>
      <w:pPr>
        <w:spacing w:after="0" w:line="21"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initial business combination in order to have our initial business</w:t>
      </w:r>
    </w:p>
    <w:p>
      <w:pPr>
        <w:spacing w:after="0" w:line="9" w:lineRule="exact"/>
        <w:rPr>
          <w:sz w:val="20"/>
          <w:szCs w:val="20"/>
          <w:color w:val="auto"/>
        </w:rPr>
      </w:pPr>
    </w:p>
    <w:p>
      <w:pPr>
        <w:ind w:left="5780"/>
        <w:spacing w:after="0"/>
        <w:rPr>
          <w:sz w:val="20"/>
          <w:szCs w:val="20"/>
          <w:color w:val="auto"/>
        </w:rPr>
      </w:pPr>
      <w:r>
        <w:rPr>
          <w:rFonts w:ascii="Arial" w:cs="Arial" w:eastAsia="Arial" w:hAnsi="Arial"/>
          <w:sz w:val="16"/>
          <w:szCs w:val="16"/>
          <w:color w:val="auto"/>
        </w:rPr>
        <w:t>combination approved (assuming all outstanding shares are voted and the</w:t>
      </w:r>
    </w:p>
    <w:p>
      <w:pPr>
        <w:spacing w:after="0" w:line="32" w:lineRule="exact"/>
        <w:rPr>
          <w:sz w:val="20"/>
          <w:szCs w:val="20"/>
          <w:color w:val="auto"/>
        </w:rPr>
      </w:pPr>
    </w:p>
    <w:p>
      <w:pPr>
        <w:ind w:left="5780"/>
        <w:spacing w:after="0"/>
        <w:rPr>
          <w:sz w:val="20"/>
          <w:szCs w:val="20"/>
          <w:color w:val="auto"/>
        </w:rPr>
      </w:pPr>
      <w:r>
        <w:rPr>
          <w:rFonts w:ascii="Arial" w:cs="Arial" w:eastAsia="Arial" w:hAnsi="Arial"/>
          <w:sz w:val="17"/>
          <w:szCs w:val="17"/>
          <w:color w:val="auto"/>
        </w:rPr>
        <w:t>over-allotment option is not exercised); If the PIMCO private fund or its</w:t>
      </w:r>
    </w:p>
    <w:p>
      <w:pPr>
        <w:spacing w:after="0" w:line="21" w:lineRule="exact"/>
        <w:rPr>
          <w:sz w:val="20"/>
          <w:szCs w:val="20"/>
          <w:color w:val="auto"/>
        </w:rPr>
      </w:pPr>
    </w:p>
    <w:p>
      <w:pPr>
        <w:ind w:left="5780"/>
        <w:spacing w:after="0"/>
        <w:rPr>
          <w:sz w:val="20"/>
          <w:szCs w:val="20"/>
          <w:color w:val="auto"/>
        </w:rPr>
      </w:pPr>
      <w:r>
        <w:rPr>
          <w:rFonts w:ascii="Arial" w:cs="Arial" w:eastAsia="Arial" w:hAnsi="Arial"/>
          <w:sz w:val="17"/>
          <w:szCs w:val="17"/>
          <w:color w:val="auto"/>
        </w:rPr>
        <w:t>affiliates purchase 2,475,000 units in this offering, and vote the shares</w:t>
      </w:r>
    </w:p>
    <w:p>
      <w:pPr>
        <w:spacing w:after="0" w:line="21" w:lineRule="exact"/>
        <w:rPr>
          <w:sz w:val="20"/>
          <w:szCs w:val="20"/>
          <w:color w:val="auto"/>
        </w:rPr>
      </w:pPr>
    </w:p>
    <w:p>
      <w:pPr>
        <w:ind w:left="5780"/>
        <w:spacing w:after="0"/>
        <w:rPr>
          <w:sz w:val="20"/>
          <w:szCs w:val="20"/>
          <w:color w:val="auto"/>
        </w:rPr>
      </w:pPr>
      <w:r>
        <w:rPr>
          <w:rFonts w:ascii="Arial" w:cs="Arial" w:eastAsia="Arial" w:hAnsi="Arial"/>
          <w:sz w:val="17"/>
          <w:szCs w:val="17"/>
          <w:color w:val="auto"/>
        </w:rPr>
        <w:t>included in these units in favor of our initial business combination, the</w:t>
      </w:r>
    </w:p>
    <w:p>
      <w:pPr>
        <w:spacing w:after="0" w:line="21"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percentage would be reduced to 27.6%;</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00" w:type="dxa"/>
            <w:vAlign w:val="bottom"/>
          </w:tcPr>
          <w:p>
            <w:pPr>
              <w:spacing w:after="0"/>
              <w:rPr>
                <w:sz w:val="20"/>
                <w:szCs w:val="20"/>
                <w:color w:val="auto"/>
              </w:rPr>
            </w:pPr>
          </w:p>
        </w:tc>
        <w:tc>
          <w:tcPr>
            <w:tcW w:w="7040" w:type="dxa"/>
            <w:vAlign w:val="bottom"/>
          </w:tcPr>
          <w:p>
            <w:pPr>
              <w:ind w:left="1580"/>
              <w:spacing w:after="0"/>
              <w:rPr>
                <w:sz w:val="20"/>
                <w:szCs w:val="20"/>
                <w:color w:val="auto"/>
              </w:rPr>
            </w:pPr>
            <w:r>
              <w:rPr>
                <w:rFonts w:ascii="Arial" w:cs="Arial" w:eastAsia="Arial" w:hAnsi="Arial"/>
                <w:sz w:val="18"/>
                <w:szCs w:val="18"/>
                <w:color w:val="auto"/>
              </w:rPr>
              <w:t>and</w:t>
            </w:r>
          </w:p>
        </w:tc>
      </w:tr>
      <w:tr>
        <w:trPr>
          <w:trHeight w:val="364"/>
        </w:trPr>
        <w:tc>
          <w:tcPr>
            <w:tcW w:w="4200" w:type="dxa"/>
            <w:vAlign w:val="bottom"/>
          </w:tcPr>
          <w:p>
            <w:pPr>
              <w:spacing w:after="0"/>
              <w:rPr>
                <w:sz w:val="24"/>
                <w:szCs w:val="24"/>
                <w:color w:val="auto"/>
              </w:rPr>
            </w:pPr>
          </w:p>
        </w:tc>
        <w:tc>
          <w:tcPr>
            <w:tcW w:w="7040" w:type="dxa"/>
            <w:vAlign w:val="bottom"/>
          </w:tcPr>
          <w:p>
            <w:pPr>
              <w:ind w:left="1420"/>
              <w:spacing w:after="0"/>
              <w:rPr>
                <w:sz w:val="20"/>
                <w:szCs w:val="20"/>
                <w:color w:val="auto"/>
              </w:rPr>
            </w:pPr>
            <w:r>
              <w:rPr>
                <w:rFonts w:ascii="Arial" w:cs="Arial" w:eastAsia="Arial" w:hAnsi="Arial"/>
                <w:sz w:val="18"/>
                <w:szCs w:val="18"/>
                <w:color w:val="auto"/>
                <w:w w:val="93"/>
              </w:rPr>
              <w:t>· the founder shares are automatically convertible into our Class A ordinary</w:t>
            </w:r>
          </w:p>
        </w:tc>
      </w:tr>
      <w:tr>
        <w:trPr>
          <w:trHeight w:val="216"/>
        </w:trPr>
        <w:tc>
          <w:tcPr>
            <w:tcW w:w="4200" w:type="dxa"/>
            <w:vAlign w:val="bottom"/>
          </w:tcPr>
          <w:p>
            <w:pPr>
              <w:spacing w:after="0"/>
              <w:rPr>
                <w:sz w:val="18"/>
                <w:szCs w:val="18"/>
                <w:color w:val="auto"/>
              </w:rPr>
            </w:pPr>
          </w:p>
        </w:tc>
        <w:tc>
          <w:tcPr>
            <w:tcW w:w="7040" w:type="dxa"/>
            <w:vAlign w:val="bottom"/>
          </w:tcPr>
          <w:p>
            <w:pPr>
              <w:ind w:left="1580"/>
              <w:spacing w:after="0"/>
              <w:rPr>
                <w:sz w:val="20"/>
                <w:szCs w:val="20"/>
                <w:color w:val="auto"/>
              </w:rPr>
            </w:pPr>
            <w:r>
              <w:rPr>
                <w:rFonts w:ascii="Arial" w:cs="Arial" w:eastAsia="Arial" w:hAnsi="Arial"/>
                <w:sz w:val="18"/>
                <w:szCs w:val="18"/>
                <w:color w:val="auto"/>
                <w:w w:val="96"/>
              </w:rPr>
              <w:t>shares concurrently with or immediately following the consummation of</w:t>
            </w:r>
          </w:p>
        </w:tc>
      </w:tr>
      <w:tr>
        <w:trPr>
          <w:trHeight w:val="216"/>
        </w:trPr>
        <w:tc>
          <w:tcPr>
            <w:tcW w:w="4200" w:type="dxa"/>
            <w:vAlign w:val="bottom"/>
          </w:tcPr>
          <w:p>
            <w:pPr>
              <w:spacing w:after="0"/>
              <w:rPr>
                <w:sz w:val="18"/>
                <w:szCs w:val="18"/>
                <w:color w:val="auto"/>
              </w:rPr>
            </w:pPr>
          </w:p>
        </w:tc>
        <w:tc>
          <w:tcPr>
            <w:tcW w:w="7040" w:type="dxa"/>
            <w:vAlign w:val="bottom"/>
          </w:tcPr>
          <w:p>
            <w:pPr>
              <w:ind w:left="1580"/>
              <w:spacing w:after="0"/>
              <w:rPr>
                <w:sz w:val="20"/>
                <w:szCs w:val="20"/>
                <w:color w:val="auto"/>
              </w:rPr>
            </w:pPr>
            <w:r>
              <w:rPr>
                <w:rFonts w:ascii="Arial" w:cs="Arial" w:eastAsia="Arial" w:hAnsi="Arial"/>
                <w:sz w:val="18"/>
                <w:szCs w:val="18"/>
                <w:color w:val="auto"/>
              </w:rPr>
              <w:t>our initial business combination on a one-for-one basis, subject to</w:t>
            </w:r>
          </w:p>
        </w:tc>
      </w:tr>
      <w:tr>
        <w:trPr>
          <w:trHeight w:val="216"/>
        </w:trPr>
        <w:tc>
          <w:tcPr>
            <w:tcW w:w="4200" w:type="dxa"/>
            <w:vAlign w:val="bottom"/>
          </w:tcPr>
          <w:p>
            <w:pPr>
              <w:spacing w:after="0"/>
              <w:rPr>
                <w:sz w:val="18"/>
                <w:szCs w:val="18"/>
                <w:color w:val="auto"/>
              </w:rPr>
            </w:pPr>
          </w:p>
        </w:tc>
        <w:tc>
          <w:tcPr>
            <w:tcW w:w="7040" w:type="dxa"/>
            <w:vAlign w:val="bottom"/>
          </w:tcPr>
          <w:p>
            <w:pPr>
              <w:ind w:left="1580"/>
              <w:spacing w:after="0"/>
              <w:rPr>
                <w:sz w:val="20"/>
                <w:szCs w:val="20"/>
                <w:color w:val="auto"/>
              </w:rPr>
            </w:pPr>
            <w:r>
              <w:rPr>
                <w:rFonts w:ascii="Arial" w:cs="Arial" w:eastAsia="Arial" w:hAnsi="Arial"/>
                <w:sz w:val="18"/>
                <w:szCs w:val="18"/>
                <w:color w:val="auto"/>
                <w:w w:val="98"/>
              </w:rPr>
              <w:t>adjustment pursuant to certain anti-dilution rights, as described below</w:t>
            </w:r>
          </w:p>
        </w:tc>
      </w:tr>
      <w:tr>
        <w:trPr>
          <w:trHeight w:val="216"/>
        </w:trPr>
        <w:tc>
          <w:tcPr>
            <w:tcW w:w="4200" w:type="dxa"/>
            <w:vAlign w:val="bottom"/>
          </w:tcPr>
          <w:p>
            <w:pPr>
              <w:spacing w:after="0"/>
              <w:rPr>
                <w:sz w:val="18"/>
                <w:szCs w:val="18"/>
                <w:color w:val="auto"/>
              </w:rPr>
            </w:pPr>
          </w:p>
        </w:tc>
        <w:tc>
          <w:tcPr>
            <w:tcW w:w="7040" w:type="dxa"/>
            <w:vAlign w:val="bottom"/>
          </w:tcPr>
          <w:p>
            <w:pPr>
              <w:ind w:left="1580"/>
              <w:spacing w:after="0"/>
              <w:rPr>
                <w:sz w:val="20"/>
                <w:szCs w:val="20"/>
                <w:color w:val="auto"/>
              </w:rPr>
            </w:pPr>
            <w:r>
              <w:rPr>
                <w:rFonts w:ascii="Arial" w:cs="Arial" w:eastAsia="Arial" w:hAnsi="Arial"/>
                <w:sz w:val="18"/>
                <w:szCs w:val="18"/>
                <w:color w:val="auto"/>
              </w:rPr>
              <w:t>adjacent to the caption “Founder shares conversion and anti-dilution</w:t>
            </w:r>
          </w:p>
        </w:tc>
      </w:tr>
      <w:tr>
        <w:trPr>
          <w:trHeight w:val="230"/>
        </w:trPr>
        <w:tc>
          <w:tcPr>
            <w:tcW w:w="4200" w:type="dxa"/>
            <w:vAlign w:val="bottom"/>
          </w:tcPr>
          <w:p>
            <w:pPr>
              <w:spacing w:after="0"/>
              <w:rPr>
                <w:sz w:val="20"/>
                <w:szCs w:val="20"/>
                <w:color w:val="auto"/>
              </w:rPr>
            </w:pPr>
          </w:p>
        </w:tc>
        <w:tc>
          <w:tcPr>
            <w:tcW w:w="7040" w:type="dxa"/>
            <w:vAlign w:val="bottom"/>
          </w:tcPr>
          <w:p>
            <w:pPr>
              <w:ind w:left="1580"/>
              <w:spacing w:after="0"/>
              <w:rPr>
                <w:sz w:val="20"/>
                <w:szCs w:val="20"/>
                <w:color w:val="auto"/>
              </w:rPr>
            </w:pPr>
            <w:r>
              <w:rPr>
                <w:rFonts w:ascii="Arial" w:cs="Arial" w:eastAsia="Arial" w:hAnsi="Arial"/>
                <w:sz w:val="18"/>
                <w:szCs w:val="18"/>
                <w:color w:val="auto"/>
              </w:rPr>
              <w:t>rights.”</w:t>
            </w:r>
          </w:p>
        </w:tc>
      </w:tr>
      <w:tr>
        <w:trPr>
          <w:trHeight w:val="364"/>
        </w:trPr>
        <w:tc>
          <w:tcPr>
            <w:tcW w:w="4200" w:type="dxa"/>
            <w:vAlign w:val="bottom"/>
          </w:tcPr>
          <w:p>
            <w:pPr>
              <w:ind w:left="100"/>
              <w:spacing w:after="0"/>
              <w:rPr>
                <w:sz w:val="20"/>
                <w:szCs w:val="20"/>
                <w:color w:val="auto"/>
              </w:rPr>
            </w:pPr>
            <w:r>
              <w:rPr>
                <w:rFonts w:ascii="Arial" w:cs="Arial" w:eastAsia="Arial" w:hAnsi="Arial"/>
                <w:sz w:val="18"/>
                <w:szCs w:val="18"/>
                <w:color w:val="auto"/>
              </w:rPr>
              <w:t>Transfer restrictions on founder shares</w:t>
            </w:r>
          </w:p>
        </w:tc>
        <w:tc>
          <w:tcPr>
            <w:tcW w:w="7040" w:type="dxa"/>
            <w:vAlign w:val="bottom"/>
          </w:tcPr>
          <w:p>
            <w:pPr>
              <w:ind w:left="1420"/>
              <w:spacing w:after="0"/>
              <w:rPr>
                <w:sz w:val="20"/>
                <w:szCs w:val="20"/>
                <w:color w:val="auto"/>
              </w:rPr>
            </w:pPr>
            <w:r>
              <w:rPr>
                <w:rFonts w:ascii="Arial" w:cs="Arial" w:eastAsia="Arial" w:hAnsi="Arial"/>
                <w:sz w:val="18"/>
                <w:szCs w:val="18"/>
                <w:color w:val="auto"/>
                <w:w w:val="97"/>
              </w:rPr>
              <w:t>Our initial shareholders have agreed not to transfer, assign or sell any of</w:t>
            </w:r>
          </w:p>
        </w:tc>
      </w:tr>
      <w:tr>
        <w:trPr>
          <w:trHeight w:val="216"/>
        </w:trPr>
        <w:tc>
          <w:tcPr>
            <w:tcW w:w="4200" w:type="dxa"/>
            <w:vAlign w:val="bottom"/>
          </w:tcPr>
          <w:p>
            <w:pPr>
              <w:spacing w:after="0"/>
              <w:rPr>
                <w:sz w:val="18"/>
                <w:szCs w:val="18"/>
                <w:color w:val="auto"/>
              </w:rPr>
            </w:pPr>
          </w:p>
        </w:tc>
        <w:tc>
          <w:tcPr>
            <w:tcW w:w="7040" w:type="dxa"/>
            <w:vAlign w:val="bottom"/>
          </w:tcPr>
          <w:p>
            <w:pPr>
              <w:ind w:left="1420"/>
              <w:spacing w:after="0"/>
              <w:rPr>
                <w:sz w:val="20"/>
                <w:szCs w:val="20"/>
                <w:color w:val="auto"/>
              </w:rPr>
            </w:pPr>
            <w:r>
              <w:rPr>
                <w:rFonts w:ascii="Arial" w:cs="Arial" w:eastAsia="Arial" w:hAnsi="Arial"/>
                <w:sz w:val="18"/>
                <w:szCs w:val="18"/>
                <w:color w:val="auto"/>
              </w:rPr>
              <w:t>their founder shares and any Class A ordinary shares issuable upon</w:t>
            </w:r>
          </w:p>
        </w:tc>
      </w:tr>
      <w:tr>
        <w:trPr>
          <w:trHeight w:val="216"/>
        </w:trPr>
        <w:tc>
          <w:tcPr>
            <w:tcW w:w="4200" w:type="dxa"/>
            <w:vAlign w:val="bottom"/>
          </w:tcPr>
          <w:p>
            <w:pPr>
              <w:spacing w:after="0"/>
              <w:rPr>
                <w:sz w:val="18"/>
                <w:szCs w:val="18"/>
                <w:color w:val="auto"/>
              </w:rPr>
            </w:pPr>
          </w:p>
        </w:tc>
        <w:tc>
          <w:tcPr>
            <w:tcW w:w="7040" w:type="dxa"/>
            <w:vAlign w:val="bottom"/>
          </w:tcPr>
          <w:p>
            <w:pPr>
              <w:ind w:left="1420"/>
              <w:spacing w:after="0"/>
              <w:rPr>
                <w:sz w:val="20"/>
                <w:szCs w:val="20"/>
                <w:color w:val="auto"/>
              </w:rPr>
            </w:pPr>
            <w:r>
              <w:rPr>
                <w:rFonts w:ascii="Arial" w:cs="Arial" w:eastAsia="Arial" w:hAnsi="Arial"/>
                <w:sz w:val="18"/>
                <w:szCs w:val="18"/>
                <w:color w:val="auto"/>
              </w:rPr>
              <w:t>conversion thereof until the earlier to occur of: (i) one year after the</w:t>
            </w:r>
          </w:p>
        </w:tc>
      </w:tr>
      <w:tr>
        <w:trPr>
          <w:trHeight w:val="216"/>
        </w:trPr>
        <w:tc>
          <w:tcPr>
            <w:tcW w:w="4200" w:type="dxa"/>
            <w:vAlign w:val="bottom"/>
          </w:tcPr>
          <w:p>
            <w:pPr>
              <w:spacing w:after="0"/>
              <w:rPr>
                <w:sz w:val="18"/>
                <w:szCs w:val="18"/>
                <w:color w:val="auto"/>
              </w:rPr>
            </w:pPr>
          </w:p>
        </w:tc>
        <w:tc>
          <w:tcPr>
            <w:tcW w:w="7040" w:type="dxa"/>
            <w:vAlign w:val="bottom"/>
          </w:tcPr>
          <w:p>
            <w:pPr>
              <w:ind w:left="1420"/>
              <w:spacing w:after="0"/>
              <w:rPr>
                <w:sz w:val="20"/>
                <w:szCs w:val="20"/>
                <w:color w:val="auto"/>
              </w:rPr>
            </w:pPr>
            <w:r>
              <w:rPr>
                <w:rFonts w:ascii="Arial" w:cs="Arial" w:eastAsia="Arial" w:hAnsi="Arial"/>
                <w:sz w:val="18"/>
                <w:szCs w:val="18"/>
                <w:color w:val="auto"/>
                <w:w w:val="93"/>
              </w:rPr>
              <w:t>completion of our initial business combination and (ii) the date on which we</w:t>
            </w:r>
          </w:p>
        </w:tc>
      </w:tr>
      <w:tr>
        <w:trPr>
          <w:trHeight w:val="216"/>
        </w:trPr>
        <w:tc>
          <w:tcPr>
            <w:tcW w:w="4200" w:type="dxa"/>
            <w:vAlign w:val="bottom"/>
          </w:tcPr>
          <w:p>
            <w:pPr>
              <w:spacing w:after="0"/>
              <w:rPr>
                <w:sz w:val="18"/>
                <w:szCs w:val="18"/>
                <w:color w:val="auto"/>
              </w:rPr>
            </w:pPr>
          </w:p>
        </w:tc>
        <w:tc>
          <w:tcPr>
            <w:tcW w:w="7040" w:type="dxa"/>
            <w:vAlign w:val="bottom"/>
          </w:tcPr>
          <w:p>
            <w:pPr>
              <w:ind w:left="1420"/>
              <w:spacing w:after="0"/>
              <w:rPr>
                <w:sz w:val="20"/>
                <w:szCs w:val="20"/>
                <w:color w:val="auto"/>
              </w:rPr>
            </w:pPr>
            <w:r>
              <w:rPr>
                <w:rFonts w:ascii="Arial" w:cs="Arial" w:eastAsia="Arial" w:hAnsi="Arial"/>
                <w:sz w:val="18"/>
                <w:szCs w:val="18"/>
                <w:color w:val="auto"/>
                <w:w w:val="93"/>
              </w:rPr>
              <w:t>complete a liquidation, merger, share exchange or other similar transaction</w:t>
            </w:r>
          </w:p>
        </w:tc>
      </w:tr>
      <w:tr>
        <w:trPr>
          <w:trHeight w:val="216"/>
        </w:trPr>
        <w:tc>
          <w:tcPr>
            <w:tcW w:w="4200" w:type="dxa"/>
            <w:vAlign w:val="bottom"/>
          </w:tcPr>
          <w:p>
            <w:pPr>
              <w:spacing w:after="0"/>
              <w:rPr>
                <w:sz w:val="18"/>
                <w:szCs w:val="18"/>
                <w:color w:val="auto"/>
              </w:rPr>
            </w:pPr>
          </w:p>
        </w:tc>
        <w:tc>
          <w:tcPr>
            <w:tcW w:w="7040" w:type="dxa"/>
            <w:vAlign w:val="bottom"/>
          </w:tcPr>
          <w:p>
            <w:pPr>
              <w:ind w:left="1420"/>
              <w:spacing w:after="0"/>
              <w:rPr>
                <w:sz w:val="20"/>
                <w:szCs w:val="20"/>
                <w:color w:val="auto"/>
              </w:rPr>
            </w:pPr>
            <w:r>
              <w:rPr>
                <w:rFonts w:ascii="Arial" w:cs="Arial" w:eastAsia="Arial" w:hAnsi="Arial"/>
                <w:sz w:val="18"/>
                <w:szCs w:val="18"/>
                <w:color w:val="auto"/>
                <w:w w:val="95"/>
              </w:rPr>
              <w:t>after our initial business combination that results in all of our shareholders</w:t>
            </w:r>
          </w:p>
        </w:tc>
      </w:tr>
      <w:tr>
        <w:trPr>
          <w:trHeight w:val="216"/>
        </w:trPr>
        <w:tc>
          <w:tcPr>
            <w:tcW w:w="4200" w:type="dxa"/>
            <w:vAlign w:val="bottom"/>
          </w:tcPr>
          <w:p>
            <w:pPr>
              <w:spacing w:after="0"/>
              <w:rPr>
                <w:sz w:val="18"/>
                <w:szCs w:val="18"/>
                <w:color w:val="auto"/>
              </w:rPr>
            </w:pPr>
          </w:p>
        </w:tc>
        <w:tc>
          <w:tcPr>
            <w:tcW w:w="7040" w:type="dxa"/>
            <w:vAlign w:val="bottom"/>
          </w:tcPr>
          <w:p>
            <w:pPr>
              <w:ind w:left="1420"/>
              <w:spacing w:after="0"/>
              <w:rPr>
                <w:sz w:val="20"/>
                <w:szCs w:val="20"/>
                <w:color w:val="auto"/>
              </w:rPr>
            </w:pPr>
            <w:r>
              <w:rPr>
                <w:rFonts w:ascii="Arial" w:cs="Arial" w:eastAsia="Arial" w:hAnsi="Arial"/>
                <w:sz w:val="18"/>
                <w:szCs w:val="18"/>
                <w:color w:val="auto"/>
              </w:rPr>
              <w:t>having the right to exchange their Class A ordinary shares for cash,</w:t>
            </w:r>
          </w:p>
        </w:tc>
      </w:tr>
      <w:tr>
        <w:trPr>
          <w:trHeight w:val="216"/>
        </w:trPr>
        <w:tc>
          <w:tcPr>
            <w:tcW w:w="4200" w:type="dxa"/>
            <w:vAlign w:val="bottom"/>
          </w:tcPr>
          <w:p>
            <w:pPr>
              <w:spacing w:after="0"/>
              <w:rPr>
                <w:sz w:val="18"/>
                <w:szCs w:val="18"/>
                <w:color w:val="auto"/>
              </w:rPr>
            </w:pPr>
          </w:p>
        </w:tc>
        <w:tc>
          <w:tcPr>
            <w:tcW w:w="7040" w:type="dxa"/>
            <w:vAlign w:val="bottom"/>
          </w:tcPr>
          <w:p>
            <w:pPr>
              <w:ind w:left="1420"/>
              <w:spacing w:after="0"/>
              <w:rPr>
                <w:sz w:val="20"/>
                <w:szCs w:val="20"/>
                <w:color w:val="auto"/>
              </w:rPr>
            </w:pPr>
            <w:r>
              <w:rPr>
                <w:rFonts w:ascii="Arial" w:cs="Arial" w:eastAsia="Arial" w:hAnsi="Arial"/>
                <w:sz w:val="18"/>
                <w:szCs w:val="18"/>
                <w:color w:val="auto"/>
                <w:w w:val="98"/>
              </w:rPr>
              <w:t>securities or other property; except to certain permitted transferees and</w:t>
            </w:r>
          </w:p>
        </w:tc>
      </w:tr>
      <w:tr>
        <w:trPr>
          <w:trHeight w:val="216"/>
        </w:trPr>
        <w:tc>
          <w:tcPr>
            <w:tcW w:w="4200" w:type="dxa"/>
            <w:vAlign w:val="bottom"/>
          </w:tcPr>
          <w:p>
            <w:pPr>
              <w:spacing w:after="0"/>
              <w:rPr>
                <w:sz w:val="18"/>
                <w:szCs w:val="18"/>
                <w:color w:val="auto"/>
              </w:rPr>
            </w:pPr>
          </w:p>
        </w:tc>
        <w:tc>
          <w:tcPr>
            <w:tcW w:w="7040" w:type="dxa"/>
            <w:vAlign w:val="bottom"/>
          </w:tcPr>
          <w:p>
            <w:pPr>
              <w:ind w:left="1420"/>
              <w:spacing w:after="0"/>
              <w:rPr>
                <w:sz w:val="20"/>
                <w:szCs w:val="20"/>
                <w:color w:val="auto"/>
              </w:rPr>
            </w:pPr>
            <w:r>
              <w:rPr>
                <w:rFonts w:ascii="Arial" w:cs="Arial" w:eastAsia="Arial" w:hAnsi="Arial"/>
                <w:sz w:val="18"/>
                <w:szCs w:val="18"/>
                <w:color w:val="auto"/>
              </w:rPr>
              <w:t>under certain circumstances as described herein under “Principal</w:t>
            </w:r>
          </w:p>
        </w:tc>
      </w:tr>
      <w:tr>
        <w:trPr>
          <w:trHeight w:val="216"/>
        </w:trPr>
        <w:tc>
          <w:tcPr>
            <w:tcW w:w="4200" w:type="dxa"/>
            <w:vAlign w:val="bottom"/>
          </w:tcPr>
          <w:p>
            <w:pPr>
              <w:spacing w:after="0"/>
              <w:rPr>
                <w:sz w:val="18"/>
                <w:szCs w:val="18"/>
                <w:color w:val="auto"/>
              </w:rPr>
            </w:pPr>
          </w:p>
        </w:tc>
        <w:tc>
          <w:tcPr>
            <w:tcW w:w="7040" w:type="dxa"/>
            <w:vAlign w:val="bottom"/>
          </w:tcPr>
          <w:p>
            <w:pPr>
              <w:ind w:left="1420"/>
              <w:spacing w:after="0"/>
              <w:rPr>
                <w:sz w:val="20"/>
                <w:szCs w:val="20"/>
                <w:color w:val="auto"/>
              </w:rPr>
            </w:pPr>
            <w:r>
              <w:rPr>
                <w:rFonts w:ascii="Arial" w:cs="Arial" w:eastAsia="Arial" w:hAnsi="Arial"/>
                <w:sz w:val="18"/>
                <w:szCs w:val="18"/>
                <w:color w:val="auto"/>
              </w:rPr>
              <w:t>Shareholders—Transfers of Founder Shares and Private Placement</w:t>
            </w:r>
          </w:p>
        </w:tc>
      </w:tr>
      <w:tr>
        <w:trPr>
          <w:trHeight w:val="216"/>
        </w:trPr>
        <w:tc>
          <w:tcPr>
            <w:tcW w:w="4200" w:type="dxa"/>
            <w:vAlign w:val="bottom"/>
          </w:tcPr>
          <w:p>
            <w:pPr>
              <w:spacing w:after="0"/>
              <w:rPr>
                <w:sz w:val="18"/>
                <w:szCs w:val="18"/>
                <w:color w:val="auto"/>
              </w:rPr>
            </w:pPr>
          </w:p>
        </w:tc>
        <w:tc>
          <w:tcPr>
            <w:tcW w:w="7040" w:type="dxa"/>
            <w:vAlign w:val="bottom"/>
          </w:tcPr>
          <w:p>
            <w:pPr>
              <w:ind w:left="1420"/>
              <w:spacing w:after="0"/>
              <w:rPr>
                <w:sz w:val="20"/>
                <w:szCs w:val="20"/>
                <w:color w:val="auto"/>
              </w:rPr>
            </w:pPr>
            <w:r>
              <w:rPr>
                <w:rFonts w:ascii="Arial" w:cs="Arial" w:eastAsia="Arial" w:hAnsi="Arial"/>
                <w:sz w:val="18"/>
                <w:szCs w:val="18"/>
                <w:color w:val="auto"/>
                <w:w w:val="92"/>
              </w:rPr>
              <w:t>Warrants”. Any permitted transferees will be subject to the same restrictions</w:t>
            </w:r>
          </w:p>
        </w:tc>
      </w:tr>
      <w:tr>
        <w:trPr>
          <w:trHeight w:val="216"/>
        </w:trPr>
        <w:tc>
          <w:tcPr>
            <w:tcW w:w="4200" w:type="dxa"/>
            <w:vAlign w:val="bottom"/>
          </w:tcPr>
          <w:p>
            <w:pPr>
              <w:spacing w:after="0"/>
              <w:rPr>
                <w:sz w:val="18"/>
                <w:szCs w:val="18"/>
                <w:color w:val="auto"/>
              </w:rPr>
            </w:pPr>
          </w:p>
        </w:tc>
        <w:tc>
          <w:tcPr>
            <w:tcW w:w="7040" w:type="dxa"/>
            <w:vAlign w:val="bottom"/>
          </w:tcPr>
          <w:p>
            <w:pPr>
              <w:ind w:left="1420"/>
              <w:spacing w:after="0"/>
              <w:rPr>
                <w:sz w:val="20"/>
                <w:szCs w:val="20"/>
                <w:color w:val="auto"/>
              </w:rPr>
            </w:pPr>
            <w:r>
              <w:rPr>
                <w:rFonts w:ascii="Arial" w:cs="Arial" w:eastAsia="Arial" w:hAnsi="Arial"/>
                <w:sz w:val="18"/>
                <w:szCs w:val="18"/>
                <w:color w:val="auto"/>
                <w:w w:val="92"/>
              </w:rPr>
              <w:t>and other agreements of our initial shareholders with respect to any founder</w:t>
            </w:r>
          </w:p>
        </w:tc>
      </w:tr>
      <w:tr>
        <w:trPr>
          <w:trHeight w:val="216"/>
        </w:trPr>
        <w:tc>
          <w:tcPr>
            <w:tcW w:w="4200" w:type="dxa"/>
            <w:vAlign w:val="bottom"/>
          </w:tcPr>
          <w:p>
            <w:pPr>
              <w:spacing w:after="0"/>
              <w:rPr>
                <w:sz w:val="18"/>
                <w:szCs w:val="18"/>
                <w:color w:val="auto"/>
              </w:rPr>
            </w:pPr>
          </w:p>
        </w:tc>
        <w:tc>
          <w:tcPr>
            <w:tcW w:w="7040" w:type="dxa"/>
            <w:vAlign w:val="bottom"/>
          </w:tcPr>
          <w:p>
            <w:pPr>
              <w:ind w:left="1420"/>
              <w:spacing w:after="0"/>
              <w:rPr>
                <w:sz w:val="20"/>
                <w:szCs w:val="20"/>
                <w:color w:val="auto"/>
              </w:rPr>
            </w:pPr>
            <w:r>
              <w:rPr>
                <w:rFonts w:ascii="Arial" w:cs="Arial" w:eastAsia="Arial" w:hAnsi="Arial"/>
                <w:sz w:val="18"/>
                <w:szCs w:val="18"/>
                <w:color w:val="auto"/>
                <w:w w:val="94"/>
              </w:rPr>
              <w:t>shares. We refer to such transfer restrictions throughout this prospectus as</w:t>
            </w:r>
          </w:p>
        </w:tc>
      </w:tr>
      <w:tr>
        <w:trPr>
          <w:trHeight w:val="230"/>
        </w:trPr>
        <w:tc>
          <w:tcPr>
            <w:tcW w:w="4200" w:type="dxa"/>
            <w:vAlign w:val="bottom"/>
          </w:tcPr>
          <w:p>
            <w:pPr>
              <w:spacing w:after="0"/>
              <w:rPr>
                <w:sz w:val="20"/>
                <w:szCs w:val="20"/>
                <w:color w:val="auto"/>
              </w:rPr>
            </w:pPr>
          </w:p>
        </w:tc>
        <w:tc>
          <w:tcPr>
            <w:tcW w:w="7040" w:type="dxa"/>
            <w:vAlign w:val="bottom"/>
          </w:tcPr>
          <w:p>
            <w:pPr>
              <w:ind w:left="1420"/>
              <w:spacing w:after="0"/>
              <w:rPr>
                <w:sz w:val="20"/>
                <w:szCs w:val="20"/>
                <w:color w:val="auto"/>
              </w:rPr>
            </w:pPr>
            <w:r>
              <w:rPr>
                <w:rFonts w:ascii="Arial" w:cs="Arial" w:eastAsia="Arial" w:hAnsi="Arial"/>
                <w:sz w:val="18"/>
                <w:szCs w:val="18"/>
                <w:color w:val="auto"/>
              </w:rPr>
              <w:t>the lock-up.</w:t>
            </w:r>
          </w:p>
        </w:tc>
      </w:tr>
      <w:tr>
        <w:trPr>
          <w:trHeight w:val="361"/>
        </w:trPr>
        <w:tc>
          <w:tcPr>
            <w:tcW w:w="4200" w:type="dxa"/>
            <w:vAlign w:val="bottom"/>
            <w:tcBorders>
              <w:bottom w:val="single" w:sz="8" w:color="auto"/>
            </w:tcBorders>
          </w:tcPr>
          <w:p>
            <w:pPr>
              <w:spacing w:after="0"/>
              <w:rPr>
                <w:sz w:val="24"/>
                <w:szCs w:val="24"/>
                <w:color w:val="auto"/>
              </w:rPr>
            </w:pPr>
          </w:p>
        </w:tc>
        <w:tc>
          <w:tcPr>
            <w:tcW w:w="7040" w:type="dxa"/>
            <w:vAlign w:val="bottom"/>
            <w:tcBorders>
              <w:bottom w:val="single" w:sz="8" w:color="auto"/>
            </w:tcBorders>
          </w:tcPr>
          <w:p>
            <w:pPr>
              <w:spacing w:after="0"/>
              <w:rPr>
                <w:sz w:val="24"/>
                <w:szCs w:val="24"/>
                <w:color w:val="auto"/>
              </w:rPr>
            </w:pPr>
          </w:p>
        </w:tc>
      </w:tr>
      <w:tr>
        <w:trPr>
          <w:trHeight w:val="328"/>
        </w:trPr>
        <w:tc>
          <w:tcPr>
            <w:tcW w:w="4200" w:type="dxa"/>
            <w:vAlign w:val="bottom"/>
            <w:tcBorders>
              <w:bottom w:val="single" w:sz="8" w:color="auto"/>
            </w:tcBorders>
          </w:tcPr>
          <w:p>
            <w:pPr>
              <w:spacing w:after="0"/>
              <w:rPr>
                <w:sz w:val="24"/>
                <w:szCs w:val="24"/>
                <w:color w:val="auto"/>
              </w:rPr>
            </w:pPr>
          </w:p>
        </w:tc>
        <w:tc>
          <w:tcPr>
            <w:tcW w:w="7040" w:type="dxa"/>
            <w:vAlign w:val="bottom"/>
            <w:tcBorders>
              <w:bottom w:val="single" w:sz="8" w:color="auto"/>
            </w:tcBorders>
          </w:tcPr>
          <w:p>
            <w:pPr>
              <w:ind w:left="1320"/>
              <w:spacing w:after="0"/>
              <w:rPr>
                <w:sz w:val="20"/>
                <w:szCs w:val="20"/>
                <w:color w:val="auto"/>
              </w:rPr>
            </w:pPr>
            <w:r>
              <w:rPr>
                <w:rFonts w:ascii="Arial" w:cs="Arial" w:eastAsia="Arial" w:hAnsi="Arial"/>
                <w:sz w:val="18"/>
                <w:szCs w:val="18"/>
                <w:color w:val="auto"/>
              </w:rPr>
              <w:t>17</w:t>
            </w:r>
          </w:p>
        </w:tc>
      </w:tr>
    </w:tbl>
    <w:p>
      <w:pPr>
        <w:sectPr>
          <w:pgSz w:w="11900" w:h="16838" w:orient="portrait"/>
          <w:cols w:equalWidth="0" w:num="1">
            <w:col w:w="11240"/>
          </w:cols>
          <w:pgMar w:left="320" w:top="976" w:right="339" w:bottom="1440" w:gutter="0" w:footer="0" w:header="0"/>
        </w:sectPr>
      </w:pPr>
    </w:p>
    <w:bookmarkStart w:id="22" w:name="page23"/>
    <w:bookmarkEnd w:id="2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596"/>
        </w:trPr>
        <w:tc>
          <w:tcPr>
            <w:tcW w:w="4620" w:type="dxa"/>
            <w:vAlign w:val="bottom"/>
            <w:tcBorders>
              <w:top w:val="single" w:sz="8" w:color="auto"/>
              <w:left w:val="single" w:sz="8" w:color="auto"/>
            </w:tcBorders>
          </w:tcPr>
          <w:p>
            <w:pPr>
              <w:spacing w:after="0"/>
              <w:rPr>
                <w:sz w:val="24"/>
                <w:szCs w:val="24"/>
                <w:color w:val="auto"/>
              </w:rPr>
            </w:pPr>
          </w:p>
        </w:tc>
        <w:tc>
          <w:tcPr>
            <w:tcW w:w="6620" w:type="dxa"/>
            <w:vAlign w:val="bottom"/>
            <w:tcBorders>
              <w:top w:val="single" w:sz="8" w:color="auto"/>
              <w:right w:val="single" w:sz="8" w:color="auto"/>
            </w:tcBorders>
          </w:tcPr>
          <w:p>
            <w:pPr>
              <w:ind w:left="1000"/>
              <w:spacing w:after="0"/>
              <w:rPr>
                <w:sz w:val="20"/>
                <w:szCs w:val="20"/>
                <w:color w:val="auto"/>
              </w:rPr>
            </w:pPr>
            <w:r>
              <w:rPr>
                <w:rFonts w:ascii="Arial" w:cs="Arial" w:eastAsia="Arial" w:hAnsi="Arial"/>
                <w:sz w:val="18"/>
                <w:szCs w:val="18"/>
                <w:color w:val="auto"/>
                <w:w w:val="96"/>
              </w:rPr>
              <w:t>Notwithstanding the foregoing, if the closing price of our Class A ordinary</w:t>
            </w:r>
          </w:p>
        </w:tc>
      </w:tr>
      <w:tr>
        <w:trPr>
          <w:trHeight w:val="216"/>
        </w:trPr>
        <w:tc>
          <w:tcPr>
            <w:tcW w:w="4620" w:type="dxa"/>
            <w:vAlign w:val="bottom"/>
            <w:tcBorders>
              <w:left w:val="single" w:sz="8" w:color="auto"/>
            </w:tcBorders>
          </w:tcPr>
          <w:p>
            <w:pPr>
              <w:spacing w:after="0"/>
              <w:rPr>
                <w:sz w:val="18"/>
                <w:szCs w:val="18"/>
                <w:color w:val="auto"/>
              </w:rPr>
            </w:pPr>
          </w:p>
        </w:tc>
        <w:tc>
          <w:tcPr>
            <w:tcW w:w="6620" w:type="dxa"/>
            <w:vAlign w:val="bottom"/>
            <w:tcBorders>
              <w:right w:val="single" w:sz="8" w:color="auto"/>
            </w:tcBorders>
          </w:tcPr>
          <w:p>
            <w:pPr>
              <w:ind w:left="1000"/>
              <w:spacing w:after="0"/>
              <w:rPr>
                <w:sz w:val="20"/>
                <w:szCs w:val="20"/>
                <w:color w:val="auto"/>
              </w:rPr>
            </w:pPr>
            <w:r>
              <w:rPr>
                <w:rFonts w:ascii="Arial" w:cs="Arial" w:eastAsia="Arial" w:hAnsi="Arial"/>
                <w:sz w:val="18"/>
                <w:szCs w:val="18"/>
                <w:color w:val="auto"/>
                <w:w w:val="98"/>
              </w:rPr>
              <w:t>shares equals or exceeds $12.00 per share (as adjusted for share sub-</w:t>
            </w:r>
          </w:p>
        </w:tc>
      </w:tr>
      <w:tr>
        <w:trPr>
          <w:trHeight w:val="216"/>
        </w:trPr>
        <w:tc>
          <w:tcPr>
            <w:tcW w:w="4620" w:type="dxa"/>
            <w:vAlign w:val="bottom"/>
            <w:tcBorders>
              <w:left w:val="single" w:sz="8" w:color="auto"/>
            </w:tcBorders>
          </w:tcPr>
          <w:p>
            <w:pPr>
              <w:spacing w:after="0"/>
              <w:rPr>
                <w:sz w:val="18"/>
                <w:szCs w:val="18"/>
                <w:color w:val="auto"/>
              </w:rPr>
            </w:pPr>
          </w:p>
        </w:tc>
        <w:tc>
          <w:tcPr>
            <w:tcW w:w="6620" w:type="dxa"/>
            <w:vAlign w:val="bottom"/>
            <w:tcBorders>
              <w:right w:val="single" w:sz="8" w:color="auto"/>
            </w:tcBorders>
          </w:tcPr>
          <w:p>
            <w:pPr>
              <w:ind w:left="1000"/>
              <w:spacing w:after="0"/>
              <w:rPr>
                <w:sz w:val="20"/>
                <w:szCs w:val="20"/>
                <w:color w:val="auto"/>
              </w:rPr>
            </w:pPr>
            <w:r>
              <w:rPr>
                <w:rFonts w:ascii="Arial" w:cs="Arial" w:eastAsia="Arial" w:hAnsi="Arial"/>
                <w:sz w:val="18"/>
                <w:szCs w:val="18"/>
                <w:color w:val="auto"/>
                <w:w w:val="96"/>
              </w:rPr>
              <w:t>divisions, share capitalizations, reorganizations, recapitalizations and the</w:t>
            </w:r>
          </w:p>
        </w:tc>
      </w:tr>
      <w:tr>
        <w:trPr>
          <w:trHeight w:val="216"/>
        </w:trPr>
        <w:tc>
          <w:tcPr>
            <w:tcW w:w="4620" w:type="dxa"/>
            <w:vAlign w:val="bottom"/>
            <w:tcBorders>
              <w:left w:val="single" w:sz="8" w:color="auto"/>
            </w:tcBorders>
          </w:tcPr>
          <w:p>
            <w:pPr>
              <w:spacing w:after="0"/>
              <w:rPr>
                <w:sz w:val="18"/>
                <w:szCs w:val="18"/>
                <w:color w:val="auto"/>
              </w:rPr>
            </w:pPr>
          </w:p>
        </w:tc>
        <w:tc>
          <w:tcPr>
            <w:tcW w:w="6620" w:type="dxa"/>
            <w:vAlign w:val="bottom"/>
            <w:tcBorders>
              <w:right w:val="single" w:sz="8" w:color="auto"/>
            </w:tcBorders>
          </w:tcPr>
          <w:p>
            <w:pPr>
              <w:ind w:left="1000"/>
              <w:spacing w:after="0"/>
              <w:rPr>
                <w:sz w:val="20"/>
                <w:szCs w:val="20"/>
                <w:color w:val="auto"/>
              </w:rPr>
            </w:pPr>
            <w:r>
              <w:rPr>
                <w:rFonts w:ascii="Arial" w:cs="Arial" w:eastAsia="Arial" w:hAnsi="Arial"/>
                <w:sz w:val="18"/>
                <w:szCs w:val="18"/>
                <w:color w:val="auto"/>
                <w:w w:val="94"/>
              </w:rPr>
              <w:t>like) for any 20 trading days within any 30-trading day period commencing</w:t>
            </w:r>
          </w:p>
        </w:tc>
      </w:tr>
      <w:tr>
        <w:trPr>
          <w:trHeight w:val="216"/>
        </w:trPr>
        <w:tc>
          <w:tcPr>
            <w:tcW w:w="4620" w:type="dxa"/>
            <w:vAlign w:val="bottom"/>
            <w:tcBorders>
              <w:left w:val="single" w:sz="8" w:color="auto"/>
            </w:tcBorders>
          </w:tcPr>
          <w:p>
            <w:pPr>
              <w:spacing w:after="0"/>
              <w:rPr>
                <w:sz w:val="18"/>
                <w:szCs w:val="18"/>
                <w:color w:val="auto"/>
              </w:rPr>
            </w:pPr>
          </w:p>
        </w:tc>
        <w:tc>
          <w:tcPr>
            <w:tcW w:w="6620" w:type="dxa"/>
            <w:vAlign w:val="bottom"/>
            <w:tcBorders>
              <w:right w:val="single" w:sz="8" w:color="auto"/>
            </w:tcBorders>
          </w:tcPr>
          <w:p>
            <w:pPr>
              <w:ind w:left="1000"/>
              <w:spacing w:after="0"/>
              <w:rPr>
                <w:sz w:val="20"/>
                <w:szCs w:val="20"/>
                <w:color w:val="auto"/>
              </w:rPr>
            </w:pPr>
            <w:r>
              <w:rPr>
                <w:rFonts w:ascii="Arial" w:cs="Arial" w:eastAsia="Arial" w:hAnsi="Arial"/>
                <w:sz w:val="18"/>
                <w:szCs w:val="18"/>
                <w:color w:val="auto"/>
                <w:w w:val="94"/>
              </w:rPr>
              <w:t>at least 150 days after our initial business combination, the founder shares</w:t>
            </w:r>
          </w:p>
        </w:tc>
      </w:tr>
      <w:tr>
        <w:trPr>
          <w:trHeight w:val="230"/>
        </w:trPr>
        <w:tc>
          <w:tcPr>
            <w:tcW w:w="4620" w:type="dxa"/>
            <w:vAlign w:val="bottom"/>
            <w:tcBorders>
              <w:left w:val="single" w:sz="8" w:color="auto"/>
            </w:tcBorders>
          </w:tcPr>
          <w:p>
            <w:pPr>
              <w:spacing w:after="0"/>
              <w:rPr>
                <w:sz w:val="20"/>
                <w:szCs w:val="20"/>
                <w:color w:val="auto"/>
              </w:rPr>
            </w:pPr>
          </w:p>
        </w:tc>
        <w:tc>
          <w:tcPr>
            <w:tcW w:w="6620" w:type="dxa"/>
            <w:vAlign w:val="bottom"/>
            <w:tcBorders>
              <w:right w:val="single" w:sz="8" w:color="auto"/>
            </w:tcBorders>
          </w:tcPr>
          <w:p>
            <w:pPr>
              <w:ind w:left="1000"/>
              <w:spacing w:after="0"/>
              <w:rPr>
                <w:sz w:val="20"/>
                <w:szCs w:val="20"/>
                <w:color w:val="auto"/>
              </w:rPr>
            </w:pPr>
            <w:r>
              <w:rPr>
                <w:rFonts w:ascii="Arial" w:cs="Arial" w:eastAsia="Arial" w:hAnsi="Arial"/>
                <w:sz w:val="18"/>
                <w:szCs w:val="18"/>
                <w:color w:val="auto"/>
              </w:rPr>
              <w:t>will be released from the lock-up.</w:t>
            </w:r>
          </w:p>
        </w:tc>
      </w:tr>
      <w:tr>
        <w:trPr>
          <w:trHeight w:val="364"/>
        </w:trPr>
        <w:tc>
          <w:tcPr>
            <w:tcW w:w="4620" w:type="dxa"/>
            <w:vAlign w:val="bottom"/>
            <w:tcBorders>
              <w:left w:val="single" w:sz="8" w:color="auto"/>
            </w:tcBorders>
          </w:tcPr>
          <w:p>
            <w:pPr>
              <w:ind w:left="100"/>
              <w:spacing w:after="0"/>
              <w:rPr>
                <w:sz w:val="20"/>
                <w:szCs w:val="20"/>
                <w:color w:val="auto"/>
              </w:rPr>
            </w:pPr>
            <w:r>
              <w:rPr>
                <w:rFonts w:ascii="Arial" w:cs="Arial" w:eastAsia="Arial" w:hAnsi="Arial"/>
                <w:sz w:val="18"/>
                <w:szCs w:val="18"/>
                <w:color w:val="auto"/>
              </w:rPr>
              <w:t>Founder shares conversion and anti-dilution rights</w:t>
            </w:r>
          </w:p>
        </w:tc>
        <w:tc>
          <w:tcPr>
            <w:tcW w:w="6620" w:type="dxa"/>
            <w:vAlign w:val="bottom"/>
            <w:tcBorders>
              <w:right w:val="single" w:sz="8" w:color="auto"/>
            </w:tcBorders>
          </w:tcPr>
          <w:p>
            <w:pPr>
              <w:ind w:left="1000"/>
              <w:spacing w:after="0"/>
              <w:rPr>
                <w:sz w:val="20"/>
                <w:szCs w:val="20"/>
                <w:color w:val="auto"/>
              </w:rPr>
            </w:pPr>
            <w:r>
              <w:rPr>
                <w:rFonts w:ascii="Arial" w:cs="Arial" w:eastAsia="Arial" w:hAnsi="Arial"/>
                <w:sz w:val="18"/>
                <w:szCs w:val="18"/>
                <w:color w:val="auto"/>
                <w:w w:val="94"/>
              </w:rPr>
              <w:t>The founder shares will automatically convert into Class A ordinary shares</w:t>
            </w:r>
          </w:p>
        </w:tc>
      </w:tr>
      <w:tr>
        <w:trPr>
          <w:trHeight w:val="216"/>
        </w:trPr>
        <w:tc>
          <w:tcPr>
            <w:tcW w:w="4620" w:type="dxa"/>
            <w:vAlign w:val="bottom"/>
            <w:tcBorders>
              <w:left w:val="single" w:sz="8" w:color="auto"/>
            </w:tcBorders>
          </w:tcPr>
          <w:p>
            <w:pPr>
              <w:spacing w:after="0"/>
              <w:rPr>
                <w:sz w:val="18"/>
                <w:szCs w:val="18"/>
                <w:color w:val="auto"/>
              </w:rPr>
            </w:pPr>
          </w:p>
        </w:tc>
        <w:tc>
          <w:tcPr>
            <w:tcW w:w="6620" w:type="dxa"/>
            <w:vAlign w:val="bottom"/>
            <w:tcBorders>
              <w:right w:val="single" w:sz="8" w:color="auto"/>
            </w:tcBorders>
          </w:tcPr>
          <w:p>
            <w:pPr>
              <w:ind w:left="1000"/>
              <w:spacing w:after="0"/>
              <w:rPr>
                <w:sz w:val="20"/>
                <w:szCs w:val="20"/>
                <w:color w:val="auto"/>
              </w:rPr>
            </w:pPr>
            <w:r>
              <w:rPr>
                <w:rFonts w:ascii="Arial" w:cs="Arial" w:eastAsia="Arial" w:hAnsi="Arial"/>
                <w:sz w:val="18"/>
                <w:szCs w:val="18"/>
                <w:color w:val="auto"/>
                <w:w w:val="96"/>
              </w:rPr>
              <w:t>concurrently with or immediately following the consummation of our initial</w:t>
            </w:r>
          </w:p>
        </w:tc>
      </w:tr>
      <w:tr>
        <w:trPr>
          <w:trHeight w:val="216"/>
        </w:trPr>
        <w:tc>
          <w:tcPr>
            <w:tcW w:w="4620" w:type="dxa"/>
            <w:vAlign w:val="bottom"/>
            <w:tcBorders>
              <w:left w:val="single" w:sz="8" w:color="auto"/>
            </w:tcBorders>
          </w:tcPr>
          <w:p>
            <w:pPr>
              <w:spacing w:after="0"/>
              <w:rPr>
                <w:sz w:val="18"/>
                <w:szCs w:val="18"/>
                <w:color w:val="auto"/>
              </w:rPr>
            </w:pPr>
          </w:p>
        </w:tc>
        <w:tc>
          <w:tcPr>
            <w:tcW w:w="6620" w:type="dxa"/>
            <w:vAlign w:val="bottom"/>
            <w:tcBorders>
              <w:right w:val="single" w:sz="8" w:color="auto"/>
            </w:tcBorders>
          </w:tcPr>
          <w:p>
            <w:pPr>
              <w:ind w:left="1000"/>
              <w:spacing w:after="0"/>
              <w:rPr>
                <w:sz w:val="20"/>
                <w:szCs w:val="20"/>
                <w:color w:val="auto"/>
              </w:rPr>
            </w:pPr>
            <w:r>
              <w:rPr>
                <w:rFonts w:ascii="Arial" w:cs="Arial" w:eastAsia="Arial" w:hAnsi="Arial"/>
                <w:sz w:val="18"/>
                <w:szCs w:val="18"/>
                <w:color w:val="auto"/>
                <w:w w:val="90"/>
              </w:rPr>
              <w:t>business combination on a one-for-one basis, subject to adjustment for share</w:t>
            </w:r>
          </w:p>
        </w:tc>
      </w:tr>
      <w:tr>
        <w:trPr>
          <w:trHeight w:val="216"/>
        </w:trPr>
        <w:tc>
          <w:tcPr>
            <w:tcW w:w="4620" w:type="dxa"/>
            <w:vAlign w:val="bottom"/>
            <w:tcBorders>
              <w:left w:val="single" w:sz="8" w:color="auto"/>
            </w:tcBorders>
          </w:tcPr>
          <w:p>
            <w:pPr>
              <w:spacing w:after="0"/>
              <w:rPr>
                <w:sz w:val="18"/>
                <w:szCs w:val="18"/>
                <w:color w:val="auto"/>
              </w:rPr>
            </w:pPr>
          </w:p>
        </w:tc>
        <w:tc>
          <w:tcPr>
            <w:tcW w:w="6620" w:type="dxa"/>
            <w:vAlign w:val="bottom"/>
            <w:tcBorders>
              <w:right w:val="single" w:sz="8" w:color="auto"/>
            </w:tcBorders>
          </w:tcPr>
          <w:p>
            <w:pPr>
              <w:ind w:left="1000"/>
              <w:spacing w:after="0"/>
              <w:rPr>
                <w:sz w:val="20"/>
                <w:szCs w:val="20"/>
                <w:color w:val="auto"/>
              </w:rPr>
            </w:pPr>
            <w:r>
              <w:rPr>
                <w:rFonts w:ascii="Arial" w:cs="Arial" w:eastAsia="Arial" w:hAnsi="Arial"/>
                <w:sz w:val="18"/>
                <w:szCs w:val="18"/>
                <w:color w:val="auto"/>
                <w:w w:val="95"/>
              </w:rPr>
              <w:t>sub-divisions, share capitalizations, reorganizations, recapitalizations and</w:t>
            </w:r>
          </w:p>
        </w:tc>
      </w:tr>
      <w:tr>
        <w:trPr>
          <w:trHeight w:val="216"/>
        </w:trPr>
        <w:tc>
          <w:tcPr>
            <w:tcW w:w="4620" w:type="dxa"/>
            <w:vAlign w:val="bottom"/>
            <w:tcBorders>
              <w:left w:val="single" w:sz="8" w:color="auto"/>
            </w:tcBorders>
          </w:tcPr>
          <w:p>
            <w:pPr>
              <w:spacing w:after="0"/>
              <w:rPr>
                <w:sz w:val="18"/>
                <w:szCs w:val="18"/>
                <w:color w:val="auto"/>
              </w:rPr>
            </w:pPr>
          </w:p>
        </w:tc>
        <w:tc>
          <w:tcPr>
            <w:tcW w:w="6620" w:type="dxa"/>
            <w:vAlign w:val="bottom"/>
            <w:tcBorders>
              <w:right w:val="single" w:sz="8" w:color="auto"/>
            </w:tcBorders>
          </w:tcPr>
          <w:p>
            <w:pPr>
              <w:ind w:left="1000"/>
              <w:spacing w:after="0"/>
              <w:rPr>
                <w:sz w:val="20"/>
                <w:szCs w:val="20"/>
                <w:color w:val="auto"/>
              </w:rPr>
            </w:pPr>
            <w:r>
              <w:rPr>
                <w:rFonts w:ascii="Arial" w:cs="Arial" w:eastAsia="Arial" w:hAnsi="Arial"/>
                <w:sz w:val="18"/>
                <w:szCs w:val="18"/>
                <w:color w:val="auto"/>
                <w:w w:val="96"/>
              </w:rPr>
              <w:t>the like, and subject to further adjustment as provided herein. In the case</w:t>
            </w:r>
          </w:p>
        </w:tc>
      </w:tr>
      <w:tr>
        <w:trPr>
          <w:trHeight w:val="216"/>
        </w:trPr>
        <w:tc>
          <w:tcPr>
            <w:tcW w:w="4620" w:type="dxa"/>
            <w:vAlign w:val="bottom"/>
            <w:tcBorders>
              <w:left w:val="single" w:sz="8" w:color="auto"/>
            </w:tcBorders>
          </w:tcPr>
          <w:p>
            <w:pPr>
              <w:spacing w:after="0"/>
              <w:rPr>
                <w:sz w:val="18"/>
                <w:szCs w:val="18"/>
                <w:color w:val="auto"/>
              </w:rPr>
            </w:pPr>
          </w:p>
        </w:tc>
        <w:tc>
          <w:tcPr>
            <w:tcW w:w="6620" w:type="dxa"/>
            <w:vAlign w:val="bottom"/>
            <w:tcBorders>
              <w:right w:val="single" w:sz="8" w:color="auto"/>
            </w:tcBorders>
          </w:tcPr>
          <w:p>
            <w:pPr>
              <w:ind w:left="1000"/>
              <w:spacing w:after="0"/>
              <w:rPr>
                <w:sz w:val="20"/>
                <w:szCs w:val="20"/>
                <w:color w:val="auto"/>
              </w:rPr>
            </w:pPr>
            <w:r>
              <w:rPr>
                <w:rFonts w:ascii="Arial" w:cs="Arial" w:eastAsia="Arial" w:hAnsi="Arial"/>
                <w:sz w:val="18"/>
                <w:szCs w:val="18"/>
                <w:color w:val="auto"/>
                <w:w w:val="92"/>
              </w:rPr>
              <w:t>that additional Class A ordinary shares or equity-linked securities are issued</w:t>
            </w:r>
          </w:p>
        </w:tc>
      </w:tr>
      <w:tr>
        <w:trPr>
          <w:trHeight w:val="216"/>
        </w:trPr>
        <w:tc>
          <w:tcPr>
            <w:tcW w:w="4620" w:type="dxa"/>
            <w:vAlign w:val="bottom"/>
            <w:tcBorders>
              <w:left w:val="single" w:sz="8" w:color="auto"/>
            </w:tcBorders>
          </w:tcPr>
          <w:p>
            <w:pPr>
              <w:spacing w:after="0"/>
              <w:rPr>
                <w:sz w:val="18"/>
                <w:szCs w:val="18"/>
                <w:color w:val="auto"/>
              </w:rPr>
            </w:pPr>
          </w:p>
        </w:tc>
        <w:tc>
          <w:tcPr>
            <w:tcW w:w="6620" w:type="dxa"/>
            <w:vAlign w:val="bottom"/>
            <w:tcBorders>
              <w:right w:val="single" w:sz="8" w:color="auto"/>
            </w:tcBorders>
          </w:tcPr>
          <w:p>
            <w:pPr>
              <w:ind w:left="1000"/>
              <w:spacing w:after="0"/>
              <w:rPr>
                <w:sz w:val="20"/>
                <w:szCs w:val="20"/>
                <w:color w:val="auto"/>
              </w:rPr>
            </w:pPr>
            <w:r>
              <w:rPr>
                <w:rFonts w:ascii="Arial" w:cs="Arial" w:eastAsia="Arial" w:hAnsi="Arial"/>
                <w:sz w:val="18"/>
                <w:szCs w:val="18"/>
                <w:color w:val="auto"/>
                <w:w w:val="95"/>
              </w:rPr>
              <w:t>or deemed issued in connection with our initial business combination, the</w:t>
            </w:r>
          </w:p>
        </w:tc>
      </w:tr>
      <w:tr>
        <w:trPr>
          <w:trHeight w:val="216"/>
        </w:trPr>
        <w:tc>
          <w:tcPr>
            <w:tcW w:w="4620" w:type="dxa"/>
            <w:vAlign w:val="bottom"/>
            <w:tcBorders>
              <w:left w:val="single" w:sz="8" w:color="auto"/>
            </w:tcBorders>
          </w:tcPr>
          <w:p>
            <w:pPr>
              <w:spacing w:after="0"/>
              <w:rPr>
                <w:sz w:val="18"/>
                <w:szCs w:val="18"/>
                <w:color w:val="auto"/>
              </w:rPr>
            </w:pPr>
          </w:p>
        </w:tc>
        <w:tc>
          <w:tcPr>
            <w:tcW w:w="6620" w:type="dxa"/>
            <w:vAlign w:val="bottom"/>
            <w:tcBorders>
              <w:right w:val="single" w:sz="8" w:color="auto"/>
            </w:tcBorders>
          </w:tcPr>
          <w:p>
            <w:pPr>
              <w:ind w:left="1000"/>
              <w:spacing w:after="0"/>
              <w:rPr>
                <w:sz w:val="20"/>
                <w:szCs w:val="20"/>
                <w:color w:val="auto"/>
              </w:rPr>
            </w:pPr>
            <w:r>
              <w:rPr>
                <w:rFonts w:ascii="Arial" w:cs="Arial" w:eastAsia="Arial" w:hAnsi="Arial"/>
                <w:sz w:val="18"/>
                <w:szCs w:val="18"/>
                <w:color w:val="auto"/>
                <w:w w:val="93"/>
              </w:rPr>
              <w:t>number of Class A ordinary shares issuable upon conversion of all founder</w:t>
            </w:r>
          </w:p>
        </w:tc>
      </w:tr>
      <w:tr>
        <w:trPr>
          <w:trHeight w:val="216"/>
        </w:trPr>
        <w:tc>
          <w:tcPr>
            <w:tcW w:w="4620" w:type="dxa"/>
            <w:vAlign w:val="bottom"/>
            <w:tcBorders>
              <w:left w:val="single" w:sz="8" w:color="auto"/>
            </w:tcBorders>
          </w:tcPr>
          <w:p>
            <w:pPr>
              <w:spacing w:after="0"/>
              <w:rPr>
                <w:sz w:val="18"/>
                <w:szCs w:val="18"/>
                <w:color w:val="auto"/>
              </w:rPr>
            </w:pPr>
          </w:p>
        </w:tc>
        <w:tc>
          <w:tcPr>
            <w:tcW w:w="6620" w:type="dxa"/>
            <w:vAlign w:val="bottom"/>
            <w:tcBorders>
              <w:right w:val="single" w:sz="8" w:color="auto"/>
            </w:tcBorders>
          </w:tcPr>
          <w:p>
            <w:pPr>
              <w:ind w:left="1000"/>
              <w:spacing w:after="0"/>
              <w:rPr>
                <w:sz w:val="20"/>
                <w:szCs w:val="20"/>
                <w:color w:val="auto"/>
              </w:rPr>
            </w:pPr>
            <w:r>
              <w:rPr>
                <w:rFonts w:ascii="Arial" w:cs="Arial" w:eastAsia="Arial" w:hAnsi="Arial"/>
                <w:sz w:val="18"/>
                <w:szCs w:val="18"/>
                <w:color w:val="auto"/>
                <w:w w:val="99"/>
              </w:rPr>
              <w:t>shares will equal, in the aggregate, 20% of the total number of Class A</w:t>
            </w:r>
          </w:p>
        </w:tc>
      </w:tr>
      <w:tr>
        <w:trPr>
          <w:trHeight w:val="216"/>
        </w:trPr>
        <w:tc>
          <w:tcPr>
            <w:tcW w:w="4620" w:type="dxa"/>
            <w:vAlign w:val="bottom"/>
            <w:tcBorders>
              <w:left w:val="single" w:sz="8" w:color="auto"/>
            </w:tcBorders>
          </w:tcPr>
          <w:p>
            <w:pPr>
              <w:spacing w:after="0"/>
              <w:rPr>
                <w:sz w:val="18"/>
                <w:szCs w:val="18"/>
                <w:color w:val="auto"/>
              </w:rPr>
            </w:pPr>
          </w:p>
        </w:tc>
        <w:tc>
          <w:tcPr>
            <w:tcW w:w="6620" w:type="dxa"/>
            <w:vAlign w:val="bottom"/>
            <w:tcBorders>
              <w:right w:val="single" w:sz="8" w:color="auto"/>
            </w:tcBorders>
          </w:tcPr>
          <w:p>
            <w:pPr>
              <w:ind w:left="1000"/>
              <w:spacing w:after="0"/>
              <w:rPr>
                <w:sz w:val="20"/>
                <w:szCs w:val="20"/>
                <w:color w:val="auto"/>
              </w:rPr>
            </w:pPr>
            <w:r>
              <w:rPr>
                <w:rFonts w:ascii="Arial" w:cs="Arial" w:eastAsia="Arial" w:hAnsi="Arial"/>
                <w:sz w:val="18"/>
                <w:szCs w:val="18"/>
                <w:color w:val="auto"/>
                <w:w w:val="92"/>
              </w:rPr>
              <w:t>ordinary shares outstanding after such conversion (after giving effect to any</w:t>
            </w:r>
          </w:p>
        </w:tc>
      </w:tr>
      <w:tr>
        <w:trPr>
          <w:trHeight w:val="216"/>
        </w:trPr>
        <w:tc>
          <w:tcPr>
            <w:tcW w:w="4620" w:type="dxa"/>
            <w:vAlign w:val="bottom"/>
            <w:tcBorders>
              <w:left w:val="single" w:sz="8" w:color="auto"/>
            </w:tcBorders>
          </w:tcPr>
          <w:p>
            <w:pPr>
              <w:spacing w:after="0"/>
              <w:rPr>
                <w:sz w:val="18"/>
                <w:szCs w:val="18"/>
                <w:color w:val="auto"/>
              </w:rPr>
            </w:pPr>
          </w:p>
        </w:tc>
        <w:tc>
          <w:tcPr>
            <w:tcW w:w="6620" w:type="dxa"/>
            <w:vAlign w:val="bottom"/>
            <w:tcBorders>
              <w:right w:val="single" w:sz="8" w:color="auto"/>
            </w:tcBorders>
          </w:tcPr>
          <w:p>
            <w:pPr>
              <w:ind w:left="1000"/>
              <w:spacing w:after="0"/>
              <w:rPr>
                <w:sz w:val="20"/>
                <w:szCs w:val="20"/>
                <w:color w:val="auto"/>
              </w:rPr>
            </w:pPr>
            <w:r>
              <w:rPr>
                <w:rFonts w:ascii="Arial" w:cs="Arial" w:eastAsia="Arial" w:hAnsi="Arial"/>
                <w:sz w:val="18"/>
                <w:szCs w:val="18"/>
                <w:color w:val="auto"/>
                <w:w w:val="95"/>
              </w:rPr>
              <w:t>redemptions of Class A ordinary shares by public shareholders), including</w:t>
            </w:r>
          </w:p>
        </w:tc>
      </w:tr>
      <w:tr>
        <w:trPr>
          <w:trHeight w:val="216"/>
        </w:trPr>
        <w:tc>
          <w:tcPr>
            <w:tcW w:w="4620" w:type="dxa"/>
            <w:vAlign w:val="bottom"/>
            <w:tcBorders>
              <w:left w:val="single" w:sz="8" w:color="auto"/>
            </w:tcBorders>
          </w:tcPr>
          <w:p>
            <w:pPr>
              <w:spacing w:after="0"/>
              <w:rPr>
                <w:sz w:val="18"/>
                <w:szCs w:val="18"/>
                <w:color w:val="auto"/>
              </w:rPr>
            </w:pPr>
          </w:p>
        </w:tc>
        <w:tc>
          <w:tcPr>
            <w:tcW w:w="6620" w:type="dxa"/>
            <w:vAlign w:val="bottom"/>
            <w:tcBorders>
              <w:right w:val="single" w:sz="8" w:color="auto"/>
            </w:tcBorders>
          </w:tcPr>
          <w:p>
            <w:pPr>
              <w:ind w:left="1000"/>
              <w:spacing w:after="0"/>
              <w:rPr>
                <w:sz w:val="20"/>
                <w:szCs w:val="20"/>
                <w:color w:val="auto"/>
              </w:rPr>
            </w:pPr>
            <w:r>
              <w:rPr>
                <w:rFonts w:ascii="Arial" w:cs="Arial" w:eastAsia="Arial" w:hAnsi="Arial"/>
                <w:sz w:val="18"/>
                <w:szCs w:val="18"/>
                <w:color w:val="auto"/>
                <w:w w:val="96"/>
              </w:rPr>
              <w:t>the total number of Class A ordinary shares issued, or deemed issued or</w:t>
            </w:r>
          </w:p>
        </w:tc>
      </w:tr>
      <w:tr>
        <w:trPr>
          <w:trHeight w:val="216"/>
        </w:trPr>
        <w:tc>
          <w:tcPr>
            <w:tcW w:w="4620" w:type="dxa"/>
            <w:vAlign w:val="bottom"/>
            <w:tcBorders>
              <w:left w:val="single" w:sz="8" w:color="auto"/>
            </w:tcBorders>
          </w:tcPr>
          <w:p>
            <w:pPr>
              <w:spacing w:after="0"/>
              <w:rPr>
                <w:sz w:val="18"/>
                <w:szCs w:val="18"/>
                <w:color w:val="auto"/>
              </w:rPr>
            </w:pPr>
          </w:p>
        </w:tc>
        <w:tc>
          <w:tcPr>
            <w:tcW w:w="6620" w:type="dxa"/>
            <w:vAlign w:val="bottom"/>
            <w:tcBorders>
              <w:right w:val="single" w:sz="8" w:color="auto"/>
            </w:tcBorders>
          </w:tcPr>
          <w:p>
            <w:pPr>
              <w:ind w:left="1000"/>
              <w:spacing w:after="0"/>
              <w:rPr>
                <w:sz w:val="20"/>
                <w:szCs w:val="20"/>
                <w:color w:val="auto"/>
              </w:rPr>
            </w:pPr>
            <w:r>
              <w:rPr>
                <w:rFonts w:ascii="Arial" w:cs="Arial" w:eastAsia="Arial" w:hAnsi="Arial"/>
                <w:sz w:val="18"/>
                <w:szCs w:val="18"/>
                <w:color w:val="auto"/>
                <w:w w:val="99"/>
              </w:rPr>
              <w:t>issuable upon conversion or exercise of any equity-linked securities or</w:t>
            </w:r>
          </w:p>
        </w:tc>
      </w:tr>
      <w:tr>
        <w:trPr>
          <w:trHeight w:val="216"/>
        </w:trPr>
        <w:tc>
          <w:tcPr>
            <w:tcW w:w="4620" w:type="dxa"/>
            <w:vAlign w:val="bottom"/>
            <w:tcBorders>
              <w:left w:val="single" w:sz="8" w:color="auto"/>
            </w:tcBorders>
          </w:tcPr>
          <w:p>
            <w:pPr>
              <w:spacing w:after="0"/>
              <w:rPr>
                <w:sz w:val="18"/>
                <w:szCs w:val="18"/>
                <w:color w:val="auto"/>
              </w:rPr>
            </w:pPr>
          </w:p>
        </w:tc>
        <w:tc>
          <w:tcPr>
            <w:tcW w:w="6620" w:type="dxa"/>
            <w:vAlign w:val="bottom"/>
            <w:tcBorders>
              <w:right w:val="single" w:sz="8" w:color="auto"/>
            </w:tcBorders>
          </w:tcPr>
          <w:p>
            <w:pPr>
              <w:ind w:left="1000"/>
              <w:spacing w:after="0"/>
              <w:rPr>
                <w:sz w:val="20"/>
                <w:szCs w:val="20"/>
                <w:color w:val="auto"/>
              </w:rPr>
            </w:pPr>
            <w:r>
              <w:rPr>
                <w:rFonts w:ascii="Arial" w:cs="Arial" w:eastAsia="Arial" w:hAnsi="Arial"/>
                <w:sz w:val="18"/>
                <w:szCs w:val="18"/>
                <w:color w:val="auto"/>
                <w:w w:val="98"/>
              </w:rPr>
              <w:t>rights issued or deemed issued, by the Company in connection with the</w:t>
            </w:r>
          </w:p>
        </w:tc>
      </w:tr>
      <w:tr>
        <w:trPr>
          <w:trHeight w:val="216"/>
        </w:trPr>
        <w:tc>
          <w:tcPr>
            <w:tcW w:w="4620" w:type="dxa"/>
            <w:vAlign w:val="bottom"/>
            <w:tcBorders>
              <w:left w:val="single" w:sz="8" w:color="auto"/>
            </w:tcBorders>
          </w:tcPr>
          <w:p>
            <w:pPr>
              <w:spacing w:after="0"/>
              <w:rPr>
                <w:sz w:val="18"/>
                <w:szCs w:val="18"/>
                <w:color w:val="auto"/>
              </w:rPr>
            </w:pPr>
          </w:p>
        </w:tc>
        <w:tc>
          <w:tcPr>
            <w:tcW w:w="6620" w:type="dxa"/>
            <w:vAlign w:val="bottom"/>
            <w:tcBorders>
              <w:right w:val="single" w:sz="8" w:color="auto"/>
            </w:tcBorders>
          </w:tcPr>
          <w:p>
            <w:pPr>
              <w:ind w:left="1000"/>
              <w:spacing w:after="0"/>
              <w:rPr>
                <w:sz w:val="20"/>
                <w:szCs w:val="20"/>
                <w:color w:val="auto"/>
              </w:rPr>
            </w:pPr>
            <w:r>
              <w:rPr>
                <w:rFonts w:ascii="Arial" w:cs="Arial" w:eastAsia="Arial" w:hAnsi="Arial"/>
                <w:sz w:val="18"/>
                <w:szCs w:val="18"/>
                <w:color w:val="auto"/>
                <w:w w:val="96"/>
              </w:rPr>
              <w:t>consummation of the initial business combination, excluding any Class A</w:t>
            </w:r>
          </w:p>
        </w:tc>
      </w:tr>
      <w:tr>
        <w:trPr>
          <w:trHeight w:val="216"/>
        </w:trPr>
        <w:tc>
          <w:tcPr>
            <w:tcW w:w="4620" w:type="dxa"/>
            <w:vAlign w:val="bottom"/>
            <w:tcBorders>
              <w:left w:val="single" w:sz="8" w:color="auto"/>
            </w:tcBorders>
          </w:tcPr>
          <w:p>
            <w:pPr>
              <w:spacing w:after="0"/>
              <w:rPr>
                <w:sz w:val="18"/>
                <w:szCs w:val="18"/>
                <w:color w:val="auto"/>
              </w:rPr>
            </w:pPr>
          </w:p>
        </w:tc>
        <w:tc>
          <w:tcPr>
            <w:tcW w:w="6620" w:type="dxa"/>
            <w:vAlign w:val="bottom"/>
            <w:tcBorders>
              <w:right w:val="single" w:sz="8" w:color="auto"/>
            </w:tcBorders>
          </w:tcPr>
          <w:p>
            <w:pPr>
              <w:ind w:left="1000"/>
              <w:spacing w:after="0"/>
              <w:rPr>
                <w:sz w:val="20"/>
                <w:szCs w:val="20"/>
                <w:color w:val="auto"/>
              </w:rPr>
            </w:pPr>
            <w:r>
              <w:rPr>
                <w:rFonts w:ascii="Arial" w:cs="Arial" w:eastAsia="Arial" w:hAnsi="Arial"/>
                <w:sz w:val="18"/>
                <w:szCs w:val="18"/>
                <w:color w:val="auto"/>
                <w:w w:val="92"/>
              </w:rPr>
              <w:t>ordinary shares or equity-linked securities exercisable for or convertible into</w:t>
            </w:r>
          </w:p>
        </w:tc>
      </w:tr>
      <w:tr>
        <w:trPr>
          <w:trHeight w:val="216"/>
        </w:trPr>
        <w:tc>
          <w:tcPr>
            <w:tcW w:w="4620" w:type="dxa"/>
            <w:vAlign w:val="bottom"/>
            <w:tcBorders>
              <w:left w:val="single" w:sz="8" w:color="auto"/>
            </w:tcBorders>
          </w:tcPr>
          <w:p>
            <w:pPr>
              <w:spacing w:after="0"/>
              <w:rPr>
                <w:sz w:val="18"/>
                <w:szCs w:val="18"/>
                <w:color w:val="auto"/>
              </w:rPr>
            </w:pPr>
          </w:p>
        </w:tc>
        <w:tc>
          <w:tcPr>
            <w:tcW w:w="6620" w:type="dxa"/>
            <w:vAlign w:val="bottom"/>
            <w:tcBorders>
              <w:right w:val="single" w:sz="8" w:color="auto"/>
            </w:tcBorders>
          </w:tcPr>
          <w:p>
            <w:pPr>
              <w:ind w:left="1000"/>
              <w:spacing w:after="0"/>
              <w:rPr>
                <w:sz w:val="20"/>
                <w:szCs w:val="20"/>
                <w:color w:val="auto"/>
              </w:rPr>
            </w:pPr>
            <w:r>
              <w:rPr>
                <w:rFonts w:ascii="Arial" w:cs="Arial" w:eastAsia="Arial" w:hAnsi="Arial"/>
                <w:sz w:val="18"/>
                <w:szCs w:val="18"/>
                <w:color w:val="auto"/>
                <w:w w:val="91"/>
              </w:rPr>
              <w:t>Class A ordinary shares issued, deemed issued or to be issued, to any seller</w:t>
            </w:r>
          </w:p>
        </w:tc>
      </w:tr>
      <w:tr>
        <w:trPr>
          <w:trHeight w:val="216"/>
        </w:trPr>
        <w:tc>
          <w:tcPr>
            <w:tcW w:w="4620" w:type="dxa"/>
            <w:vAlign w:val="bottom"/>
            <w:tcBorders>
              <w:left w:val="single" w:sz="8" w:color="auto"/>
            </w:tcBorders>
          </w:tcPr>
          <w:p>
            <w:pPr>
              <w:spacing w:after="0"/>
              <w:rPr>
                <w:sz w:val="18"/>
                <w:szCs w:val="18"/>
                <w:color w:val="auto"/>
              </w:rPr>
            </w:pPr>
          </w:p>
        </w:tc>
        <w:tc>
          <w:tcPr>
            <w:tcW w:w="6620" w:type="dxa"/>
            <w:vAlign w:val="bottom"/>
            <w:tcBorders>
              <w:right w:val="single" w:sz="8" w:color="auto"/>
            </w:tcBorders>
          </w:tcPr>
          <w:p>
            <w:pPr>
              <w:ind w:left="1000"/>
              <w:spacing w:after="0"/>
              <w:rPr>
                <w:sz w:val="20"/>
                <w:szCs w:val="20"/>
                <w:color w:val="auto"/>
              </w:rPr>
            </w:pPr>
            <w:r>
              <w:rPr>
                <w:rFonts w:ascii="Arial" w:cs="Arial" w:eastAsia="Arial" w:hAnsi="Arial"/>
                <w:sz w:val="18"/>
                <w:szCs w:val="18"/>
                <w:color w:val="auto"/>
                <w:w w:val="99"/>
              </w:rPr>
              <w:t>in the initial business combination and any private placement warrants</w:t>
            </w:r>
          </w:p>
        </w:tc>
      </w:tr>
      <w:tr>
        <w:trPr>
          <w:trHeight w:val="216"/>
        </w:trPr>
        <w:tc>
          <w:tcPr>
            <w:tcW w:w="4620" w:type="dxa"/>
            <w:vAlign w:val="bottom"/>
            <w:tcBorders>
              <w:left w:val="single" w:sz="8" w:color="auto"/>
            </w:tcBorders>
          </w:tcPr>
          <w:p>
            <w:pPr>
              <w:spacing w:after="0"/>
              <w:rPr>
                <w:sz w:val="18"/>
                <w:szCs w:val="18"/>
                <w:color w:val="auto"/>
              </w:rPr>
            </w:pPr>
          </w:p>
        </w:tc>
        <w:tc>
          <w:tcPr>
            <w:tcW w:w="6620" w:type="dxa"/>
            <w:vAlign w:val="bottom"/>
            <w:tcBorders>
              <w:right w:val="single" w:sz="8" w:color="auto"/>
            </w:tcBorders>
          </w:tcPr>
          <w:p>
            <w:pPr>
              <w:ind w:left="1000"/>
              <w:spacing w:after="0"/>
              <w:rPr>
                <w:sz w:val="20"/>
                <w:szCs w:val="20"/>
                <w:color w:val="auto"/>
              </w:rPr>
            </w:pPr>
            <w:r>
              <w:rPr>
                <w:rFonts w:ascii="Arial" w:cs="Arial" w:eastAsia="Arial" w:hAnsi="Arial"/>
                <w:sz w:val="18"/>
                <w:szCs w:val="18"/>
                <w:color w:val="auto"/>
                <w:w w:val="99"/>
              </w:rPr>
              <w:t>issued to our sponsor, officers or directors upon conversion of working</w:t>
            </w:r>
          </w:p>
        </w:tc>
      </w:tr>
      <w:tr>
        <w:trPr>
          <w:trHeight w:val="216"/>
        </w:trPr>
        <w:tc>
          <w:tcPr>
            <w:tcW w:w="4620" w:type="dxa"/>
            <w:vAlign w:val="bottom"/>
            <w:tcBorders>
              <w:left w:val="single" w:sz="8" w:color="auto"/>
            </w:tcBorders>
          </w:tcPr>
          <w:p>
            <w:pPr>
              <w:spacing w:after="0"/>
              <w:rPr>
                <w:sz w:val="18"/>
                <w:szCs w:val="18"/>
                <w:color w:val="auto"/>
              </w:rPr>
            </w:pPr>
          </w:p>
        </w:tc>
        <w:tc>
          <w:tcPr>
            <w:tcW w:w="6620" w:type="dxa"/>
            <w:vAlign w:val="bottom"/>
            <w:tcBorders>
              <w:right w:val="single" w:sz="8" w:color="auto"/>
            </w:tcBorders>
          </w:tcPr>
          <w:p>
            <w:pPr>
              <w:ind w:left="1000"/>
              <w:spacing w:after="0"/>
              <w:rPr>
                <w:sz w:val="20"/>
                <w:szCs w:val="20"/>
                <w:color w:val="auto"/>
              </w:rPr>
            </w:pPr>
            <w:r>
              <w:rPr>
                <w:rFonts w:ascii="Arial" w:cs="Arial" w:eastAsia="Arial" w:hAnsi="Arial"/>
                <w:sz w:val="18"/>
                <w:szCs w:val="18"/>
                <w:color w:val="auto"/>
                <w:w w:val="97"/>
              </w:rPr>
              <w:t>capital loans; provided that such conversion of founder shares will never</w:t>
            </w:r>
          </w:p>
        </w:tc>
      </w:tr>
      <w:tr>
        <w:trPr>
          <w:trHeight w:val="216"/>
        </w:trPr>
        <w:tc>
          <w:tcPr>
            <w:tcW w:w="4620" w:type="dxa"/>
            <w:vAlign w:val="bottom"/>
            <w:tcBorders>
              <w:left w:val="single" w:sz="8" w:color="auto"/>
            </w:tcBorders>
          </w:tcPr>
          <w:p>
            <w:pPr>
              <w:spacing w:after="0"/>
              <w:rPr>
                <w:sz w:val="18"/>
                <w:szCs w:val="18"/>
                <w:color w:val="auto"/>
              </w:rPr>
            </w:pPr>
          </w:p>
        </w:tc>
        <w:tc>
          <w:tcPr>
            <w:tcW w:w="6620" w:type="dxa"/>
            <w:vAlign w:val="bottom"/>
            <w:tcBorders>
              <w:right w:val="single" w:sz="8" w:color="auto"/>
            </w:tcBorders>
          </w:tcPr>
          <w:p>
            <w:pPr>
              <w:ind w:left="1000"/>
              <w:spacing w:after="0"/>
              <w:rPr>
                <w:sz w:val="20"/>
                <w:szCs w:val="20"/>
                <w:color w:val="auto"/>
              </w:rPr>
            </w:pPr>
            <w:r>
              <w:rPr>
                <w:rFonts w:ascii="Arial" w:cs="Arial" w:eastAsia="Arial" w:hAnsi="Arial"/>
                <w:sz w:val="18"/>
                <w:szCs w:val="18"/>
                <w:color w:val="auto"/>
                <w:w w:val="95"/>
              </w:rPr>
              <w:t>occur on a less than one-for-one basis. The term “equity-linked securities”</w:t>
            </w:r>
          </w:p>
        </w:tc>
      </w:tr>
      <w:tr>
        <w:trPr>
          <w:trHeight w:val="216"/>
        </w:trPr>
        <w:tc>
          <w:tcPr>
            <w:tcW w:w="4620" w:type="dxa"/>
            <w:vAlign w:val="bottom"/>
            <w:tcBorders>
              <w:left w:val="single" w:sz="8" w:color="auto"/>
            </w:tcBorders>
          </w:tcPr>
          <w:p>
            <w:pPr>
              <w:spacing w:after="0"/>
              <w:rPr>
                <w:sz w:val="18"/>
                <w:szCs w:val="18"/>
                <w:color w:val="auto"/>
              </w:rPr>
            </w:pPr>
          </w:p>
        </w:tc>
        <w:tc>
          <w:tcPr>
            <w:tcW w:w="6620" w:type="dxa"/>
            <w:vAlign w:val="bottom"/>
            <w:tcBorders>
              <w:right w:val="single" w:sz="8" w:color="auto"/>
            </w:tcBorders>
          </w:tcPr>
          <w:p>
            <w:pPr>
              <w:ind w:left="1000"/>
              <w:spacing w:after="0"/>
              <w:rPr>
                <w:sz w:val="20"/>
                <w:szCs w:val="20"/>
                <w:color w:val="auto"/>
              </w:rPr>
            </w:pPr>
            <w:r>
              <w:rPr>
                <w:rFonts w:ascii="Arial" w:cs="Arial" w:eastAsia="Arial" w:hAnsi="Arial"/>
                <w:sz w:val="18"/>
                <w:szCs w:val="18"/>
                <w:color w:val="auto"/>
                <w:w w:val="96"/>
              </w:rPr>
              <w:t>refers to any debt or equity securities that are convertible, exercisable or</w:t>
            </w:r>
          </w:p>
        </w:tc>
      </w:tr>
      <w:tr>
        <w:trPr>
          <w:trHeight w:val="216"/>
        </w:trPr>
        <w:tc>
          <w:tcPr>
            <w:tcW w:w="4620" w:type="dxa"/>
            <w:vAlign w:val="bottom"/>
            <w:tcBorders>
              <w:left w:val="single" w:sz="8" w:color="auto"/>
            </w:tcBorders>
          </w:tcPr>
          <w:p>
            <w:pPr>
              <w:spacing w:after="0"/>
              <w:rPr>
                <w:sz w:val="18"/>
                <w:szCs w:val="18"/>
                <w:color w:val="auto"/>
              </w:rPr>
            </w:pPr>
          </w:p>
        </w:tc>
        <w:tc>
          <w:tcPr>
            <w:tcW w:w="6620" w:type="dxa"/>
            <w:vAlign w:val="bottom"/>
            <w:tcBorders>
              <w:right w:val="single" w:sz="8" w:color="auto"/>
            </w:tcBorders>
          </w:tcPr>
          <w:p>
            <w:pPr>
              <w:ind w:left="1000"/>
              <w:spacing w:after="0"/>
              <w:rPr>
                <w:sz w:val="20"/>
                <w:szCs w:val="20"/>
                <w:color w:val="auto"/>
              </w:rPr>
            </w:pPr>
            <w:r>
              <w:rPr>
                <w:rFonts w:ascii="Arial" w:cs="Arial" w:eastAsia="Arial" w:hAnsi="Arial"/>
                <w:sz w:val="18"/>
                <w:szCs w:val="18"/>
                <w:color w:val="auto"/>
              </w:rPr>
              <w:t>exchangeable for our Class A ordinary shares issued in a financing</w:t>
            </w:r>
          </w:p>
        </w:tc>
      </w:tr>
      <w:tr>
        <w:trPr>
          <w:trHeight w:val="216"/>
        </w:trPr>
        <w:tc>
          <w:tcPr>
            <w:tcW w:w="4620" w:type="dxa"/>
            <w:vAlign w:val="bottom"/>
            <w:tcBorders>
              <w:left w:val="single" w:sz="8" w:color="auto"/>
            </w:tcBorders>
          </w:tcPr>
          <w:p>
            <w:pPr>
              <w:spacing w:after="0"/>
              <w:rPr>
                <w:sz w:val="18"/>
                <w:szCs w:val="18"/>
                <w:color w:val="auto"/>
              </w:rPr>
            </w:pPr>
          </w:p>
        </w:tc>
        <w:tc>
          <w:tcPr>
            <w:tcW w:w="6620" w:type="dxa"/>
            <w:vAlign w:val="bottom"/>
            <w:tcBorders>
              <w:right w:val="single" w:sz="8" w:color="auto"/>
            </w:tcBorders>
          </w:tcPr>
          <w:p>
            <w:pPr>
              <w:ind w:left="1000"/>
              <w:spacing w:after="0"/>
              <w:rPr>
                <w:sz w:val="20"/>
                <w:szCs w:val="20"/>
                <w:color w:val="auto"/>
              </w:rPr>
            </w:pPr>
            <w:r>
              <w:rPr>
                <w:rFonts w:ascii="Arial" w:cs="Arial" w:eastAsia="Arial" w:hAnsi="Arial"/>
                <w:sz w:val="18"/>
                <w:szCs w:val="18"/>
                <w:color w:val="auto"/>
                <w:w w:val="97"/>
              </w:rPr>
              <w:t>transaction in connection with our initial business combination, including</w:t>
            </w:r>
          </w:p>
        </w:tc>
      </w:tr>
      <w:tr>
        <w:trPr>
          <w:trHeight w:val="230"/>
        </w:trPr>
        <w:tc>
          <w:tcPr>
            <w:tcW w:w="4620" w:type="dxa"/>
            <w:vAlign w:val="bottom"/>
            <w:tcBorders>
              <w:left w:val="single" w:sz="8" w:color="auto"/>
            </w:tcBorders>
          </w:tcPr>
          <w:p>
            <w:pPr>
              <w:spacing w:after="0"/>
              <w:rPr>
                <w:sz w:val="20"/>
                <w:szCs w:val="20"/>
                <w:color w:val="auto"/>
              </w:rPr>
            </w:pPr>
          </w:p>
        </w:tc>
        <w:tc>
          <w:tcPr>
            <w:tcW w:w="6620" w:type="dxa"/>
            <w:vAlign w:val="bottom"/>
            <w:tcBorders>
              <w:right w:val="single" w:sz="8" w:color="auto"/>
            </w:tcBorders>
          </w:tcPr>
          <w:p>
            <w:pPr>
              <w:ind w:left="1000"/>
              <w:spacing w:after="0"/>
              <w:rPr>
                <w:sz w:val="20"/>
                <w:szCs w:val="20"/>
                <w:color w:val="auto"/>
              </w:rPr>
            </w:pPr>
            <w:r>
              <w:rPr>
                <w:rFonts w:ascii="Arial" w:cs="Arial" w:eastAsia="Arial" w:hAnsi="Arial"/>
                <w:sz w:val="18"/>
                <w:szCs w:val="18"/>
                <w:color w:val="auto"/>
              </w:rPr>
              <w:t>but not limited to a private placement of equity or debt.</w:t>
            </w:r>
          </w:p>
        </w:tc>
      </w:tr>
      <w:tr>
        <w:trPr>
          <w:trHeight w:val="364"/>
        </w:trPr>
        <w:tc>
          <w:tcPr>
            <w:tcW w:w="4620" w:type="dxa"/>
            <w:vAlign w:val="bottom"/>
            <w:tcBorders>
              <w:left w:val="single" w:sz="8" w:color="auto"/>
            </w:tcBorders>
          </w:tcPr>
          <w:p>
            <w:pPr>
              <w:ind w:left="100"/>
              <w:spacing w:after="0"/>
              <w:rPr>
                <w:sz w:val="20"/>
                <w:szCs w:val="20"/>
                <w:color w:val="auto"/>
              </w:rPr>
            </w:pPr>
            <w:r>
              <w:rPr>
                <w:rFonts w:ascii="Arial" w:cs="Arial" w:eastAsia="Arial" w:hAnsi="Arial"/>
                <w:sz w:val="18"/>
                <w:szCs w:val="18"/>
                <w:color w:val="auto"/>
              </w:rPr>
              <w:t>Appointment of directors; Voting</w:t>
            </w:r>
          </w:p>
        </w:tc>
        <w:tc>
          <w:tcPr>
            <w:tcW w:w="6620" w:type="dxa"/>
            <w:vAlign w:val="bottom"/>
            <w:tcBorders>
              <w:right w:val="single" w:sz="8" w:color="auto"/>
            </w:tcBorders>
          </w:tcPr>
          <w:p>
            <w:pPr>
              <w:ind w:left="1000"/>
              <w:spacing w:after="0"/>
              <w:rPr>
                <w:sz w:val="20"/>
                <w:szCs w:val="20"/>
                <w:color w:val="auto"/>
              </w:rPr>
            </w:pPr>
            <w:r>
              <w:rPr>
                <w:rFonts w:ascii="Arial" w:cs="Arial" w:eastAsia="Arial" w:hAnsi="Arial"/>
                <w:sz w:val="18"/>
                <w:szCs w:val="18"/>
                <w:color w:val="auto"/>
                <w:w w:val="92"/>
              </w:rPr>
              <w:t>Except as described below, holders of record of our Class A ordinary shares</w:t>
            </w:r>
          </w:p>
        </w:tc>
      </w:tr>
      <w:tr>
        <w:trPr>
          <w:trHeight w:val="216"/>
        </w:trPr>
        <w:tc>
          <w:tcPr>
            <w:tcW w:w="4620" w:type="dxa"/>
            <w:vAlign w:val="bottom"/>
            <w:tcBorders>
              <w:left w:val="single" w:sz="8" w:color="auto"/>
            </w:tcBorders>
          </w:tcPr>
          <w:p>
            <w:pPr>
              <w:spacing w:after="0"/>
              <w:rPr>
                <w:sz w:val="18"/>
                <w:szCs w:val="18"/>
                <w:color w:val="auto"/>
              </w:rPr>
            </w:pPr>
          </w:p>
        </w:tc>
        <w:tc>
          <w:tcPr>
            <w:tcW w:w="6620" w:type="dxa"/>
            <w:vAlign w:val="bottom"/>
            <w:tcBorders>
              <w:right w:val="single" w:sz="8" w:color="auto"/>
            </w:tcBorders>
          </w:tcPr>
          <w:p>
            <w:pPr>
              <w:ind w:left="1000"/>
              <w:spacing w:after="0"/>
              <w:rPr>
                <w:sz w:val="20"/>
                <w:szCs w:val="20"/>
                <w:color w:val="auto"/>
              </w:rPr>
            </w:pPr>
            <w:r>
              <w:rPr>
                <w:rFonts w:ascii="Arial" w:cs="Arial" w:eastAsia="Arial" w:hAnsi="Arial"/>
                <w:sz w:val="18"/>
                <w:szCs w:val="18"/>
                <w:color w:val="auto"/>
                <w:w w:val="93"/>
              </w:rPr>
              <w:t>and Class B ordinary shares are entitled to one vote for each share held on</w:t>
            </w:r>
          </w:p>
        </w:tc>
      </w:tr>
      <w:tr>
        <w:trPr>
          <w:trHeight w:val="216"/>
        </w:trPr>
        <w:tc>
          <w:tcPr>
            <w:tcW w:w="4620" w:type="dxa"/>
            <w:vAlign w:val="bottom"/>
            <w:tcBorders>
              <w:left w:val="single" w:sz="8" w:color="auto"/>
            </w:tcBorders>
          </w:tcPr>
          <w:p>
            <w:pPr>
              <w:spacing w:after="0"/>
              <w:rPr>
                <w:sz w:val="18"/>
                <w:szCs w:val="18"/>
                <w:color w:val="auto"/>
              </w:rPr>
            </w:pPr>
          </w:p>
        </w:tc>
        <w:tc>
          <w:tcPr>
            <w:tcW w:w="6620" w:type="dxa"/>
            <w:vAlign w:val="bottom"/>
            <w:tcBorders>
              <w:right w:val="single" w:sz="8" w:color="auto"/>
            </w:tcBorders>
          </w:tcPr>
          <w:p>
            <w:pPr>
              <w:ind w:left="1000"/>
              <w:spacing w:after="0"/>
              <w:rPr>
                <w:sz w:val="20"/>
                <w:szCs w:val="20"/>
                <w:color w:val="auto"/>
              </w:rPr>
            </w:pPr>
            <w:r>
              <w:rPr>
                <w:rFonts w:ascii="Arial" w:cs="Arial" w:eastAsia="Arial" w:hAnsi="Arial"/>
                <w:sz w:val="18"/>
                <w:szCs w:val="18"/>
                <w:color w:val="auto"/>
                <w:w w:val="92"/>
              </w:rPr>
              <w:t>all matters to be voted on by shareholders. Unless specified in our amended</w:t>
            </w:r>
          </w:p>
        </w:tc>
      </w:tr>
      <w:tr>
        <w:trPr>
          <w:trHeight w:val="216"/>
        </w:trPr>
        <w:tc>
          <w:tcPr>
            <w:tcW w:w="4620" w:type="dxa"/>
            <w:vAlign w:val="bottom"/>
            <w:tcBorders>
              <w:left w:val="single" w:sz="8" w:color="auto"/>
            </w:tcBorders>
          </w:tcPr>
          <w:p>
            <w:pPr>
              <w:spacing w:after="0"/>
              <w:rPr>
                <w:sz w:val="18"/>
                <w:szCs w:val="18"/>
                <w:color w:val="auto"/>
              </w:rPr>
            </w:pPr>
          </w:p>
        </w:tc>
        <w:tc>
          <w:tcPr>
            <w:tcW w:w="6620" w:type="dxa"/>
            <w:vAlign w:val="bottom"/>
            <w:tcBorders>
              <w:right w:val="single" w:sz="8" w:color="auto"/>
            </w:tcBorders>
          </w:tcPr>
          <w:p>
            <w:pPr>
              <w:ind w:left="1000"/>
              <w:spacing w:after="0"/>
              <w:rPr>
                <w:sz w:val="20"/>
                <w:szCs w:val="20"/>
                <w:color w:val="auto"/>
              </w:rPr>
            </w:pPr>
            <w:r>
              <w:rPr>
                <w:rFonts w:ascii="Arial" w:cs="Arial" w:eastAsia="Arial" w:hAnsi="Arial"/>
                <w:sz w:val="18"/>
                <w:szCs w:val="18"/>
                <w:color w:val="auto"/>
                <w:w w:val="92"/>
              </w:rPr>
              <w:t>and restated memorandum and articles of association, or as required by the</w:t>
            </w:r>
          </w:p>
        </w:tc>
      </w:tr>
      <w:tr>
        <w:trPr>
          <w:trHeight w:val="216"/>
        </w:trPr>
        <w:tc>
          <w:tcPr>
            <w:tcW w:w="4620" w:type="dxa"/>
            <w:vAlign w:val="bottom"/>
            <w:tcBorders>
              <w:left w:val="single" w:sz="8" w:color="auto"/>
            </w:tcBorders>
          </w:tcPr>
          <w:p>
            <w:pPr>
              <w:spacing w:after="0"/>
              <w:rPr>
                <w:sz w:val="18"/>
                <w:szCs w:val="18"/>
                <w:color w:val="auto"/>
              </w:rPr>
            </w:pPr>
          </w:p>
        </w:tc>
        <w:tc>
          <w:tcPr>
            <w:tcW w:w="6620" w:type="dxa"/>
            <w:vAlign w:val="bottom"/>
            <w:tcBorders>
              <w:right w:val="single" w:sz="8" w:color="auto"/>
            </w:tcBorders>
          </w:tcPr>
          <w:p>
            <w:pPr>
              <w:ind w:left="1000"/>
              <w:spacing w:after="0"/>
              <w:rPr>
                <w:sz w:val="20"/>
                <w:szCs w:val="20"/>
                <w:color w:val="auto"/>
              </w:rPr>
            </w:pPr>
            <w:r>
              <w:rPr>
                <w:rFonts w:ascii="Arial" w:cs="Arial" w:eastAsia="Arial" w:hAnsi="Arial"/>
                <w:sz w:val="18"/>
                <w:szCs w:val="18"/>
                <w:color w:val="auto"/>
              </w:rPr>
              <w:t>Companies Act or stock exchange rules, an ordinary resolution under</w:t>
            </w:r>
          </w:p>
        </w:tc>
      </w:tr>
      <w:tr>
        <w:trPr>
          <w:trHeight w:val="216"/>
        </w:trPr>
        <w:tc>
          <w:tcPr>
            <w:tcW w:w="4620" w:type="dxa"/>
            <w:vAlign w:val="bottom"/>
            <w:tcBorders>
              <w:left w:val="single" w:sz="8" w:color="auto"/>
            </w:tcBorders>
          </w:tcPr>
          <w:p>
            <w:pPr>
              <w:spacing w:after="0"/>
              <w:rPr>
                <w:sz w:val="18"/>
                <w:szCs w:val="18"/>
                <w:color w:val="auto"/>
              </w:rPr>
            </w:pPr>
          </w:p>
        </w:tc>
        <w:tc>
          <w:tcPr>
            <w:tcW w:w="6620" w:type="dxa"/>
            <w:vAlign w:val="bottom"/>
            <w:tcBorders>
              <w:right w:val="single" w:sz="8" w:color="auto"/>
            </w:tcBorders>
          </w:tcPr>
          <w:p>
            <w:pPr>
              <w:ind w:left="1000"/>
              <w:spacing w:after="0"/>
              <w:rPr>
                <w:sz w:val="20"/>
                <w:szCs w:val="20"/>
                <w:color w:val="auto"/>
              </w:rPr>
            </w:pPr>
            <w:r>
              <w:rPr>
                <w:rFonts w:ascii="Arial" w:cs="Arial" w:eastAsia="Arial" w:hAnsi="Arial"/>
                <w:sz w:val="18"/>
                <w:szCs w:val="18"/>
                <w:color w:val="auto"/>
                <w:w w:val="93"/>
              </w:rPr>
              <w:t>Cayman Islands law, which requires the affirmative vote of a majority of the</w:t>
            </w:r>
          </w:p>
        </w:tc>
      </w:tr>
      <w:tr>
        <w:trPr>
          <w:trHeight w:val="230"/>
        </w:trPr>
        <w:tc>
          <w:tcPr>
            <w:tcW w:w="4620" w:type="dxa"/>
            <w:vAlign w:val="bottom"/>
            <w:tcBorders>
              <w:left w:val="single" w:sz="8" w:color="auto"/>
            </w:tcBorders>
          </w:tcPr>
          <w:p>
            <w:pPr>
              <w:spacing w:after="0"/>
              <w:rPr>
                <w:sz w:val="20"/>
                <w:szCs w:val="20"/>
                <w:color w:val="auto"/>
              </w:rPr>
            </w:pPr>
          </w:p>
        </w:tc>
        <w:tc>
          <w:tcPr>
            <w:tcW w:w="6620" w:type="dxa"/>
            <w:vAlign w:val="bottom"/>
            <w:tcBorders>
              <w:right w:val="single" w:sz="8" w:color="auto"/>
            </w:tcBorders>
          </w:tcPr>
          <w:p>
            <w:pPr>
              <w:ind w:left="1000"/>
              <w:spacing w:after="0"/>
              <w:rPr>
                <w:sz w:val="20"/>
                <w:szCs w:val="20"/>
                <w:color w:val="auto"/>
              </w:rPr>
            </w:pPr>
            <w:r>
              <w:rPr>
                <w:rFonts w:ascii="Arial" w:cs="Arial" w:eastAsia="Arial" w:hAnsi="Arial"/>
                <w:sz w:val="18"/>
                <w:szCs w:val="18"/>
                <w:color w:val="auto"/>
              </w:rPr>
              <w:t>shareholders</w:t>
            </w:r>
          </w:p>
        </w:tc>
      </w:tr>
      <w:tr>
        <w:trPr>
          <w:trHeight w:val="361"/>
        </w:trPr>
        <w:tc>
          <w:tcPr>
            <w:tcW w:w="4620" w:type="dxa"/>
            <w:vAlign w:val="bottom"/>
            <w:tcBorders>
              <w:left w:val="single" w:sz="8" w:color="auto"/>
              <w:bottom w:val="single" w:sz="8" w:color="auto"/>
            </w:tcBorders>
          </w:tcPr>
          <w:p>
            <w:pPr>
              <w:spacing w:after="0"/>
              <w:rPr>
                <w:sz w:val="24"/>
                <w:szCs w:val="24"/>
                <w:color w:val="auto"/>
              </w:rPr>
            </w:pPr>
          </w:p>
        </w:tc>
        <w:tc>
          <w:tcPr>
            <w:tcW w:w="6620" w:type="dxa"/>
            <w:vAlign w:val="bottom"/>
            <w:tcBorders>
              <w:bottom w:val="single" w:sz="8" w:color="auto"/>
              <w:right w:val="single" w:sz="8" w:color="auto"/>
            </w:tcBorders>
          </w:tcPr>
          <w:p>
            <w:pPr>
              <w:spacing w:after="0"/>
              <w:rPr>
                <w:sz w:val="24"/>
                <w:szCs w:val="24"/>
                <w:color w:val="auto"/>
              </w:rPr>
            </w:pPr>
          </w:p>
        </w:tc>
      </w:tr>
      <w:tr>
        <w:trPr>
          <w:trHeight w:val="328"/>
        </w:trPr>
        <w:tc>
          <w:tcPr>
            <w:tcW w:w="462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900"/>
              <w:spacing w:after="0"/>
              <w:rPr>
                <w:sz w:val="20"/>
                <w:szCs w:val="20"/>
                <w:color w:val="auto"/>
              </w:rPr>
            </w:pPr>
            <w:r>
              <w:rPr>
                <w:rFonts w:ascii="Arial" w:cs="Arial" w:eastAsia="Arial" w:hAnsi="Arial"/>
                <w:sz w:val="18"/>
                <w:szCs w:val="18"/>
                <w:color w:val="auto"/>
              </w:rPr>
              <w:t>18</w:t>
            </w:r>
          </w:p>
        </w:tc>
      </w:tr>
    </w:tbl>
    <w:p>
      <w:pPr>
        <w:sectPr>
          <w:pgSz w:w="11900" w:h="16838" w:orient="portrait"/>
          <w:cols w:equalWidth="0" w:num="1">
            <w:col w:w="11240"/>
          </w:cols>
          <w:pgMar w:left="320" w:top="575" w:right="339" w:bottom="1440" w:gutter="0" w:footer="0" w:header="0"/>
        </w:sectPr>
      </w:pPr>
    </w:p>
    <w:bookmarkStart w:id="23" w:name="page24"/>
    <w:bookmarkEnd w:id="23"/>
    <w:p>
      <w:pPr>
        <w:ind w:left="4500"/>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206375</wp:posOffset>
            </wp:positionH>
            <wp:positionV relativeFrom="page">
              <wp:posOffset>378460</wp:posOffset>
            </wp:positionV>
            <wp:extent cx="7136130" cy="59874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6130" cy="5987415"/>
                    </a:xfrm>
                    <a:prstGeom prst="rect">
                      <a:avLst/>
                    </a:prstGeom>
                    <a:noFill/>
                  </pic:spPr>
                </pic:pic>
              </a:graphicData>
            </a:graphic>
          </wp:anchor>
        </w:drawing>
        <w:t>who attend and vote at a general meeting of the company is generally required to approve any matter voted on by our shareholders. Approval of certain actions require a special resolution under Cayman Islands law, which requires the affirmative vote of a majority of at least two-thirds of the shareholders who attend and vote at a general meeting of the company, and pursuant to our amended and restated memorandum and articles of association, such actions include amending our amended and restated memorandum and articles of association and approving a statutory merger or consolidation with another company. There is no cumulative voting with respect to the appointment of directors, meaning, following our initial business combination, the holders of more than 50% of our ordinary shares voted for the appointment of directors can appoint all of the directors. Only holders of Class B ordinary shares will have the right to appoint and remove directors in any general meeting held prior to or in connection with the completion of our initial business combination. Holders of our public shares will not be entitled to vote on the appointment of directors during such time. These provisions of our amended and restated memorandum and articles of association relating to the rights of holders of Class B ordinary shares to appoint directors or remove may be amended by a special resolution passed by a majority of at least 90% of our ordinary shares voting in a general meeting. With respect to any other matter submitted to a vote of our shareholders, including any vote in connection with our initial business combination, except as required by law, holders of the founder shares and holders of our public shares will vote together as a single class, with each share entitling the holder to one vote. If we seek shareholder approval of our initial business combination, we will complete our initial business combination only if we receive an ordinary resolution under Cayman Islands law as described above. In such case, our initial shareholders, sponsor, officers and directors have agreed to vote any founder shares and public shares held by them (including those acquired in open market and privately-negotiated transactions) in favor of our initial business combination. As a result, in addition to our initial shareholders’ founder shares, we would need 9,375,001, or 37.5%, of the 25,000,000 public shares sold in this offering to be voted in favor of an initial business combination in order to have our initial business combination approved (assuming all outstanding shares are voted and the over-allotment option is not exercised). If the PIMCO private fund or its affiliates purchase 2,475,000 units in this offering, and vote the shares included in these units in favor of our initial business combination, the percentage would be reduced to 27.6%.</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23495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000"/>
          </w:cols>
          <w:pgMar w:left="1440" w:top="895" w:right="459" w:bottom="1440" w:gutter="0" w:footer="0" w:header="0"/>
        </w:sectPr>
      </w:pPr>
    </w:p>
    <w:bookmarkStart w:id="24" w:name="page25"/>
    <w:bookmarkEnd w:id="24"/>
    <w:tbl>
      <w:tblPr>
        <w:tblLayout w:type="fixed"/>
        <w:tblInd w:w="10" w:type="dxa"/>
        <w:tblCellMar>
          <w:top w:w="0" w:type="dxa"/>
          <w:left w:w="0" w:type="dxa"/>
          <w:bottom w:w="0" w:type="dxa"/>
          <w:right w:w="0" w:type="dxa"/>
        </w:tblCellMar>
      </w:tblPr>
      <w:tr>
        <w:trPr>
          <w:trHeight w:val="596"/>
        </w:trPr>
        <w:tc>
          <w:tcPr>
            <w:tcW w:w="4640" w:type="dxa"/>
            <w:vAlign w:val="bottom"/>
            <w:tcBorders>
              <w:top w:val="single" w:sz="8" w:color="auto"/>
              <w:left w:val="single" w:sz="8" w:color="auto"/>
            </w:tcBorders>
          </w:tcPr>
          <w:p>
            <w:pPr>
              <w:ind w:left="100"/>
              <w:spacing w:after="0"/>
              <w:rPr>
                <w:sz w:val="20"/>
                <w:szCs w:val="20"/>
                <w:color w:val="auto"/>
              </w:rPr>
            </w:pPr>
            <w:r>
              <w:rPr>
                <w:rFonts w:ascii="Arial" w:cs="Arial" w:eastAsia="Arial" w:hAnsi="Arial"/>
                <w:sz w:val="18"/>
                <w:szCs w:val="18"/>
                <w:color w:val="auto"/>
              </w:rPr>
              <w:t>Private placement warrants</w:t>
            </w:r>
          </w:p>
        </w:tc>
        <w:tc>
          <w:tcPr>
            <w:tcW w:w="6600" w:type="dxa"/>
            <w:vAlign w:val="bottom"/>
            <w:tcBorders>
              <w:top w:val="single" w:sz="8" w:color="auto"/>
              <w:right w:val="single" w:sz="8" w:color="auto"/>
            </w:tcBorders>
          </w:tcPr>
          <w:p>
            <w:pPr>
              <w:ind w:left="980"/>
              <w:spacing w:after="0"/>
              <w:rPr>
                <w:sz w:val="20"/>
                <w:szCs w:val="20"/>
                <w:color w:val="auto"/>
              </w:rPr>
            </w:pPr>
            <w:r>
              <w:rPr>
                <w:rFonts w:ascii="Arial" w:cs="Arial" w:eastAsia="Arial" w:hAnsi="Arial"/>
                <w:sz w:val="18"/>
                <w:szCs w:val="18"/>
                <w:color w:val="auto"/>
                <w:w w:val="90"/>
              </w:rPr>
              <w:t>Our sponsor has committed, pursuant to a written agreement, to purchase an</w:t>
            </w:r>
          </w:p>
        </w:tc>
      </w:tr>
      <w:tr>
        <w:trPr>
          <w:trHeight w:val="216"/>
        </w:trPr>
        <w:tc>
          <w:tcPr>
            <w:tcW w:w="4640" w:type="dxa"/>
            <w:vAlign w:val="bottom"/>
            <w:tcBorders>
              <w:left w:val="single" w:sz="8" w:color="auto"/>
            </w:tcBorders>
          </w:tcPr>
          <w:p>
            <w:pPr>
              <w:spacing w:after="0"/>
              <w:rPr>
                <w:sz w:val="18"/>
                <w:szCs w:val="18"/>
                <w:color w:val="auto"/>
              </w:rPr>
            </w:pPr>
          </w:p>
        </w:tc>
        <w:tc>
          <w:tcPr>
            <w:tcW w:w="6600" w:type="dxa"/>
            <w:vAlign w:val="bottom"/>
            <w:tcBorders>
              <w:right w:val="single" w:sz="8" w:color="auto"/>
            </w:tcBorders>
          </w:tcPr>
          <w:p>
            <w:pPr>
              <w:ind w:left="980"/>
              <w:spacing w:after="0"/>
              <w:rPr>
                <w:sz w:val="20"/>
                <w:szCs w:val="20"/>
                <w:color w:val="auto"/>
              </w:rPr>
            </w:pPr>
            <w:r>
              <w:rPr>
                <w:rFonts w:ascii="Arial" w:cs="Arial" w:eastAsia="Arial" w:hAnsi="Arial"/>
                <w:sz w:val="18"/>
                <w:szCs w:val="18"/>
                <w:color w:val="auto"/>
                <w:w w:val="96"/>
              </w:rPr>
              <w:t>aggregate of 5,000,000 private placement warrants (or 5,500,000 private</w:t>
            </w:r>
          </w:p>
        </w:tc>
      </w:tr>
      <w:tr>
        <w:trPr>
          <w:trHeight w:val="216"/>
        </w:trPr>
        <w:tc>
          <w:tcPr>
            <w:tcW w:w="4640" w:type="dxa"/>
            <w:vAlign w:val="bottom"/>
            <w:tcBorders>
              <w:left w:val="single" w:sz="8" w:color="auto"/>
            </w:tcBorders>
          </w:tcPr>
          <w:p>
            <w:pPr>
              <w:spacing w:after="0"/>
              <w:rPr>
                <w:sz w:val="18"/>
                <w:szCs w:val="18"/>
                <w:color w:val="auto"/>
              </w:rPr>
            </w:pPr>
          </w:p>
        </w:tc>
        <w:tc>
          <w:tcPr>
            <w:tcW w:w="6600" w:type="dxa"/>
            <w:vAlign w:val="bottom"/>
            <w:tcBorders>
              <w:right w:val="single" w:sz="8" w:color="auto"/>
            </w:tcBorders>
          </w:tcPr>
          <w:p>
            <w:pPr>
              <w:ind w:left="980"/>
              <w:spacing w:after="0"/>
              <w:rPr>
                <w:sz w:val="20"/>
                <w:szCs w:val="20"/>
                <w:color w:val="auto"/>
              </w:rPr>
            </w:pPr>
            <w:r>
              <w:rPr>
                <w:rFonts w:ascii="Arial" w:cs="Arial" w:eastAsia="Arial" w:hAnsi="Arial"/>
                <w:sz w:val="18"/>
                <w:szCs w:val="18"/>
                <w:color w:val="auto"/>
                <w:w w:val="92"/>
              </w:rPr>
              <w:t>placement warrants if the underwriters’ over-allotment option is exercised in</w:t>
            </w:r>
          </w:p>
        </w:tc>
      </w:tr>
      <w:tr>
        <w:trPr>
          <w:trHeight w:val="216"/>
        </w:trPr>
        <w:tc>
          <w:tcPr>
            <w:tcW w:w="4640" w:type="dxa"/>
            <w:vAlign w:val="bottom"/>
            <w:tcBorders>
              <w:left w:val="single" w:sz="8" w:color="auto"/>
            </w:tcBorders>
          </w:tcPr>
          <w:p>
            <w:pPr>
              <w:spacing w:after="0"/>
              <w:rPr>
                <w:sz w:val="18"/>
                <w:szCs w:val="18"/>
                <w:color w:val="auto"/>
              </w:rPr>
            </w:pPr>
          </w:p>
        </w:tc>
        <w:tc>
          <w:tcPr>
            <w:tcW w:w="6600" w:type="dxa"/>
            <w:vAlign w:val="bottom"/>
            <w:tcBorders>
              <w:right w:val="single" w:sz="8" w:color="auto"/>
            </w:tcBorders>
          </w:tcPr>
          <w:p>
            <w:pPr>
              <w:ind w:left="980"/>
              <w:spacing w:after="0"/>
              <w:rPr>
                <w:sz w:val="20"/>
                <w:szCs w:val="20"/>
                <w:color w:val="auto"/>
              </w:rPr>
            </w:pPr>
            <w:r>
              <w:rPr>
                <w:rFonts w:ascii="Arial" w:cs="Arial" w:eastAsia="Arial" w:hAnsi="Arial"/>
                <w:sz w:val="18"/>
                <w:szCs w:val="18"/>
                <w:color w:val="auto"/>
                <w:w w:val="92"/>
              </w:rPr>
              <w:t>full), each exercisable to purchase one Class A ordinary share at $11.50 per</w:t>
            </w:r>
          </w:p>
        </w:tc>
      </w:tr>
      <w:tr>
        <w:trPr>
          <w:trHeight w:val="216"/>
        </w:trPr>
        <w:tc>
          <w:tcPr>
            <w:tcW w:w="4640" w:type="dxa"/>
            <w:vAlign w:val="bottom"/>
            <w:tcBorders>
              <w:left w:val="single" w:sz="8" w:color="auto"/>
            </w:tcBorders>
          </w:tcPr>
          <w:p>
            <w:pPr>
              <w:spacing w:after="0"/>
              <w:rPr>
                <w:sz w:val="18"/>
                <w:szCs w:val="18"/>
                <w:color w:val="auto"/>
              </w:rPr>
            </w:pPr>
          </w:p>
        </w:tc>
        <w:tc>
          <w:tcPr>
            <w:tcW w:w="6600" w:type="dxa"/>
            <w:vAlign w:val="bottom"/>
            <w:tcBorders>
              <w:right w:val="single" w:sz="8" w:color="auto"/>
            </w:tcBorders>
          </w:tcPr>
          <w:p>
            <w:pPr>
              <w:ind w:left="980"/>
              <w:spacing w:after="0"/>
              <w:rPr>
                <w:sz w:val="20"/>
                <w:szCs w:val="20"/>
                <w:color w:val="auto"/>
              </w:rPr>
            </w:pPr>
            <w:r>
              <w:rPr>
                <w:rFonts w:ascii="Arial" w:cs="Arial" w:eastAsia="Arial" w:hAnsi="Arial"/>
                <w:sz w:val="18"/>
                <w:szCs w:val="18"/>
                <w:color w:val="auto"/>
                <w:w w:val="97"/>
              </w:rPr>
              <w:t>share, subject to adjustment as described herein, at a price of $1.50 per</w:t>
            </w:r>
          </w:p>
        </w:tc>
      </w:tr>
      <w:tr>
        <w:trPr>
          <w:trHeight w:val="216"/>
        </w:trPr>
        <w:tc>
          <w:tcPr>
            <w:tcW w:w="4640" w:type="dxa"/>
            <w:vAlign w:val="bottom"/>
            <w:tcBorders>
              <w:left w:val="single" w:sz="8" w:color="auto"/>
            </w:tcBorders>
          </w:tcPr>
          <w:p>
            <w:pPr>
              <w:spacing w:after="0"/>
              <w:rPr>
                <w:sz w:val="18"/>
                <w:szCs w:val="18"/>
                <w:color w:val="auto"/>
              </w:rPr>
            </w:pPr>
          </w:p>
        </w:tc>
        <w:tc>
          <w:tcPr>
            <w:tcW w:w="6600" w:type="dxa"/>
            <w:vAlign w:val="bottom"/>
            <w:tcBorders>
              <w:right w:val="single" w:sz="8" w:color="auto"/>
            </w:tcBorders>
          </w:tcPr>
          <w:p>
            <w:pPr>
              <w:ind w:left="980"/>
              <w:spacing w:after="0"/>
              <w:rPr>
                <w:sz w:val="20"/>
                <w:szCs w:val="20"/>
                <w:color w:val="auto"/>
              </w:rPr>
            </w:pPr>
            <w:r>
              <w:rPr>
                <w:rFonts w:ascii="Arial" w:cs="Arial" w:eastAsia="Arial" w:hAnsi="Arial"/>
                <w:sz w:val="18"/>
                <w:szCs w:val="18"/>
                <w:color w:val="auto"/>
                <w:w w:val="94"/>
              </w:rPr>
              <w:t>warrant, or $7,500,000 in the aggregate (or $8,250,000 if the underwriters’</w:t>
            </w:r>
          </w:p>
        </w:tc>
      </w:tr>
      <w:tr>
        <w:trPr>
          <w:trHeight w:val="216"/>
        </w:trPr>
        <w:tc>
          <w:tcPr>
            <w:tcW w:w="4640" w:type="dxa"/>
            <w:vAlign w:val="bottom"/>
            <w:tcBorders>
              <w:left w:val="single" w:sz="8" w:color="auto"/>
            </w:tcBorders>
          </w:tcPr>
          <w:p>
            <w:pPr>
              <w:spacing w:after="0"/>
              <w:rPr>
                <w:sz w:val="18"/>
                <w:szCs w:val="18"/>
                <w:color w:val="auto"/>
              </w:rPr>
            </w:pPr>
          </w:p>
        </w:tc>
        <w:tc>
          <w:tcPr>
            <w:tcW w:w="6600" w:type="dxa"/>
            <w:vAlign w:val="bottom"/>
            <w:tcBorders>
              <w:right w:val="single" w:sz="8" w:color="auto"/>
            </w:tcBorders>
          </w:tcPr>
          <w:p>
            <w:pPr>
              <w:ind w:left="980"/>
              <w:spacing w:after="0"/>
              <w:rPr>
                <w:sz w:val="20"/>
                <w:szCs w:val="20"/>
                <w:color w:val="auto"/>
              </w:rPr>
            </w:pPr>
            <w:r>
              <w:rPr>
                <w:rFonts w:ascii="Arial" w:cs="Arial" w:eastAsia="Arial" w:hAnsi="Arial"/>
                <w:sz w:val="18"/>
                <w:szCs w:val="18"/>
                <w:color w:val="auto"/>
                <w:w w:val="97"/>
              </w:rPr>
              <w:t>over-allotment option is exercised in full), in a private placement that will</w:t>
            </w:r>
          </w:p>
        </w:tc>
      </w:tr>
      <w:tr>
        <w:trPr>
          <w:trHeight w:val="216"/>
        </w:trPr>
        <w:tc>
          <w:tcPr>
            <w:tcW w:w="4640" w:type="dxa"/>
            <w:vAlign w:val="bottom"/>
            <w:tcBorders>
              <w:left w:val="single" w:sz="8" w:color="auto"/>
            </w:tcBorders>
          </w:tcPr>
          <w:p>
            <w:pPr>
              <w:spacing w:after="0"/>
              <w:rPr>
                <w:sz w:val="18"/>
                <w:szCs w:val="18"/>
                <w:color w:val="auto"/>
              </w:rPr>
            </w:pPr>
          </w:p>
        </w:tc>
        <w:tc>
          <w:tcPr>
            <w:tcW w:w="6600" w:type="dxa"/>
            <w:vAlign w:val="bottom"/>
            <w:tcBorders>
              <w:right w:val="single" w:sz="8" w:color="auto"/>
            </w:tcBorders>
          </w:tcPr>
          <w:p>
            <w:pPr>
              <w:ind w:left="980"/>
              <w:spacing w:after="0"/>
              <w:rPr>
                <w:sz w:val="20"/>
                <w:szCs w:val="20"/>
                <w:color w:val="auto"/>
              </w:rPr>
            </w:pPr>
            <w:r>
              <w:rPr>
                <w:rFonts w:ascii="Arial" w:cs="Arial" w:eastAsia="Arial" w:hAnsi="Arial"/>
                <w:sz w:val="18"/>
                <w:szCs w:val="18"/>
                <w:color w:val="auto"/>
              </w:rPr>
              <w:t>close simultaneously with the closing of this offering. A portion of the</w:t>
            </w:r>
          </w:p>
        </w:tc>
      </w:tr>
      <w:tr>
        <w:trPr>
          <w:trHeight w:val="216"/>
        </w:trPr>
        <w:tc>
          <w:tcPr>
            <w:tcW w:w="4640" w:type="dxa"/>
            <w:vAlign w:val="bottom"/>
            <w:tcBorders>
              <w:left w:val="single" w:sz="8" w:color="auto"/>
            </w:tcBorders>
          </w:tcPr>
          <w:p>
            <w:pPr>
              <w:spacing w:after="0"/>
              <w:rPr>
                <w:sz w:val="18"/>
                <w:szCs w:val="18"/>
                <w:color w:val="auto"/>
              </w:rPr>
            </w:pPr>
          </w:p>
        </w:tc>
        <w:tc>
          <w:tcPr>
            <w:tcW w:w="6600" w:type="dxa"/>
            <w:vAlign w:val="bottom"/>
            <w:tcBorders>
              <w:right w:val="single" w:sz="8" w:color="auto"/>
            </w:tcBorders>
          </w:tcPr>
          <w:p>
            <w:pPr>
              <w:ind w:left="980"/>
              <w:spacing w:after="0"/>
              <w:rPr>
                <w:sz w:val="20"/>
                <w:szCs w:val="20"/>
                <w:color w:val="auto"/>
              </w:rPr>
            </w:pPr>
            <w:r>
              <w:rPr>
                <w:rFonts w:ascii="Arial" w:cs="Arial" w:eastAsia="Arial" w:hAnsi="Arial"/>
                <w:sz w:val="18"/>
                <w:szCs w:val="18"/>
                <w:color w:val="auto"/>
              </w:rPr>
              <w:t>purchase price of the private placement warrants will be added to the</w:t>
            </w:r>
          </w:p>
        </w:tc>
      </w:tr>
      <w:tr>
        <w:trPr>
          <w:trHeight w:val="216"/>
        </w:trPr>
        <w:tc>
          <w:tcPr>
            <w:tcW w:w="4640" w:type="dxa"/>
            <w:vAlign w:val="bottom"/>
            <w:tcBorders>
              <w:left w:val="single" w:sz="8" w:color="auto"/>
            </w:tcBorders>
          </w:tcPr>
          <w:p>
            <w:pPr>
              <w:spacing w:after="0"/>
              <w:rPr>
                <w:sz w:val="18"/>
                <w:szCs w:val="18"/>
                <w:color w:val="auto"/>
              </w:rPr>
            </w:pPr>
          </w:p>
        </w:tc>
        <w:tc>
          <w:tcPr>
            <w:tcW w:w="6600" w:type="dxa"/>
            <w:vAlign w:val="bottom"/>
            <w:tcBorders>
              <w:right w:val="single" w:sz="8" w:color="auto"/>
            </w:tcBorders>
          </w:tcPr>
          <w:p>
            <w:pPr>
              <w:ind w:left="980"/>
              <w:spacing w:after="0"/>
              <w:rPr>
                <w:sz w:val="20"/>
                <w:szCs w:val="20"/>
                <w:color w:val="auto"/>
              </w:rPr>
            </w:pPr>
            <w:r>
              <w:rPr>
                <w:rFonts w:ascii="Arial" w:cs="Arial" w:eastAsia="Arial" w:hAnsi="Arial"/>
                <w:sz w:val="18"/>
                <w:szCs w:val="18"/>
                <w:color w:val="auto"/>
                <w:w w:val="95"/>
              </w:rPr>
              <w:t>proceeds from this offering to be held in the trust account such that at the</w:t>
            </w:r>
          </w:p>
        </w:tc>
      </w:tr>
      <w:tr>
        <w:trPr>
          <w:trHeight w:val="216"/>
        </w:trPr>
        <w:tc>
          <w:tcPr>
            <w:tcW w:w="4640" w:type="dxa"/>
            <w:vAlign w:val="bottom"/>
            <w:tcBorders>
              <w:left w:val="single" w:sz="8" w:color="auto"/>
            </w:tcBorders>
          </w:tcPr>
          <w:p>
            <w:pPr>
              <w:spacing w:after="0"/>
              <w:rPr>
                <w:sz w:val="18"/>
                <w:szCs w:val="18"/>
                <w:color w:val="auto"/>
              </w:rPr>
            </w:pPr>
          </w:p>
        </w:tc>
        <w:tc>
          <w:tcPr>
            <w:tcW w:w="6600" w:type="dxa"/>
            <w:vAlign w:val="bottom"/>
            <w:tcBorders>
              <w:right w:val="single" w:sz="8" w:color="auto"/>
            </w:tcBorders>
          </w:tcPr>
          <w:p>
            <w:pPr>
              <w:ind w:left="980"/>
              <w:spacing w:after="0"/>
              <w:rPr>
                <w:sz w:val="20"/>
                <w:szCs w:val="20"/>
                <w:color w:val="auto"/>
              </w:rPr>
            </w:pPr>
            <w:r>
              <w:rPr>
                <w:rFonts w:ascii="Arial" w:cs="Arial" w:eastAsia="Arial" w:hAnsi="Arial"/>
                <w:sz w:val="18"/>
                <w:szCs w:val="18"/>
                <w:color w:val="auto"/>
              </w:rPr>
              <w:t>time of closing of this offering $250.0 million (or $287.5 million if the</w:t>
            </w:r>
          </w:p>
        </w:tc>
      </w:tr>
      <w:tr>
        <w:trPr>
          <w:trHeight w:val="216"/>
        </w:trPr>
        <w:tc>
          <w:tcPr>
            <w:tcW w:w="4640" w:type="dxa"/>
            <w:vAlign w:val="bottom"/>
            <w:tcBorders>
              <w:left w:val="single" w:sz="8" w:color="auto"/>
            </w:tcBorders>
          </w:tcPr>
          <w:p>
            <w:pPr>
              <w:spacing w:after="0"/>
              <w:rPr>
                <w:sz w:val="18"/>
                <w:szCs w:val="18"/>
                <w:color w:val="auto"/>
              </w:rPr>
            </w:pPr>
          </w:p>
        </w:tc>
        <w:tc>
          <w:tcPr>
            <w:tcW w:w="6600" w:type="dxa"/>
            <w:vAlign w:val="bottom"/>
            <w:tcBorders>
              <w:right w:val="single" w:sz="8" w:color="auto"/>
            </w:tcBorders>
          </w:tcPr>
          <w:p>
            <w:pPr>
              <w:ind w:left="980"/>
              <w:spacing w:after="0"/>
              <w:rPr>
                <w:sz w:val="20"/>
                <w:szCs w:val="20"/>
                <w:color w:val="auto"/>
              </w:rPr>
            </w:pPr>
            <w:r>
              <w:rPr>
                <w:rFonts w:ascii="Arial" w:cs="Arial" w:eastAsia="Arial" w:hAnsi="Arial"/>
                <w:sz w:val="18"/>
                <w:szCs w:val="18"/>
                <w:color w:val="auto"/>
                <w:w w:val="96"/>
              </w:rPr>
              <w:t>underwriters exercise their over-allotment option in full) will be held in the</w:t>
            </w:r>
          </w:p>
        </w:tc>
      </w:tr>
      <w:tr>
        <w:trPr>
          <w:trHeight w:val="216"/>
        </w:trPr>
        <w:tc>
          <w:tcPr>
            <w:tcW w:w="4640" w:type="dxa"/>
            <w:vAlign w:val="bottom"/>
            <w:tcBorders>
              <w:left w:val="single" w:sz="8" w:color="auto"/>
            </w:tcBorders>
          </w:tcPr>
          <w:p>
            <w:pPr>
              <w:spacing w:after="0"/>
              <w:rPr>
                <w:sz w:val="18"/>
                <w:szCs w:val="18"/>
                <w:color w:val="auto"/>
              </w:rPr>
            </w:pPr>
          </w:p>
        </w:tc>
        <w:tc>
          <w:tcPr>
            <w:tcW w:w="6600" w:type="dxa"/>
            <w:vAlign w:val="bottom"/>
            <w:tcBorders>
              <w:right w:val="single" w:sz="8" w:color="auto"/>
            </w:tcBorders>
          </w:tcPr>
          <w:p>
            <w:pPr>
              <w:ind w:left="980"/>
              <w:spacing w:after="0"/>
              <w:rPr>
                <w:sz w:val="20"/>
                <w:szCs w:val="20"/>
                <w:color w:val="auto"/>
              </w:rPr>
            </w:pPr>
            <w:r>
              <w:rPr>
                <w:rFonts w:ascii="Arial" w:cs="Arial" w:eastAsia="Arial" w:hAnsi="Arial"/>
                <w:sz w:val="18"/>
                <w:szCs w:val="18"/>
                <w:color w:val="auto"/>
              </w:rPr>
              <w:t>trust account. The private placement warrants will be identical to the</w:t>
            </w:r>
          </w:p>
        </w:tc>
      </w:tr>
      <w:tr>
        <w:trPr>
          <w:trHeight w:val="216"/>
        </w:trPr>
        <w:tc>
          <w:tcPr>
            <w:tcW w:w="4640" w:type="dxa"/>
            <w:vAlign w:val="bottom"/>
            <w:tcBorders>
              <w:left w:val="single" w:sz="8" w:color="auto"/>
            </w:tcBorders>
          </w:tcPr>
          <w:p>
            <w:pPr>
              <w:spacing w:after="0"/>
              <w:rPr>
                <w:sz w:val="18"/>
                <w:szCs w:val="18"/>
                <w:color w:val="auto"/>
              </w:rPr>
            </w:pPr>
          </w:p>
        </w:tc>
        <w:tc>
          <w:tcPr>
            <w:tcW w:w="6600" w:type="dxa"/>
            <w:vAlign w:val="bottom"/>
            <w:tcBorders>
              <w:right w:val="single" w:sz="8" w:color="auto"/>
            </w:tcBorders>
          </w:tcPr>
          <w:p>
            <w:pPr>
              <w:ind w:left="980"/>
              <w:spacing w:after="0"/>
              <w:rPr>
                <w:sz w:val="20"/>
                <w:szCs w:val="20"/>
                <w:color w:val="auto"/>
              </w:rPr>
            </w:pPr>
            <w:r>
              <w:rPr>
                <w:rFonts w:ascii="Arial" w:cs="Arial" w:eastAsia="Arial" w:hAnsi="Arial"/>
                <w:sz w:val="18"/>
                <w:szCs w:val="18"/>
                <w:color w:val="auto"/>
                <w:w w:val="97"/>
              </w:rPr>
              <w:t>warrants sold in this offering except that, so long as they are held by our</w:t>
            </w:r>
          </w:p>
        </w:tc>
      </w:tr>
      <w:tr>
        <w:trPr>
          <w:trHeight w:val="216"/>
        </w:trPr>
        <w:tc>
          <w:tcPr>
            <w:tcW w:w="4640" w:type="dxa"/>
            <w:vAlign w:val="bottom"/>
            <w:tcBorders>
              <w:left w:val="single" w:sz="8" w:color="auto"/>
            </w:tcBorders>
          </w:tcPr>
          <w:p>
            <w:pPr>
              <w:spacing w:after="0"/>
              <w:rPr>
                <w:sz w:val="18"/>
                <w:szCs w:val="18"/>
                <w:color w:val="auto"/>
              </w:rPr>
            </w:pPr>
          </w:p>
        </w:tc>
        <w:tc>
          <w:tcPr>
            <w:tcW w:w="6600" w:type="dxa"/>
            <w:vAlign w:val="bottom"/>
            <w:tcBorders>
              <w:right w:val="single" w:sz="8" w:color="auto"/>
            </w:tcBorders>
          </w:tcPr>
          <w:p>
            <w:pPr>
              <w:ind w:left="980"/>
              <w:spacing w:after="0"/>
              <w:rPr>
                <w:sz w:val="20"/>
                <w:szCs w:val="20"/>
                <w:color w:val="auto"/>
              </w:rPr>
            </w:pPr>
            <w:r>
              <w:rPr>
                <w:rFonts w:ascii="Arial" w:cs="Arial" w:eastAsia="Arial" w:hAnsi="Arial"/>
                <w:sz w:val="18"/>
                <w:szCs w:val="18"/>
                <w:color w:val="auto"/>
                <w:w w:val="94"/>
              </w:rPr>
              <w:t>sponsor or its permitted transferees, the private placement warrants (i) will</w:t>
            </w:r>
          </w:p>
        </w:tc>
      </w:tr>
      <w:tr>
        <w:trPr>
          <w:trHeight w:val="216"/>
        </w:trPr>
        <w:tc>
          <w:tcPr>
            <w:tcW w:w="4640" w:type="dxa"/>
            <w:vAlign w:val="bottom"/>
            <w:tcBorders>
              <w:left w:val="single" w:sz="8" w:color="auto"/>
            </w:tcBorders>
          </w:tcPr>
          <w:p>
            <w:pPr>
              <w:spacing w:after="0"/>
              <w:rPr>
                <w:sz w:val="18"/>
                <w:szCs w:val="18"/>
                <w:color w:val="auto"/>
              </w:rPr>
            </w:pPr>
          </w:p>
        </w:tc>
        <w:tc>
          <w:tcPr>
            <w:tcW w:w="6600" w:type="dxa"/>
            <w:vAlign w:val="bottom"/>
            <w:tcBorders>
              <w:right w:val="single" w:sz="8" w:color="auto"/>
            </w:tcBorders>
          </w:tcPr>
          <w:p>
            <w:pPr>
              <w:ind w:left="980"/>
              <w:spacing w:after="0"/>
              <w:rPr>
                <w:sz w:val="20"/>
                <w:szCs w:val="20"/>
                <w:color w:val="auto"/>
              </w:rPr>
            </w:pPr>
            <w:r>
              <w:rPr>
                <w:rFonts w:ascii="Arial" w:cs="Arial" w:eastAsia="Arial" w:hAnsi="Arial"/>
                <w:sz w:val="18"/>
                <w:szCs w:val="18"/>
                <w:color w:val="auto"/>
                <w:w w:val="91"/>
              </w:rPr>
              <w:t>not be redeemable by us (except as described above adjacent to the caption</w:t>
            </w:r>
          </w:p>
        </w:tc>
      </w:tr>
      <w:tr>
        <w:trPr>
          <w:trHeight w:val="216"/>
        </w:trPr>
        <w:tc>
          <w:tcPr>
            <w:tcW w:w="4640" w:type="dxa"/>
            <w:vAlign w:val="bottom"/>
            <w:tcBorders>
              <w:left w:val="single" w:sz="8" w:color="auto"/>
            </w:tcBorders>
          </w:tcPr>
          <w:p>
            <w:pPr>
              <w:spacing w:after="0"/>
              <w:rPr>
                <w:sz w:val="18"/>
                <w:szCs w:val="18"/>
                <w:color w:val="auto"/>
              </w:rPr>
            </w:pPr>
          </w:p>
        </w:tc>
        <w:tc>
          <w:tcPr>
            <w:tcW w:w="6600" w:type="dxa"/>
            <w:vAlign w:val="bottom"/>
            <w:tcBorders>
              <w:right w:val="single" w:sz="8" w:color="auto"/>
            </w:tcBorders>
          </w:tcPr>
          <w:p>
            <w:pPr>
              <w:ind w:left="980"/>
              <w:spacing w:after="0"/>
              <w:rPr>
                <w:sz w:val="20"/>
                <w:szCs w:val="20"/>
                <w:color w:val="auto"/>
              </w:rPr>
            </w:pPr>
            <w:r>
              <w:rPr>
                <w:rFonts w:ascii="Arial" w:cs="Arial" w:eastAsia="Arial" w:hAnsi="Arial"/>
                <w:sz w:val="18"/>
                <w:szCs w:val="18"/>
                <w:color w:val="auto"/>
                <w:w w:val="93"/>
              </w:rPr>
              <w:t>“Redemption of warrants when the price per Class A ordinary share equals</w:t>
            </w:r>
          </w:p>
        </w:tc>
      </w:tr>
      <w:tr>
        <w:trPr>
          <w:trHeight w:val="216"/>
        </w:trPr>
        <w:tc>
          <w:tcPr>
            <w:tcW w:w="4640" w:type="dxa"/>
            <w:vAlign w:val="bottom"/>
            <w:tcBorders>
              <w:left w:val="single" w:sz="8" w:color="auto"/>
            </w:tcBorders>
          </w:tcPr>
          <w:p>
            <w:pPr>
              <w:spacing w:after="0"/>
              <w:rPr>
                <w:sz w:val="18"/>
                <w:szCs w:val="18"/>
                <w:color w:val="auto"/>
              </w:rPr>
            </w:pPr>
          </w:p>
        </w:tc>
        <w:tc>
          <w:tcPr>
            <w:tcW w:w="6600" w:type="dxa"/>
            <w:vAlign w:val="bottom"/>
            <w:tcBorders>
              <w:right w:val="single" w:sz="8" w:color="auto"/>
            </w:tcBorders>
          </w:tcPr>
          <w:p>
            <w:pPr>
              <w:ind w:left="980"/>
              <w:spacing w:after="0"/>
              <w:rPr>
                <w:sz w:val="20"/>
                <w:szCs w:val="20"/>
                <w:color w:val="auto"/>
              </w:rPr>
            </w:pPr>
            <w:r>
              <w:rPr>
                <w:rFonts w:ascii="Arial" w:cs="Arial" w:eastAsia="Arial" w:hAnsi="Arial"/>
                <w:sz w:val="18"/>
                <w:szCs w:val="18"/>
                <w:color w:val="auto"/>
                <w:w w:val="98"/>
              </w:rPr>
              <w:t>or exceeds $18.00”), (ii) may not (including the Class A ordinary shares</w:t>
            </w:r>
          </w:p>
        </w:tc>
      </w:tr>
      <w:tr>
        <w:trPr>
          <w:trHeight w:val="216"/>
        </w:trPr>
        <w:tc>
          <w:tcPr>
            <w:tcW w:w="4640" w:type="dxa"/>
            <w:vAlign w:val="bottom"/>
            <w:tcBorders>
              <w:left w:val="single" w:sz="8" w:color="auto"/>
            </w:tcBorders>
          </w:tcPr>
          <w:p>
            <w:pPr>
              <w:spacing w:after="0"/>
              <w:rPr>
                <w:sz w:val="18"/>
                <w:szCs w:val="18"/>
                <w:color w:val="auto"/>
              </w:rPr>
            </w:pPr>
          </w:p>
        </w:tc>
        <w:tc>
          <w:tcPr>
            <w:tcW w:w="6600" w:type="dxa"/>
            <w:vAlign w:val="bottom"/>
            <w:tcBorders>
              <w:right w:val="single" w:sz="8" w:color="auto"/>
            </w:tcBorders>
          </w:tcPr>
          <w:p>
            <w:pPr>
              <w:ind w:left="980"/>
              <w:spacing w:after="0"/>
              <w:rPr>
                <w:sz w:val="20"/>
                <w:szCs w:val="20"/>
                <w:color w:val="auto"/>
              </w:rPr>
            </w:pPr>
            <w:r>
              <w:rPr>
                <w:rFonts w:ascii="Arial" w:cs="Arial" w:eastAsia="Arial" w:hAnsi="Arial"/>
                <w:sz w:val="18"/>
                <w:szCs w:val="18"/>
                <w:color w:val="auto"/>
              </w:rPr>
              <w:t>issuable upon exercise of these warrants), subject to certain limited</w:t>
            </w:r>
          </w:p>
        </w:tc>
      </w:tr>
      <w:tr>
        <w:trPr>
          <w:trHeight w:val="216"/>
        </w:trPr>
        <w:tc>
          <w:tcPr>
            <w:tcW w:w="4640" w:type="dxa"/>
            <w:vAlign w:val="bottom"/>
            <w:tcBorders>
              <w:left w:val="single" w:sz="8" w:color="auto"/>
            </w:tcBorders>
          </w:tcPr>
          <w:p>
            <w:pPr>
              <w:spacing w:after="0"/>
              <w:rPr>
                <w:sz w:val="18"/>
                <w:szCs w:val="18"/>
                <w:color w:val="auto"/>
              </w:rPr>
            </w:pPr>
          </w:p>
        </w:tc>
        <w:tc>
          <w:tcPr>
            <w:tcW w:w="6600" w:type="dxa"/>
            <w:vAlign w:val="bottom"/>
            <w:tcBorders>
              <w:right w:val="single" w:sz="8" w:color="auto"/>
            </w:tcBorders>
          </w:tcPr>
          <w:p>
            <w:pPr>
              <w:ind w:left="980"/>
              <w:spacing w:after="0"/>
              <w:rPr>
                <w:sz w:val="20"/>
                <w:szCs w:val="20"/>
                <w:color w:val="auto"/>
              </w:rPr>
            </w:pPr>
            <w:r>
              <w:rPr>
                <w:rFonts w:ascii="Arial" w:cs="Arial" w:eastAsia="Arial" w:hAnsi="Arial"/>
                <w:sz w:val="18"/>
                <w:szCs w:val="18"/>
                <w:color w:val="auto"/>
                <w:w w:val="90"/>
              </w:rPr>
              <w:t>exceptions, be transferred, assigned or sold by the holders until 30 days after</w:t>
            </w:r>
          </w:p>
        </w:tc>
      </w:tr>
      <w:tr>
        <w:trPr>
          <w:trHeight w:val="216"/>
        </w:trPr>
        <w:tc>
          <w:tcPr>
            <w:tcW w:w="4640" w:type="dxa"/>
            <w:vAlign w:val="bottom"/>
            <w:tcBorders>
              <w:left w:val="single" w:sz="8" w:color="auto"/>
            </w:tcBorders>
          </w:tcPr>
          <w:p>
            <w:pPr>
              <w:spacing w:after="0"/>
              <w:rPr>
                <w:sz w:val="18"/>
                <w:szCs w:val="18"/>
                <w:color w:val="auto"/>
              </w:rPr>
            </w:pPr>
          </w:p>
        </w:tc>
        <w:tc>
          <w:tcPr>
            <w:tcW w:w="6600" w:type="dxa"/>
            <w:vAlign w:val="bottom"/>
            <w:tcBorders>
              <w:right w:val="single" w:sz="8" w:color="auto"/>
            </w:tcBorders>
          </w:tcPr>
          <w:p>
            <w:pPr>
              <w:ind w:left="980"/>
              <w:spacing w:after="0"/>
              <w:rPr>
                <w:sz w:val="20"/>
                <w:szCs w:val="20"/>
                <w:color w:val="auto"/>
              </w:rPr>
            </w:pPr>
            <w:r>
              <w:rPr>
                <w:rFonts w:ascii="Arial" w:cs="Arial" w:eastAsia="Arial" w:hAnsi="Arial"/>
                <w:sz w:val="18"/>
                <w:szCs w:val="18"/>
                <w:color w:val="auto"/>
                <w:w w:val="93"/>
              </w:rPr>
              <w:t>the completion of our initial business combination, (iii) may be exercised by</w:t>
            </w:r>
          </w:p>
        </w:tc>
      </w:tr>
      <w:tr>
        <w:trPr>
          <w:trHeight w:val="216"/>
        </w:trPr>
        <w:tc>
          <w:tcPr>
            <w:tcW w:w="4640" w:type="dxa"/>
            <w:vAlign w:val="bottom"/>
            <w:tcBorders>
              <w:left w:val="single" w:sz="8" w:color="auto"/>
            </w:tcBorders>
          </w:tcPr>
          <w:p>
            <w:pPr>
              <w:spacing w:after="0"/>
              <w:rPr>
                <w:sz w:val="18"/>
                <w:szCs w:val="18"/>
                <w:color w:val="auto"/>
              </w:rPr>
            </w:pPr>
          </w:p>
        </w:tc>
        <w:tc>
          <w:tcPr>
            <w:tcW w:w="6600" w:type="dxa"/>
            <w:vAlign w:val="bottom"/>
            <w:tcBorders>
              <w:right w:val="single" w:sz="8" w:color="auto"/>
            </w:tcBorders>
          </w:tcPr>
          <w:p>
            <w:pPr>
              <w:ind w:left="980"/>
              <w:spacing w:after="0"/>
              <w:rPr>
                <w:sz w:val="20"/>
                <w:szCs w:val="20"/>
                <w:color w:val="auto"/>
              </w:rPr>
            </w:pPr>
            <w:r>
              <w:rPr>
                <w:rFonts w:ascii="Arial" w:cs="Arial" w:eastAsia="Arial" w:hAnsi="Arial"/>
                <w:sz w:val="18"/>
                <w:szCs w:val="18"/>
                <w:color w:val="auto"/>
                <w:w w:val="92"/>
              </w:rPr>
              <w:t>the holders on a cashless basis and (iv) will be entitled to registration rights.</w:t>
            </w:r>
          </w:p>
        </w:tc>
      </w:tr>
      <w:tr>
        <w:trPr>
          <w:trHeight w:val="216"/>
        </w:trPr>
        <w:tc>
          <w:tcPr>
            <w:tcW w:w="4640" w:type="dxa"/>
            <w:vAlign w:val="bottom"/>
            <w:tcBorders>
              <w:left w:val="single" w:sz="8" w:color="auto"/>
            </w:tcBorders>
          </w:tcPr>
          <w:p>
            <w:pPr>
              <w:spacing w:after="0"/>
              <w:rPr>
                <w:sz w:val="18"/>
                <w:szCs w:val="18"/>
                <w:color w:val="auto"/>
              </w:rPr>
            </w:pPr>
          </w:p>
        </w:tc>
        <w:tc>
          <w:tcPr>
            <w:tcW w:w="6600" w:type="dxa"/>
            <w:vAlign w:val="bottom"/>
            <w:tcBorders>
              <w:right w:val="single" w:sz="8" w:color="auto"/>
            </w:tcBorders>
          </w:tcPr>
          <w:p>
            <w:pPr>
              <w:ind w:left="980"/>
              <w:spacing w:after="0"/>
              <w:rPr>
                <w:sz w:val="20"/>
                <w:szCs w:val="20"/>
                <w:color w:val="auto"/>
              </w:rPr>
            </w:pPr>
            <w:r>
              <w:rPr>
                <w:rFonts w:ascii="Arial" w:cs="Arial" w:eastAsia="Arial" w:hAnsi="Arial"/>
                <w:sz w:val="18"/>
                <w:szCs w:val="18"/>
                <w:color w:val="auto"/>
                <w:w w:val="92"/>
              </w:rPr>
              <w:t>If the private placement warrants are held by holders other than our sponsor</w:t>
            </w:r>
          </w:p>
        </w:tc>
      </w:tr>
      <w:tr>
        <w:trPr>
          <w:trHeight w:val="216"/>
        </w:trPr>
        <w:tc>
          <w:tcPr>
            <w:tcW w:w="4640" w:type="dxa"/>
            <w:vAlign w:val="bottom"/>
            <w:tcBorders>
              <w:left w:val="single" w:sz="8" w:color="auto"/>
            </w:tcBorders>
          </w:tcPr>
          <w:p>
            <w:pPr>
              <w:spacing w:after="0"/>
              <w:rPr>
                <w:sz w:val="18"/>
                <w:szCs w:val="18"/>
                <w:color w:val="auto"/>
              </w:rPr>
            </w:pPr>
          </w:p>
        </w:tc>
        <w:tc>
          <w:tcPr>
            <w:tcW w:w="6600" w:type="dxa"/>
            <w:vAlign w:val="bottom"/>
            <w:tcBorders>
              <w:right w:val="single" w:sz="8" w:color="auto"/>
            </w:tcBorders>
          </w:tcPr>
          <w:p>
            <w:pPr>
              <w:ind w:left="980"/>
              <w:spacing w:after="0"/>
              <w:rPr>
                <w:sz w:val="20"/>
                <w:szCs w:val="20"/>
                <w:color w:val="auto"/>
              </w:rPr>
            </w:pPr>
            <w:r>
              <w:rPr>
                <w:rFonts w:ascii="Arial" w:cs="Arial" w:eastAsia="Arial" w:hAnsi="Arial"/>
                <w:sz w:val="18"/>
                <w:szCs w:val="18"/>
                <w:color w:val="auto"/>
              </w:rPr>
              <w:t>or its permitted transferees, the private placement warrants will be</w:t>
            </w:r>
          </w:p>
        </w:tc>
      </w:tr>
      <w:tr>
        <w:trPr>
          <w:trHeight w:val="216"/>
        </w:trPr>
        <w:tc>
          <w:tcPr>
            <w:tcW w:w="4640" w:type="dxa"/>
            <w:vAlign w:val="bottom"/>
            <w:tcBorders>
              <w:left w:val="single" w:sz="8" w:color="auto"/>
            </w:tcBorders>
          </w:tcPr>
          <w:p>
            <w:pPr>
              <w:spacing w:after="0"/>
              <w:rPr>
                <w:sz w:val="18"/>
                <w:szCs w:val="18"/>
                <w:color w:val="auto"/>
              </w:rPr>
            </w:pPr>
          </w:p>
        </w:tc>
        <w:tc>
          <w:tcPr>
            <w:tcW w:w="6600" w:type="dxa"/>
            <w:vAlign w:val="bottom"/>
            <w:tcBorders>
              <w:right w:val="single" w:sz="8" w:color="auto"/>
            </w:tcBorders>
          </w:tcPr>
          <w:p>
            <w:pPr>
              <w:ind w:left="980"/>
              <w:spacing w:after="0"/>
              <w:rPr>
                <w:sz w:val="20"/>
                <w:szCs w:val="20"/>
                <w:color w:val="auto"/>
              </w:rPr>
            </w:pPr>
            <w:r>
              <w:rPr>
                <w:rFonts w:ascii="Arial" w:cs="Arial" w:eastAsia="Arial" w:hAnsi="Arial"/>
                <w:sz w:val="18"/>
                <w:szCs w:val="18"/>
                <w:color w:val="auto"/>
                <w:w w:val="93"/>
              </w:rPr>
              <w:t>redeemable by us and exercisable by the holders on the same basis as the</w:t>
            </w:r>
          </w:p>
        </w:tc>
      </w:tr>
      <w:tr>
        <w:trPr>
          <w:trHeight w:val="216"/>
        </w:trPr>
        <w:tc>
          <w:tcPr>
            <w:tcW w:w="4640" w:type="dxa"/>
            <w:vAlign w:val="bottom"/>
            <w:tcBorders>
              <w:left w:val="single" w:sz="8" w:color="auto"/>
            </w:tcBorders>
          </w:tcPr>
          <w:p>
            <w:pPr>
              <w:spacing w:after="0"/>
              <w:rPr>
                <w:sz w:val="18"/>
                <w:szCs w:val="18"/>
                <w:color w:val="auto"/>
              </w:rPr>
            </w:pPr>
          </w:p>
        </w:tc>
        <w:tc>
          <w:tcPr>
            <w:tcW w:w="6600" w:type="dxa"/>
            <w:vAlign w:val="bottom"/>
            <w:tcBorders>
              <w:right w:val="single" w:sz="8" w:color="auto"/>
            </w:tcBorders>
          </w:tcPr>
          <w:p>
            <w:pPr>
              <w:ind w:left="980"/>
              <w:spacing w:after="0"/>
              <w:rPr>
                <w:sz w:val="20"/>
                <w:szCs w:val="20"/>
                <w:color w:val="auto"/>
              </w:rPr>
            </w:pPr>
            <w:r>
              <w:rPr>
                <w:rFonts w:ascii="Arial" w:cs="Arial" w:eastAsia="Arial" w:hAnsi="Arial"/>
                <w:sz w:val="18"/>
                <w:szCs w:val="18"/>
                <w:color w:val="auto"/>
              </w:rPr>
              <w:t>warrants included in the units being sold in this offering. If we do not</w:t>
            </w:r>
          </w:p>
        </w:tc>
      </w:tr>
      <w:tr>
        <w:trPr>
          <w:trHeight w:val="216"/>
        </w:trPr>
        <w:tc>
          <w:tcPr>
            <w:tcW w:w="4640" w:type="dxa"/>
            <w:vAlign w:val="bottom"/>
            <w:tcBorders>
              <w:left w:val="single" w:sz="8" w:color="auto"/>
            </w:tcBorders>
          </w:tcPr>
          <w:p>
            <w:pPr>
              <w:spacing w:after="0"/>
              <w:rPr>
                <w:sz w:val="18"/>
                <w:szCs w:val="18"/>
                <w:color w:val="auto"/>
              </w:rPr>
            </w:pPr>
          </w:p>
        </w:tc>
        <w:tc>
          <w:tcPr>
            <w:tcW w:w="6600" w:type="dxa"/>
            <w:vAlign w:val="bottom"/>
            <w:tcBorders>
              <w:right w:val="single" w:sz="8" w:color="auto"/>
            </w:tcBorders>
          </w:tcPr>
          <w:p>
            <w:pPr>
              <w:ind w:left="980"/>
              <w:spacing w:after="0"/>
              <w:rPr>
                <w:sz w:val="20"/>
                <w:szCs w:val="20"/>
                <w:color w:val="auto"/>
              </w:rPr>
            </w:pPr>
            <w:r>
              <w:rPr>
                <w:rFonts w:ascii="Arial" w:cs="Arial" w:eastAsia="Arial" w:hAnsi="Arial"/>
                <w:sz w:val="18"/>
                <w:szCs w:val="18"/>
                <w:color w:val="auto"/>
              </w:rPr>
              <w:t>complete our initial business combination within 24 months from the</w:t>
            </w:r>
          </w:p>
        </w:tc>
      </w:tr>
      <w:tr>
        <w:trPr>
          <w:trHeight w:val="216"/>
        </w:trPr>
        <w:tc>
          <w:tcPr>
            <w:tcW w:w="4640" w:type="dxa"/>
            <w:vAlign w:val="bottom"/>
            <w:tcBorders>
              <w:left w:val="single" w:sz="8" w:color="auto"/>
            </w:tcBorders>
          </w:tcPr>
          <w:p>
            <w:pPr>
              <w:spacing w:after="0"/>
              <w:rPr>
                <w:sz w:val="18"/>
                <w:szCs w:val="18"/>
                <w:color w:val="auto"/>
              </w:rPr>
            </w:pPr>
          </w:p>
        </w:tc>
        <w:tc>
          <w:tcPr>
            <w:tcW w:w="6600" w:type="dxa"/>
            <w:vAlign w:val="bottom"/>
            <w:tcBorders>
              <w:right w:val="single" w:sz="8" w:color="auto"/>
            </w:tcBorders>
          </w:tcPr>
          <w:p>
            <w:pPr>
              <w:ind w:left="980"/>
              <w:spacing w:after="0"/>
              <w:rPr>
                <w:sz w:val="20"/>
                <w:szCs w:val="20"/>
                <w:color w:val="auto"/>
              </w:rPr>
            </w:pPr>
            <w:r>
              <w:rPr>
                <w:rFonts w:ascii="Arial" w:cs="Arial" w:eastAsia="Arial" w:hAnsi="Arial"/>
                <w:sz w:val="18"/>
                <w:szCs w:val="18"/>
                <w:color w:val="auto"/>
              </w:rPr>
              <w:t>closing of this offering or during any Extension Period, the private</w:t>
            </w:r>
          </w:p>
        </w:tc>
      </w:tr>
      <w:tr>
        <w:trPr>
          <w:trHeight w:val="230"/>
        </w:trPr>
        <w:tc>
          <w:tcPr>
            <w:tcW w:w="4640" w:type="dxa"/>
            <w:vAlign w:val="bottom"/>
            <w:tcBorders>
              <w:left w:val="single" w:sz="8" w:color="auto"/>
            </w:tcBorders>
          </w:tcPr>
          <w:p>
            <w:pPr>
              <w:spacing w:after="0"/>
              <w:rPr>
                <w:sz w:val="20"/>
                <w:szCs w:val="20"/>
                <w:color w:val="auto"/>
              </w:rPr>
            </w:pPr>
          </w:p>
        </w:tc>
        <w:tc>
          <w:tcPr>
            <w:tcW w:w="6600" w:type="dxa"/>
            <w:vAlign w:val="bottom"/>
            <w:tcBorders>
              <w:right w:val="single" w:sz="8" w:color="auto"/>
            </w:tcBorders>
          </w:tcPr>
          <w:p>
            <w:pPr>
              <w:ind w:left="980"/>
              <w:spacing w:after="0"/>
              <w:rPr>
                <w:sz w:val="20"/>
                <w:szCs w:val="20"/>
                <w:color w:val="auto"/>
              </w:rPr>
            </w:pPr>
            <w:r>
              <w:rPr>
                <w:rFonts w:ascii="Arial" w:cs="Arial" w:eastAsia="Arial" w:hAnsi="Arial"/>
                <w:sz w:val="18"/>
                <w:szCs w:val="18"/>
                <w:color w:val="auto"/>
              </w:rPr>
              <w:t>placement warrants will expire worthless.</w:t>
            </w:r>
          </w:p>
        </w:tc>
      </w:tr>
      <w:tr>
        <w:trPr>
          <w:trHeight w:val="539"/>
        </w:trPr>
        <w:tc>
          <w:tcPr>
            <w:tcW w:w="4640" w:type="dxa"/>
            <w:vAlign w:val="bottom"/>
            <w:tcBorders>
              <w:left w:val="single" w:sz="8" w:color="auto"/>
            </w:tcBorders>
          </w:tcPr>
          <w:p>
            <w:pPr>
              <w:ind w:left="100"/>
              <w:spacing w:after="0"/>
              <w:rPr>
                <w:sz w:val="20"/>
                <w:szCs w:val="20"/>
                <w:color w:val="auto"/>
              </w:rPr>
            </w:pPr>
            <w:r>
              <w:rPr>
                <w:rFonts w:ascii="Arial" w:cs="Arial" w:eastAsia="Arial" w:hAnsi="Arial"/>
                <w:sz w:val="18"/>
                <w:szCs w:val="18"/>
                <w:color w:val="auto"/>
              </w:rPr>
              <w:t>Transfer restrictions on private placement warrants</w:t>
            </w:r>
          </w:p>
        </w:tc>
        <w:tc>
          <w:tcPr>
            <w:tcW w:w="6600" w:type="dxa"/>
            <w:vAlign w:val="bottom"/>
            <w:tcBorders>
              <w:right w:val="single" w:sz="8" w:color="auto"/>
            </w:tcBorders>
          </w:tcPr>
          <w:p>
            <w:pPr>
              <w:ind w:left="980"/>
              <w:spacing w:after="0"/>
              <w:rPr>
                <w:sz w:val="20"/>
                <w:szCs w:val="20"/>
                <w:color w:val="auto"/>
              </w:rPr>
            </w:pPr>
            <w:r>
              <w:rPr>
                <w:rFonts w:ascii="Arial" w:cs="Arial" w:eastAsia="Arial" w:hAnsi="Arial"/>
                <w:sz w:val="18"/>
                <w:szCs w:val="18"/>
                <w:color w:val="auto"/>
                <w:w w:val="99"/>
              </w:rPr>
              <w:t>The private placement warrants (including the Class A ordinary shares</w:t>
            </w:r>
          </w:p>
        </w:tc>
      </w:tr>
      <w:tr>
        <w:trPr>
          <w:trHeight w:val="216"/>
        </w:trPr>
        <w:tc>
          <w:tcPr>
            <w:tcW w:w="4640" w:type="dxa"/>
            <w:vAlign w:val="bottom"/>
            <w:tcBorders>
              <w:left w:val="single" w:sz="8" w:color="auto"/>
            </w:tcBorders>
          </w:tcPr>
          <w:p>
            <w:pPr>
              <w:spacing w:after="0"/>
              <w:rPr>
                <w:sz w:val="18"/>
                <w:szCs w:val="18"/>
                <w:color w:val="auto"/>
              </w:rPr>
            </w:pPr>
          </w:p>
        </w:tc>
        <w:tc>
          <w:tcPr>
            <w:tcW w:w="6600" w:type="dxa"/>
            <w:vAlign w:val="bottom"/>
            <w:tcBorders>
              <w:right w:val="single" w:sz="8" w:color="auto"/>
            </w:tcBorders>
          </w:tcPr>
          <w:p>
            <w:pPr>
              <w:ind w:left="980"/>
              <w:spacing w:after="0"/>
              <w:rPr>
                <w:sz w:val="20"/>
                <w:szCs w:val="20"/>
                <w:color w:val="auto"/>
              </w:rPr>
            </w:pPr>
            <w:r>
              <w:rPr>
                <w:rFonts w:ascii="Arial" w:cs="Arial" w:eastAsia="Arial" w:hAnsi="Arial"/>
                <w:sz w:val="18"/>
                <w:szCs w:val="18"/>
                <w:color w:val="auto"/>
              </w:rPr>
              <w:t>issuable upon exercise of the private placement warrants) will not be</w:t>
            </w:r>
          </w:p>
        </w:tc>
      </w:tr>
      <w:tr>
        <w:trPr>
          <w:trHeight w:val="216"/>
        </w:trPr>
        <w:tc>
          <w:tcPr>
            <w:tcW w:w="4640" w:type="dxa"/>
            <w:vAlign w:val="bottom"/>
            <w:tcBorders>
              <w:left w:val="single" w:sz="8" w:color="auto"/>
            </w:tcBorders>
          </w:tcPr>
          <w:p>
            <w:pPr>
              <w:spacing w:after="0"/>
              <w:rPr>
                <w:sz w:val="18"/>
                <w:szCs w:val="18"/>
                <w:color w:val="auto"/>
              </w:rPr>
            </w:pPr>
          </w:p>
        </w:tc>
        <w:tc>
          <w:tcPr>
            <w:tcW w:w="6600" w:type="dxa"/>
            <w:vAlign w:val="bottom"/>
            <w:tcBorders>
              <w:right w:val="single" w:sz="8" w:color="auto"/>
            </w:tcBorders>
          </w:tcPr>
          <w:p>
            <w:pPr>
              <w:ind w:left="980"/>
              <w:spacing w:after="0"/>
              <w:rPr>
                <w:sz w:val="20"/>
                <w:szCs w:val="20"/>
                <w:color w:val="auto"/>
              </w:rPr>
            </w:pPr>
            <w:r>
              <w:rPr>
                <w:rFonts w:ascii="Arial" w:cs="Arial" w:eastAsia="Arial" w:hAnsi="Arial"/>
                <w:sz w:val="18"/>
                <w:szCs w:val="18"/>
                <w:color w:val="auto"/>
                <w:w w:val="93"/>
              </w:rPr>
              <w:t>transferable, assignable or salable until 30 days after the completion of our</w:t>
            </w:r>
          </w:p>
        </w:tc>
      </w:tr>
      <w:tr>
        <w:trPr>
          <w:trHeight w:val="216"/>
        </w:trPr>
        <w:tc>
          <w:tcPr>
            <w:tcW w:w="4640" w:type="dxa"/>
            <w:vAlign w:val="bottom"/>
            <w:tcBorders>
              <w:left w:val="single" w:sz="8" w:color="auto"/>
            </w:tcBorders>
          </w:tcPr>
          <w:p>
            <w:pPr>
              <w:spacing w:after="0"/>
              <w:rPr>
                <w:sz w:val="18"/>
                <w:szCs w:val="18"/>
                <w:color w:val="auto"/>
              </w:rPr>
            </w:pPr>
          </w:p>
        </w:tc>
        <w:tc>
          <w:tcPr>
            <w:tcW w:w="6600" w:type="dxa"/>
            <w:vAlign w:val="bottom"/>
            <w:tcBorders>
              <w:right w:val="single" w:sz="8" w:color="auto"/>
            </w:tcBorders>
          </w:tcPr>
          <w:p>
            <w:pPr>
              <w:ind w:left="980"/>
              <w:spacing w:after="0"/>
              <w:rPr>
                <w:sz w:val="20"/>
                <w:szCs w:val="20"/>
                <w:color w:val="auto"/>
              </w:rPr>
            </w:pPr>
            <w:r>
              <w:rPr>
                <w:rFonts w:ascii="Arial" w:cs="Arial" w:eastAsia="Arial" w:hAnsi="Arial"/>
                <w:sz w:val="18"/>
                <w:szCs w:val="18"/>
                <w:color w:val="auto"/>
                <w:w w:val="96"/>
              </w:rPr>
              <w:t>initial business combination, except as described herein under “Principal</w:t>
            </w:r>
          </w:p>
        </w:tc>
      </w:tr>
      <w:tr>
        <w:trPr>
          <w:trHeight w:val="216"/>
        </w:trPr>
        <w:tc>
          <w:tcPr>
            <w:tcW w:w="4640" w:type="dxa"/>
            <w:vAlign w:val="bottom"/>
            <w:tcBorders>
              <w:left w:val="single" w:sz="8" w:color="auto"/>
            </w:tcBorders>
          </w:tcPr>
          <w:p>
            <w:pPr>
              <w:spacing w:after="0"/>
              <w:rPr>
                <w:sz w:val="18"/>
                <w:szCs w:val="18"/>
                <w:color w:val="auto"/>
              </w:rPr>
            </w:pPr>
          </w:p>
        </w:tc>
        <w:tc>
          <w:tcPr>
            <w:tcW w:w="6600" w:type="dxa"/>
            <w:vAlign w:val="bottom"/>
            <w:tcBorders>
              <w:right w:val="single" w:sz="8" w:color="auto"/>
            </w:tcBorders>
          </w:tcPr>
          <w:p>
            <w:pPr>
              <w:ind w:left="980"/>
              <w:spacing w:after="0"/>
              <w:rPr>
                <w:sz w:val="20"/>
                <w:szCs w:val="20"/>
                <w:color w:val="auto"/>
              </w:rPr>
            </w:pPr>
            <w:r>
              <w:rPr>
                <w:rFonts w:ascii="Arial" w:cs="Arial" w:eastAsia="Arial" w:hAnsi="Arial"/>
                <w:sz w:val="18"/>
                <w:szCs w:val="18"/>
                <w:color w:val="auto"/>
              </w:rPr>
              <w:t>Shareholders—Transfers of Founder Shares and Private Placement</w:t>
            </w:r>
          </w:p>
        </w:tc>
      </w:tr>
      <w:tr>
        <w:trPr>
          <w:trHeight w:val="230"/>
        </w:trPr>
        <w:tc>
          <w:tcPr>
            <w:tcW w:w="4640" w:type="dxa"/>
            <w:vAlign w:val="bottom"/>
            <w:tcBorders>
              <w:left w:val="single" w:sz="8" w:color="auto"/>
            </w:tcBorders>
          </w:tcPr>
          <w:p>
            <w:pPr>
              <w:spacing w:after="0"/>
              <w:rPr>
                <w:sz w:val="20"/>
                <w:szCs w:val="20"/>
                <w:color w:val="auto"/>
              </w:rPr>
            </w:pPr>
          </w:p>
        </w:tc>
        <w:tc>
          <w:tcPr>
            <w:tcW w:w="6600" w:type="dxa"/>
            <w:vAlign w:val="bottom"/>
            <w:tcBorders>
              <w:right w:val="single" w:sz="8" w:color="auto"/>
            </w:tcBorders>
          </w:tcPr>
          <w:p>
            <w:pPr>
              <w:ind w:left="980"/>
              <w:spacing w:after="0"/>
              <w:rPr>
                <w:sz w:val="20"/>
                <w:szCs w:val="20"/>
                <w:color w:val="auto"/>
              </w:rPr>
            </w:pPr>
            <w:r>
              <w:rPr>
                <w:rFonts w:ascii="Arial" w:cs="Arial" w:eastAsia="Arial" w:hAnsi="Arial"/>
                <w:sz w:val="18"/>
                <w:szCs w:val="18"/>
                <w:color w:val="auto"/>
              </w:rPr>
              <w:t>Warrants.”</w:t>
            </w:r>
          </w:p>
        </w:tc>
      </w:tr>
      <w:tr>
        <w:trPr>
          <w:trHeight w:val="364"/>
        </w:trPr>
        <w:tc>
          <w:tcPr>
            <w:tcW w:w="4640" w:type="dxa"/>
            <w:vAlign w:val="bottom"/>
            <w:tcBorders>
              <w:left w:val="single" w:sz="8" w:color="auto"/>
            </w:tcBorders>
          </w:tcPr>
          <w:p>
            <w:pPr>
              <w:ind w:left="100"/>
              <w:spacing w:after="0"/>
              <w:rPr>
                <w:sz w:val="20"/>
                <w:szCs w:val="20"/>
                <w:color w:val="auto"/>
              </w:rPr>
            </w:pPr>
            <w:r>
              <w:rPr>
                <w:rFonts w:ascii="Arial" w:cs="Arial" w:eastAsia="Arial" w:hAnsi="Arial"/>
                <w:sz w:val="18"/>
                <w:szCs w:val="18"/>
                <w:color w:val="auto"/>
              </w:rPr>
              <w:t>Proceeds to be held in trust account</w:t>
            </w:r>
          </w:p>
        </w:tc>
        <w:tc>
          <w:tcPr>
            <w:tcW w:w="6600" w:type="dxa"/>
            <w:vAlign w:val="bottom"/>
            <w:tcBorders>
              <w:right w:val="single" w:sz="8" w:color="auto"/>
            </w:tcBorders>
          </w:tcPr>
          <w:p>
            <w:pPr>
              <w:ind w:left="980"/>
              <w:spacing w:after="0"/>
              <w:rPr>
                <w:sz w:val="20"/>
                <w:szCs w:val="20"/>
                <w:color w:val="auto"/>
              </w:rPr>
            </w:pPr>
            <w:r>
              <w:rPr>
                <w:rFonts w:ascii="Arial" w:cs="Arial" w:eastAsia="Arial" w:hAnsi="Arial"/>
                <w:sz w:val="18"/>
                <w:szCs w:val="18"/>
                <w:color w:val="auto"/>
              </w:rPr>
              <w:t>NYSE rules provide that at least 90% of the gross proceeds from this</w:t>
            </w:r>
          </w:p>
        </w:tc>
      </w:tr>
      <w:tr>
        <w:trPr>
          <w:trHeight w:val="216"/>
        </w:trPr>
        <w:tc>
          <w:tcPr>
            <w:tcW w:w="4640" w:type="dxa"/>
            <w:vAlign w:val="bottom"/>
            <w:tcBorders>
              <w:left w:val="single" w:sz="8" w:color="auto"/>
            </w:tcBorders>
          </w:tcPr>
          <w:p>
            <w:pPr>
              <w:spacing w:after="0"/>
              <w:rPr>
                <w:sz w:val="18"/>
                <w:szCs w:val="18"/>
                <w:color w:val="auto"/>
              </w:rPr>
            </w:pPr>
          </w:p>
        </w:tc>
        <w:tc>
          <w:tcPr>
            <w:tcW w:w="6600" w:type="dxa"/>
            <w:vAlign w:val="bottom"/>
            <w:tcBorders>
              <w:right w:val="single" w:sz="8" w:color="auto"/>
            </w:tcBorders>
          </w:tcPr>
          <w:p>
            <w:pPr>
              <w:ind w:left="980"/>
              <w:spacing w:after="0"/>
              <w:rPr>
                <w:sz w:val="20"/>
                <w:szCs w:val="20"/>
                <w:color w:val="auto"/>
              </w:rPr>
            </w:pPr>
            <w:r>
              <w:rPr>
                <w:rFonts w:ascii="Arial" w:cs="Arial" w:eastAsia="Arial" w:hAnsi="Arial"/>
                <w:sz w:val="18"/>
                <w:szCs w:val="18"/>
                <w:color w:val="auto"/>
                <w:w w:val="96"/>
              </w:rPr>
              <w:t>offering and the sale of the private placement warrants be deposited in a</w:t>
            </w:r>
          </w:p>
        </w:tc>
      </w:tr>
      <w:tr>
        <w:trPr>
          <w:trHeight w:val="216"/>
        </w:trPr>
        <w:tc>
          <w:tcPr>
            <w:tcW w:w="4640" w:type="dxa"/>
            <w:vAlign w:val="bottom"/>
            <w:tcBorders>
              <w:left w:val="single" w:sz="8" w:color="auto"/>
            </w:tcBorders>
          </w:tcPr>
          <w:p>
            <w:pPr>
              <w:spacing w:after="0"/>
              <w:rPr>
                <w:sz w:val="18"/>
                <w:szCs w:val="18"/>
                <w:color w:val="auto"/>
              </w:rPr>
            </w:pPr>
          </w:p>
        </w:tc>
        <w:tc>
          <w:tcPr>
            <w:tcW w:w="6600" w:type="dxa"/>
            <w:vAlign w:val="bottom"/>
            <w:tcBorders>
              <w:right w:val="single" w:sz="8" w:color="auto"/>
            </w:tcBorders>
          </w:tcPr>
          <w:p>
            <w:pPr>
              <w:ind w:left="980"/>
              <w:spacing w:after="0"/>
              <w:rPr>
                <w:sz w:val="20"/>
                <w:szCs w:val="20"/>
                <w:color w:val="auto"/>
              </w:rPr>
            </w:pPr>
            <w:r>
              <w:rPr>
                <w:rFonts w:ascii="Arial" w:cs="Arial" w:eastAsia="Arial" w:hAnsi="Arial"/>
                <w:sz w:val="18"/>
                <w:szCs w:val="18"/>
                <w:color w:val="auto"/>
                <w:w w:val="93"/>
              </w:rPr>
              <w:t>trust account. Of the net proceeds we will receive from this offering and the</w:t>
            </w:r>
          </w:p>
        </w:tc>
      </w:tr>
      <w:tr>
        <w:trPr>
          <w:trHeight w:val="216"/>
        </w:trPr>
        <w:tc>
          <w:tcPr>
            <w:tcW w:w="4640" w:type="dxa"/>
            <w:vAlign w:val="bottom"/>
            <w:tcBorders>
              <w:left w:val="single" w:sz="8" w:color="auto"/>
            </w:tcBorders>
          </w:tcPr>
          <w:p>
            <w:pPr>
              <w:spacing w:after="0"/>
              <w:rPr>
                <w:sz w:val="18"/>
                <w:szCs w:val="18"/>
                <w:color w:val="auto"/>
              </w:rPr>
            </w:pPr>
          </w:p>
        </w:tc>
        <w:tc>
          <w:tcPr>
            <w:tcW w:w="6600" w:type="dxa"/>
            <w:vAlign w:val="bottom"/>
            <w:tcBorders>
              <w:right w:val="single" w:sz="8" w:color="auto"/>
            </w:tcBorders>
          </w:tcPr>
          <w:p>
            <w:pPr>
              <w:ind w:left="980"/>
              <w:spacing w:after="0"/>
              <w:rPr>
                <w:sz w:val="20"/>
                <w:szCs w:val="20"/>
                <w:color w:val="auto"/>
              </w:rPr>
            </w:pPr>
            <w:r>
              <w:rPr>
                <w:rFonts w:ascii="Arial" w:cs="Arial" w:eastAsia="Arial" w:hAnsi="Arial"/>
                <w:sz w:val="18"/>
                <w:szCs w:val="18"/>
                <w:color w:val="auto"/>
                <w:w w:val="93"/>
              </w:rPr>
              <w:t>sale of the private placement warrants described in this prospectus, $250.0</w:t>
            </w:r>
          </w:p>
        </w:tc>
      </w:tr>
      <w:tr>
        <w:trPr>
          <w:trHeight w:val="230"/>
        </w:trPr>
        <w:tc>
          <w:tcPr>
            <w:tcW w:w="4640" w:type="dxa"/>
            <w:vAlign w:val="bottom"/>
            <w:tcBorders>
              <w:left w:val="single" w:sz="8" w:color="auto"/>
            </w:tcBorders>
          </w:tcPr>
          <w:p>
            <w:pPr>
              <w:spacing w:after="0"/>
              <w:rPr>
                <w:sz w:val="20"/>
                <w:szCs w:val="20"/>
                <w:color w:val="auto"/>
              </w:rPr>
            </w:pPr>
          </w:p>
        </w:tc>
        <w:tc>
          <w:tcPr>
            <w:tcW w:w="6600" w:type="dxa"/>
            <w:vAlign w:val="bottom"/>
            <w:tcBorders>
              <w:right w:val="single" w:sz="8" w:color="auto"/>
            </w:tcBorders>
          </w:tcPr>
          <w:p>
            <w:pPr>
              <w:ind w:left="980"/>
              <w:spacing w:after="0"/>
              <w:rPr>
                <w:sz w:val="20"/>
                <w:szCs w:val="20"/>
                <w:color w:val="auto"/>
              </w:rPr>
            </w:pPr>
            <w:r>
              <w:rPr>
                <w:rFonts w:ascii="Arial" w:cs="Arial" w:eastAsia="Arial" w:hAnsi="Arial"/>
                <w:sz w:val="18"/>
                <w:szCs w:val="18"/>
                <w:color w:val="auto"/>
              </w:rPr>
              <w:t>million, or $287.5 million if</w:t>
            </w:r>
          </w:p>
        </w:tc>
      </w:tr>
      <w:tr>
        <w:trPr>
          <w:trHeight w:val="361"/>
        </w:trPr>
        <w:tc>
          <w:tcPr>
            <w:tcW w:w="4640" w:type="dxa"/>
            <w:vAlign w:val="bottom"/>
            <w:tcBorders>
              <w:left w:val="single" w:sz="8" w:color="auto"/>
              <w:bottom w:val="single" w:sz="8" w:color="auto"/>
            </w:tcBorders>
          </w:tcPr>
          <w:p>
            <w:pPr>
              <w:spacing w:after="0"/>
              <w:rPr>
                <w:sz w:val="24"/>
                <w:szCs w:val="24"/>
                <w:color w:val="auto"/>
              </w:rPr>
            </w:pPr>
          </w:p>
        </w:tc>
        <w:tc>
          <w:tcPr>
            <w:tcW w:w="6600" w:type="dxa"/>
            <w:vAlign w:val="bottom"/>
            <w:tcBorders>
              <w:bottom w:val="single" w:sz="8" w:color="auto"/>
              <w:right w:val="single" w:sz="8" w:color="auto"/>
            </w:tcBorders>
          </w:tcPr>
          <w:p>
            <w:pPr>
              <w:spacing w:after="0"/>
              <w:rPr>
                <w:sz w:val="24"/>
                <w:szCs w:val="24"/>
                <w:color w:val="auto"/>
              </w:rPr>
            </w:pPr>
          </w:p>
        </w:tc>
      </w:tr>
      <w:tr>
        <w:trPr>
          <w:trHeight w:val="328"/>
        </w:trPr>
        <w:tc>
          <w:tcPr>
            <w:tcW w:w="4640" w:type="dxa"/>
            <w:vAlign w:val="bottom"/>
            <w:tcBorders>
              <w:bottom w:val="single" w:sz="8" w:color="auto"/>
            </w:tcBorders>
          </w:tcPr>
          <w:p>
            <w:pPr>
              <w:spacing w:after="0"/>
              <w:rPr>
                <w:sz w:val="24"/>
                <w:szCs w:val="24"/>
                <w:color w:val="auto"/>
              </w:rPr>
            </w:pPr>
          </w:p>
        </w:tc>
        <w:tc>
          <w:tcPr>
            <w:tcW w:w="6600" w:type="dxa"/>
            <w:vAlign w:val="bottom"/>
            <w:tcBorders>
              <w:bottom w:val="single" w:sz="8" w:color="auto"/>
            </w:tcBorders>
          </w:tcPr>
          <w:p>
            <w:pPr>
              <w:ind w:left="880"/>
              <w:spacing w:after="0"/>
              <w:rPr>
                <w:sz w:val="20"/>
                <w:szCs w:val="20"/>
                <w:color w:val="auto"/>
              </w:rPr>
            </w:pPr>
            <w:r>
              <w:rPr>
                <w:rFonts w:ascii="Arial" w:cs="Arial" w:eastAsia="Arial" w:hAnsi="Arial"/>
                <w:sz w:val="18"/>
                <w:szCs w:val="18"/>
                <w:color w:val="auto"/>
              </w:rPr>
              <w:t>20</w:t>
            </w:r>
          </w:p>
        </w:tc>
      </w:tr>
    </w:tbl>
    <w:p>
      <w:pPr>
        <w:sectPr>
          <w:pgSz w:w="11900" w:h="16838" w:orient="portrait"/>
          <w:cols w:equalWidth="0" w:num="1">
            <w:col w:w="11240"/>
          </w:cols>
          <w:pgMar w:left="320" w:top="575" w:right="339" w:bottom="1440" w:gutter="0" w:footer="0" w:header="0"/>
        </w:sectPr>
      </w:pPr>
    </w:p>
    <w:bookmarkStart w:id="25" w:name="page26"/>
    <w:bookmarkEnd w:id="25"/>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596"/>
        </w:trPr>
        <w:tc>
          <w:tcPr>
            <w:tcW w:w="4320" w:type="dxa"/>
            <w:vAlign w:val="bottom"/>
            <w:tcBorders>
              <w:top w:val="single" w:sz="8" w:color="auto"/>
              <w:left w:val="single" w:sz="8" w:color="auto"/>
            </w:tcBorders>
          </w:tcPr>
          <w:p>
            <w:pPr>
              <w:spacing w:after="0"/>
              <w:rPr>
                <w:sz w:val="24"/>
                <w:szCs w:val="24"/>
                <w:color w:val="auto"/>
              </w:rPr>
            </w:pPr>
          </w:p>
        </w:tc>
        <w:tc>
          <w:tcPr>
            <w:tcW w:w="6920" w:type="dxa"/>
            <w:vAlign w:val="bottom"/>
            <w:tcBorders>
              <w:top w:val="single" w:sz="8" w:color="auto"/>
              <w:right w:val="single" w:sz="8" w:color="auto"/>
            </w:tcBorders>
          </w:tcPr>
          <w:p>
            <w:pPr>
              <w:ind w:left="1300"/>
              <w:spacing w:after="0"/>
              <w:rPr>
                <w:sz w:val="20"/>
                <w:szCs w:val="20"/>
                <w:color w:val="auto"/>
              </w:rPr>
            </w:pPr>
            <w:r>
              <w:rPr>
                <w:rFonts w:ascii="Arial" w:cs="Arial" w:eastAsia="Arial" w:hAnsi="Arial"/>
                <w:sz w:val="18"/>
                <w:szCs w:val="18"/>
                <w:color w:val="auto"/>
                <w:w w:val="95"/>
              </w:rPr>
              <w:t>the underwriters’ over-allotment option is exercised in full ($10.00 per unit</w:t>
            </w:r>
          </w:p>
        </w:tc>
      </w:tr>
      <w:tr>
        <w:trPr>
          <w:trHeight w:val="216"/>
        </w:trPr>
        <w:tc>
          <w:tcPr>
            <w:tcW w:w="4320" w:type="dxa"/>
            <w:vAlign w:val="bottom"/>
            <w:tcBorders>
              <w:left w:val="single" w:sz="8" w:color="auto"/>
            </w:tcBorders>
          </w:tcPr>
          <w:p>
            <w:pPr>
              <w:spacing w:after="0"/>
              <w:rPr>
                <w:sz w:val="18"/>
                <w:szCs w:val="18"/>
                <w:color w:val="auto"/>
              </w:rPr>
            </w:pPr>
          </w:p>
        </w:tc>
        <w:tc>
          <w:tcPr>
            <w:tcW w:w="6920" w:type="dxa"/>
            <w:vAlign w:val="bottom"/>
            <w:tcBorders>
              <w:right w:val="single" w:sz="8" w:color="auto"/>
            </w:tcBorders>
          </w:tcPr>
          <w:p>
            <w:pPr>
              <w:ind w:left="1300"/>
              <w:spacing w:after="0"/>
              <w:rPr>
                <w:sz w:val="20"/>
                <w:szCs w:val="20"/>
                <w:color w:val="auto"/>
              </w:rPr>
            </w:pPr>
            <w:r>
              <w:rPr>
                <w:rFonts w:ascii="Arial" w:cs="Arial" w:eastAsia="Arial" w:hAnsi="Arial"/>
                <w:sz w:val="18"/>
                <w:szCs w:val="18"/>
                <w:color w:val="auto"/>
                <w:w w:val="94"/>
              </w:rPr>
              <w:t>in either case), will be deposited into a segregated trust account located in</w:t>
            </w:r>
          </w:p>
        </w:tc>
      </w:tr>
      <w:tr>
        <w:trPr>
          <w:trHeight w:val="216"/>
        </w:trPr>
        <w:tc>
          <w:tcPr>
            <w:tcW w:w="4320" w:type="dxa"/>
            <w:vAlign w:val="bottom"/>
            <w:tcBorders>
              <w:left w:val="single" w:sz="8" w:color="auto"/>
            </w:tcBorders>
          </w:tcPr>
          <w:p>
            <w:pPr>
              <w:spacing w:after="0"/>
              <w:rPr>
                <w:sz w:val="18"/>
                <w:szCs w:val="18"/>
                <w:color w:val="auto"/>
              </w:rPr>
            </w:pPr>
          </w:p>
        </w:tc>
        <w:tc>
          <w:tcPr>
            <w:tcW w:w="6920" w:type="dxa"/>
            <w:vAlign w:val="bottom"/>
            <w:tcBorders>
              <w:right w:val="single" w:sz="8" w:color="auto"/>
            </w:tcBorders>
          </w:tcPr>
          <w:p>
            <w:pPr>
              <w:ind w:left="1300"/>
              <w:spacing w:after="0"/>
              <w:rPr>
                <w:sz w:val="20"/>
                <w:szCs w:val="20"/>
                <w:color w:val="auto"/>
              </w:rPr>
            </w:pPr>
            <w:r>
              <w:rPr>
                <w:rFonts w:ascii="Arial" w:cs="Arial" w:eastAsia="Arial" w:hAnsi="Arial"/>
                <w:sz w:val="18"/>
                <w:szCs w:val="18"/>
                <w:color w:val="auto"/>
                <w:w w:val="95"/>
              </w:rPr>
              <w:t>the United States at JP Morgan Chase Bank, N.A. with Continental Stock</w:t>
            </w:r>
          </w:p>
        </w:tc>
      </w:tr>
      <w:tr>
        <w:trPr>
          <w:trHeight w:val="216"/>
        </w:trPr>
        <w:tc>
          <w:tcPr>
            <w:tcW w:w="4320" w:type="dxa"/>
            <w:vAlign w:val="bottom"/>
            <w:tcBorders>
              <w:left w:val="single" w:sz="8" w:color="auto"/>
            </w:tcBorders>
          </w:tcPr>
          <w:p>
            <w:pPr>
              <w:spacing w:after="0"/>
              <w:rPr>
                <w:sz w:val="18"/>
                <w:szCs w:val="18"/>
                <w:color w:val="auto"/>
              </w:rPr>
            </w:pPr>
          </w:p>
        </w:tc>
        <w:tc>
          <w:tcPr>
            <w:tcW w:w="6920" w:type="dxa"/>
            <w:vAlign w:val="bottom"/>
            <w:tcBorders>
              <w:right w:val="single" w:sz="8" w:color="auto"/>
            </w:tcBorders>
          </w:tcPr>
          <w:p>
            <w:pPr>
              <w:ind w:left="1300"/>
              <w:spacing w:after="0"/>
              <w:rPr>
                <w:sz w:val="20"/>
                <w:szCs w:val="20"/>
                <w:color w:val="auto"/>
              </w:rPr>
            </w:pPr>
            <w:r>
              <w:rPr>
                <w:rFonts w:ascii="Arial" w:cs="Arial" w:eastAsia="Arial" w:hAnsi="Arial"/>
                <w:sz w:val="18"/>
                <w:szCs w:val="18"/>
                <w:color w:val="auto"/>
                <w:w w:val="94"/>
              </w:rPr>
              <w:t>Transfer &amp; Trust Company acting as trustee, after deducting $4,505,000 in</w:t>
            </w:r>
          </w:p>
        </w:tc>
      </w:tr>
      <w:tr>
        <w:trPr>
          <w:trHeight w:val="216"/>
        </w:trPr>
        <w:tc>
          <w:tcPr>
            <w:tcW w:w="4320" w:type="dxa"/>
            <w:vAlign w:val="bottom"/>
            <w:tcBorders>
              <w:left w:val="single" w:sz="8" w:color="auto"/>
            </w:tcBorders>
          </w:tcPr>
          <w:p>
            <w:pPr>
              <w:spacing w:after="0"/>
              <w:rPr>
                <w:sz w:val="18"/>
                <w:szCs w:val="18"/>
                <w:color w:val="auto"/>
              </w:rPr>
            </w:pPr>
          </w:p>
        </w:tc>
        <w:tc>
          <w:tcPr>
            <w:tcW w:w="6920" w:type="dxa"/>
            <w:vAlign w:val="bottom"/>
            <w:tcBorders>
              <w:right w:val="single" w:sz="8" w:color="auto"/>
            </w:tcBorders>
          </w:tcPr>
          <w:p>
            <w:pPr>
              <w:ind w:left="1300"/>
              <w:spacing w:after="0"/>
              <w:rPr>
                <w:sz w:val="20"/>
                <w:szCs w:val="20"/>
                <w:color w:val="auto"/>
              </w:rPr>
            </w:pPr>
            <w:r>
              <w:rPr>
                <w:rFonts w:ascii="Arial" w:cs="Arial" w:eastAsia="Arial" w:hAnsi="Arial"/>
                <w:sz w:val="18"/>
                <w:szCs w:val="18"/>
                <w:color w:val="auto"/>
                <w:w w:val="96"/>
              </w:rPr>
              <w:t>underwriting discounts and commissions payable upon the closing of this</w:t>
            </w:r>
          </w:p>
        </w:tc>
      </w:tr>
      <w:tr>
        <w:trPr>
          <w:trHeight w:val="216"/>
        </w:trPr>
        <w:tc>
          <w:tcPr>
            <w:tcW w:w="4320" w:type="dxa"/>
            <w:vAlign w:val="bottom"/>
            <w:tcBorders>
              <w:left w:val="single" w:sz="8" w:color="auto"/>
            </w:tcBorders>
          </w:tcPr>
          <w:p>
            <w:pPr>
              <w:spacing w:after="0"/>
              <w:rPr>
                <w:sz w:val="18"/>
                <w:szCs w:val="18"/>
                <w:color w:val="auto"/>
              </w:rPr>
            </w:pPr>
          </w:p>
        </w:tc>
        <w:tc>
          <w:tcPr>
            <w:tcW w:w="6920" w:type="dxa"/>
            <w:vAlign w:val="bottom"/>
            <w:tcBorders>
              <w:right w:val="single" w:sz="8" w:color="auto"/>
            </w:tcBorders>
          </w:tcPr>
          <w:p>
            <w:pPr>
              <w:ind w:left="1300"/>
              <w:spacing w:after="0"/>
              <w:rPr>
                <w:sz w:val="20"/>
                <w:szCs w:val="20"/>
                <w:color w:val="auto"/>
              </w:rPr>
            </w:pPr>
            <w:r>
              <w:rPr>
                <w:rFonts w:ascii="Arial" w:cs="Arial" w:eastAsia="Arial" w:hAnsi="Arial"/>
                <w:sz w:val="18"/>
                <w:szCs w:val="18"/>
                <w:color w:val="auto"/>
              </w:rPr>
              <w:t>offering (or $5,255,000 if the underwriters’ over-allotment option is</w:t>
            </w:r>
          </w:p>
        </w:tc>
      </w:tr>
      <w:tr>
        <w:trPr>
          <w:trHeight w:val="216"/>
        </w:trPr>
        <w:tc>
          <w:tcPr>
            <w:tcW w:w="4320" w:type="dxa"/>
            <w:vAlign w:val="bottom"/>
            <w:tcBorders>
              <w:left w:val="single" w:sz="8" w:color="auto"/>
            </w:tcBorders>
          </w:tcPr>
          <w:p>
            <w:pPr>
              <w:spacing w:after="0"/>
              <w:rPr>
                <w:sz w:val="18"/>
                <w:szCs w:val="18"/>
                <w:color w:val="auto"/>
              </w:rPr>
            </w:pPr>
          </w:p>
        </w:tc>
        <w:tc>
          <w:tcPr>
            <w:tcW w:w="6920" w:type="dxa"/>
            <w:vAlign w:val="bottom"/>
            <w:tcBorders>
              <w:right w:val="single" w:sz="8" w:color="auto"/>
            </w:tcBorders>
          </w:tcPr>
          <w:p>
            <w:pPr>
              <w:ind w:left="1300"/>
              <w:spacing w:after="0"/>
              <w:rPr>
                <w:sz w:val="20"/>
                <w:szCs w:val="20"/>
                <w:color w:val="auto"/>
              </w:rPr>
            </w:pPr>
            <w:r>
              <w:rPr>
                <w:rFonts w:ascii="Arial" w:cs="Arial" w:eastAsia="Arial" w:hAnsi="Arial"/>
                <w:sz w:val="18"/>
                <w:szCs w:val="18"/>
                <w:color w:val="auto"/>
                <w:w w:val="92"/>
              </w:rPr>
              <w:t>exercised in full) and an aggregate of $2,995,000 to pay fees and expenses</w:t>
            </w:r>
          </w:p>
        </w:tc>
      </w:tr>
      <w:tr>
        <w:trPr>
          <w:trHeight w:val="216"/>
        </w:trPr>
        <w:tc>
          <w:tcPr>
            <w:tcW w:w="4320" w:type="dxa"/>
            <w:vAlign w:val="bottom"/>
            <w:tcBorders>
              <w:left w:val="single" w:sz="8" w:color="auto"/>
            </w:tcBorders>
          </w:tcPr>
          <w:p>
            <w:pPr>
              <w:spacing w:after="0"/>
              <w:rPr>
                <w:sz w:val="18"/>
                <w:szCs w:val="18"/>
                <w:color w:val="auto"/>
              </w:rPr>
            </w:pPr>
          </w:p>
        </w:tc>
        <w:tc>
          <w:tcPr>
            <w:tcW w:w="6920" w:type="dxa"/>
            <w:vAlign w:val="bottom"/>
            <w:tcBorders>
              <w:right w:val="single" w:sz="8" w:color="auto"/>
            </w:tcBorders>
          </w:tcPr>
          <w:p>
            <w:pPr>
              <w:ind w:left="1300"/>
              <w:spacing w:after="0"/>
              <w:rPr>
                <w:sz w:val="20"/>
                <w:szCs w:val="20"/>
                <w:color w:val="auto"/>
              </w:rPr>
            </w:pPr>
            <w:r>
              <w:rPr>
                <w:rFonts w:ascii="Arial" w:cs="Arial" w:eastAsia="Arial" w:hAnsi="Arial"/>
                <w:sz w:val="18"/>
                <w:szCs w:val="18"/>
                <w:color w:val="auto"/>
              </w:rPr>
              <w:t>in connection with the closing of this offering and for working capital</w:t>
            </w:r>
          </w:p>
        </w:tc>
      </w:tr>
      <w:tr>
        <w:trPr>
          <w:trHeight w:val="216"/>
        </w:trPr>
        <w:tc>
          <w:tcPr>
            <w:tcW w:w="4320" w:type="dxa"/>
            <w:vAlign w:val="bottom"/>
            <w:tcBorders>
              <w:left w:val="single" w:sz="8" w:color="auto"/>
            </w:tcBorders>
          </w:tcPr>
          <w:p>
            <w:pPr>
              <w:spacing w:after="0"/>
              <w:rPr>
                <w:sz w:val="18"/>
                <w:szCs w:val="18"/>
                <w:color w:val="auto"/>
              </w:rPr>
            </w:pPr>
          </w:p>
        </w:tc>
        <w:tc>
          <w:tcPr>
            <w:tcW w:w="6920" w:type="dxa"/>
            <w:vAlign w:val="bottom"/>
            <w:tcBorders>
              <w:right w:val="single" w:sz="8" w:color="auto"/>
            </w:tcBorders>
          </w:tcPr>
          <w:p>
            <w:pPr>
              <w:ind w:left="1300"/>
              <w:spacing w:after="0"/>
              <w:rPr>
                <w:sz w:val="20"/>
                <w:szCs w:val="20"/>
                <w:color w:val="auto"/>
              </w:rPr>
            </w:pPr>
            <w:r>
              <w:rPr>
                <w:rFonts w:ascii="Arial" w:cs="Arial" w:eastAsia="Arial" w:hAnsi="Arial"/>
                <w:sz w:val="18"/>
                <w:szCs w:val="18"/>
                <w:color w:val="auto"/>
                <w:w w:val="94"/>
              </w:rPr>
              <w:t>following the closing of this offering. The proceeds to be placed in the trust</w:t>
            </w:r>
          </w:p>
        </w:tc>
      </w:tr>
      <w:tr>
        <w:trPr>
          <w:trHeight w:val="216"/>
        </w:trPr>
        <w:tc>
          <w:tcPr>
            <w:tcW w:w="4320" w:type="dxa"/>
            <w:vAlign w:val="bottom"/>
            <w:tcBorders>
              <w:left w:val="single" w:sz="8" w:color="auto"/>
            </w:tcBorders>
          </w:tcPr>
          <w:p>
            <w:pPr>
              <w:spacing w:after="0"/>
              <w:rPr>
                <w:sz w:val="18"/>
                <w:szCs w:val="18"/>
                <w:color w:val="auto"/>
              </w:rPr>
            </w:pPr>
          </w:p>
        </w:tc>
        <w:tc>
          <w:tcPr>
            <w:tcW w:w="6920" w:type="dxa"/>
            <w:vAlign w:val="bottom"/>
            <w:tcBorders>
              <w:right w:val="single" w:sz="8" w:color="auto"/>
            </w:tcBorders>
          </w:tcPr>
          <w:p>
            <w:pPr>
              <w:ind w:left="1300"/>
              <w:spacing w:after="0"/>
              <w:rPr>
                <w:sz w:val="20"/>
                <w:szCs w:val="20"/>
                <w:color w:val="auto"/>
              </w:rPr>
            </w:pPr>
            <w:r>
              <w:rPr>
                <w:rFonts w:ascii="Arial" w:cs="Arial" w:eastAsia="Arial" w:hAnsi="Arial"/>
                <w:sz w:val="18"/>
                <w:szCs w:val="18"/>
                <w:color w:val="auto"/>
                <w:w w:val="93"/>
              </w:rPr>
              <w:t>account include $8,750,000 (or up to $10,062,500 if the underwriters’ over-</w:t>
            </w:r>
          </w:p>
        </w:tc>
      </w:tr>
      <w:tr>
        <w:trPr>
          <w:trHeight w:val="230"/>
        </w:trPr>
        <w:tc>
          <w:tcPr>
            <w:tcW w:w="4320" w:type="dxa"/>
            <w:vAlign w:val="bottom"/>
            <w:tcBorders>
              <w:left w:val="single" w:sz="8" w:color="auto"/>
            </w:tcBorders>
          </w:tcPr>
          <w:p>
            <w:pPr>
              <w:spacing w:after="0"/>
              <w:rPr>
                <w:sz w:val="20"/>
                <w:szCs w:val="20"/>
                <w:color w:val="auto"/>
              </w:rPr>
            </w:pPr>
          </w:p>
        </w:tc>
        <w:tc>
          <w:tcPr>
            <w:tcW w:w="6920" w:type="dxa"/>
            <w:vAlign w:val="bottom"/>
            <w:tcBorders>
              <w:right w:val="single" w:sz="8" w:color="auto"/>
            </w:tcBorders>
          </w:tcPr>
          <w:p>
            <w:pPr>
              <w:ind w:left="1300"/>
              <w:spacing w:after="0"/>
              <w:rPr>
                <w:sz w:val="20"/>
                <w:szCs w:val="20"/>
                <w:color w:val="auto"/>
              </w:rPr>
            </w:pPr>
            <w:r>
              <w:rPr>
                <w:rFonts w:ascii="Arial" w:cs="Arial" w:eastAsia="Arial" w:hAnsi="Arial"/>
                <w:sz w:val="18"/>
                <w:szCs w:val="18"/>
                <w:color w:val="auto"/>
                <w:w w:val="94"/>
              </w:rPr>
              <w:t>allotment option is exercised in full) in deferred underwriting commissions.</w:t>
            </w:r>
          </w:p>
        </w:tc>
      </w:tr>
      <w:tr>
        <w:trPr>
          <w:trHeight w:val="539"/>
        </w:trPr>
        <w:tc>
          <w:tcPr>
            <w:tcW w:w="4320" w:type="dxa"/>
            <w:vAlign w:val="bottom"/>
            <w:tcBorders>
              <w:left w:val="single" w:sz="8" w:color="auto"/>
            </w:tcBorders>
          </w:tcPr>
          <w:p>
            <w:pPr>
              <w:spacing w:after="0"/>
              <w:rPr>
                <w:sz w:val="24"/>
                <w:szCs w:val="24"/>
                <w:color w:val="auto"/>
              </w:rPr>
            </w:pPr>
          </w:p>
        </w:tc>
        <w:tc>
          <w:tcPr>
            <w:tcW w:w="6920" w:type="dxa"/>
            <w:vAlign w:val="bottom"/>
            <w:tcBorders>
              <w:right w:val="single" w:sz="8" w:color="auto"/>
            </w:tcBorders>
          </w:tcPr>
          <w:p>
            <w:pPr>
              <w:ind w:left="1300"/>
              <w:spacing w:after="0"/>
              <w:rPr>
                <w:sz w:val="20"/>
                <w:szCs w:val="20"/>
                <w:color w:val="auto"/>
              </w:rPr>
            </w:pPr>
            <w:r>
              <w:rPr>
                <w:rFonts w:ascii="Arial" w:cs="Arial" w:eastAsia="Arial" w:hAnsi="Arial"/>
                <w:sz w:val="18"/>
                <w:szCs w:val="18"/>
                <w:color w:val="auto"/>
                <w:w w:val="92"/>
              </w:rPr>
              <w:t>Except with respect to interest earned on the funds held in the trust account</w:t>
            </w:r>
          </w:p>
        </w:tc>
      </w:tr>
      <w:tr>
        <w:trPr>
          <w:trHeight w:val="216"/>
        </w:trPr>
        <w:tc>
          <w:tcPr>
            <w:tcW w:w="4320" w:type="dxa"/>
            <w:vAlign w:val="bottom"/>
            <w:tcBorders>
              <w:left w:val="single" w:sz="8" w:color="auto"/>
            </w:tcBorders>
          </w:tcPr>
          <w:p>
            <w:pPr>
              <w:spacing w:after="0"/>
              <w:rPr>
                <w:sz w:val="18"/>
                <w:szCs w:val="18"/>
                <w:color w:val="auto"/>
              </w:rPr>
            </w:pPr>
          </w:p>
        </w:tc>
        <w:tc>
          <w:tcPr>
            <w:tcW w:w="6920" w:type="dxa"/>
            <w:vAlign w:val="bottom"/>
            <w:tcBorders>
              <w:right w:val="single" w:sz="8" w:color="auto"/>
            </w:tcBorders>
          </w:tcPr>
          <w:p>
            <w:pPr>
              <w:ind w:left="1300"/>
              <w:spacing w:after="0"/>
              <w:rPr>
                <w:sz w:val="20"/>
                <w:szCs w:val="20"/>
                <w:color w:val="auto"/>
              </w:rPr>
            </w:pPr>
            <w:r>
              <w:rPr>
                <w:rFonts w:ascii="Arial" w:cs="Arial" w:eastAsia="Arial" w:hAnsi="Arial"/>
                <w:sz w:val="18"/>
                <w:szCs w:val="18"/>
                <w:color w:val="auto"/>
                <w:w w:val="95"/>
              </w:rPr>
              <w:t>that may be released to us to pay our taxes, if any, the proceeds from this</w:t>
            </w:r>
          </w:p>
        </w:tc>
      </w:tr>
      <w:tr>
        <w:trPr>
          <w:trHeight w:val="216"/>
        </w:trPr>
        <w:tc>
          <w:tcPr>
            <w:tcW w:w="4320" w:type="dxa"/>
            <w:vAlign w:val="bottom"/>
            <w:tcBorders>
              <w:left w:val="single" w:sz="8" w:color="auto"/>
            </w:tcBorders>
          </w:tcPr>
          <w:p>
            <w:pPr>
              <w:spacing w:after="0"/>
              <w:rPr>
                <w:sz w:val="18"/>
                <w:szCs w:val="18"/>
                <w:color w:val="auto"/>
              </w:rPr>
            </w:pPr>
          </w:p>
        </w:tc>
        <w:tc>
          <w:tcPr>
            <w:tcW w:w="6920" w:type="dxa"/>
            <w:vAlign w:val="bottom"/>
            <w:tcBorders>
              <w:right w:val="single" w:sz="8" w:color="auto"/>
            </w:tcBorders>
          </w:tcPr>
          <w:p>
            <w:pPr>
              <w:ind w:left="1300"/>
              <w:spacing w:after="0"/>
              <w:rPr>
                <w:sz w:val="20"/>
                <w:szCs w:val="20"/>
                <w:color w:val="auto"/>
              </w:rPr>
            </w:pPr>
            <w:r>
              <w:rPr>
                <w:rFonts w:ascii="Arial" w:cs="Arial" w:eastAsia="Arial" w:hAnsi="Arial"/>
                <w:sz w:val="18"/>
                <w:szCs w:val="18"/>
                <w:color w:val="auto"/>
                <w:w w:val="99"/>
              </w:rPr>
              <w:t>offering and the sale of the private placement warrants held in the trust</w:t>
            </w:r>
          </w:p>
        </w:tc>
      </w:tr>
      <w:tr>
        <w:trPr>
          <w:trHeight w:val="216"/>
        </w:trPr>
        <w:tc>
          <w:tcPr>
            <w:tcW w:w="4320" w:type="dxa"/>
            <w:vAlign w:val="bottom"/>
            <w:tcBorders>
              <w:left w:val="single" w:sz="8" w:color="auto"/>
            </w:tcBorders>
          </w:tcPr>
          <w:p>
            <w:pPr>
              <w:spacing w:after="0"/>
              <w:rPr>
                <w:sz w:val="18"/>
                <w:szCs w:val="18"/>
                <w:color w:val="auto"/>
              </w:rPr>
            </w:pPr>
          </w:p>
        </w:tc>
        <w:tc>
          <w:tcPr>
            <w:tcW w:w="6920" w:type="dxa"/>
            <w:vAlign w:val="bottom"/>
            <w:tcBorders>
              <w:right w:val="single" w:sz="8" w:color="auto"/>
            </w:tcBorders>
          </w:tcPr>
          <w:p>
            <w:pPr>
              <w:ind w:left="1300"/>
              <w:spacing w:after="0"/>
              <w:rPr>
                <w:sz w:val="20"/>
                <w:szCs w:val="20"/>
                <w:color w:val="auto"/>
              </w:rPr>
            </w:pPr>
            <w:r>
              <w:rPr>
                <w:rFonts w:ascii="Arial" w:cs="Arial" w:eastAsia="Arial" w:hAnsi="Arial"/>
                <w:sz w:val="18"/>
                <w:szCs w:val="18"/>
                <w:color w:val="auto"/>
                <w:w w:val="92"/>
              </w:rPr>
              <w:t>account will not be released from the trust account until the earliest of (i) the</w:t>
            </w:r>
          </w:p>
        </w:tc>
      </w:tr>
      <w:tr>
        <w:trPr>
          <w:trHeight w:val="216"/>
        </w:trPr>
        <w:tc>
          <w:tcPr>
            <w:tcW w:w="4320" w:type="dxa"/>
            <w:vAlign w:val="bottom"/>
            <w:tcBorders>
              <w:left w:val="single" w:sz="8" w:color="auto"/>
            </w:tcBorders>
          </w:tcPr>
          <w:p>
            <w:pPr>
              <w:spacing w:after="0"/>
              <w:rPr>
                <w:sz w:val="18"/>
                <w:szCs w:val="18"/>
                <w:color w:val="auto"/>
              </w:rPr>
            </w:pPr>
          </w:p>
        </w:tc>
        <w:tc>
          <w:tcPr>
            <w:tcW w:w="6920" w:type="dxa"/>
            <w:vAlign w:val="bottom"/>
            <w:tcBorders>
              <w:right w:val="single" w:sz="8" w:color="auto"/>
            </w:tcBorders>
          </w:tcPr>
          <w:p>
            <w:pPr>
              <w:ind w:left="1300"/>
              <w:spacing w:after="0"/>
              <w:rPr>
                <w:sz w:val="20"/>
                <w:szCs w:val="20"/>
                <w:color w:val="auto"/>
              </w:rPr>
            </w:pPr>
            <w:r>
              <w:rPr>
                <w:rFonts w:ascii="Arial" w:cs="Arial" w:eastAsia="Arial" w:hAnsi="Arial"/>
                <w:sz w:val="18"/>
                <w:szCs w:val="18"/>
                <w:color w:val="auto"/>
                <w:w w:val="98"/>
              </w:rPr>
              <w:t>completion of our initial business combination, (ii) the redemption of our</w:t>
            </w:r>
          </w:p>
        </w:tc>
      </w:tr>
      <w:tr>
        <w:trPr>
          <w:trHeight w:val="216"/>
        </w:trPr>
        <w:tc>
          <w:tcPr>
            <w:tcW w:w="4320" w:type="dxa"/>
            <w:vAlign w:val="bottom"/>
            <w:tcBorders>
              <w:left w:val="single" w:sz="8" w:color="auto"/>
            </w:tcBorders>
          </w:tcPr>
          <w:p>
            <w:pPr>
              <w:spacing w:after="0"/>
              <w:rPr>
                <w:sz w:val="18"/>
                <w:szCs w:val="18"/>
                <w:color w:val="auto"/>
              </w:rPr>
            </w:pPr>
          </w:p>
        </w:tc>
        <w:tc>
          <w:tcPr>
            <w:tcW w:w="6920" w:type="dxa"/>
            <w:vAlign w:val="bottom"/>
            <w:tcBorders>
              <w:right w:val="single" w:sz="8" w:color="auto"/>
            </w:tcBorders>
          </w:tcPr>
          <w:p>
            <w:pPr>
              <w:ind w:left="1300"/>
              <w:spacing w:after="0"/>
              <w:rPr>
                <w:sz w:val="20"/>
                <w:szCs w:val="20"/>
                <w:color w:val="auto"/>
              </w:rPr>
            </w:pPr>
            <w:r>
              <w:rPr>
                <w:rFonts w:ascii="Arial" w:cs="Arial" w:eastAsia="Arial" w:hAnsi="Arial"/>
                <w:sz w:val="18"/>
                <w:szCs w:val="18"/>
                <w:color w:val="auto"/>
                <w:w w:val="98"/>
              </w:rPr>
              <w:t>public shares if we have not completed our initial business combination</w:t>
            </w:r>
          </w:p>
        </w:tc>
      </w:tr>
      <w:tr>
        <w:trPr>
          <w:trHeight w:val="216"/>
        </w:trPr>
        <w:tc>
          <w:tcPr>
            <w:tcW w:w="4320" w:type="dxa"/>
            <w:vAlign w:val="bottom"/>
            <w:tcBorders>
              <w:left w:val="single" w:sz="8" w:color="auto"/>
            </w:tcBorders>
          </w:tcPr>
          <w:p>
            <w:pPr>
              <w:spacing w:after="0"/>
              <w:rPr>
                <w:sz w:val="18"/>
                <w:szCs w:val="18"/>
                <w:color w:val="auto"/>
              </w:rPr>
            </w:pPr>
          </w:p>
        </w:tc>
        <w:tc>
          <w:tcPr>
            <w:tcW w:w="6920" w:type="dxa"/>
            <w:vAlign w:val="bottom"/>
            <w:tcBorders>
              <w:right w:val="single" w:sz="8" w:color="auto"/>
            </w:tcBorders>
          </w:tcPr>
          <w:p>
            <w:pPr>
              <w:ind w:left="1300"/>
              <w:spacing w:after="0"/>
              <w:rPr>
                <w:sz w:val="20"/>
                <w:szCs w:val="20"/>
                <w:color w:val="auto"/>
              </w:rPr>
            </w:pPr>
            <w:r>
              <w:rPr>
                <w:rFonts w:ascii="Arial" w:cs="Arial" w:eastAsia="Arial" w:hAnsi="Arial"/>
                <w:sz w:val="18"/>
                <w:szCs w:val="18"/>
                <w:color w:val="auto"/>
                <w:w w:val="93"/>
              </w:rPr>
              <w:t>within 24 months from the closing of this offering, subject to applicable law,</w:t>
            </w:r>
          </w:p>
        </w:tc>
      </w:tr>
      <w:tr>
        <w:trPr>
          <w:trHeight w:val="216"/>
        </w:trPr>
        <w:tc>
          <w:tcPr>
            <w:tcW w:w="4320" w:type="dxa"/>
            <w:vAlign w:val="bottom"/>
            <w:tcBorders>
              <w:left w:val="single" w:sz="8" w:color="auto"/>
            </w:tcBorders>
          </w:tcPr>
          <w:p>
            <w:pPr>
              <w:spacing w:after="0"/>
              <w:rPr>
                <w:sz w:val="18"/>
                <w:szCs w:val="18"/>
                <w:color w:val="auto"/>
              </w:rPr>
            </w:pPr>
          </w:p>
        </w:tc>
        <w:tc>
          <w:tcPr>
            <w:tcW w:w="6920" w:type="dxa"/>
            <w:vAlign w:val="bottom"/>
            <w:tcBorders>
              <w:right w:val="single" w:sz="8" w:color="auto"/>
            </w:tcBorders>
          </w:tcPr>
          <w:p>
            <w:pPr>
              <w:ind w:left="1300"/>
              <w:spacing w:after="0"/>
              <w:rPr>
                <w:sz w:val="20"/>
                <w:szCs w:val="20"/>
                <w:color w:val="auto"/>
              </w:rPr>
            </w:pPr>
            <w:r>
              <w:rPr>
                <w:rFonts w:ascii="Arial" w:cs="Arial" w:eastAsia="Arial" w:hAnsi="Arial"/>
                <w:sz w:val="18"/>
                <w:szCs w:val="18"/>
                <w:color w:val="auto"/>
              </w:rPr>
              <w:t>and (iii) the redemption of our public shares properly submitted in</w:t>
            </w:r>
          </w:p>
        </w:tc>
      </w:tr>
      <w:tr>
        <w:trPr>
          <w:trHeight w:val="216"/>
        </w:trPr>
        <w:tc>
          <w:tcPr>
            <w:tcW w:w="4320" w:type="dxa"/>
            <w:vAlign w:val="bottom"/>
            <w:tcBorders>
              <w:left w:val="single" w:sz="8" w:color="auto"/>
            </w:tcBorders>
          </w:tcPr>
          <w:p>
            <w:pPr>
              <w:spacing w:after="0"/>
              <w:rPr>
                <w:sz w:val="18"/>
                <w:szCs w:val="18"/>
                <w:color w:val="auto"/>
              </w:rPr>
            </w:pPr>
          </w:p>
        </w:tc>
        <w:tc>
          <w:tcPr>
            <w:tcW w:w="6920" w:type="dxa"/>
            <w:vAlign w:val="bottom"/>
            <w:tcBorders>
              <w:right w:val="single" w:sz="8" w:color="auto"/>
            </w:tcBorders>
          </w:tcPr>
          <w:p>
            <w:pPr>
              <w:ind w:left="1300"/>
              <w:spacing w:after="0"/>
              <w:rPr>
                <w:sz w:val="20"/>
                <w:szCs w:val="20"/>
                <w:color w:val="auto"/>
              </w:rPr>
            </w:pPr>
            <w:r>
              <w:rPr>
                <w:rFonts w:ascii="Arial" w:cs="Arial" w:eastAsia="Arial" w:hAnsi="Arial"/>
                <w:sz w:val="18"/>
                <w:szCs w:val="18"/>
                <w:color w:val="auto"/>
                <w:w w:val="97"/>
              </w:rPr>
              <w:t>connection with a shareholder vote to amend our amended and restated</w:t>
            </w:r>
          </w:p>
        </w:tc>
      </w:tr>
      <w:tr>
        <w:trPr>
          <w:trHeight w:val="216"/>
        </w:trPr>
        <w:tc>
          <w:tcPr>
            <w:tcW w:w="4320" w:type="dxa"/>
            <w:vAlign w:val="bottom"/>
            <w:tcBorders>
              <w:left w:val="single" w:sz="8" w:color="auto"/>
            </w:tcBorders>
          </w:tcPr>
          <w:p>
            <w:pPr>
              <w:spacing w:after="0"/>
              <w:rPr>
                <w:sz w:val="18"/>
                <w:szCs w:val="18"/>
                <w:color w:val="auto"/>
              </w:rPr>
            </w:pPr>
          </w:p>
        </w:tc>
        <w:tc>
          <w:tcPr>
            <w:tcW w:w="6920" w:type="dxa"/>
            <w:vAlign w:val="bottom"/>
            <w:tcBorders>
              <w:right w:val="single" w:sz="8" w:color="auto"/>
            </w:tcBorders>
          </w:tcPr>
          <w:p>
            <w:pPr>
              <w:ind w:left="1300"/>
              <w:spacing w:after="0"/>
              <w:rPr>
                <w:sz w:val="20"/>
                <w:szCs w:val="20"/>
                <w:color w:val="auto"/>
              </w:rPr>
            </w:pPr>
            <w:r>
              <w:rPr>
                <w:rFonts w:ascii="Arial" w:cs="Arial" w:eastAsia="Arial" w:hAnsi="Arial"/>
                <w:sz w:val="18"/>
                <w:szCs w:val="18"/>
                <w:color w:val="auto"/>
                <w:w w:val="98"/>
              </w:rPr>
              <w:t>memorandum and articles of association (A) to modify the substance or</w:t>
            </w:r>
          </w:p>
        </w:tc>
      </w:tr>
      <w:tr>
        <w:trPr>
          <w:trHeight w:val="216"/>
        </w:trPr>
        <w:tc>
          <w:tcPr>
            <w:tcW w:w="4320" w:type="dxa"/>
            <w:vAlign w:val="bottom"/>
            <w:tcBorders>
              <w:left w:val="single" w:sz="8" w:color="auto"/>
            </w:tcBorders>
          </w:tcPr>
          <w:p>
            <w:pPr>
              <w:spacing w:after="0"/>
              <w:rPr>
                <w:sz w:val="18"/>
                <w:szCs w:val="18"/>
                <w:color w:val="auto"/>
              </w:rPr>
            </w:pPr>
          </w:p>
        </w:tc>
        <w:tc>
          <w:tcPr>
            <w:tcW w:w="6920" w:type="dxa"/>
            <w:vAlign w:val="bottom"/>
            <w:tcBorders>
              <w:right w:val="single" w:sz="8" w:color="auto"/>
            </w:tcBorders>
          </w:tcPr>
          <w:p>
            <w:pPr>
              <w:ind w:left="1300"/>
              <w:spacing w:after="0"/>
              <w:rPr>
                <w:sz w:val="20"/>
                <w:szCs w:val="20"/>
                <w:color w:val="auto"/>
              </w:rPr>
            </w:pPr>
            <w:r>
              <w:rPr>
                <w:rFonts w:ascii="Arial" w:cs="Arial" w:eastAsia="Arial" w:hAnsi="Arial"/>
                <w:sz w:val="18"/>
                <w:szCs w:val="18"/>
                <w:color w:val="auto"/>
                <w:w w:val="98"/>
              </w:rPr>
              <w:t>timing of our obligation to allow redemption in connection with our initial</w:t>
            </w:r>
          </w:p>
        </w:tc>
      </w:tr>
      <w:tr>
        <w:trPr>
          <w:trHeight w:val="216"/>
        </w:trPr>
        <w:tc>
          <w:tcPr>
            <w:tcW w:w="4320" w:type="dxa"/>
            <w:vAlign w:val="bottom"/>
            <w:tcBorders>
              <w:left w:val="single" w:sz="8" w:color="auto"/>
            </w:tcBorders>
          </w:tcPr>
          <w:p>
            <w:pPr>
              <w:spacing w:after="0"/>
              <w:rPr>
                <w:sz w:val="18"/>
                <w:szCs w:val="18"/>
                <w:color w:val="auto"/>
              </w:rPr>
            </w:pPr>
          </w:p>
        </w:tc>
        <w:tc>
          <w:tcPr>
            <w:tcW w:w="6920" w:type="dxa"/>
            <w:vAlign w:val="bottom"/>
            <w:tcBorders>
              <w:right w:val="single" w:sz="8" w:color="auto"/>
            </w:tcBorders>
          </w:tcPr>
          <w:p>
            <w:pPr>
              <w:ind w:left="1300"/>
              <w:spacing w:after="0"/>
              <w:rPr>
                <w:sz w:val="20"/>
                <w:szCs w:val="20"/>
                <w:color w:val="auto"/>
              </w:rPr>
            </w:pPr>
            <w:r>
              <w:rPr>
                <w:rFonts w:ascii="Arial" w:cs="Arial" w:eastAsia="Arial" w:hAnsi="Arial"/>
                <w:sz w:val="18"/>
                <w:szCs w:val="18"/>
                <w:color w:val="auto"/>
                <w:w w:val="91"/>
              </w:rPr>
              <w:t>business combination or to redeem 100% of our public shares if we have not</w:t>
            </w:r>
          </w:p>
        </w:tc>
      </w:tr>
      <w:tr>
        <w:trPr>
          <w:trHeight w:val="216"/>
        </w:trPr>
        <w:tc>
          <w:tcPr>
            <w:tcW w:w="4320" w:type="dxa"/>
            <w:vAlign w:val="bottom"/>
            <w:tcBorders>
              <w:left w:val="single" w:sz="8" w:color="auto"/>
            </w:tcBorders>
          </w:tcPr>
          <w:p>
            <w:pPr>
              <w:spacing w:after="0"/>
              <w:rPr>
                <w:sz w:val="18"/>
                <w:szCs w:val="18"/>
                <w:color w:val="auto"/>
              </w:rPr>
            </w:pPr>
          </w:p>
        </w:tc>
        <w:tc>
          <w:tcPr>
            <w:tcW w:w="6920" w:type="dxa"/>
            <w:vAlign w:val="bottom"/>
            <w:tcBorders>
              <w:right w:val="single" w:sz="8" w:color="auto"/>
            </w:tcBorders>
          </w:tcPr>
          <w:p>
            <w:pPr>
              <w:ind w:left="1300"/>
              <w:spacing w:after="0"/>
              <w:rPr>
                <w:sz w:val="20"/>
                <w:szCs w:val="20"/>
                <w:color w:val="auto"/>
              </w:rPr>
            </w:pPr>
            <w:r>
              <w:rPr>
                <w:rFonts w:ascii="Arial" w:cs="Arial" w:eastAsia="Arial" w:hAnsi="Arial"/>
                <w:sz w:val="18"/>
                <w:szCs w:val="18"/>
                <w:color w:val="auto"/>
                <w:w w:val="97"/>
              </w:rPr>
              <w:t>consummated an initial business combination within 24 months from the</w:t>
            </w:r>
          </w:p>
        </w:tc>
      </w:tr>
      <w:tr>
        <w:trPr>
          <w:trHeight w:val="216"/>
        </w:trPr>
        <w:tc>
          <w:tcPr>
            <w:tcW w:w="4320" w:type="dxa"/>
            <w:vAlign w:val="bottom"/>
            <w:tcBorders>
              <w:left w:val="single" w:sz="8" w:color="auto"/>
            </w:tcBorders>
          </w:tcPr>
          <w:p>
            <w:pPr>
              <w:spacing w:after="0"/>
              <w:rPr>
                <w:sz w:val="18"/>
                <w:szCs w:val="18"/>
                <w:color w:val="auto"/>
              </w:rPr>
            </w:pPr>
          </w:p>
        </w:tc>
        <w:tc>
          <w:tcPr>
            <w:tcW w:w="6920" w:type="dxa"/>
            <w:vAlign w:val="bottom"/>
            <w:tcBorders>
              <w:right w:val="single" w:sz="8" w:color="auto"/>
            </w:tcBorders>
          </w:tcPr>
          <w:p>
            <w:pPr>
              <w:ind w:left="1300"/>
              <w:spacing w:after="0"/>
              <w:rPr>
                <w:sz w:val="20"/>
                <w:szCs w:val="20"/>
                <w:color w:val="auto"/>
              </w:rPr>
            </w:pPr>
            <w:r>
              <w:rPr>
                <w:rFonts w:ascii="Arial" w:cs="Arial" w:eastAsia="Arial" w:hAnsi="Arial"/>
                <w:sz w:val="18"/>
                <w:szCs w:val="18"/>
                <w:color w:val="auto"/>
                <w:w w:val="96"/>
              </w:rPr>
              <w:t>closing of this offering or (B) with respect to any other material provisions</w:t>
            </w:r>
          </w:p>
        </w:tc>
      </w:tr>
      <w:tr>
        <w:trPr>
          <w:trHeight w:val="216"/>
        </w:trPr>
        <w:tc>
          <w:tcPr>
            <w:tcW w:w="4320" w:type="dxa"/>
            <w:vAlign w:val="bottom"/>
            <w:tcBorders>
              <w:left w:val="single" w:sz="8" w:color="auto"/>
            </w:tcBorders>
          </w:tcPr>
          <w:p>
            <w:pPr>
              <w:spacing w:after="0"/>
              <w:rPr>
                <w:sz w:val="18"/>
                <w:szCs w:val="18"/>
                <w:color w:val="auto"/>
              </w:rPr>
            </w:pPr>
          </w:p>
        </w:tc>
        <w:tc>
          <w:tcPr>
            <w:tcW w:w="6920" w:type="dxa"/>
            <w:vAlign w:val="bottom"/>
            <w:tcBorders>
              <w:right w:val="single" w:sz="8" w:color="auto"/>
            </w:tcBorders>
          </w:tcPr>
          <w:p>
            <w:pPr>
              <w:ind w:left="1300"/>
              <w:spacing w:after="0"/>
              <w:rPr>
                <w:sz w:val="20"/>
                <w:szCs w:val="20"/>
                <w:color w:val="auto"/>
              </w:rPr>
            </w:pPr>
            <w:r>
              <w:rPr>
                <w:rFonts w:ascii="Arial" w:cs="Arial" w:eastAsia="Arial" w:hAnsi="Arial"/>
                <w:sz w:val="18"/>
                <w:szCs w:val="18"/>
                <w:color w:val="auto"/>
                <w:w w:val="95"/>
              </w:rPr>
              <w:t>relating to shareholders’ rights or pre-initial business combination activity.</w:t>
            </w:r>
          </w:p>
        </w:tc>
      </w:tr>
      <w:tr>
        <w:trPr>
          <w:trHeight w:val="216"/>
        </w:trPr>
        <w:tc>
          <w:tcPr>
            <w:tcW w:w="4320" w:type="dxa"/>
            <w:vAlign w:val="bottom"/>
            <w:tcBorders>
              <w:left w:val="single" w:sz="8" w:color="auto"/>
            </w:tcBorders>
          </w:tcPr>
          <w:p>
            <w:pPr>
              <w:spacing w:after="0"/>
              <w:rPr>
                <w:sz w:val="18"/>
                <w:szCs w:val="18"/>
                <w:color w:val="auto"/>
              </w:rPr>
            </w:pPr>
          </w:p>
        </w:tc>
        <w:tc>
          <w:tcPr>
            <w:tcW w:w="6920" w:type="dxa"/>
            <w:vAlign w:val="bottom"/>
            <w:tcBorders>
              <w:right w:val="single" w:sz="8" w:color="auto"/>
            </w:tcBorders>
          </w:tcPr>
          <w:p>
            <w:pPr>
              <w:ind w:left="1300"/>
              <w:spacing w:after="0"/>
              <w:rPr>
                <w:sz w:val="20"/>
                <w:szCs w:val="20"/>
                <w:color w:val="auto"/>
              </w:rPr>
            </w:pPr>
            <w:r>
              <w:rPr>
                <w:rFonts w:ascii="Arial" w:cs="Arial" w:eastAsia="Arial" w:hAnsi="Arial"/>
                <w:sz w:val="18"/>
                <w:szCs w:val="18"/>
                <w:color w:val="auto"/>
                <w:w w:val="95"/>
              </w:rPr>
              <w:t>The funds held in the trust account could become subject to the claims of</w:t>
            </w:r>
          </w:p>
        </w:tc>
      </w:tr>
      <w:tr>
        <w:trPr>
          <w:trHeight w:val="216"/>
        </w:trPr>
        <w:tc>
          <w:tcPr>
            <w:tcW w:w="4320" w:type="dxa"/>
            <w:vAlign w:val="bottom"/>
            <w:tcBorders>
              <w:left w:val="single" w:sz="8" w:color="auto"/>
            </w:tcBorders>
          </w:tcPr>
          <w:p>
            <w:pPr>
              <w:spacing w:after="0"/>
              <w:rPr>
                <w:sz w:val="18"/>
                <w:szCs w:val="18"/>
                <w:color w:val="auto"/>
              </w:rPr>
            </w:pPr>
          </w:p>
        </w:tc>
        <w:tc>
          <w:tcPr>
            <w:tcW w:w="6920" w:type="dxa"/>
            <w:vAlign w:val="bottom"/>
            <w:tcBorders>
              <w:right w:val="single" w:sz="8" w:color="auto"/>
            </w:tcBorders>
          </w:tcPr>
          <w:p>
            <w:pPr>
              <w:ind w:left="1300"/>
              <w:spacing w:after="0"/>
              <w:rPr>
                <w:sz w:val="20"/>
                <w:szCs w:val="20"/>
                <w:color w:val="auto"/>
              </w:rPr>
            </w:pPr>
            <w:r>
              <w:rPr>
                <w:rFonts w:ascii="Arial" w:cs="Arial" w:eastAsia="Arial" w:hAnsi="Arial"/>
                <w:sz w:val="18"/>
                <w:szCs w:val="18"/>
                <w:color w:val="auto"/>
                <w:w w:val="94"/>
              </w:rPr>
              <w:t>our creditors, if any, which could have priority over the claims of our public</w:t>
            </w:r>
          </w:p>
        </w:tc>
      </w:tr>
      <w:tr>
        <w:trPr>
          <w:trHeight w:val="230"/>
        </w:trPr>
        <w:tc>
          <w:tcPr>
            <w:tcW w:w="4320" w:type="dxa"/>
            <w:vAlign w:val="bottom"/>
            <w:tcBorders>
              <w:left w:val="single" w:sz="8" w:color="auto"/>
            </w:tcBorders>
          </w:tcPr>
          <w:p>
            <w:pPr>
              <w:spacing w:after="0"/>
              <w:rPr>
                <w:sz w:val="20"/>
                <w:szCs w:val="20"/>
                <w:color w:val="auto"/>
              </w:rPr>
            </w:pPr>
          </w:p>
        </w:tc>
        <w:tc>
          <w:tcPr>
            <w:tcW w:w="6920" w:type="dxa"/>
            <w:vAlign w:val="bottom"/>
            <w:tcBorders>
              <w:right w:val="single" w:sz="8" w:color="auto"/>
            </w:tcBorders>
          </w:tcPr>
          <w:p>
            <w:pPr>
              <w:ind w:left="1300"/>
              <w:spacing w:after="0"/>
              <w:rPr>
                <w:sz w:val="20"/>
                <w:szCs w:val="20"/>
                <w:color w:val="auto"/>
              </w:rPr>
            </w:pPr>
            <w:r>
              <w:rPr>
                <w:rFonts w:ascii="Arial" w:cs="Arial" w:eastAsia="Arial" w:hAnsi="Arial"/>
                <w:sz w:val="18"/>
                <w:szCs w:val="18"/>
                <w:color w:val="auto"/>
              </w:rPr>
              <w:t>shareholders.</w:t>
            </w:r>
          </w:p>
        </w:tc>
      </w:tr>
      <w:tr>
        <w:trPr>
          <w:trHeight w:val="364"/>
        </w:trPr>
        <w:tc>
          <w:tcPr>
            <w:tcW w:w="4320" w:type="dxa"/>
            <w:vAlign w:val="bottom"/>
            <w:tcBorders>
              <w:left w:val="single" w:sz="8" w:color="auto"/>
            </w:tcBorders>
          </w:tcPr>
          <w:p>
            <w:pPr>
              <w:ind w:left="100"/>
              <w:spacing w:after="0"/>
              <w:rPr>
                <w:sz w:val="20"/>
                <w:szCs w:val="20"/>
                <w:color w:val="auto"/>
              </w:rPr>
            </w:pPr>
            <w:r>
              <w:rPr>
                <w:rFonts w:ascii="Arial" w:cs="Arial" w:eastAsia="Arial" w:hAnsi="Arial"/>
                <w:sz w:val="18"/>
                <w:szCs w:val="18"/>
                <w:color w:val="auto"/>
              </w:rPr>
              <w:t>Anticipated expenses and funding sources</w:t>
            </w:r>
          </w:p>
        </w:tc>
        <w:tc>
          <w:tcPr>
            <w:tcW w:w="6920" w:type="dxa"/>
            <w:vAlign w:val="bottom"/>
            <w:tcBorders>
              <w:right w:val="single" w:sz="8" w:color="auto"/>
            </w:tcBorders>
          </w:tcPr>
          <w:p>
            <w:pPr>
              <w:ind w:left="1300"/>
              <w:spacing w:after="0"/>
              <w:rPr>
                <w:sz w:val="20"/>
                <w:szCs w:val="20"/>
                <w:color w:val="auto"/>
              </w:rPr>
            </w:pPr>
            <w:r>
              <w:rPr>
                <w:rFonts w:ascii="Arial" w:cs="Arial" w:eastAsia="Arial" w:hAnsi="Arial"/>
                <w:sz w:val="18"/>
                <w:szCs w:val="18"/>
                <w:color w:val="auto"/>
                <w:w w:val="93"/>
              </w:rPr>
              <w:t>Unless and until we complete our initial business combination, no proceeds</w:t>
            </w:r>
          </w:p>
        </w:tc>
      </w:tr>
      <w:tr>
        <w:trPr>
          <w:trHeight w:val="216"/>
        </w:trPr>
        <w:tc>
          <w:tcPr>
            <w:tcW w:w="4320" w:type="dxa"/>
            <w:vAlign w:val="bottom"/>
            <w:tcBorders>
              <w:left w:val="single" w:sz="8" w:color="auto"/>
            </w:tcBorders>
          </w:tcPr>
          <w:p>
            <w:pPr>
              <w:spacing w:after="0"/>
              <w:rPr>
                <w:sz w:val="18"/>
                <w:szCs w:val="18"/>
                <w:color w:val="auto"/>
              </w:rPr>
            </w:pPr>
          </w:p>
        </w:tc>
        <w:tc>
          <w:tcPr>
            <w:tcW w:w="6920" w:type="dxa"/>
            <w:vAlign w:val="bottom"/>
            <w:tcBorders>
              <w:right w:val="single" w:sz="8" w:color="auto"/>
            </w:tcBorders>
          </w:tcPr>
          <w:p>
            <w:pPr>
              <w:ind w:left="1300"/>
              <w:spacing w:after="0"/>
              <w:rPr>
                <w:sz w:val="20"/>
                <w:szCs w:val="20"/>
                <w:color w:val="auto"/>
              </w:rPr>
            </w:pPr>
            <w:r>
              <w:rPr>
                <w:rFonts w:ascii="Arial" w:cs="Arial" w:eastAsia="Arial" w:hAnsi="Arial"/>
                <w:sz w:val="18"/>
                <w:szCs w:val="18"/>
                <w:color w:val="auto"/>
                <w:w w:val="93"/>
              </w:rPr>
              <w:t>held in the trust account will be available for our use, except the withdrawal</w:t>
            </w:r>
          </w:p>
        </w:tc>
      </w:tr>
      <w:tr>
        <w:trPr>
          <w:trHeight w:val="216"/>
        </w:trPr>
        <w:tc>
          <w:tcPr>
            <w:tcW w:w="4320" w:type="dxa"/>
            <w:vAlign w:val="bottom"/>
            <w:tcBorders>
              <w:left w:val="single" w:sz="8" w:color="auto"/>
            </w:tcBorders>
          </w:tcPr>
          <w:p>
            <w:pPr>
              <w:spacing w:after="0"/>
              <w:rPr>
                <w:sz w:val="18"/>
                <w:szCs w:val="18"/>
                <w:color w:val="auto"/>
              </w:rPr>
            </w:pPr>
          </w:p>
        </w:tc>
        <w:tc>
          <w:tcPr>
            <w:tcW w:w="6920" w:type="dxa"/>
            <w:vAlign w:val="bottom"/>
            <w:tcBorders>
              <w:right w:val="single" w:sz="8" w:color="auto"/>
            </w:tcBorders>
          </w:tcPr>
          <w:p>
            <w:pPr>
              <w:ind w:left="1300"/>
              <w:spacing w:after="0"/>
              <w:rPr>
                <w:sz w:val="20"/>
                <w:szCs w:val="20"/>
                <w:color w:val="auto"/>
              </w:rPr>
            </w:pPr>
            <w:r>
              <w:rPr>
                <w:rFonts w:ascii="Arial" w:cs="Arial" w:eastAsia="Arial" w:hAnsi="Arial"/>
                <w:sz w:val="18"/>
                <w:szCs w:val="18"/>
                <w:color w:val="auto"/>
                <w:w w:val="96"/>
              </w:rPr>
              <w:t>of interest income to pay our taxes and/or to redeem our public shares in</w:t>
            </w:r>
          </w:p>
        </w:tc>
      </w:tr>
      <w:tr>
        <w:trPr>
          <w:trHeight w:val="216"/>
        </w:trPr>
        <w:tc>
          <w:tcPr>
            <w:tcW w:w="4320" w:type="dxa"/>
            <w:vAlign w:val="bottom"/>
            <w:tcBorders>
              <w:left w:val="single" w:sz="8" w:color="auto"/>
            </w:tcBorders>
          </w:tcPr>
          <w:p>
            <w:pPr>
              <w:spacing w:after="0"/>
              <w:rPr>
                <w:sz w:val="18"/>
                <w:szCs w:val="18"/>
                <w:color w:val="auto"/>
              </w:rPr>
            </w:pPr>
          </w:p>
        </w:tc>
        <w:tc>
          <w:tcPr>
            <w:tcW w:w="6920" w:type="dxa"/>
            <w:vAlign w:val="bottom"/>
            <w:tcBorders>
              <w:right w:val="single" w:sz="8" w:color="auto"/>
            </w:tcBorders>
          </w:tcPr>
          <w:p>
            <w:pPr>
              <w:ind w:left="1300"/>
              <w:spacing w:after="0"/>
              <w:rPr>
                <w:sz w:val="20"/>
                <w:szCs w:val="20"/>
                <w:color w:val="auto"/>
              </w:rPr>
            </w:pPr>
            <w:r>
              <w:rPr>
                <w:rFonts w:ascii="Arial" w:cs="Arial" w:eastAsia="Arial" w:hAnsi="Arial"/>
                <w:sz w:val="18"/>
                <w:szCs w:val="18"/>
                <w:color w:val="auto"/>
                <w:w w:val="92"/>
              </w:rPr>
              <w:t>connection with an amendment to our amended and restated memorandum</w:t>
            </w:r>
          </w:p>
        </w:tc>
      </w:tr>
      <w:tr>
        <w:trPr>
          <w:trHeight w:val="216"/>
        </w:trPr>
        <w:tc>
          <w:tcPr>
            <w:tcW w:w="4320" w:type="dxa"/>
            <w:vAlign w:val="bottom"/>
            <w:tcBorders>
              <w:left w:val="single" w:sz="8" w:color="auto"/>
            </w:tcBorders>
          </w:tcPr>
          <w:p>
            <w:pPr>
              <w:spacing w:after="0"/>
              <w:rPr>
                <w:sz w:val="18"/>
                <w:szCs w:val="18"/>
                <w:color w:val="auto"/>
              </w:rPr>
            </w:pPr>
          </w:p>
        </w:tc>
        <w:tc>
          <w:tcPr>
            <w:tcW w:w="6920" w:type="dxa"/>
            <w:vAlign w:val="bottom"/>
            <w:tcBorders>
              <w:right w:val="single" w:sz="8" w:color="auto"/>
            </w:tcBorders>
          </w:tcPr>
          <w:p>
            <w:pPr>
              <w:ind w:left="1300"/>
              <w:spacing w:after="0"/>
              <w:rPr>
                <w:sz w:val="20"/>
                <w:szCs w:val="20"/>
                <w:color w:val="auto"/>
              </w:rPr>
            </w:pPr>
            <w:r>
              <w:rPr>
                <w:rFonts w:ascii="Arial" w:cs="Arial" w:eastAsia="Arial" w:hAnsi="Arial"/>
                <w:sz w:val="18"/>
                <w:szCs w:val="18"/>
                <w:color w:val="auto"/>
                <w:w w:val="95"/>
              </w:rPr>
              <w:t>and articles of association, as described above. The proceeds held in the</w:t>
            </w:r>
          </w:p>
        </w:tc>
      </w:tr>
      <w:tr>
        <w:trPr>
          <w:trHeight w:val="216"/>
        </w:trPr>
        <w:tc>
          <w:tcPr>
            <w:tcW w:w="4320" w:type="dxa"/>
            <w:vAlign w:val="bottom"/>
            <w:tcBorders>
              <w:left w:val="single" w:sz="8" w:color="auto"/>
            </w:tcBorders>
          </w:tcPr>
          <w:p>
            <w:pPr>
              <w:spacing w:after="0"/>
              <w:rPr>
                <w:sz w:val="18"/>
                <w:szCs w:val="18"/>
                <w:color w:val="auto"/>
              </w:rPr>
            </w:pPr>
          </w:p>
        </w:tc>
        <w:tc>
          <w:tcPr>
            <w:tcW w:w="6920" w:type="dxa"/>
            <w:vAlign w:val="bottom"/>
            <w:tcBorders>
              <w:right w:val="single" w:sz="8" w:color="auto"/>
            </w:tcBorders>
          </w:tcPr>
          <w:p>
            <w:pPr>
              <w:ind w:left="1300"/>
              <w:spacing w:after="0"/>
              <w:rPr>
                <w:sz w:val="20"/>
                <w:szCs w:val="20"/>
                <w:color w:val="auto"/>
              </w:rPr>
            </w:pPr>
            <w:r>
              <w:rPr>
                <w:rFonts w:ascii="Arial" w:cs="Arial" w:eastAsia="Arial" w:hAnsi="Arial"/>
                <w:sz w:val="18"/>
                <w:szCs w:val="18"/>
                <w:color w:val="auto"/>
                <w:w w:val="94"/>
              </w:rPr>
              <w:t>trust account will be invested only in U.S. government treasury obligations</w:t>
            </w:r>
          </w:p>
        </w:tc>
      </w:tr>
      <w:tr>
        <w:trPr>
          <w:trHeight w:val="216"/>
        </w:trPr>
        <w:tc>
          <w:tcPr>
            <w:tcW w:w="4320" w:type="dxa"/>
            <w:vAlign w:val="bottom"/>
            <w:tcBorders>
              <w:left w:val="single" w:sz="8" w:color="auto"/>
            </w:tcBorders>
          </w:tcPr>
          <w:p>
            <w:pPr>
              <w:spacing w:after="0"/>
              <w:rPr>
                <w:sz w:val="18"/>
                <w:szCs w:val="18"/>
                <w:color w:val="auto"/>
              </w:rPr>
            </w:pPr>
          </w:p>
        </w:tc>
        <w:tc>
          <w:tcPr>
            <w:tcW w:w="6920" w:type="dxa"/>
            <w:vAlign w:val="bottom"/>
            <w:tcBorders>
              <w:right w:val="single" w:sz="8" w:color="auto"/>
            </w:tcBorders>
          </w:tcPr>
          <w:p>
            <w:pPr>
              <w:ind w:left="1300"/>
              <w:spacing w:after="0"/>
              <w:rPr>
                <w:sz w:val="20"/>
                <w:szCs w:val="20"/>
                <w:color w:val="auto"/>
              </w:rPr>
            </w:pPr>
            <w:r>
              <w:rPr>
                <w:rFonts w:ascii="Arial" w:cs="Arial" w:eastAsia="Arial" w:hAnsi="Arial"/>
                <w:sz w:val="18"/>
                <w:szCs w:val="18"/>
                <w:color w:val="auto"/>
              </w:rPr>
              <w:t>with a maturity of 185 days or less or in money market funds meeting</w:t>
            </w:r>
          </w:p>
        </w:tc>
      </w:tr>
      <w:tr>
        <w:trPr>
          <w:trHeight w:val="216"/>
        </w:trPr>
        <w:tc>
          <w:tcPr>
            <w:tcW w:w="4320" w:type="dxa"/>
            <w:vAlign w:val="bottom"/>
            <w:tcBorders>
              <w:left w:val="single" w:sz="8" w:color="auto"/>
            </w:tcBorders>
          </w:tcPr>
          <w:p>
            <w:pPr>
              <w:spacing w:after="0"/>
              <w:rPr>
                <w:sz w:val="18"/>
                <w:szCs w:val="18"/>
                <w:color w:val="auto"/>
              </w:rPr>
            </w:pPr>
          </w:p>
        </w:tc>
        <w:tc>
          <w:tcPr>
            <w:tcW w:w="6920" w:type="dxa"/>
            <w:vAlign w:val="bottom"/>
            <w:tcBorders>
              <w:right w:val="single" w:sz="8" w:color="auto"/>
            </w:tcBorders>
          </w:tcPr>
          <w:p>
            <w:pPr>
              <w:ind w:left="1300"/>
              <w:spacing w:after="0"/>
              <w:rPr>
                <w:sz w:val="20"/>
                <w:szCs w:val="20"/>
                <w:color w:val="auto"/>
              </w:rPr>
            </w:pPr>
            <w:r>
              <w:rPr>
                <w:rFonts w:ascii="Arial" w:cs="Arial" w:eastAsia="Arial" w:hAnsi="Arial"/>
                <w:sz w:val="18"/>
                <w:szCs w:val="18"/>
                <w:color w:val="auto"/>
                <w:w w:val="99"/>
              </w:rPr>
              <w:t>certain conditions under Rule 2a-7 under the Investment Company Act</w:t>
            </w:r>
          </w:p>
        </w:tc>
      </w:tr>
      <w:tr>
        <w:trPr>
          <w:trHeight w:val="230"/>
        </w:trPr>
        <w:tc>
          <w:tcPr>
            <w:tcW w:w="4320" w:type="dxa"/>
            <w:vAlign w:val="bottom"/>
            <w:tcBorders>
              <w:left w:val="single" w:sz="8" w:color="auto"/>
            </w:tcBorders>
          </w:tcPr>
          <w:p>
            <w:pPr>
              <w:spacing w:after="0"/>
              <w:rPr>
                <w:sz w:val="20"/>
                <w:szCs w:val="20"/>
                <w:color w:val="auto"/>
              </w:rPr>
            </w:pPr>
          </w:p>
        </w:tc>
        <w:tc>
          <w:tcPr>
            <w:tcW w:w="6920" w:type="dxa"/>
            <w:vAlign w:val="bottom"/>
            <w:tcBorders>
              <w:right w:val="single" w:sz="8" w:color="auto"/>
            </w:tcBorders>
          </w:tcPr>
          <w:p>
            <w:pPr>
              <w:ind w:left="1300"/>
              <w:spacing w:after="0"/>
              <w:rPr>
                <w:sz w:val="20"/>
                <w:szCs w:val="20"/>
                <w:color w:val="auto"/>
              </w:rPr>
            </w:pPr>
            <w:r>
              <w:rPr>
                <w:rFonts w:ascii="Arial" w:cs="Arial" w:eastAsia="Arial" w:hAnsi="Arial"/>
                <w:sz w:val="18"/>
                <w:szCs w:val="18"/>
                <w:color w:val="auto"/>
              </w:rPr>
              <w:t>which invest only in direct U.S.</w:t>
            </w:r>
          </w:p>
        </w:tc>
      </w:tr>
      <w:tr>
        <w:trPr>
          <w:trHeight w:val="361"/>
        </w:trPr>
        <w:tc>
          <w:tcPr>
            <w:tcW w:w="4320" w:type="dxa"/>
            <w:vAlign w:val="bottom"/>
            <w:tcBorders>
              <w:left w:val="single" w:sz="8" w:color="auto"/>
              <w:bottom w:val="single" w:sz="8" w:color="auto"/>
            </w:tcBorders>
          </w:tcPr>
          <w:p>
            <w:pPr>
              <w:spacing w:after="0"/>
              <w:rPr>
                <w:sz w:val="24"/>
                <w:szCs w:val="24"/>
                <w:color w:val="auto"/>
              </w:rPr>
            </w:pPr>
          </w:p>
        </w:tc>
        <w:tc>
          <w:tcPr>
            <w:tcW w:w="6920" w:type="dxa"/>
            <w:vAlign w:val="bottom"/>
            <w:tcBorders>
              <w:bottom w:val="single" w:sz="8" w:color="auto"/>
              <w:right w:val="single" w:sz="8" w:color="auto"/>
            </w:tcBorders>
          </w:tcPr>
          <w:p>
            <w:pPr>
              <w:spacing w:after="0"/>
              <w:rPr>
                <w:sz w:val="24"/>
                <w:szCs w:val="24"/>
                <w:color w:val="auto"/>
              </w:rPr>
            </w:pPr>
          </w:p>
        </w:tc>
      </w:tr>
      <w:tr>
        <w:trPr>
          <w:trHeight w:val="328"/>
        </w:trPr>
        <w:tc>
          <w:tcPr>
            <w:tcW w:w="4320" w:type="dxa"/>
            <w:vAlign w:val="bottom"/>
            <w:tcBorders>
              <w:bottom w:val="single" w:sz="8" w:color="auto"/>
            </w:tcBorders>
          </w:tcPr>
          <w:p>
            <w:pPr>
              <w:spacing w:after="0"/>
              <w:rPr>
                <w:sz w:val="24"/>
                <w:szCs w:val="24"/>
                <w:color w:val="auto"/>
              </w:rPr>
            </w:pPr>
          </w:p>
        </w:tc>
        <w:tc>
          <w:tcPr>
            <w:tcW w:w="6920" w:type="dxa"/>
            <w:vAlign w:val="bottom"/>
            <w:tcBorders>
              <w:bottom w:val="single" w:sz="8" w:color="auto"/>
            </w:tcBorders>
          </w:tcPr>
          <w:p>
            <w:pPr>
              <w:ind w:left="1200"/>
              <w:spacing w:after="0"/>
              <w:rPr>
                <w:sz w:val="20"/>
                <w:szCs w:val="20"/>
                <w:color w:val="auto"/>
              </w:rPr>
            </w:pPr>
            <w:r>
              <w:rPr>
                <w:rFonts w:ascii="Arial" w:cs="Arial" w:eastAsia="Arial" w:hAnsi="Arial"/>
                <w:sz w:val="18"/>
                <w:szCs w:val="18"/>
                <w:color w:val="auto"/>
              </w:rPr>
              <w:t>21</w:t>
            </w:r>
          </w:p>
        </w:tc>
      </w:tr>
    </w:tbl>
    <w:p>
      <w:pPr>
        <w:sectPr>
          <w:pgSz w:w="11900" w:h="16838" w:orient="portrait"/>
          <w:cols w:equalWidth="0" w:num="1">
            <w:col w:w="11240"/>
          </w:cols>
          <w:pgMar w:left="320" w:top="575" w:right="339" w:bottom="1440" w:gutter="0" w:footer="0" w:header="0"/>
        </w:sectPr>
      </w:pPr>
    </w:p>
    <w:bookmarkStart w:id="26" w:name="page27"/>
    <w:bookmarkEnd w:id="26"/>
    <w:p>
      <w:pPr>
        <w:ind w:left="55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206375</wp:posOffset>
            </wp:positionH>
            <wp:positionV relativeFrom="page">
              <wp:posOffset>378460</wp:posOffset>
            </wp:positionV>
            <wp:extent cx="7136130" cy="60134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6130" cy="6013450"/>
                    </a:xfrm>
                    <a:prstGeom prst="rect">
                      <a:avLst/>
                    </a:prstGeom>
                    <a:noFill/>
                  </pic:spPr>
                </pic:pic>
              </a:graphicData>
            </a:graphic>
          </wp:anchor>
        </w:drawing>
        <w:t>government treasury obligations. We estimate the interest earned on the trust</w:t>
      </w:r>
    </w:p>
    <w:p>
      <w:pPr>
        <w:spacing w:after="0" w:line="46" w:lineRule="exact"/>
        <w:rPr>
          <w:sz w:val="20"/>
          <w:szCs w:val="20"/>
          <w:color w:val="auto"/>
        </w:rPr>
      </w:pPr>
    </w:p>
    <w:p>
      <w:pPr>
        <w:ind w:left="5520"/>
        <w:spacing w:after="0"/>
        <w:rPr>
          <w:sz w:val="20"/>
          <w:szCs w:val="20"/>
          <w:color w:val="auto"/>
        </w:rPr>
      </w:pPr>
      <w:r>
        <w:rPr>
          <w:rFonts w:ascii="Arial" w:cs="Arial" w:eastAsia="Arial" w:hAnsi="Arial"/>
          <w:sz w:val="16"/>
          <w:szCs w:val="16"/>
          <w:color w:val="auto"/>
        </w:rPr>
        <w:t>account will be approximately $250,000 per year, assuming an interest rate</w:t>
      </w:r>
    </w:p>
    <w:p>
      <w:pPr>
        <w:spacing w:after="0" w:line="32" w:lineRule="exact"/>
        <w:rPr>
          <w:sz w:val="20"/>
          <w:szCs w:val="20"/>
          <w:color w:val="auto"/>
        </w:rPr>
      </w:pPr>
    </w:p>
    <w:p>
      <w:pPr>
        <w:ind w:left="5520"/>
        <w:spacing w:after="0"/>
        <w:rPr>
          <w:sz w:val="20"/>
          <w:szCs w:val="20"/>
          <w:color w:val="auto"/>
        </w:rPr>
      </w:pPr>
      <w:r>
        <w:rPr>
          <w:rFonts w:ascii="Arial" w:cs="Arial" w:eastAsia="Arial" w:hAnsi="Arial"/>
          <w:sz w:val="17"/>
          <w:szCs w:val="17"/>
          <w:color w:val="auto"/>
        </w:rPr>
        <w:t>of 0.1% per year; however we can provide no assurances regarding this</w:t>
      </w:r>
    </w:p>
    <w:p>
      <w:pPr>
        <w:spacing w:after="0" w:line="21" w:lineRule="exact"/>
        <w:rPr>
          <w:sz w:val="20"/>
          <w:szCs w:val="20"/>
          <w:color w:val="auto"/>
        </w:rPr>
      </w:pPr>
    </w:p>
    <w:p>
      <w:pPr>
        <w:ind w:left="5520"/>
        <w:spacing w:after="0"/>
        <w:rPr>
          <w:sz w:val="20"/>
          <w:szCs w:val="20"/>
          <w:color w:val="auto"/>
        </w:rPr>
      </w:pPr>
      <w:r>
        <w:rPr>
          <w:rFonts w:ascii="Arial" w:cs="Arial" w:eastAsia="Arial" w:hAnsi="Arial"/>
          <w:sz w:val="17"/>
          <w:szCs w:val="17"/>
          <w:color w:val="auto"/>
        </w:rPr>
        <w:t>amount. Unless and until we complete our initial business combination,</w:t>
      </w:r>
    </w:p>
    <w:p>
      <w:pPr>
        <w:spacing w:after="0" w:line="21"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except as described above, we may pay our expenses only from:</w:t>
      </w:r>
    </w:p>
    <w:p>
      <w:pPr>
        <w:spacing w:after="0" w:line="157" w:lineRule="exact"/>
        <w:rPr>
          <w:sz w:val="20"/>
          <w:szCs w:val="20"/>
          <w:color w:val="auto"/>
        </w:rPr>
      </w:pPr>
    </w:p>
    <w:p>
      <w:pPr>
        <w:ind w:left="5520"/>
        <w:spacing w:after="0"/>
        <w:rPr>
          <w:sz w:val="20"/>
          <w:szCs w:val="20"/>
          <w:color w:val="auto"/>
        </w:rPr>
      </w:pPr>
      <w:r>
        <w:rPr>
          <w:rFonts w:ascii="Arial" w:cs="Arial" w:eastAsia="Arial" w:hAnsi="Arial"/>
          <w:sz w:val="17"/>
          <w:szCs w:val="17"/>
          <w:color w:val="auto"/>
        </w:rPr>
        <w:t>· the net proceeds of this offering and the sale of the private placement</w:t>
      </w:r>
    </w:p>
    <w:p>
      <w:pPr>
        <w:spacing w:after="0" w:line="35"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warrants not held in the trust account, which initially will be</w:t>
      </w:r>
    </w:p>
    <w:p>
      <w:pPr>
        <w:spacing w:after="0" w:line="9"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approximately $1,995,000 in working capital after the payment of</w:t>
      </w:r>
    </w:p>
    <w:p>
      <w:pPr>
        <w:spacing w:after="0" w:line="9"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approximately $1,000,000 in expenses relating to this offering; and</w:t>
      </w:r>
    </w:p>
    <w:p>
      <w:pPr>
        <w:spacing w:after="0" w:line="157" w:lineRule="exact"/>
        <w:rPr>
          <w:sz w:val="20"/>
          <w:szCs w:val="20"/>
          <w:color w:val="auto"/>
        </w:rPr>
      </w:pPr>
    </w:p>
    <w:p>
      <w:pPr>
        <w:ind w:left="5520"/>
        <w:spacing w:after="0"/>
        <w:rPr>
          <w:sz w:val="20"/>
          <w:szCs w:val="20"/>
          <w:color w:val="auto"/>
        </w:rPr>
      </w:pPr>
      <w:r>
        <w:rPr>
          <w:rFonts w:ascii="Arial" w:cs="Arial" w:eastAsia="Arial" w:hAnsi="Arial"/>
          <w:sz w:val="17"/>
          <w:szCs w:val="17"/>
          <w:color w:val="auto"/>
        </w:rPr>
        <w:t>· any loans or additional investments from our sponsor, members of our</w:t>
      </w:r>
    </w:p>
    <w:p>
      <w:pPr>
        <w:spacing w:after="0" w:line="35" w:lineRule="exact"/>
        <w:rPr>
          <w:sz w:val="20"/>
          <w:szCs w:val="20"/>
          <w:color w:val="auto"/>
        </w:rPr>
      </w:pPr>
    </w:p>
    <w:p>
      <w:pPr>
        <w:ind w:left="5680"/>
        <w:spacing w:after="0"/>
        <w:rPr>
          <w:sz w:val="20"/>
          <w:szCs w:val="20"/>
          <w:color w:val="auto"/>
        </w:rPr>
      </w:pPr>
      <w:r>
        <w:rPr>
          <w:rFonts w:ascii="Arial" w:cs="Arial" w:eastAsia="Arial" w:hAnsi="Arial"/>
          <w:sz w:val="17"/>
          <w:szCs w:val="17"/>
          <w:color w:val="auto"/>
        </w:rPr>
        <w:t>management team or their affiliates or other third parties, although they</w:t>
      </w:r>
    </w:p>
    <w:p>
      <w:pPr>
        <w:spacing w:after="0" w:line="21" w:lineRule="exact"/>
        <w:rPr>
          <w:sz w:val="20"/>
          <w:szCs w:val="20"/>
          <w:color w:val="auto"/>
        </w:rPr>
      </w:pPr>
    </w:p>
    <w:p>
      <w:pPr>
        <w:ind w:left="5680"/>
        <w:spacing w:after="0"/>
        <w:rPr>
          <w:sz w:val="20"/>
          <w:szCs w:val="20"/>
          <w:color w:val="auto"/>
        </w:rPr>
      </w:pPr>
      <w:r>
        <w:rPr>
          <w:rFonts w:ascii="Arial" w:cs="Arial" w:eastAsia="Arial" w:hAnsi="Arial"/>
          <w:sz w:val="16"/>
          <w:szCs w:val="16"/>
          <w:color w:val="auto"/>
        </w:rPr>
        <w:t>are under no obligation to advance funds or invest in us; provided that any</w:t>
      </w:r>
    </w:p>
    <w:p>
      <w:pPr>
        <w:spacing w:after="0" w:line="32" w:lineRule="exact"/>
        <w:rPr>
          <w:sz w:val="20"/>
          <w:szCs w:val="20"/>
          <w:color w:val="auto"/>
        </w:rPr>
      </w:pPr>
    </w:p>
    <w:p>
      <w:pPr>
        <w:ind w:left="5680"/>
        <w:spacing w:after="0"/>
        <w:rPr>
          <w:sz w:val="20"/>
          <w:szCs w:val="20"/>
          <w:color w:val="auto"/>
        </w:rPr>
      </w:pPr>
      <w:r>
        <w:rPr>
          <w:rFonts w:ascii="Arial" w:cs="Arial" w:eastAsia="Arial" w:hAnsi="Arial"/>
          <w:sz w:val="16"/>
          <w:szCs w:val="16"/>
          <w:color w:val="auto"/>
        </w:rPr>
        <w:t>such loans will not have any claim on the funds held in the trust account</w:t>
      </w:r>
    </w:p>
    <w:p>
      <w:pPr>
        <w:spacing w:after="0" w:line="32" w:lineRule="exact"/>
        <w:rPr>
          <w:sz w:val="20"/>
          <w:szCs w:val="20"/>
          <w:color w:val="auto"/>
        </w:rPr>
      </w:pPr>
    </w:p>
    <w:p>
      <w:pPr>
        <w:ind w:left="5680"/>
        <w:spacing w:after="0"/>
        <w:rPr>
          <w:sz w:val="20"/>
          <w:szCs w:val="20"/>
          <w:color w:val="auto"/>
        </w:rPr>
      </w:pPr>
      <w:r>
        <w:rPr>
          <w:rFonts w:ascii="Arial" w:cs="Arial" w:eastAsia="Arial" w:hAnsi="Arial"/>
          <w:sz w:val="17"/>
          <w:szCs w:val="17"/>
          <w:color w:val="auto"/>
        </w:rPr>
        <w:t>unless such proceeds are released to us upon completion of our initial</w:t>
      </w:r>
    </w:p>
    <w:p>
      <w:pPr>
        <w:spacing w:after="0" w:line="21" w:lineRule="exact"/>
        <w:rPr>
          <w:sz w:val="20"/>
          <w:szCs w:val="20"/>
          <w:color w:val="auto"/>
        </w:rPr>
      </w:pPr>
    </w:p>
    <w:p>
      <w:pPr>
        <w:ind w:left="5680"/>
        <w:spacing w:after="0"/>
        <w:rPr>
          <w:sz w:val="20"/>
          <w:szCs w:val="20"/>
          <w:color w:val="auto"/>
        </w:rPr>
      </w:pPr>
      <w:r>
        <w:rPr>
          <w:rFonts w:ascii="Arial" w:cs="Arial" w:eastAsia="Arial" w:hAnsi="Arial"/>
          <w:sz w:val="16"/>
          <w:szCs w:val="16"/>
          <w:color w:val="auto"/>
        </w:rPr>
        <w:t>business combination. Up to $2,000,000 of such loans may be convertible</w:t>
      </w:r>
    </w:p>
    <w:p>
      <w:pPr>
        <w:spacing w:after="0" w:line="32" w:lineRule="exact"/>
        <w:rPr>
          <w:sz w:val="20"/>
          <w:szCs w:val="20"/>
          <w:color w:val="auto"/>
        </w:rPr>
      </w:pPr>
    </w:p>
    <w:p>
      <w:pPr>
        <w:ind w:left="5680"/>
        <w:spacing w:after="0"/>
        <w:rPr>
          <w:sz w:val="20"/>
          <w:szCs w:val="20"/>
          <w:color w:val="auto"/>
        </w:rPr>
      </w:pPr>
      <w:r>
        <w:rPr>
          <w:rFonts w:ascii="Arial" w:cs="Arial" w:eastAsia="Arial" w:hAnsi="Arial"/>
          <w:sz w:val="17"/>
          <w:szCs w:val="17"/>
          <w:color w:val="auto"/>
        </w:rPr>
        <w:t>into private placement warrants, at a price of $1.50 per warrant, at the</w:t>
      </w:r>
    </w:p>
    <w:p>
      <w:pPr>
        <w:spacing w:after="0" w:line="21"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option of the lender.</w:t>
      </w:r>
    </w:p>
    <w:p>
      <w:pPr>
        <w:sectPr>
          <w:pgSz w:w="11900" w:h="16838" w:orient="portrait"/>
          <w:cols w:equalWidth="0" w:num="1">
            <w:col w:w="11040"/>
          </w:cols>
          <w:pgMar w:left="420" w:top="976" w:right="439" w:bottom="1440" w:gutter="0" w:footer="0" w:header="0"/>
        </w:sectPr>
      </w:pP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color w:val="auto"/>
        </w:rPr>
        <w:t>Conditions to completing our initial business combination</w:t>
      </w:r>
    </w:p>
    <w:p>
      <w:pPr>
        <w:spacing w:after="0" w:line="20" w:lineRule="exact"/>
        <w:rPr>
          <w:sz w:val="20"/>
          <w:szCs w:val="20"/>
          <w:color w:val="auto"/>
        </w:rPr>
      </w:pPr>
      <w:r>
        <w:rPr>
          <w:sz w:val="20"/>
          <w:szCs w:val="20"/>
          <w:color w:val="auto"/>
        </w:rPr>
        <w:br w:type="column"/>
      </w:r>
    </w:p>
    <w:p>
      <w:pPr>
        <w:spacing w:after="0" w:line="137"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rules of the NYSE require and our amended and restated memorandum and articles of association provide that we must consummate an initial business combination with one or more operating businesses or assets with a</w:t>
      </w:r>
    </w:p>
    <w:p>
      <w:pPr>
        <w:spacing w:after="0" w:line="2" w:lineRule="exact"/>
        <w:rPr>
          <w:sz w:val="20"/>
          <w:szCs w:val="20"/>
          <w:color w:val="auto"/>
        </w:rPr>
      </w:pPr>
    </w:p>
    <w:p>
      <w:pPr>
        <w:sectPr>
          <w:pgSz w:w="11900" w:h="16838" w:orient="portrait"/>
          <w:cols w:equalWidth="0" w:num="2">
            <w:col w:w="4800" w:space="720"/>
            <w:col w:w="5520"/>
          </w:cols>
          <w:pgMar w:left="420" w:top="976" w:right="439" w:bottom="1440" w:gutter="0" w:footer="0" w:header="0"/>
          <w:type w:val="continuous"/>
        </w:sectPr>
      </w:pPr>
    </w:p>
    <w:p>
      <w:pPr>
        <w:ind w:left="5520"/>
        <w:spacing w:after="0"/>
        <w:rPr>
          <w:sz w:val="20"/>
          <w:szCs w:val="20"/>
          <w:color w:val="auto"/>
        </w:rPr>
      </w:pPr>
      <w:r>
        <w:rPr>
          <w:rFonts w:ascii="Arial" w:cs="Arial" w:eastAsia="Arial" w:hAnsi="Arial"/>
          <w:sz w:val="17"/>
          <w:szCs w:val="17"/>
          <w:color w:val="auto"/>
        </w:rPr>
        <w:t>fair market value equal to at least 80% of the net assets held in the trust</w:t>
      </w:r>
    </w:p>
    <w:p>
      <w:pPr>
        <w:spacing w:after="0" w:line="21" w:lineRule="exact"/>
        <w:rPr>
          <w:sz w:val="20"/>
          <w:szCs w:val="20"/>
          <w:color w:val="auto"/>
        </w:rPr>
      </w:pPr>
    </w:p>
    <w:p>
      <w:pPr>
        <w:ind w:left="5520"/>
        <w:spacing w:after="0"/>
        <w:rPr>
          <w:sz w:val="20"/>
          <w:szCs w:val="20"/>
          <w:color w:val="auto"/>
        </w:rPr>
      </w:pPr>
      <w:r>
        <w:rPr>
          <w:rFonts w:ascii="Arial" w:cs="Arial" w:eastAsia="Arial" w:hAnsi="Arial"/>
          <w:sz w:val="17"/>
          <w:szCs w:val="17"/>
          <w:color w:val="auto"/>
        </w:rPr>
        <w:t>account (excluding the amount of any deferred underwriting commission</w:t>
      </w:r>
    </w:p>
    <w:p>
      <w:pPr>
        <w:spacing w:after="0" w:line="21" w:lineRule="exact"/>
        <w:rPr>
          <w:sz w:val="20"/>
          <w:szCs w:val="20"/>
          <w:color w:val="auto"/>
        </w:rPr>
      </w:pPr>
    </w:p>
    <w:p>
      <w:pPr>
        <w:ind w:left="5520"/>
        <w:spacing w:after="0"/>
        <w:rPr>
          <w:sz w:val="20"/>
          <w:szCs w:val="20"/>
          <w:color w:val="auto"/>
        </w:rPr>
      </w:pPr>
      <w:r>
        <w:rPr>
          <w:rFonts w:ascii="Arial" w:cs="Arial" w:eastAsia="Arial" w:hAnsi="Arial"/>
          <w:sz w:val="16"/>
          <w:szCs w:val="16"/>
          <w:color w:val="auto"/>
        </w:rPr>
        <w:t>held in trust) as determined at the time of our signing a definitive agreement</w:t>
      </w:r>
    </w:p>
    <w:p>
      <w:pPr>
        <w:spacing w:after="0" w:line="32" w:lineRule="exact"/>
        <w:rPr>
          <w:sz w:val="20"/>
          <w:szCs w:val="20"/>
          <w:color w:val="auto"/>
        </w:rPr>
      </w:pPr>
    </w:p>
    <w:p>
      <w:pPr>
        <w:ind w:left="5520"/>
        <w:spacing w:after="0"/>
        <w:rPr>
          <w:sz w:val="20"/>
          <w:szCs w:val="20"/>
          <w:color w:val="auto"/>
        </w:rPr>
      </w:pPr>
      <w:r>
        <w:rPr>
          <w:rFonts w:ascii="Arial" w:cs="Arial" w:eastAsia="Arial" w:hAnsi="Arial"/>
          <w:sz w:val="16"/>
          <w:szCs w:val="16"/>
          <w:color w:val="auto"/>
        </w:rPr>
        <w:t>in connection with our initial business combination. Our board of directors</w:t>
      </w:r>
    </w:p>
    <w:p>
      <w:pPr>
        <w:spacing w:after="0" w:line="32"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will make the determination as to the fair market value of our initial</w:t>
      </w:r>
    </w:p>
    <w:p>
      <w:pPr>
        <w:spacing w:after="0" w:line="9" w:lineRule="exact"/>
        <w:rPr>
          <w:sz w:val="20"/>
          <w:szCs w:val="20"/>
          <w:color w:val="auto"/>
        </w:rPr>
      </w:pPr>
    </w:p>
    <w:p>
      <w:pPr>
        <w:ind w:left="5520"/>
        <w:spacing w:after="0"/>
        <w:rPr>
          <w:sz w:val="20"/>
          <w:szCs w:val="20"/>
          <w:color w:val="auto"/>
        </w:rPr>
      </w:pPr>
      <w:r>
        <w:rPr>
          <w:rFonts w:ascii="Arial" w:cs="Arial" w:eastAsia="Arial" w:hAnsi="Arial"/>
          <w:sz w:val="16"/>
          <w:szCs w:val="16"/>
          <w:color w:val="auto"/>
        </w:rPr>
        <w:t>business combination upon standards generally accepted by the financial</w:t>
      </w:r>
    </w:p>
    <w:p>
      <w:pPr>
        <w:spacing w:after="0" w:line="32" w:lineRule="exact"/>
        <w:rPr>
          <w:sz w:val="20"/>
          <w:szCs w:val="20"/>
          <w:color w:val="auto"/>
        </w:rPr>
      </w:pPr>
    </w:p>
    <w:p>
      <w:pPr>
        <w:ind w:left="5520"/>
        <w:spacing w:after="0"/>
        <w:rPr>
          <w:sz w:val="20"/>
          <w:szCs w:val="20"/>
          <w:color w:val="auto"/>
        </w:rPr>
      </w:pPr>
      <w:r>
        <w:rPr>
          <w:rFonts w:ascii="Arial" w:cs="Arial" w:eastAsia="Arial" w:hAnsi="Arial"/>
          <w:sz w:val="16"/>
          <w:szCs w:val="16"/>
          <w:color w:val="auto"/>
        </w:rPr>
        <w:t>community. If our board of directors is not able to independently determine</w:t>
      </w:r>
    </w:p>
    <w:p>
      <w:pPr>
        <w:spacing w:after="0" w:line="32" w:lineRule="exact"/>
        <w:rPr>
          <w:sz w:val="20"/>
          <w:szCs w:val="20"/>
          <w:color w:val="auto"/>
        </w:rPr>
      </w:pPr>
    </w:p>
    <w:p>
      <w:pPr>
        <w:ind w:left="5520"/>
        <w:spacing w:after="0"/>
        <w:rPr>
          <w:sz w:val="20"/>
          <w:szCs w:val="20"/>
          <w:color w:val="auto"/>
        </w:rPr>
      </w:pPr>
      <w:r>
        <w:rPr>
          <w:rFonts w:ascii="Arial" w:cs="Arial" w:eastAsia="Arial" w:hAnsi="Arial"/>
          <w:sz w:val="16"/>
          <w:szCs w:val="16"/>
          <w:color w:val="auto"/>
        </w:rPr>
        <w:t>the fair market value of our initial business combination (including with the</w:t>
      </w:r>
    </w:p>
    <w:p>
      <w:pPr>
        <w:spacing w:after="0" w:line="32"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assistance of financial advisors), we will obtain an opinion from an</w:t>
      </w:r>
    </w:p>
    <w:p>
      <w:pPr>
        <w:spacing w:after="0" w:line="9" w:lineRule="exact"/>
        <w:rPr>
          <w:sz w:val="20"/>
          <w:szCs w:val="20"/>
          <w:color w:val="auto"/>
        </w:rPr>
      </w:pPr>
    </w:p>
    <w:p>
      <w:pPr>
        <w:ind w:left="5520"/>
        <w:spacing w:after="0"/>
        <w:rPr>
          <w:sz w:val="20"/>
          <w:szCs w:val="20"/>
          <w:color w:val="auto"/>
        </w:rPr>
      </w:pPr>
      <w:r>
        <w:rPr>
          <w:rFonts w:ascii="Arial" w:cs="Arial" w:eastAsia="Arial" w:hAnsi="Arial"/>
          <w:sz w:val="16"/>
          <w:szCs w:val="16"/>
          <w:color w:val="auto"/>
        </w:rPr>
        <w:t>independent investment banking firm or a valuation or appraisal firm. While</w:t>
      </w:r>
    </w:p>
    <w:p>
      <w:pPr>
        <w:spacing w:after="0" w:line="32" w:lineRule="exact"/>
        <w:rPr>
          <w:sz w:val="20"/>
          <w:szCs w:val="20"/>
          <w:color w:val="auto"/>
        </w:rPr>
      </w:pPr>
    </w:p>
    <w:p>
      <w:pPr>
        <w:ind w:left="5520"/>
        <w:spacing w:after="0"/>
        <w:rPr>
          <w:sz w:val="20"/>
          <w:szCs w:val="20"/>
          <w:color w:val="auto"/>
        </w:rPr>
      </w:pPr>
      <w:r>
        <w:rPr>
          <w:rFonts w:ascii="Arial" w:cs="Arial" w:eastAsia="Arial" w:hAnsi="Arial"/>
          <w:sz w:val="17"/>
          <w:szCs w:val="17"/>
          <w:color w:val="auto"/>
        </w:rPr>
        <w:t>we consider it likely that our board of directors will be able to make an</w:t>
      </w:r>
    </w:p>
    <w:p>
      <w:pPr>
        <w:spacing w:after="0" w:line="21" w:lineRule="exact"/>
        <w:rPr>
          <w:sz w:val="20"/>
          <w:szCs w:val="20"/>
          <w:color w:val="auto"/>
        </w:rPr>
      </w:pPr>
    </w:p>
    <w:p>
      <w:pPr>
        <w:ind w:left="5520"/>
        <w:spacing w:after="0"/>
        <w:rPr>
          <w:sz w:val="20"/>
          <w:szCs w:val="20"/>
          <w:color w:val="auto"/>
        </w:rPr>
      </w:pPr>
      <w:r>
        <w:rPr>
          <w:rFonts w:ascii="Arial" w:cs="Arial" w:eastAsia="Arial" w:hAnsi="Arial"/>
          <w:sz w:val="17"/>
          <w:szCs w:val="17"/>
          <w:color w:val="auto"/>
        </w:rPr>
        <w:t>independent determination of the fair market value of our initial business</w:t>
      </w:r>
    </w:p>
    <w:p>
      <w:pPr>
        <w:spacing w:after="0" w:line="21" w:lineRule="exact"/>
        <w:rPr>
          <w:sz w:val="20"/>
          <w:szCs w:val="20"/>
          <w:color w:val="auto"/>
        </w:rPr>
      </w:pPr>
    </w:p>
    <w:p>
      <w:pPr>
        <w:ind w:left="5520"/>
        <w:spacing w:after="0"/>
        <w:rPr>
          <w:sz w:val="20"/>
          <w:szCs w:val="20"/>
          <w:color w:val="auto"/>
        </w:rPr>
      </w:pPr>
      <w:r>
        <w:rPr>
          <w:rFonts w:ascii="Arial" w:cs="Arial" w:eastAsia="Arial" w:hAnsi="Arial"/>
          <w:sz w:val="17"/>
          <w:szCs w:val="17"/>
          <w:color w:val="auto"/>
        </w:rPr>
        <w:t>combination, it may be unable to do so if it is less familiar or experienced</w:t>
      </w:r>
    </w:p>
    <w:p>
      <w:pPr>
        <w:spacing w:after="0" w:line="21" w:lineRule="exact"/>
        <w:rPr>
          <w:sz w:val="20"/>
          <w:szCs w:val="20"/>
          <w:color w:val="auto"/>
        </w:rPr>
      </w:pPr>
    </w:p>
    <w:p>
      <w:pPr>
        <w:ind w:left="5520"/>
        <w:spacing w:after="0"/>
        <w:rPr>
          <w:sz w:val="20"/>
          <w:szCs w:val="20"/>
          <w:color w:val="auto"/>
        </w:rPr>
      </w:pPr>
      <w:r>
        <w:rPr>
          <w:rFonts w:ascii="Arial" w:cs="Arial" w:eastAsia="Arial" w:hAnsi="Arial"/>
          <w:sz w:val="16"/>
          <w:szCs w:val="16"/>
          <w:color w:val="auto"/>
        </w:rPr>
        <w:t>with the business of a particular target or if there is a significant amount of</w:t>
      </w:r>
    </w:p>
    <w:p>
      <w:pPr>
        <w:spacing w:after="0" w:line="32" w:lineRule="exact"/>
        <w:rPr>
          <w:sz w:val="20"/>
          <w:szCs w:val="20"/>
          <w:color w:val="auto"/>
        </w:rPr>
      </w:pPr>
    </w:p>
    <w:p>
      <w:pPr>
        <w:ind w:left="5520"/>
        <w:spacing w:after="0"/>
        <w:rPr>
          <w:sz w:val="20"/>
          <w:szCs w:val="20"/>
          <w:color w:val="auto"/>
        </w:rPr>
      </w:pPr>
      <w:r>
        <w:rPr>
          <w:rFonts w:ascii="Arial" w:cs="Arial" w:eastAsia="Arial" w:hAnsi="Arial"/>
          <w:sz w:val="16"/>
          <w:szCs w:val="16"/>
          <w:color w:val="auto"/>
        </w:rPr>
        <w:t>uncertainty as to the value of the target’s assets or prospects. In addition, we</w:t>
      </w:r>
    </w:p>
    <w:p>
      <w:pPr>
        <w:spacing w:after="0" w:line="32" w:lineRule="exact"/>
        <w:rPr>
          <w:sz w:val="20"/>
          <w:szCs w:val="20"/>
          <w:color w:val="auto"/>
        </w:rPr>
      </w:pPr>
    </w:p>
    <w:p>
      <w:pPr>
        <w:ind w:left="5520"/>
        <w:spacing w:after="0"/>
        <w:rPr>
          <w:sz w:val="20"/>
          <w:szCs w:val="20"/>
          <w:color w:val="auto"/>
        </w:rPr>
      </w:pPr>
      <w:r>
        <w:rPr>
          <w:rFonts w:ascii="Arial" w:cs="Arial" w:eastAsia="Arial" w:hAnsi="Arial"/>
          <w:sz w:val="17"/>
          <w:szCs w:val="17"/>
          <w:color w:val="auto"/>
        </w:rPr>
        <w:t>have agreed not to enter into a definitive agreement regarding an initial</w:t>
      </w:r>
    </w:p>
    <w:p>
      <w:pPr>
        <w:spacing w:after="0" w:line="21"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business combination without the prior written consent of the PIMCO</w:t>
      </w:r>
    </w:p>
    <w:p>
      <w:pPr>
        <w:spacing w:after="0" w:line="9" w:lineRule="exact"/>
        <w:rPr>
          <w:sz w:val="20"/>
          <w:szCs w:val="20"/>
          <w:color w:val="auto"/>
        </w:rPr>
      </w:pPr>
    </w:p>
    <w:p>
      <w:pPr>
        <w:ind w:left="5520"/>
        <w:spacing w:after="0"/>
        <w:rPr>
          <w:sz w:val="20"/>
          <w:szCs w:val="20"/>
          <w:color w:val="auto"/>
        </w:rPr>
      </w:pPr>
      <w:r>
        <w:rPr>
          <w:rFonts w:ascii="Arial" w:cs="Arial" w:eastAsia="Arial" w:hAnsi="Arial"/>
          <w:sz w:val="17"/>
          <w:szCs w:val="17"/>
          <w:color w:val="auto"/>
        </w:rPr>
        <w:t>private fund. We will complete our initial business combination only if the</w:t>
      </w:r>
    </w:p>
    <w:p>
      <w:pPr>
        <w:spacing w:after="0" w:line="200" w:lineRule="exact"/>
        <w:rPr>
          <w:sz w:val="20"/>
          <w:szCs w:val="20"/>
          <w:color w:val="auto"/>
        </w:rPr>
      </w:pPr>
    </w:p>
    <w:p>
      <w:pPr>
        <w:spacing w:after="0" w:line="292"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38100</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40"/>
          </w:cols>
          <w:pgMar w:left="420" w:top="976" w:right="439" w:bottom="1440" w:gutter="0" w:footer="0" w:header="0"/>
          <w:type w:val="continuous"/>
        </w:sectPr>
      </w:pPr>
    </w:p>
    <w:bookmarkStart w:id="27" w:name="page28"/>
    <w:bookmarkEnd w:id="2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Permitted purchases of public shares and public warrants by our affiliates</w:t>
      </w:r>
    </w:p>
    <w:p>
      <w:pPr>
        <w:spacing w:after="0" w:line="20" w:lineRule="exact"/>
        <w:rPr>
          <w:sz w:val="20"/>
          <w:szCs w:val="20"/>
          <w:color w:val="auto"/>
        </w:rPr>
      </w:pPr>
      <w:r>
        <w:rPr>
          <w:sz w:val="20"/>
          <w:szCs w:val="20"/>
          <w:color w:val="auto"/>
        </w:rPr>
        <w:br w:type="column"/>
      </w:r>
    </w:p>
    <w:p>
      <w:pPr>
        <w:spacing w:after="0" w:line="284" w:lineRule="auto"/>
        <w:rPr>
          <w:sz w:val="20"/>
          <w:szCs w:val="20"/>
          <w:color w:val="auto"/>
        </w:rPr>
      </w:pPr>
      <w:r>
        <w:rPr>
          <w:rFonts w:ascii="Arial" w:cs="Arial" w:eastAsia="Arial" w:hAnsi="Arial"/>
          <w:sz w:val="16"/>
          <w:szCs w:val="16"/>
          <w:color w:val="auto"/>
        </w:rPr>
        <w:t>post-business combination company in which our public shareholders own shares will own or acquire 50% or more of the outstanding voting securities of the target or is otherwise not required to register as an investment company under the Investment Company Act. Even if the post-transaction company owns or acquires 50% or more of the voting securities of the target, our shareholders prior to our initial business combination may collectively own a minority interest in the post-business combination company, depending on valuations ascribed to the target and us in the business combination. For example, we could pursue a transaction in which we issue a substantial number of new shares in exchange for all of the outstanding capital stock, shares or other equity interests of a target or issue a substantial number of new shares to third parties in connection with financing our initial business combination. In this case, we would acquire a 100% controlling interest in the target. However, as a result of the issuance of a substantial number of new shares, our shareholders immediately prior to our initial business combination could own less than a majority of our issued and outstanding shares subsequent to our initial business combination. If less than 100% of the outstanding equity interests or assets of a target business or businesses are owned or acquired by the post-transaction company, the portion of such business or businesses that is owned or acquired is what will be taken into account for purposes of the 80% of net assets test described above, provided that in the event that the business combination involves more than one target business, the 80% of net assets test will be based on the aggregate value of all of the target businesses and we will treat the transactions together as our initial business combination for purposes of seeking shareholder approval or conducting a tender offer, as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-3564890</wp:posOffset>
            </wp:positionH>
            <wp:positionV relativeFrom="paragraph">
              <wp:posOffset>-3835400</wp:posOffset>
            </wp:positionV>
            <wp:extent cx="7136130" cy="56705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6130" cy="5670550"/>
                    </a:xfrm>
                    <a:prstGeom prst="rect">
                      <a:avLst/>
                    </a:prstGeom>
                    <a:noFill/>
                  </pic:spPr>
                </pic:pic>
              </a:graphicData>
            </a:graphic>
          </wp:anchor>
        </w:drawing>
      </w:r>
    </w:p>
    <w:p>
      <w:pPr>
        <w:spacing w:after="0" w:line="313"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If we seek shareholder approval of our initial business combination and we do not conduct redemptions in connection with our initial business combination pursuant to the tender offer rules, our initial shareholders, directors, officers, advisors or their affiliates may purchase public shares or warrants in privately negotiated transactions or in the open market either prior to or following the completion of our initial business combination. There is no limit on the number of shares our initial shareholders, directors, officers, advisors or their affiliates may purchase in such transactions, subject to compliance with applicable law and NYSE rules. However, they have no current commitments, plans or intentions to engage</w:t>
      </w:r>
    </w:p>
    <w:p>
      <w:pPr>
        <w:spacing w:after="0" w:line="200" w:lineRule="exact"/>
        <w:rPr>
          <w:sz w:val="20"/>
          <w:szCs w:val="20"/>
          <w:color w:val="auto"/>
        </w:rPr>
      </w:pPr>
    </w:p>
    <w:p>
      <w:pPr>
        <w:sectPr>
          <w:pgSz w:w="11900" w:h="16838" w:orient="portrait"/>
          <w:cols w:equalWidth="0" w:num="2">
            <w:col w:w="4800" w:space="720"/>
            <w:col w:w="5460"/>
          </w:cols>
          <w:pgMar w:left="420" w:top="976" w:right="499" w:bottom="1440" w:gutter="0" w:footer="0" w:header="0"/>
        </w:sectPr>
      </w:pPr>
    </w:p>
    <w:p>
      <w:pPr>
        <w:spacing w:after="0" w:line="23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38100</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80"/>
          </w:cols>
          <w:pgMar w:left="420" w:top="976" w:right="499" w:bottom="1440" w:gutter="0" w:footer="0" w:header="0"/>
          <w:type w:val="continuous"/>
        </w:sectPr>
      </w:pPr>
    </w:p>
    <w:bookmarkStart w:id="28" w:name="page29"/>
    <w:bookmarkEnd w:id="28"/>
    <w:p>
      <w:pPr>
        <w:ind w:left="450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206375</wp:posOffset>
            </wp:positionH>
            <wp:positionV relativeFrom="page">
              <wp:posOffset>378460</wp:posOffset>
            </wp:positionV>
            <wp:extent cx="7136130" cy="56705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6130" cy="5670550"/>
                    </a:xfrm>
                    <a:prstGeom prst="rect">
                      <a:avLst/>
                    </a:prstGeom>
                    <a:noFill/>
                  </pic:spPr>
                </pic:pic>
              </a:graphicData>
            </a:graphic>
          </wp:anchor>
        </w:drawing>
        <w:t>in such transactions and have not formulated any terms or conditions for any such transactions. None of the funds held in the trust account will be used to purchase public shares or warrants in such transactions. If they engage in such transactions, they will be restricted from making any such purchases when they are in possession of any material nonpublic information or if such purchases are prohibited by Regulation M under the Exchange Act. We do not currently anticipate that such purchases, if any, would constitute a tender offer subject to the tender offer rules under the Exchange Act or a going-private transaction subject to the going-private rules under the Exchange Act; however, if the purchasers determine at the time of any such purchases that the purchases are subject to such rules, the purchasers will comply with such rules. Any such purchases may be required to be reported pursuant to Section 13 and Section 16 of the Exchange Act. See “Proposed Business—Effecting Our Initial Business Combination—Permitted Purchases of Our Securities” for a description of how our initial shareholders, directors, officers, advisors or any of their affiliates will select which shareholders to purchase securities from in any private transaction. Our initial shareholders, directors, officers, advisors or any of their affiliates will be restricted from making any purchases if the purchases would violate Section 9(a)(2) or Rule 10b-5 of the Exchange Act.</w:t>
      </w:r>
    </w:p>
    <w:p>
      <w:pPr>
        <w:spacing w:after="0" w:line="128" w:lineRule="exact"/>
        <w:rPr>
          <w:sz w:val="20"/>
          <w:szCs w:val="20"/>
          <w:color w:val="auto"/>
        </w:rPr>
      </w:pPr>
    </w:p>
    <w:p>
      <w:pPr>
        <w:ind w:left="4500" w:right="20"/>
        <w:spacing w:after="0" w:line="267" w:lineRule="auto"/>
        <w:rPr>
          <w:sz w:val="20"/>
          <w:szCs w:val="20"/>
          <w:color w:val="auto"/>
        </w:rPr>
      </w:pPr>
      <w:r>
        <w:rPr>
          <w:rFonts w:ascii="Arial" w:cs="Arial" w:eastAsia="Arial" w:hAnsi="Arial"/>
          <w:sz w:val="17"/>
          <w:szCs w:val="17"/>
          <w:color w:val="auto"/>
        </w:rPr>
        <w:t>The purpose of any such purchases of shares could be to vote such shares in favor of the initial business combination and thereby increase the likelihood of obtaining shareholder approval of the initial business combination or to satisfy a closing condition in an agreement with a target that requires us to have a minimum net worth or a certain amount of cash at the closing of our initial business combination, where it appears that such requirement would otherwise not be met. The purpose of any such purchases of public warrants could be to reduce the number of public warrants outstanding or to vote such warrants on any matters submitted to the warrant holders for approval in connection with our initial business combination. Any such purchases of our securities may result in the completion of our initial business combination that may not otherwise have been possible. In addition, if such purchases are made, the public “float” of our Class A ordinary shares or public warrants may be reduced and the number of beneficial holders of our securities may be reduced, which may make it difficult to maintain or obtain the quotation, listing or trading of our securities on a national securities exchange.</w:t>
      </w:r>
    </w:p>
    <w:p>
      <w:pPr>
        <w:spacing w:after="0" w:line="200" w:lineRule="exact"/>
        <w:rPr>
          <w:sz w:val="20"/>
          <w:szCs w:val="20"/>
          <w:color w:val="auto"/>
        </w:rPr>
      </w:pPr>
    </w:p>
    <w:p>
      <w:pPr>
        <w:spacing w:after="0" w:line="261"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23495</wp:posOffset>
            </wp:positionV>
            <wp:extent cx="71323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020"/>
          </w:cols>
          <w:pgMar w:left="1440" w:top="976" w:right="439" w:bottom="1440" w:gutter="0" w:footer="0" w:header="0"/>
        </w:sectPr>
      </w:pPr>
    </w:p>
    <w:bookmarkStart w:id="29" w:name="page30"/>
    <w:bookmarkEnd w:id="29"/>
    <w:p>
      <w:pPr>
        <w:ind w:left="260" w:right="20" w:hanging="161"/>
        <w:spacing w:after="0" w:line="277" w:lineRule="auto"/>
        <w:rPr>
          <w:sz w:val="20"/>
          <w:szCs w:val="20"/>
          <w:color w:val="auto"/>
        </w:rPr>
      </w:pPr>
      <w:r>
        <w:rPr>
          <w:rFonts w:ascii="Arial" w:cs="Arial" w:eastAsia="Arial" w:hAnsi="Arial"/>
          <w:sz w:val="18"/>
          <w:szCs w:val="18"/>
          <w:color w:val="auto"/>
        </w:rPr>
        <w:t>Redemption rights for public shareholders upon completion of our initial business combination</w:t>
      </w:r>
    </w:p>
    <w:p>
      <w:pPr>
        <w:spacing w:after="0" w:line="20" w:lineRule="exact"/>
        <w:rPr>
          <w:sz w:val="20"/>
          <w:szCs w:val="20"/>
          <w:color w:val="auto"/>
        </w:rPr>
      </w:pPr>
      <w:r>
        <w:rPr>
          <w:sz w:val="20"/>
          <w:szCs w:val="20"/>
          <w:color w:val="auto"/>
        </w:rPr>
        <w:br w:type="column"/>
      </w:r>
    </w:p>
    <w:p>
      <w:pPr>
        <w:ind w:right="100"/>
        <w:spacing w:after="0" w:line="285" w:lineRule="auto"/>
        <w:rPr>
          <w:sz w:val="20"/>
          <w:szCs w:val="20"/>
          <w:color w:val="auto"/>
        </w:rPr>
      </w:pPr>
      <w:r>
        <w:rPr>
          <w:rFonts w:ascii="Arial" w:cs="Arial" w:eastAsia="Arial" w:hAnsi="Arial"/>
          <w:sz w:val="16"/>
          <w:szCs w:val="16"/>
          <w:color w:val="auto"/>
        </w:rPr>
        <w:t>We will provide our public shareholders with the opportunity to redeem all or a portion of their public shares upon the completion of our initial business combination at a per-share price, payable in cash, equal to the aggregate amount then on deposit in the trust account calculated as of two business days prior to the consummation of our initial business combination, including interest earned on the funds held in the trust account and not previously released to us to pay our taxes, divided by the number of then outstanding public shares, subject to the limitations and on the conditions described herein. The amount in the trust account is initially anticipated to be $10.00 per public share. The per-share amount we will distribute to investors who properly redeem their shares will not be reduced by the deferred underwriting commissions we will pay to the underwriters. There will be no redemption rights upon the completion of our initial business combination with respect to our warrants. Our initial shareholders, sponsor, officers and directors have entered into a letter agreement with us, pursuant to which they have agreed to waive their redemption rights with respect to any founder shares and public shares held by them in connection with the completion of our initial business combination.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-3564890</wp:posOffset>
            </wp:positionH>
            <wp:positionV relativeFrom="paragraph">
              <wp:posOffset>-2738120</wp:posOffset>
            </wp:positionV>
            <wp:extent cx="7136130" cy="659638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6130" cy="6596380"/>
                    </a:xfrm>
                    <a:prstGeom prst="rect">
                      <a:avLst/>
                    </a:prstGeom>
                    <a:noFill/>
                  </pic:spPr>
                </pic:pic>
              </a:graphicData>
            </a:graphic>
          </wp:anchor>
        </w:drawing>
      </w:r>
    </w:p>
    <w:p>
      <w:pPr>
        <w:spacing w:after="0" w:line="117" w:lineRule="exact"/>
        <w:rPr>
          <w:sz w:val="20"/>
          <w:szCs w:val="20"/>
          <w:color w:val="auto"/>
        </w:rPr>
      </w:pPr>
    </w:p>
    <w:p>
      <w:pPr>
        <w:sectPr>
          <w:pgSz w:w="11900" w:h="16838" w:orient="portrait"/>
          <w:cols w:equalWidth="0" w:num="2">
            <w:col w:w="4900" w:space="720"/>
            <w:col w:w="5620"/>
          </w:cols>
          <w:pgMar w:left="320" w:top="976" w:right="339" w:bottom="1440" w:gutter="0" w:footer="0" w:header="0"/>
        </w:sectPr>
      </w:pPr>
    </w:p>
    <w:tbl>
      <w:tblPr>
        <w:tblLayout w:type="fixed"/>
        <w:tblInd w:w="0" w:type="dxa"/>
        <w:tblCellMar>
          <w:top w:w="0" w:type="dxa"/>
          <w:left w:w="0" w:type="dxa"/>
          <w:bottom w:w="0" w:type="dxa"/>
          <w:right w:w="0" w:type="dxa"/>
        </w:tblCellMar>
      </w:tblPr>
      <w:tr>
        <w:trPr>
          <w:trHeight w:val="216"/>
        </w:trPr>
        <w:tc>
          <w:tcPr>
            <w:tcW w:w="4080" w:type="dxa"/>
            <w:vAlign w:val="bottom"/>
          </w:tcPr>
          <w:p>
            <w:pPr>
              <w:ind w:left="100"/>
              <w:spacing w:after="0"/>
              <w:rPr>
                <w:sz w:val="20"/>
                <w:szCs w:val="20"/>
                <w:color w:val="auto"/>
              </w:rPr>
            </w:pPr>
            <w:r>
              <w:rPr>
                <w:rFonts w:ascii="Arial" w:cs="Arial" w:eastAsia="Arial" w:hAnsi="Arial"/>
                <w:sz w:val="18"/>
                <w:szCs w:val="18"/>
                <w:color w:val="auto"/>
              </w:rPr>
              <w:t>Manner of conducting redemptions</w:t>
            </w:r>
          </w:p>
        </w:tc>
        <w:tc>
          <w:tcPr>
            <w:tcW w:w="7160" w:type="dxa"/>
            <w:vAlign w:val="bottom"/>
          </w:tcPr>
          <w:p>
            <w:pPr>
              <w:ind w:left="1540"/>
              <w:spacing w:after="0"/>
              <w:rPr>
                <w:sz w:val="20"/>
                <w:szCs w:val="20"/>
                <w:color w:val="auto"/>
              </w:rPr>
            </w:pPr>
            <w:r>
              <w:rPr>
                <w:rFonts w:ascii="Arial" w:cs="Arial" w:eastAsia="Arial" w:hAnsi="Arial"/>
                <w:sz w:val="18"/>
                <w:szCs w:val="18"/>
                <w:color w:val="auto"/>
                <w:w w:val="96"/>
              </w:rPr>
              <w:t>We will provide our public shareholders with the opportunity to redeem all</w:t>
            </w:r>
          </w:p>
        </w:tc>
      </w:tr>
      <w:tr>
        <w:trPr>
          <w:trHeight w:val="216"/>
        </w:trPr>
        <w:tc>
          <w:tcPr>
            <w:tcW w:w="4080" w:type="dxa"/>
            <w:vAlign w:val="bottom"/>
          </w:tcPr>
          <w:p>
            <w:pPr>
              <w:spacing w:after="0"/>
              <w:rPr>
                <w:sz w:val="18"/>
                <w:szCs w:val="18"/>
                <w:color w:val="auto"/>
              </w:rPr>
            </w:pPr>
          </w:p>
        </w:tc>
        <w:tc>
          <w:tcPr>
            <w:tcW w:w="7160" w:type="dxa"/>
            <w:vAlign w:val="bottom"/>
          </w:tcPr>
          <w:p>
            <w:pPr>
              <w:ind w:left="1540"/>
              <w:spacing w:after="0"/>
              <w:rPr>
                <w:sz w:val="20"/>
                <w:szCs w:val="20"/>
                <w:color w:val="auto"/>
              </w:rPr>
            </w:pPr>
            <w:r>
              <w:rPr>
                <w:rFonts w:ascii="Arial" w:cs="Arial" w:eastAsia="Arial" w:hAnsi="Arial"/>
                <w:sz w:val="18"/>
                <w:szCs w:val="18"/>
                <w:color w:val="auto"/>
                <w:w w:val="92"/>
              </w:rPr>
              <w:t>or a portion of their public shares upon the completion of our initial business</w:t>
            </w:r>
          </w:p>
        </w:tc>
      </w:tr>
      <w:tr>
        <w:trPr>
          <w:trHeight w:val="216"/>
        </w:trPr>
        <w:tc>
          <w:tcPr>
            <w:tcW w:w="4080" w:type="dxa"/>
            <w:vAlign w:val="bottom"/>
          </w:tcPr>
          <w:p>
            <w:pPr>
              <w:spacing w:after="0"/>
              <w:rPr>
                <w:sz w:val="18"/>
                <w:szCs w:val="18"/>
                <w:color w:val="auto"/>
              </w:rPr>
            </w:pPr>
          </w:p>
        </w:tc>
        <w:tc>
          <w:tcPr>
            <w:tcW w:w="7160" w:type="dxa"/>
            <w:vAlign w:val="bottom"/>
          </w:tcPr>
          <w:p>
            <w:pPr>
              <w:ind w:left="1540"/>
              <w:spacing w:after="0"/>
              <w:rPr>
                <w:sz w:val="20"/>
                <w:szCs w:val="20"/>
                <w:color w:val="auto"/>
              </w:rPr>
            </w:pPr>
            <w:r>
              <w:rPr>
                <w:rFonts w:ascii="Arial" w:cs="Arial" w:eastAsia="Arial" w:hAnsi="Arial"/>
                <w:sz w:val="18"/>
                <w:szCs w:val="18"/>
                <w:color w:val="auto"/>
              </w:rPr>
              <w:t>combination either (i) in connection with a general meeting called to</w:t>
            </w:r>
          </w:p>
        </w:tc>
      </w:tr>
      <w:tr>
        <w:trPr>
          <w:trHeight w:val="216"/>
        </w:trPr>
        <w:tc>
          <w:tcPr>
            <w:tcW w:w="4080" w:type="dxa"/>
            <w:vAlign w:val="bottom"/>
          </w:tcPr>
          <w:p>
            <w:pPr>
              <w:spacing w:after="0"/>
              <w:rPr>
                <w:sz w:val="18"/>
                <w:szCs w:val="18"/>
                <w:color w:val="auto"/>
              </w:rPr>
            </w:pPr>
          </w:p>
        </w:tc>
        <w:tc>
          <w:tcPr>
            <w:tcW w:w="7160" w:type="dxa"/>
            <w:vAlign w:val="bottom"/>
          </w:tcPr>
          <w:p>
            <w:pPr>
              <w:ind w:left="1540"/>
              <w:spacing w:after="0"/>
              <w:rPr>
                <w:sz w:val="20"/>
                <w:szCs w:val="20"/>
                <w:color w:val="auto"/>
              </w:rPr>
            </w:pPr>
            <w:r>
              <w:rPr>
                <w:rFonts w:ascii="Arial" w:cs="Arial" w:eastAsia="Arial" w:hAnsi="Arial"/>
                <w:sz w:val="18"/>
                <w:szCs w:val="18"/>
                <w:color w:val="auto"/>
                <w:w w:val="96"/>
              </w:rPr>
              <w:t>approve the initial business combination or (ii) without a shareholder vote</w:t>
            </w:r>
          </w:p>
        </w:tc>
      </w:tr>
      <w:tr>
        <w:trPr>
          <w:trHeight w:val="216"/>
        </w:trPr>
        <w:tc>
          <w:tcPr>
            <w:tcW w:w="4080" w:type="dxa"/>
            <w:vAlign w:val="bottom"/>
          </w:tcPr>
          <w:p>
            <w:pPr>
              <w:spacing w:after="0"/>
              <w:rPr>
                <w:sz w:val="18"/>
                <w:szCs w:val="18"/>
                <w:color w:val="auto"/>
              </w:rPr>
            </w:pPr>
          </w:p>
        </w:tc>
        <w:tc>
          <w:tcPr>
            <w:tcW w:w="7160" w:type="dxa"/>
            <w:vAlign w:val="bottom"/>
          </w:tcPr>
          <w:p>
            <w:pPr>
              <w:ind w:left="1540"/>
              <w:spacing w:after="0"/>
              <w:rPr>
                <w:sz w:val="20"/>
                <w:szCs w:val="20"/>
                <w:color w:val="auto"/>
              </w:rPr>
            </w:pPr>
            <w:r>
              <w:rPr>
                <w:rFonts w:ascii="Arial" w:cs="Arial" w:eastAsia="Arial" w:hAnsi="Arial"/>
                <w:sz w:val="18"/>
                <w:szCs w:val="18"/>
                <w:color w:val="auto"/>
              </w:rPr>
              <w:t>by means of a tender offer. The decision as to whether we will seek</w:t>
            </w:r>
          </w:p>
        </w:tc>
      </w:tr>
      <w:tr>
        <w:trPr>
          <w:trHeight w:val="216"/>
        </w:trPr>
        <w:tc>
          <w:tcPr>
            <w:tcW w:w="4080" w:type="dxa"/>
            <w:vAlign w:val="bottom"/>
          </w:tcPr>
          <w:p>
            <w:pPr>
              <w:spacing w:after="0"/>
              <w:rPr>
                <w:sz w:val="18"/>
                <w:szCs w:val="18"/>
                <w:color w:val="auto"/>
              </w:rPr>
            </w:pPr>
          </w:p>
        </w:tc>
        <w:tc>
          <w:tcPr>
            <w:tcW w:w="7160" w:type="dxa"/>
            <w:vAlign w:val="bottom"/>
          </w:tcPr>
          <w:p>
            <w:pPr>
              <w:ind w:left="1540"/>
              <w:spacing w:after="0"/>
              <w:rPr>
                <w:sz w:val="20"/>
                <w:szCs w:val="20"/>
                <w:color w:val="auto"/>
              </w:rPr>
            </w:pPr>
            <w:r>
              <w:rPr>
                <w:rFonts w:ascii="Arial" w:cs="Arial" w:eastAsia="Arial" w:hAnsi="Arial"/>
                <w:sz w:val="18"/>
                <w:szCs w:val="18"/>
                <w:color w:val="auto"/>
                <w:w w:val="93"/>
              </w:rPr>
              <w:t>shareholder approval of a proposed initial business combination or conduct</w:t>
            </w:r>
          </w:p>
        </w:tc>
      </w:tr>
      <w:tr>
        <w:trPr>
          <w:trHeight w:val="216"/>
        </w:trPr>
        <w:tc>
          <w:tcPr>
            <w:tcW w:w="4080" w:type="dxa"/>
            <w:vAlign w:val="bottom"/>
          </w:tcPr>
          <w:p>
            <w:pPr>
              <w:spacing w:after="0"/>
              <w:rPr>
                <w:sz w:val="18"/>
                <w:szCs w:val="18"/>
                <w:color w:val="auto"/>
              </w:rPr>
            </w:pPr>
          </w:p>
        </w:tc>
        <w:tc>
          <w:tcPr>
            <w:tcW w:w="7160" w:type="dxa"/>
            <w:vAlign w:val="bottom"/>
          </w:tcPr>
          <w:p>
            <w:pPr>
              <w:ind w:left="1540"/>
              <w:spacing w:after="0"/>
              <w:rPr>
                <w:sz w:val="20"/>
                <w:szCs w:val="20"/>
                <w:color w:val="auto"/>
              </w:rPr>
            </w:pPr>
            <w:r>
              <w:rPr>
                <w:rFonts w:ascii="Arial" w:cs="Arial" w:eastAsia="Arial" w:hAnsi="Arial"/>
                <w:sz w:val="18"/>
                <w:szCs w:val="18"/>
                <w:color w:val="auto"/>
                <w:w w:val="93"/>
              </w:rPr>
              <w:t>a tender offer will be made by us, solely in our discretion, and will be based</w:t>
            </w:r>
          </w:p>
        </w:tc>
      </w:tr>
      <w:tr>
        <w:trPr>
          <w:trHeight w:val="216"/>
        </w:trPr>
        <w:tc>
          <w:tcPr>
            <w:tcW w:w="4080" w:type="dxa"/>
            <w:vAlign w:val="bottom"/>
          </w:tcPr>
          <w:p>
            <w:pPr>
              <w:spacing w:after="0"/>
              <w:rPr>
                <w:sz w:val="18"/>
                <w:szCs w:val="18"/>
                <w:color w:val="auto"/>
              </w:rPr>
            </w:pPr>
          </w:p>
        </w:tc>
        <w:tc>
          <w:tcPr>
            <w:tcW w:w="7160" w:type="dxa"/>
            <w:vAlign w:val="bottom"/>
          </w:tcPr>
          <w:p>
            <w:pPr>
              <w:ind w:left="1540"/>
              <w:spacing w:after="0"/>
              <w:rPr>
                <w:sz w:val="20"/>
                <w:szCs w:val="20"/>
                <w:color w:val="auto"/>
              </w:rPr>
            </w:pPr>
            <w:r>
              <w:rPr>
                <w:rFonts w:ascii="Arial" w:cs="Arial" w:eastAsia="Arial" w:hAnsi="Arial"/>
                <w:sz w:val="18"/>
                <w:szCs w:val="18"/>
                <w:color w:val="auto"/>
                <w:w w:val="93"/>
              </w:rPr>
              <w:t>on a variety of factors such as the timing of the transaction and whether the</w:t>
            </w:r>
          </w:p>
        </w:tc>
      </w:tr>
      <w:tr>
        <w:trPr>
          <w:trHeight w:val="216"/>
        </w:trPr>
        <w:tc>
          <w:tcPr>
            <w:tcW w:w="4080" w:type="dxa"/>
            <w:vAlign w:val="bottom"/>
          </w:tcPr>
          <w:p>
            <w:pPr>
              <w:spacing w:after="0"/>
              <w:rPr>
                <w:sz w:val="18"/>
                <w:szCs w:val="18"/>
                <w:color w:val="auto"/>
              </w:rPr>
            </w:pPr>
          </w:p>
        </w:tc>
        <w:tc>
          <w:tcPr>
            <w:tcW w:w="7160" w:type="dxa"/>
            <w:vAlign w:val="bottom"/>
          </w:tcPr>
          <w:p>
            <w:pPr>
              <w:ind w:left="1540"/>
              <w:spacing w:after="0"/>
              <w:rPr>
                <w:sz w:val="20"/>
                <w:szCs w:val="20"/>
                <w:color w:val="auto"/>
              </w:rPr>
            </w:pPr>
            <w:r>
              <w:rPr>
                <w:rFonts w:ascii="Arial" w:cs="Arial" w:eastAsia="Arial" w:hAnsi="Arial"/>
                <w:sz w:val="18"/>
                <w:szCs w:val="18"/>
                <w:color w:val="auto"/>
                <w:w w:val="91"/>
              </w:rPr>
              <w:t>terms of the transaction would require us to seek shareholder approval under</w:t>
            </w:r>
          </w:p>
        </w:tc>
      </w:tr>
      <w:tr>
        <w:trPr>
          <w:trHeight w:val="216"/>
        </w:trPr>
        <w:tc>
          <w:tcPr>
            <w:tcW w:w="4080" w:type="dxa"/>
            <w:vAlign w:val="bottom"/>
          </w:tcPr>
          <w:p>
            <w:pPr>
              <w:spacing w:after="0"/>
              <w:rPr>
                <w:sz w:val="18"/>
                <w:szCs w:val="18"/>
                <w:color w:val="auto"/>
              </w:rPr>
            </w:pPr>
          </w:p>
        </w:tc>
        <w:tc>
          <w:tcPr>
            <w:tcW w:w="7160" w:type="dxa"/>
            <w:vAlign w:val="bottom"/>
          </w:tcPr>
          <w:p>
            <w:pPr>
              <w:ind w:left="1540"/>
              <w:spacing w:after="0"/>
              <w:rPr>
                <w:sz w:val="20"/>
                <w:szCs w:val="20"/>
                <w:color w:val="auto"/>
              </w:rPr>
            </w:pPr>
            <w:r>
              <w:rPr>
                <w:rFonts w:ascii="Arial" w:cs="Arial" w:eastAsia="Arial" w:hAnsi="Arial"/>
                <w:sz w:val="18"/>
                <w:szCs w:val="18"/>
                <w:color w:val="auto"/>
                <w:w w:val="96"/>
              </w:rPr>
              <w:t>applicable law or stock exchange listing requirements. Asset acquisitions</w:t>
            </w:r>
          </w:p>
        </w:tc>
      </w:tr>
      <w:tr>
        <w:trPr>
          <w:trHeight w:val="216"/>
        </w:trPr>
        <w:tc>
          <w:tcPr>
            <w:tcW w:w="4080" w:type="dxa"/>
            <w:vAlign w:val="bottom"/>
          </w:tcPr>
          <w:p>
            <w:pPr>
              <w:spacing w:after="0"/>
              <w:rPr>
                <w:sz w:val="18"/>
                <w:szCs w:val="18"/>
                <w:color w:val="auto"/>
              </w:rPr>
            </w:pPr>
          </w:p>
        </w:tc>
        <w:tc>
          <w:tcPr>
            <w:tcW w:w="7160" w:type="dxa"/>
            <w:vAlign w:val="bottom"/>
          </w:tcPr>
          <w:p>
            <w:pPr>
              <w:ind w:left="1540"/>
              <w:spacing w:after="0"/>
              <w:rPr>
                <w:sz w:val="20"/>
                <w:szCs w:val="20"/>
                <w:color w:val="auto"/>
              </w:rPr>
            </w:pPr>
            <w:r>
              <w:rPr>
                <w:rFonts w:ascii="Arial" w:cs="Arial" w:eastAsia="Arial" w:hAnsi="Arial"/>
                <w:sz w:val="18"/>
                <w:szCs w:val="18"/>
                <w:color w:val="auto"/>
                <w:w w:val="93"/>
              </w:rPr>
              <w:t>and share purchases would not typically require shareholder approval while</w:t>
            </w:r>
          </w:p>
        </w:tc>
      </w:tr>
      <w:tr>
        <w:trPr>
          <w:trHeight w:val="216"/>
        </w:trPr>
        <w:tc>
          <w:tcPr>
            <w:tcW w:w="4080" w:type="dxa"/>
            <w:vAlign w:val="bottom"/>
          </w:tcPr>
          <w:p>
            <w:pPr>
              <w:spacing w:after="0"/>
              <w:rPr>
                <w:sz w:val="18"/>
                <w:szCs w:val="18"/>
                <w:color w:val="auto"/>
              </w:rPr>
            </w:pPr>
          </w:p>
        </w:tc>
        <w:tc>
          <w:tcPr>
            <w:tcW w:w="7160" w:type="dxa"/>
            <w:vAlign w:val="bottom"/>
          </w:tcPr>
          <w:p>
            <w:pPr>
              <w:ind w:left="1540"/>
              <w:spacing w:after="0"/>
              <w:rPr>
                <w:sz w:val="20"/>
                <w:szCs w:val="20"/>
                <w:color w:val="auto"/>
              </w:rPr>
            </w:pPr>
            <w:r>
              <w:rPr>
                <w:rFonts w:ascii="Arial" w:cs="Arial" w:eastAsia="Arial" w:hAnsi="Arial"/>
                <w:sz w:val="18"/>
                <w:szCs w:val="18"/>
                <w:color w:val="auto"/>
                <w:w w:val="92"/>
              </w:rPr>
              <w:t>direct mergers with our company and any transactions where we issue more</w:t>
            </w:r>
          </w:p>
        </w:tc>
      </w:tr>
      <w:tr>
        <w:trPr>
          <w:trHeight w:val="216"/>
        </w:trPr>
        <w:tc>
          <w:tcPr>
            <w:tcW w:w="4080" w:type="dxa"/>
            <w:vAlign w:val="bottom"/>
          </w:tcPr>
          <w:p>
            <w:pPr>
              <w:spacing w:after="0"/>
              <w:rPr>
                <w:sz w:val="18"/>
                <w:szCs w:val="18"/>
                <w:color w:val="auto"/>
              </w:rPr>
            </w:pPr>
          </w:p>
        </w:tc>
        <w:tc>
          <w:tcPr>
            <w:tcW w:w="7160" w:type="dxa"/>
            <w:vAlign w:val="bottom"/>
          </w:tcPr>
          <w:p>
            <w:pPr>
              <w:ind w:left="1540"/>
              <w:spacing w:after="0"/>
              <w:rPr>
                <w:sz w:val="20"/>
                <w:szCs w:val="20"/>
                <w:color w:val="auto"/>
              </w:rPr>
            </w:pPr>
            <w:r>
              <w:rPr>
                <w:rFonts w:ascii="Arial" w:cs="Arial" w:eastAsia="Arial" w:hAnsi="Arial"/>
                <w:sz w:val="18"/>
                <w:szCs w:val="18"/>
                <w:color w:val="auto"/>
                <w:w w:val="93"/>
              </w:rPr>
              <w:t>than 20% of our issued and outstanding Class A ordinary shares or seek to</w:t>
            </w:r>
          </w:p>
        </w:tc>
      </w:tr>
      <w:tr>
        <w:trPr>
          <w:trHeight w:val="216"/>
        </w:trPr>
        <w:tc>
          <w:tcPr>
            <w:tcW w:w="4080" w:type="dxa"/>
            <w:vAlign w:val="bottom"/>
          </w:tcPr>
          <w:p>
            <w:pPr>
              <w:spacing w:after="0"/>
              <w:rPr>
                <w:sz w:val="18"/>
                <w:szCs w:val="18"/>
                <w:color w:val="auto"/>
              </w:rPr>
            </w:pPr>
          </w:p>
        </w:tc>
        <w:tc>
          <w:tcPr>
            <w:tcW w:w="7160" w:type="dxa"/>
            <w:vAlign w:val="bottom"/>
          </w:tcPr>
          <w:p>
            <w:pPr>
              <w:ind w:left="1540"/>
              <w:spacing w:after="0"/>
              <w:rPr>
                <w:sz w:val="20"/>
                <w:szCs w:val="20"/>
                <w:color w:val="auto"/>
              </w:rPr>
            </w:pPr>
            <w:r>
              <w:rPr>
                <w:rFonts w:ascii="Arial" w:cs="Arial" w:eastAsia="Arial" w:hAnsi="Arial"/>
                <w:sz w:val="18"/>
                <w:szCs w:val="18"/>
                <w:color w:val="auto"/>
                <w:w w:val="93"/>
              </w:rPr>
              <w:t>amend our amended and restated memorandum and articles of association</w:t>
            </w:r>
          </w:p>
        </w:tc>
      </w:tr>
      <w:tr>
        <w:trPr>
          <w:trHeight w:val="216"/>
        </w:trPr>
        <w:tc>
          <w:tcPr>
            <w:tcW w:w="4080" w:type="dxa"/>
            <w:vAlign w:val="bottom"/>
          </w:tcPr>
          <w:p>
            <w:pPr>
              <w:spacing w:after="0"/>
              <w:rPr>
                <w:sz w:val="18"/>
                <w:szCs w:val="18"/>
                <w:color w:val="auto"/>
              </w:rPr>
            </w:pPr>
          </w:p>
        </w:tc>
        <w:tc>
          <w:tcPr>
            <w:tcW w:w="7160" w:type="dxa"/>
            <w:vAlign w:val="bottom"/>
          </w:tcPr>
          <w:p>
            <w:pPr>
              <w:ind w:left="1540"/>
              <w:spacing w:after="0"/>
              <w:rPr>
                <w:sz w:val="20"/>
                <w:szCs w:val="20"/>
                <w:color w:val="auto"/>
              </w:rPr>
            </w:pPr>
            <w:r>
              <w:rPr>
                <w:rFonts w:ascii="Arial" w:cs="Arial" w:eastAsia="Arial" w:hAnsi="Arial"/>
                <w:sz w:val="18"/>
                <w:szCs w:val="18"/>
                <w:color w:val="auto"/>
                <w:w w:val="99"/>
              </w:rPr>
              <w:t>would typically require shareholder approval. So long as we obtain and</w:t>
            </w:r>
          </w:p>
        </w:tc>
      </w:tr>
      <w:tr>
        <w:trPr>
          <w:trHeight w:val="216"/>
        </w:trPr>
        <w:tc>
          <w:tcPr>
            <w:tcW w:w="4080" w:type="dxa"/>
            <w:vAlign w:val="bottom"/>
          </w:tcPr>
          <w:p>
            <w:pPr>
              <w:spacing w:after="0"/>
              <w:rPr>
                <w:sz w:val="18"/>
                <w:szCs w:val="18"/>
                <w:color w:val="auto"/>
              </w:rPr>
            </w:pPr>
          </w:p>
        </w:tc>
        <w:tc>
          <w:tcPr>
            <w:tcW w:w="7160" w:type="dxa"/>
            <w:vAlign w:val="bottom"/>
          </w:tcPr>
          <w:p>
            <w:pPr>
              <w:ind w:left="1540"/>
              <w:spacing w:after="0"/>
              <w:rPr>
                <w:sz w:val="20"/>
                <w:szCs w:val="20"/>
                <w:color w:val="auto"/>
              </w:rPr>
            </w:pPr>
            <w:r>
              <w:rPr>
                <w:rFonts w:ascii="Arial" w:cs="Arial" w:eastAsia="Arial" w:hAnsi="Arial"/>
                <w:sz w:val="18"/>
                <w:szCs w:val="18"/>
                <w:color w:val="auto"/>
                <w:w w:val="99"/>
              </w:rPr>
              <w:t>maintain a listing for our securities on the NYSE, we will be required to</w:t>
            </w:r>
          </w:p>
        </w:tc>
      </w:tr>
      <w:tr>
        <w:trPr>
          <w:trHeight w:val="230"/>
        </w:trPr>
        <w:tc>
          <w:tcPr>
            <w:tcW w:w="4080" w:type="dxa"/>
            <w:vAlign w:val="bottom"/>
          </w:tcPr>
          <w:p>
            <w:pPr>
              <w:spacing w:after="0"/>
              <w:rPr>
                <w:sz w:val="20"/>
                <w:szCs w:val="20"/>
                <w:color w:val="auto"/>
              </w:rPr>
            </w:pPr>
          </w:p>
        </w:tc>
        <w:tc>
          <w:tcPr>
            <w:tcW w:w="7160" w:type="dxa"/>
            <w:vAlign w:val="bottom"/>
          </w:tcPr>
          <w:p>
            <w:pPr>
              <w:ind w:left="1540"/>
              <w:spacing w:after="0"/>
              <w:rPr>
                <w:sz w:val="20"/>
                <w:szCs w:val="20"/>
                <w:color w:val="auto"/>
              </w:rPr>
            </w:pPr>
            <w:r>
              <w:rPr>
                <w:rFonts w:ascii="Arial" w:cs="Arial" w:eastAsia="Arial" w:hAnsi="Arial"/>
                <w:sz w:val="18"/>
                <w:szCs w:val="18"/>
                <w:color w:val="auto"/>
              </w:rPr>
              <w:t>comply with the NYSE’s shareholder approval rules.</w:t>
            </w:r>
          </w:p>
        </w:tc>
      </w:tr>
      <w:tr>
        <w:trPr>
          <w:trHeight w:val="364"/>
        </w:trPr>
        <w:tc>
          <w:tcPr>
            <w:tcW w:w="4080" w:type="dxa"/>
            <w:vAlign w:val="bottom"/>
          </w:tcPr>
          <w:p>
            <w:pPr>
              <w:spacing w:after="0"/>
              <w:rPr>
                <w:sz w:val="24"/>
                <w:szCs w:val="24"/>
                <w:color w:val="auto"/>
              </w:rPr>
            </w:pPr>
          </w:p>
        </w:tc>
        <w:tc>
          <w:tcPr>
            <w:tcW w:w="7160" w:type="dxa"/>
            <w:vAlign w:val="bottom"/>
          </w:tcPr>
          <w:p>
            <w:pPr>
              <w:ind w:left="1540"/>
              <w:spacing w:after="0"/>
              <w:rPr>
                <w:sz w:val="20"/>
                <w:szCs w:val="20"/>
                <w:color w:val="auto"/>
              </w:rPr>
            </w:pPr>
            <w:r>
              <w:rPr>
                <w:rFonts w:ascii="Arial" w:cs="Arial" w:eastAsia="Arial" w:hAnsi="Arial"/>
                <w:sz w:val="18"/>
                <w:szCs w:val="18"/>
                <w:color w:val="auto"/>
              </w:rPr>
              <w:t>The requirement that we provide our public shareholders with the</w:t>
            </w:r>
          </w:p>
        </w:tc>
      </w:tr>
      <w:tr>
        <w:trPr>
          <w:trHeight w:val="216"/>
        </w:trPr>
        <w:tc>
          <w:tcPr>
            <w:tcW w:w="4080" w:type="dxa"/>
            <w:vAlign w:val="bottom"/>
          </w:tcPr>
          <w:p>
            <w:pPr>
              <w:spacing w:after="0"/>
              <w:rPr>
                <w:sz w:val="18"/>
                <w:szCs w:val="18"/>
                <w:color w:val="auto"/>
              </w:rPr>
            </w:pPr>
          </w:p>
        </w:tc>
        <w:tc>
          <w:tcPr>
            <w:tcW w:w="7160" w:type="dxa"/>
            <w:vAlign w:val="bottom"/>
          </w:tcPr>
          <w:p>
            <w:pPr>
              <w:ind w:left="1540"/>
              <w:spacing w:after="0"/>
              <w:rPr>
                <w:sz w:val="20"/>
                <w:szCs w:val="20"/>
                <w:color w:val="auto"/>
              </w:rPr>
            </w:pPr>
            <w:r>
              <w:rPr>
                <w:rFonts w:ascii="Arial" w:cs="Arial" w:eastAsia="Arial" w:hAnsi="Arial"/>
                <w:sz w:val="18"/>
                <w:szCs w:val="18"/>
                <w:color w:val="auto"/>
                <w:w w:val="95"/>
              </w:rPr>
              <w:t>opportunity to redeem their public shares by one of the two methods listed</w:t>
            </w:r>
          </w:p>
        </w:tc>
      </w:tr>
      <w:tr>
        <w:trPr>
          <w:trHeight w:val="216"/>
        </w:trPr>
        <w:tc>
          <w:tcPr>
            <w:tcW w:w="4080" w:type="dxa"/>
            <w:vAlign w:val="bottom"/>
          </w:tcPr>
          <w:p>
            <w:pPr>
              <w:spacing w:after="0"/>
              <w:rPr>
                <w:sz w:val="18"/>
                <w:szCs w:val="18"/>
                <w:color w:val="auto"/>
              </w:rPr>
            </w:pPr>
          </w:p>
        </w:tc>
        <w:tc>
          <w:tcPr>
            <w:tcW w:w="7160" w:type="dxa"/>
            <w:vAlign w:val="bottom"/>
          </w:tcPr>
          <w:p>
            <w:pPr>
              <w:ind w:left="1540"/>
              <w:spacing w:after="0"/>
              <w:rPr>
                <w:sz w:val="20"/>
                <w:szCs w:val="20"/>
                <w:color w:val="auto"/>
              </w:rPr>
            </w:pPr>
            <w:r>
              <w:rPr>
                <w:rFonts w:ascii="Arial" w:cs="Arial" w:eastAsia="Arial" w:hAnsi="Arial"/>
                <w:sz w:val="18"/>
                <w:szCs w:val="18"/>
                <w:color w:val="auto"/>
              </w:rPr>
              <w:t>above will be contained in provisions of our amended and restated</w:t>
            </w:r>
          </w:p>
        </w:tc>
      </w:tr>
      <w:tr>
        <w:trPr>
          <w:trHeight w:val="216"/>
        </w:trPr>
        <w:tc>
          <w:tcPr>
            <w:tcW w:w="4080" w:type="dxa"/>
            <w:vAlign w:val="bottom"/>
          </w:tcPr>
          <w:p>
            <w:pPr>
              <w:spacing w:after="0"/>
              <w:rPr>
                <w:sz w:val="18"/>
                <w:szCs w:val="18"/>
                <w:color w:val="auto"/>
              </w:rPr>
            </w:pPr>
          </w:p>
        </w:tc>
        <w:tc>
          <w:tcPr>
            <w:tcW w:w="7160" w:type="dxa"/>
            <w:vAlign w:val="bottom"/>
          </w:tcPr>
          <w:p>
            <w:pPr>
              <w:ind w:left="1540"/>
              <w:spacing w:after="0"/>
              <w:rPr>
                <w:sz w:val="20"/>
                <w:szCs w:val="20"/>
                <w:color w:val="auto"/>
              </w:rPr>
            </w:pPr>
            <w:r>
              <w:rPr>
                <w:rFonts w:ascii="Arial" w:cs="Arial" w:eastAsia="Arial" w:hAnsi="Arial"/>
                <w:sz w:val="18"/>
                <w:szCs w:val="18"/>
                <w:color w:val="auto"/>
                <w:w w:val="95"/>
              </w:rPr>
              <w:t>memorandum and articles of association and will apply whether or not we</w:t>
            </w:r>
          </w:p>
        </w:tc>
      </w:tr>
      <w:tr>
        <w:trPr>
          <w:trHeight w:val="216"/>
        </w:trPr>
        <w:tc>
          <w:tcPr>
            <w:tcW w:w="4080" w:type="dxa"/>
            <w:vAlign w:val="bottom"/>
          </w:tcPr>
          <w:p>
            <w:pPr>
              <w:spacing w:after="0"/>
              <w:rPr>
                <w:sz w:val="18"/>
                <w:szCs w:val="18"/>
                <w:color w:val="auto"/>
              </w:rPr>
            </w:pPr>
          </w:p>
        </w:tc>
        <w:tc>
          <w:tcPr>
            <w:tcW w:w="7160" w:type="dxa"/>
            <w:vAlign w:val="bottom"/>
          </w:tcPr>
          <w:p>
            <w:pPr>
              <w:ind w:left="1540"/>
              <w:spacing w:after="0"/>
              <w:rPr>
                <w:sz w:val="20"/>
                <w:szCs w:val="20"/>
                <w:color w:val="auto"/>
              </w:rPr>
            </w:pPr>
            <w:r>
              <w:rPr>
                <w:rFonts w:ascii="Arial" w:cs="Arial" w:eastAsia="Arial" w:hAnsi="Arial"/>
                <w:sz w:val="18"/>
                <w:szCs w:val="18"/>
                <w:color w:val="auto"/>
              </w:rPr>
              <w:t>maintain our registration under the Exchange Act or our listing on the</w:t>
            </w:r>
          </w:p>
        </w:tc>
      </w:tr>
      <w:tr>
        <w:trPr>
          <w:trHeight w:val="216"/>
        </w:trPr>
        <w:tc>
          <w:tcPr>
            <w:tcW w:w="4080" w:type="dxa"/>
            <w:vAlign w:val="bottom"/>
          </w:tcPr>
          <w:p>
            <w:pPr>
              <w:spacing w:after="0"/>
              <w:rPr>
                <w:sz w:val="18"/>
                <w:szCs w:val="18"/>
                <w:color w:val="auto"/>
              </w:rPr>
            </w:pPr>
          </w:p>
        </w:tc>
        <w:tc>
          <w:tcPr>
            <w:tcW w:w="7160" w:type="dxa"/>
            <w:vAlign w:val="bottom"/>
          </w:tcPr>
          <w:p>
            <w:pPr>
              <w:ind w:left="1540"/>
              <w:spacing w:after="0"/>
              <w:rPr>
                <w:sz w:val="20"/>
                <w:szCs w:val="20"/>
                <w:color w:val="auto"/>
              </w:rPr>
            </w:pPr>
            <w:r>
              <w:rPr>
                <w:rFonts w:ascii="Arial" w:cs="Arial" w:eastAsia="Arial" w:hAnsi="Arial"/>
                <w:sz w:val="18"/>
                <w:szCs w:val="18"/>
                <w:color w:val="auto"/>
                <w:w w:val="98"/>
              </w:rPr>
              <w:t>NYSE. Such provisions may be amended if approved by holders of two-</w:t>
            </w:r>
          </w:p>
        </w:tc>
      </w:tr>
      <w:tr>
        <w:trPr>
          <w:trHeight w:val="216"/>
        </w:trPr>
        <w:tc>
          <w:tcPr>
            <w:tcW w:w="4080" w:type="dxa"/>
            <w:vAlign w:val="bottom"/>
          </w:tcPr>
          <w:p>
            <w:pPr>
              <w:spacing w:after="0"/>
              <w:rPr>
                <w:sz w:val="18"/>
                <w:szCs w:val="18"/>
                <w:color w:val="auto"/>
              </w:rPr>
            </w:pPr>
          </w:p>
        </w:tc>
        <w:tc>
          <w:tcPr>
            <w:tcW w:w="7160" w:type="dxa"/>
            <w:vAlign w:val="bottom"/>
          </w:tcPr>
          <w:p>
            <w:pPr>
              <w:ind w:left="1540"/>
              <w:spacing w:after="0"/>
              <w:rPr>
                <w:sz w:val="20"/>
                <w:szCs w:val="20"/>
                <w:color w:val="auto"/>
              </w:rPr>
            </w:pPr>
            <w:r>
              <w:rPr>
                <w:rFonts w:ascii="Arial" w:cs="Arial" w:eastAsia="Arial" w:hAnsi="Arial"/>
                <w:sz w:val="18"/>
                <w:szCs w:val="18"/>
                <w:color w:val="auto"/>
                <w:w w:val="97"/>
              </w:rPr>
              <w:t>thirds of our ordinary shares entitled to vote thereon, so long as we offer</w:t>
            </w:r>
          </w:p>
        </w:tc>
      </w:tr>
      <w:tr>
        <w:trPr>
          <w:trHeight w:val="230"/>
        </w:trPr>
        <w:tc>
          <w:tcPr>
            <w:tcW w:w="4080" w:type="dxa"/>
            <w:vAlign w:val="bottom"/>
          </w:tcPr>
          <w:p>
            <w:pPr>
              <w:spacing w:after="0"/>
              <w:rPr>
                <w:sz w:val="20"/>
                <w:szCs w:val="20"/>
                <w:color w:val="auto"/>
              </w:rPr>
            </w:pPr>
          </w:p>
        </w:tc>
        <w:tc>
          <w:tcPr>
            <w:tcW w:w="7160" w:type="dxa"/>
            <w:vAlign w:val="bottom"/>
          </w:tcPr>
          <w:p>
            <w:pPr>
              <w:ind w:left="1540"/>
              <w:spacing w:after="0"/>
              <w:rPr>
                <w:sz w:val="20"/>
                <w:szCs w:val="20"/>
                <w:color w:val="auto"/>
              </w:rPr>
            </w:pPr>
            <w:r>
              <w:rPr>
                <w:rFonts w:ascii="Arial" w:cs="Arial" w:eastAsia="Arial" w:hAnsi="Arial"/>
                <w:sz w:val="18"/>
                <w:szCs w:val="18"/>
                <w:color w:val="auto"/>
              </w:rPr>
              <w:t>redemption in connection with such amendment.</w:t>
            </w:r>
          </w:p>
        </w:tc>
      </w:tr>
      <w:tr>
        <w:trPr>
          <w:trHeight w:val="361"/>
        </w:trPr>
        <w:tc>
          <w:tcPr>
            <w:tcW w:w="4080" w:type="dxa"/>
            <w:vAlign w:val="bottom"/>
            <w:tcBorders>
              <w:bottom w:val="single" w:sz="8" w:color="auto"/>
            </w:tcBorders>
          </w:tcPr>
          <w:p>
            <w:pPr>
              <w:spacing w:after="0"/>
              <w:rPr>
                <w:sz w:val="24"/>
                <w:szCs w:val="24"/>
                <w:color w:val="auto"/>
              </w:rPr>
            </w:pPr>
          </w:p>
        </w:tc>
        <w:tc>
          <w:tcPr>
            <w:tcW w:w="7160" w:type="dxa"/>
            <w:vAlign w:val="bottom"/>
            <w:tcBorders>
              <w:bottom w:val="single" w:sz="8" w:color="auto"/>
            </w:tcBorders>
          </w:tcPr>
          <w:p>
            <w:pPr>
              <w:spacing w:after="0"/>
              <w:rPr>
                <w:sz w:val="24"/>
                <w:szCs w:val="24"/>
                <w:color w:val="auto"/>
              </w:rPr>
            </w:pPr>
          </w:p>
        </w:tc>
      </w:tr>
      <w:tr>
        <w:trPr>
          <w:trHeight w:val="328"/>
        </w:trPr>
        <w:tc>
          <w:tcPr>
            <w:tcW w:w="4080" w:type="dxa"/>
            <w:vAlign w:val="bottom"/>
            <w:tcBorders>
              <w:bottom w:val="single" w:sz="8" w:color="auto"/>
            </w:tcBorders>
          </w:tcPr>
          <w:p>
            <w:pPr>
              <w:spacing w:after="0"/>
              <w:rPr>
                <w:sz w:val="24"/>
                <w:szCs w:val="24"/>
                <w:color w:val="auto"/>
              </w:rPr>
            </w:pPr>
          </w:p>
        </w:tc>
        <w:tc>
          <w:tcPr>
            <w:tcW w:w="7160" w:type="dxa"/>
            <w:vAlign w:val="bottom"/>
            <w:tcBorders>
              <w:bottom w:val="single" w:sz="8" w:color="auto"/>
            </w:tcBorders>
          </w:tcPr>
          <w:p>
            <w:pPr>
              <w:ind w:left="1440"/>
              <w:spacing w:after="0"/>
              <w:rPr>
                <w:sz w:val="20"/>
                <w:szCs w:val="20"/>
                <w:color w:val="auto"/>
              </w:rPr>
            </w:pPr>
            <w:r>
              <w:rPr>
                <w:rFonts w:ascii="Arial" w:cs="Arial" w:eastAsia="Arial" w:hAnsi="Arial"/>
                <w:sz w:val="18"/>
                <w:szCs w:val="18"/>
                <w:color w:val="auto"/>
              </w:rPr>
              <w:t>25</w:t>
            </w:r>
          </w:p>
        </w:tc>
      </w:tr>
    </w:tbl>
    <w:p>
      <w:pPr>
        <w:sectPr>
          <w:pgSz w:w="11900" w:h="16838" w:orient="portrait"/>
          <w:cols w:equalWidth="0" w:num="1">
            <w:col w:w="11240"/>
          </w:cols>
          <w:pgMar w:left="320" w:top="976" w:right="339" w:bottom="1440" w:gutter="0" w:footer="0" w:header="0"/>
          <w:type w:val="continuous"/>
        </w:sectPr>
      </w:pPr>
    </w:p>
    <w:bookmarkStart w:id="30" w:name="page31"/>
    <w:bookmarkEnd w:id="30"/>
    <w:p>
      <w:pPr>
        <w:ind w:left="4500" w:right="14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206375</wp:posOffset>
            </wp:positionH>
            <wp:positionV relativeFrom="page">
              <wp:posOffset>378460</wp:posOffset>
            </wp:positionV>
            <wp:extent cx="7136130" cy="54305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6130" cy="5430520"/>
                    </a:xfrm>
                    <a:prstGeom prst="rect">
                      <a:avLst/>
                    </a:prstGeom>
                    <a:noFill/>
                  </pic:spPr>
                </pic:pic>
              </a:graphicData>
            </a:graphic>
          </wp:anchor>
        </w:drawing>
        <w:t>If we provide our public shareholders with the opportunity to redeem their public shares in connection with a general meeting, we will:</w:t>
      </w:r>
    </w:p>
    <w:p>
      <w:pPr>
        <w:spacing w:after="0" w:line="92" w:lineRule="exact"/>
        <w:rPr>
          <w:sz w:val="20"/>
          <w:szCs w:val="20"/>
          <w:color w:val="auto"/>
        </w:rPr>
      </w:pPr>
    </w:p>
    <w:p>
      <w:pPr>
        <w:ind w:left="4660" w:right="60" w:hanging="161"/>
        <w:spacing w:after="0" w:line="286" w:lineRule="auto"/>
        <w:tabs>
          <w:tab w:leader="none" w:pos="4633" w:val="left"/>
        </w:tabs>
        <w:numPr>
          <w:ilvl w:val="0"/>
          <w:numId w:val="10"/>
        </w:numPr>
        <w:rPr>
          <w:rFonts w:ascii="Arial" w:cs="Arial" w:eastAsia="Arial" w:hAnsi="Arial"/>
          <w:sz w:val="17"/>
          <w:szCs w:val="17"/>
          <w:color w:val="auto"/>
        </w:rPr>
      </w:pPr>
      <w:r>
        <w:rPr>
          <w:rFonts w:ascii="Arial" w:cs="Arial" w:eastAsia="Arial" w:hAnsi="Arial"/>
          <w:sz w:val="17"/>
          <w:szCs w:val="17"/>
          <w:color w:val="auto"/>
        </w:rPr>
        <w:t>conduct the redemptions in conjunction with a proxy solicitation pursuant to Regulation 14A of the Exchange Act, which regulates the solicitation of proxies, and not pursuant to the tender offer rules, and</w:t>
      </w:r>
    </w:p>
    <w:p>
      <w:pPr>
        <w:spacing w:after="0" w:line="111" w:lineRule="exact"/>
        <w:rPr>
          <w:rFonts w:ascii="Arial" w:cs="Arial" w:eastAsia="Arial" w:hAnsi="Arial"/>
          <w:sz w:val="17"/>
          <w:szCs w:val="17"/>
          <w:color w:val="auto"/>
        </w:rPr>
      </w:pPr>
    </w:p>
    <w:p>
      <w:pPr>
        <w:ind w:left="4640" w:hanging="141"/>
        <w:spacing w:after="0"/>
        <w:tabs>
          <w:tab w:leader="none" w:pos="4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file proxy materials with the SEC.</w:t>
      </w:r>
    </w:p>
    <w:p>
      <w:pPr>
        <w:spacing w:after="0" w:line="171" w:lineRule="exact"/>
        <w:rPr>
          <w:sz w:val="20"/>
          <w:szCs w:val="20"/>
          <w:color w:val="auto"/>
        </w:rPr>
      </w:pPr>
    </w:p>
    <w:p>
      <w:pPr>
        <w:ind w:left="4500"/>
        <w:spacing w:after="0" w:line="284" w:lineRule="auto"/>
        <w:rPr>
          <w:sz w:val="20"/>
          <w:szCs w:val="20"/>
          <w:color w:val="auto"/>
        </w:rPr>
      </w:pPr>
      <w:r>
        <w:rPr>
          <w:rFonts w:ascii="Arial" w:cs="Arial" w:eastAsia="Arial" w:hAnsi="Arial"/>
          <w:sz w:val="16"/>
          <w:szCs w:val="16"/>
          <w:color w:val="auto"/>
        </w:rPr>
        <w:t>If we seek shareholder approval, we will complete our initial business combination only if we receive an ordinary resolution under Cayman Islands law, which requires the affirmative vote of a majority of the shareholders who attend and vote at a general meeting of the company. A quorum for such meeting will be present if the holders of a majority of issued and outstanding shares entitled to vote at the meeting are represented in person or by proxy. Our initial shareholders will count toward this quorum and, pursuant to the letter agreement, our initial shareholders, sponsor, officers and directors have agreed to vote any founder shares and public shares held by them in favor of our initial business combination. For purposes of seeking approval of an ordinary resolution, non-votes will have no effect on the approval of our initial business combination once a quorum is obtained. As a result, in addition to our initial shareholders’ founder shares, we would need 9,375,001, or 37.5%, of the 25,000,000 public shares sold in this offering to be voted in favor of an initial business combination in order to have our initial business combination approved (assuming all outstanding shares are voted and the over-allotment option is not exercised). If the PIMCO private fund or its affiliates purchase 2,475,000 units in this offering, and vote the shares included in these units in favor of our initial business combination, the percentage would be reduced to 27.6%. These quorum and voting thresholds, and the voting agreements of our initial shareholders, may make it more likely that we will consummate our initial business combination. Each public shareholder may elect to redeem their public shares without voting and, if they do vote, irrespective of whether they vote for or against the proposed transaction.</w:t>
      </w:r>
    </w:p>
    <w:p>
      <w:pPr>
        <w:spacing w:after="0" w:line="337"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If a shareholder vote is not required and we do not decide to hold a</w:t>
      </w:r>
    </w:p>
    <w:p>
      <w:pPr>
        <w:spacing w:after="0" w:line="2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shareholder vote for business or other reasons, we will:</w:t>
      </w:r>
    </w:p>
    <w:p>
      <w:pPr>
        <w:spacing w:after="0" w:line="200" w:lineRule="exact"/>
        <w:rPr>
          <w:sz w:val="20"/>
          <w:szCs w:val="20"/>
          <w:color w:val="auto"/>
        </w:rPr>
      </w:pPr>
    </w:p>
    <w:p>
      <w:pPr>
        <w:spacing w:after="0" w:line="281"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23495</wp:posOffset>
            </wp:positionV>
            <wp:extent cx="71323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000"/>
          </w:cols>
          <w:pgMar w:left="1440" w:top="976" w:right="459" w:bottom="1440" w:gutter="0" w:footer="0" w:header="0"/>
        </w:sectPr>
      </w:pPr>
    </w:p>
    <w:bookmarkStart w:id="31" w:name="page32"/>
    <w:bookmarkEnd w:id="31"/>
    <w:p>
      <w:pPr>
        <w:ind w:left="4660" w:right="260" w:hanging="161"/>
        <w:spacing w:after="0" w:line="308" w:lineRule="auto"/>
        <w:tabs>
          <w:tab w:leader="none" w:pos="4633" w:val="left"/>
        </w:tabs>
        <w:numPr>
          <w:ilvl w:val="0"/>
          <w:numId w:val="11"/>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206375</wp:posOffset>
            </wp:positionH>
            <wp:positionV relativeFrom="page">
              <wp:posOffset>378460</wp:posOffset>
            </wp:positionV>
            <wp:extent cx="7136130" cy="59791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6130" cy="5979160"/>
                    </a:xfrm>
                    <a:prstGeom prst="rect">
                      <a:avLst/>
                    </a:prstGeom>
                    <a:noFill/>
                  </pic:spPr>
                </pic:pic>
              </a:graphicData>
            </a:graphic>
          </wp:anchor>
        </w:drawing>
        <w:t>conduct the redemptions pursuant to Rule 13e-4 and Regulation 14E of the Exchange Act, which regulate issuer tender offers, and</w:t>
      </w:r>
    </w:p>
    <w:p>
      <w:pPr>
        <w:spacing w:after="0" w:line="92" w:lineRule="exact"/>
        <w:rPr>
          <w:rFonts w:ascii="Arial" w:cs="Arial" w:eastAsia="Arial" w:hAnsi="Arial"/>
          <w:sz w:val="17"/>
          <w:szCs w:val="17"/>
          <w:color w:val="auto"/>
        </w:rPr>
      </w:pPr>
    </w:p>
    <w:p>
      <w:pPr>
        <w:ind w:left="4660" w:right="140" w:hanging="161"/>
        <w:spacing w:after="0" w:line="275" w:lineRule="auto"/>
        <w:tabs>
          <w:tab w:leader="none" w:pos="4633" w:val="left"/>
        </w:tabs>
        <w:numPr>
          <w:ilvl w:val="0"/>
          <w:numId w:val="11"/>
        </w:numPr>
        <w:rPr>
          <w:rFonts w:ascii="Arial" w:cs="Arial" w:eastAsia="Arial" w:hAnsi="Arial"/>
          <w:sz w:val="17"/>
          <w:szCs w:val="17"/>
          <w:color w:val="auto"/>
        </w:rPr>
      </w:pPr>
      <w:r>
        <w:rPr>
          <w:rFonts w:ascii="Arial" w:cs="Arial" w:eastAsia="Arial" w:hAnsi="Arial"/>
          <w:sz w:val="17"/>
          <w:szCs w:val="17"/>
          <w:color w:val="auto"/>
        </w:rPr>
        <w:t>file tender offer documents with the SEC prior to completing our initial business combination which contain substantially the same financial and other information about our initial business combination and the redemption rights as is required under Regulation 14A of the Exchange Act, which regulates the solicitation of proxies.</w:t>
      </w:r>
    </w:p>
    <w:p>
      <w:pPr>
        <w:spacing w:after="0" w:line="122" w:lineRule="exact"/>
        <w:rPr>
          <w:sz w:val="20"/>
          <w:szCs w:val="20"/>
          <w:color w:val="auto"/>
        </w:rPr>
      </w:pPr>
    </w:p>
    <w:p>
      <w:pPr>
        <w:ind w:left="4500"/>
        <w:spacing w:after="0" w:line="270" w:lineRule="auto"/>
        <w:rPr>
          <w:sz w:val="20"/>
          <w:szCs w:val="20"/>
          <w:color w:val="auto"/>
        </w:rPr>
      </w:pPr>
      <w:r>
        <w:rPr>
          <w:rFonts w:ascii="Arial" w:cs="Arial" w:eastAsia="Arial" w:hAnsi="Arial"/>
          <w:sz w:val="17"/>
          <w:szCs w:val="17"/>
          <w:color w:val="auto"/>
        </w:rPr>
        <w:t>In the event we conduct redemptions pursuant to the tender offer rules, our offer to redeem will remain open for at least 20 business days, in accordance with Rule 14e-1(a) under the Exchange Act, and we will not be permitted to complete our initial business combination until the expiration of the tender offer period. In addition, the tender offer will be conditioned on public shareholders not tendering more than the number of shares we are permitted to redeem. If public shareholders tender more shares than we have offered to purchase, we will withdraw the tender offer and not complete such initial business combination.</w:t>
      </w:r>
    </w:p>
    <w:p>
      <w:pPr>
        <w:spacing w:after="0" w:line="127" w:lineRule="exact"/>
        <w:rPr>
          <w:sz w:val="20"/>
          <w:szCs w:val="20"/>
          <w:color w:val="auto"/>
        </w:rPr>
      </w:pPr>
    </w:p>
    <w:p>
      <w:pPr>
        <w:ind w:left="4500" w:right="60"/>
        <w:spacing w:after="0" w:line="275" w:lineRule="auto"/>
        <w:rPr>
          <w:sz w:val="20"/>
          <w:szCs w:val="20"/>
          <w:color w:val="auto"/>
        </w:rPr>
      </w:pPr>
      <w:r>
        <w:rPr>
          <w:rFonts w:ascii="Arial" w:cs="Arial" w:eastAsia="Arial" w:hAnsi="Arial"/>
          <w:sz w:val="17"/>
          <w:szCs w:val="17"/>
          <w:color w:val="auto"/>
        </w:rPr>
        <w:t>Upon the public announcement of our initial business combination, if we elect to conduct redemptions pursuant to the tender offer rules, we and our sponsor will terminate any plan established in accordance with Rule 10b5-1 to purchase our Class A ordinary shares in the open market, in order to comply with Rule 14e-5 under the Exchange Act.</w:t>
      </w:r>
    </w:p>
    <w:p>
      <w:pPr>
        <w:spacing w:after="0" w:line="122" w:lineRule="exact"/>
        <w:rPr>
          <w:sz w:val="20"/>
          <w:szCs w:val="20"/>
          <w:color w:val="auto"/>
        </w:rPr>
      </w:pPr>
    </w:p>
    <w:p>
      <w:pPr>
        <w:ind w:left="4500"/>
        <w:spacing w:after="0" w:line="268" w:lineRule="auto"/>
        <w:rPr>
          <w:sz w:val="20"/>
          <w:szCs w:val="20"/>
          <w:color w:val="auto"/>
        </w:rPr>
      </w:pPr>
      <w:r>
        <w:rPr>
          <w:rFonts w:ascii="Arial" w:cs="Arial" w:eastAsia="Arial" w:hAnsi="Arial"/>
          <w:sz w:val="17"/>
          <w:szCs w:val="17"/>
          <w:color w:val="auto"/>
        </w:rPr>
        <w:t>We intend to require our public shareholders seeking to exercise their redemption rights, whether they are record holders or hold their shares in “street name,” to, at the holder’s option, either deliver their share certificates to our transfer agent or deliver their shares to our transfer agent electronically using The Depository Trust Company’s DWAC (Deposit/Withdrawal At Custodian) system, prior to the date set forth in the proxy materials or tender offer documents, as applicable. In the case of proxy materials, this date may be up to two business days prior to the scheduled vote on the proposal to approve the initial business combination. In addition, if we conduct redemptions in connection with a shareholder vote, we intend to require a public shareholder seeking redemption of its public shares to also submit a written request for redemption to our transfer agent two business days prior to the scheduled vote in which the name of the beneficial owner of such shares is included. The proxy materials or tender offer documents, as applicable, that we will furnish to holders of our public shares in connection with our</w:t>
      </w:r>
    </w:p>
    <w:p>
      <w:pPr>
        <w:spacing w:after="0" w:line="200" w:lineRule="exact"/>
        <w:rPr>
          <w:sz w:val="20"/>
          <w:szCs w:val="20"/>
          <w:color w:val="auto"/>
        </w:rPr>
      </w:pPr>
    </w:p>
    <w:p>
      <w:pPr>
        <w:spacing w:after="0" w:line="250"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23495</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020"/>
          </w:cols>
          <w:pgMar w:left="1440" w:top="976" w:right="439" w:bottom="1440" w:gutter="0" w:footer="0" w:header="0"/>
        </w:sectPr>
      </w:pPr>
    </w:p>
    <w:bookmarkStart w:id="32" w:name="page33"/>
    <w:bookmarkEnd w:id="3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hanging="161"/>
        <w:spacing w:after="0" w:line="342" w:lineRule="auto"/>
        <w:rPr>
          <w:sz w:val="20"/>
          <w:szCs w:val="20"/>
          <w:color w:val="auto"/>
        </w:rPr>
      </w:pPr>
      <w:r>
        <w:rPr>
          <w:rFonts w:ascii="Arial" w:cs="Arial" w:eastAsia="Arial" w:hAnsi="Arial"/>
          <w:sz w:val="16"/>
          <w:szCs w:val="16"/>
          <w:color w:val="auto"/>
        </w:rPr>
        <w:t>Limitation on redemption rights of shareholders holding more than 15% of the shares sold in this offering if we hold shareholder vote</w:t>
      </w:r>
    </w:p>
    <w:p>
      <w:pPr>
        <w:spacing w:after="0" w:line="20" w:lineRule="exact"/>
        <w:rPr>
          <w:sz w:val="20"/>
          <w:szCs w:val="20"/>
          <w:color w:val="auto"/>
        </w:rPr>
      </w:pPr>
      <w:r>
        <w:rPr>
          <w:sz w:val="20"/>
          <w:szCs w:val="20"/>
          <w:color w:val="auto"/>
        </w:rPr>
        <w:br w:type="column"/>
      </w:r>
    </w:p>
    <w:p>
      <w:pPr>
        <w:ind w:left="1" w:right="40"/>
        <w:spacing w:after="0" w:line="270" w:lineRule="auto"/>
        <w:rPr>
          <w:sz w:val="20"/>
          <w:szCs w:val="20"/>
          <w:color w:val="auto"/>
        </w:rPr>
      </w:pPr>
      <w:r>
        <w:rPr>
          <w:rFonts w:ascii="Arial" w:cs="Arial" w:eastAsia="Arial" w:hAnsi="Arial"/>
          <w:sz w:val="17"/>
          <w:szCs w:val="17"/>
          <w:color w:val="auto"/>
        </w:rPr>
        <w:t>initial business combination will indicate whether we are requiring public shareholders to satisfy such delivery requirements. We believe that this will allow our transfer agent to efficiently process any redemptions without the need for further communication or action from the redeeming public shareholders, which could delay redemptions and result in additional administrative cost. If the proposed initial business combination is not approved and we continue to search for a target company, we will promptly return any certificates or shares delivered by public shareholders who elected to redeem their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-3564890</wp:posOffset>
            </wp:positionH>
            <wp:positionV relativeFrom="paragraph">
              <wp:posOffset>-1497965</wp:posOffset>
            </wp:positionV>
            <wp:extent cx="7136130" cy="57734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6130" cy="5773420"/>
                    </a:xfrm>
                    <a:prstGeom prst="rect">
                      <a:avLst/>
                    </a:prstGeom>
                    <a:noFill/>
                  </pic:spPr>
                </pic:pic>
              </a:graphicData>
            </a:graphic>
          </wp:anchor>
        </w:drawing>
      </w:r>
    </w:p>
    <w:p>
      <w:pPr>
        <w:spacing w:after="0" w:line="107" w:lineRule="exact"/>
        <w:rPr>
          <w:sz w:val="20"/>
          <w:szCs w:val="20"/>
          <w:color w:val="auto"/>
        </w:rPr>
      </w:pPr>
    </w:p>
    <w:p>
      <w:pPr>
        <w:ind w:left="1" w:right="40"/>
        <w:spacing w:after="0" w:line="285" w:lineRule="auto"/>
        <w:rPr>
          <w:sz w:val="20"/>
          <w:szCs w:val="20"/>
          <w:color w:val="auto"/>
        </w:rPr>
      </w:pPr>
      <w:r>
        <w:rPr>
          <w:rFonts w:ascii="Arial" w:cs="Arial" w:eastAsia="Arial" w:hAnsi="Arial"/>
          <w:sz w:val="16"/>
          <w:szCs w:val="16"/>
          <w:color w:val="auto"/>
        </w:rPr>
        <w:t>Our amended and restated memorandum and articles of association provide that in no event will we redeem our public shares in an amount that would cause our net tangible assets to be less than $5,000,001. In addition, our proposed initial business combination may impose a minimum cash requirement for (i) cash consideration to be paid to the target or its owners,</w:t>
      </w:r>
    </w:p>
    <w:p>
      <w:pPr>
        <w:spacing w:after="0" w:line="2" w:lineRule="exact"/>
        <w:rPr>
          <w:sz w:val="20"/>
          <w:szCs w:val="20"/>
          <w:color w:val="auto"/>
        </w:rPr>
      </w:pPr>
    </w:p>
    <w:p>
      <w:pPr>
        <w:ind w:left="1" w:hanging="1"/>
        <w:spacing w:after="0" w:line="284" w:lineRule="auto"/>
        <w:tabs>
          <w:tab w:leader="none" w:pos="265" w:val="left"/>
        </w:tabs>
        <w:numPr>
          <w:ilvl w:val="0"/>
          <w:numId w:val="12"/>
        </w:numPr>
        <w:rPr>
          <w:rFonts w:ascii="Arial" w:cs="Arial" w:eastAsia="Arial" w:hAnsi="Arial"/>
          <w:sz w:val="16"/>
          <w:szCs w:val="16"/>
          <w:color w:val="auto"/>
        </w:rPr>
      </w:pPr>
      <w:r>
        <w:rPr>
          <w:rFonts w:ascii="Arial" w:cs="Arial" w:eastAsia="Arial" w:hAnsi="Arial"/>
          <w:sz w:val="16"/>
          <w:szCs w:val="16"/>
          <w:color w:val="auto"/>
        </w:rPr>
        <w:t>cash for working capital or other general corporate purposes or (iii) the retention of cash to satisfy other conditions. In the event the aggregate cash consideration we would be required to pay for all Class A ordinary shares that are validly submitted for redemption plus any amount required to satisfy cash conditions pursuant to the terms of the proposed initial business combination exceed the aggregate amount of cash available to us, we will not complete the initial business combination or redeem any shares, and all Class A ordinary shares submitted for redemption will be returned to the holders thereof. We may, however, raise funds through the issuance of equity or equity-linked securities or through loans, advances or other indebtedness in connection with our initial business combination, including pursuant to forward purchase agreements or backstop arrangements we may enter into following consummation of this offering, in order to, among other reasons, satisfy such net tangible assets or minimum cash requirements. However, our amended and restated memorandum and articles of association provide, among other things, that prior to our initial business combination, we may not issue additional securities that would entitle the holders thereof to (i) receive funds from the trust account or (ii) vote on any initial business combination.</w:t>
      </w:r>
    </w:p>
    <w:p>
      <w:pPr>
        <w:spacing w:after="0" w:line="115" w:lineRule="exact"/>
        <w:rPr>
          <w:sz w:val="20"/>
          <w:szCs w:val="20"/>
          <w:color w:val="auto"/>
        </w:rPr>
      </w:pPr>
    </w:p>
    <w:p>
      <w:pPr>
        <w:ind w:left="1"/>
        <w:spacing w:after="0" w:line="259" w:lineRule="auto"/>
        <w:rPr>
          <w:sz w:val="20"/>
          <w:szCs w:val="20"/>
          <w:color w:val="auto"/>
        </w:rPr>
      </w:pPr>
      <w:r>
        <w:rPr>
          <w:rFonts w:ascii="Arial" w:cs="Arial" w:eastAsia="Arial" w:hAnsi="Arial"/>
          <w:sz w:val="18"/>
          <w:szCs w:val="18"/>
          <w:color w:val="auto"/>
        </w:rPr>
        <w:t>Notwithstanding the foregoing redemption rights, if we seek shareholder approval of our initial business combination and we do not conduct redemptions in connection with our initial business combination pursuant to the tender offer rules, our amended and</w:t>
      </w:r>
    </w:p>
    <w:p>
      <w:pPr>
        <w:spacing w:after="0" w:line="200" w:lineRule="exact"/>
        <w:rPr>
          <w:sz w:val="20"/>
          <w:szCs w:val="20"/>
          <w:color w:val="auto"/>
        </w:rPr>
      </w:pPr>
    </w:p>
    <w:p>
      <w:pPr>
        <w:sectPr>
          <w:pgSz w:w="11900" w:h="16838" w:orient="portrait"/>
          <w:cols w:equalWidth="0" w:num="2">
            <w:col w:w="4760" w:space="599"/>
            <w:col w:w="5481"/>
          </w:cols>
          <w:pgMar w:left="580" w:top="976" w:right="479" w:bottom="1440" w:gutter="0" w:footer="0" w:header="0"/>
        </w:sectPr>
      </w:pPr>
    </w:p>
    <w:p>
      <w:pPr>
        <w:spacing w:after="0" w:line="257" w:lineRule="exact"/>
        <w:rPr>
          <w:sz w:val="20"/>
          <w:szCs w:val="20"/>
          <w:color w:val="auto"/>
        </w:rPr>
      </w:pPr>
    </w:p>
    <w:p>
      <w:pPr>
        <w:jc w:val="center"/>
        <w:ind w:right="140"/>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38100</wp:posOffset>
            </wp:positionV>
            <wp:extent cx="71323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840"/>
          </w:cols>
          <w:pgMar w:left="580" w:top="976" w:right="479" w:bottom="1440" w:gutter="0" w:footer="0" w:header="0"/>
          <w:type w:val="continuous"/>
        </w:sectPr>
      </w:pPr>
    </w:p>
    <w:bookmarkStart w:id="33" w:name="page34"/>
    <w:bookmarkEnd w:id="3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right="60" w:hanging="161"/>
        <w:spacing w:after="0" w:line="277" w:lineRule="auto"/>
        <w:rPr>
          <w:sz w:val="20"/>
          <w:szCs w:val="20"/>
          <w:color w:val="auto"/>
        </w:rPr>
      </w:pPr>
      <w:r>
        <w:rPr>
          <w:rFonts w:ascii="Arial" w:cs="Arial" w:eastAsia="Arial" w:hAnsi="Arial"/>
          <w:sz w:val="18"/>
          <w:szCs w:val="18"/>
          <w:color w:val="auto"/>
        </w:rPr>
        <w:t>Release of funds in trust account on closing of our initial business combination</w:t>
      </w:r>
    </w:p>
    <w:p>
      <w:pPr>
        <w:spacing w:after="0" w:line="20" w:lineRule="exact"/>
        <w:rPr>
          <w:sz w:val="20"/>
          <w:szCs w:val="20"/>
          <w:color w:val="auto"/>
        </w:rPr>
      </w:pPr>
      <w:r>
        <w:rPr>
          <w:sz w:val="20"/>
          <w:szCs w:val="20"/>
          <w:color w:val="auto"/>
        </w:rPr>
        <w:br w:type="column"/>
      </w:r>
    </w:p>
    <w:p>
      <w:pPr>
        <w:spacing w:after="0" w:line="266" w:lineRule="auto"/>
        <w:rPr>
          <w:sz w:val="20"/>
          <w:szCs w:val="20"/>
          <w:color w:val="auto"/>
        </w:rPr>
      </w:pPr>
      <w:r>
        <w:rPr>
          <w:rFonts w:ascii="Arial" w:cs="Arial" w:eastAsia="Arial" w:hAnsi="Arial"/>
          <w:sz w:val="17"/>
          <w:szCs w:val="17"/>
          <w:color w:val="auto"/>
        </w:rPr>
        <w:t>restated memorandum and articles of association provide that a public shareholder, together with any affiliate of such shareholder or any other person with whom such shareholder is acting in concert or as a “group” (as defined under Section 13 of the Exchange Act), will be restricted from redeeming its shares with respect to more than an aggregate of 15% of the shares sold in this offering without our prior consent. We believe the restriction described above will discourage shareholders from accumulating large blocks of shares, and subsequent attempts by such holders to use their ability to redeem their shares as a means to force us, our sponsor or our management to purchase their shares at a significant premium to the then-current market price or on other undesirable terms. Absent this provision, a public shareholder holding more than an aggregate of 15% of the shares sold in this offering could threaten to exercise its redemption rights if such holder’s shares are not purchased by us, our sponsor or our management at a premium to the then-current market price or on other undesirable terms. By limiting our shareholders’ ability to redeem to no more than 15% of the shares sold in this offering, we believe we will limit the ability of a small group of shareholders to unreasonably attempt to block our ability to complete our initial business combination, particularly in connection with a business combination with a target that requires as a closing condition that we have a minimum net worth or a certain amount of cash. However, we would not be restricting our shareholders’ ability to vote all of their shares (including all shares held by those shareholders that hold more than 15% of the shares sold in this offering) for or against our initial business combination.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-3564890</wp:posOffset>
            </wp:positionH>
            <wp:positionV relativeFrom="paragraph">
              <wp:posOffset>-3680460</wp:posOffset>
            </wp:positionV>
            <wp:extent cx="7136130" cy="64935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6130" cy="6493510"/>
                    </a:xfrm>
                    <a:prstGeom prst="rect">
                      <a:avLst/>
                    </a:prstGeom>
                    <a:noFill/>
                  </pic:spPr>
                </pic:pic>
              </a:graphicData>
            </a:graphic>
          </wp:anchor>
        </w:drawing>
      </w:r>
    </w:p>
    <w:p>
      <w:pPr>
        <w:spacing w:after="0" w:line="126" w:lineRule="exact"/>
        <w:rPr>
          <w:sz w:val="20"/>
          <w:szCs w:val="20"/>
          <w:color w:val="auto"/>
        </w:rPr>
      </w:pPr>
    </w:p>
    <w:p>
      <w:pPr>
        <w:ind w:right="60"/>
        <w:spacing w:after="0" w:line="285" w:lineRule="auto"/>
        <w:rPr>
          <w:sz w:val="20"/>
          <w:szCs w:val="20"/>
          <w:color w:val="auto"/>
        </w:rPr>
      </w:pPr>
      <w:r>
        <w:rPr>
          <w:rFonts w:ascii="Arial" w:cs="Arial" w:eastAsia="Arial" w:hAnsi="Arial"/>
          <w:sz w:val="16"/>
          <w:szCs w:val="16"/>
          <w:color w:val="auto"/>
        </w:rPr>
        <w:t>On the completion of our initial business combination, the funds held in the trust account will be used to pay amounts due to any public shareholders who properly exercise their redemption rights as described above adjacent to the caption “Redemption rights for public shareholders upon completion of our initial business combination,” to pay the underwriters their deferred underwriting commissions, to pay all or a portion of the consideration payable to the target or owners of the target of our initial business combination and to pay other expenses associated with our initial business combination. If our initial business combination is paid for using equity or debt, or not all of the funds released from the trust account are used for payment of the consideration in connection with our initial business combination or used for redemptions of our Class A ordinary shares, we may use the balance of the cash released to us from the trust account following the closing for general corporate purposes, including for maintenance or expansion of operations of the post-transaction company, the payment of principal or interest due on indebtedness incurred in completing our initial business combination, to fund the purchase of other companies or for working capital.</w:t>
      </w:r>
    </w:p>
    <w:p>
      <w:pPr>
        <w:spacing w:after="0" w:line="200" w:lineRule="exact"/>
        <w:rPr>
          <w:sz w:val="20"/>
          <w:szCs w:val="20"/>
          <w:color w:val="auto"/>
        </w:rPr>
      </w:pPr>
    </w:p>
    <w:p>
      <w:pPr>
        <w:sectPr>
          <w:pgSz w:w="11900" w:h="16838" w:orient="portrait"/>
          <w:cols w:equalWidth="0" w:num="2">
            <w:col w:w="4640" w:space="720"/>
            <w:col w:w="5500"/>
          </w:cols>
          <w:pgMar w:left="580" w:top="976" w:right="459" w:bottom="1440" w:gutter="0" w:footer="0" w:header="0"/>
        </w:sectPr>
      </w:pPr>
    </w:p>
    <w:p>
      <w:pPr>
        <w:spacing w:after="0" w:line="200" w:lineRule="exact"/>
        <w:rPr>
          <w:sz w:val="20"/>
          <w:szCs w:val="20"/>
          <w:color w:val="auto"/>
        </w:rPr>
      </w:pPr>
    </w:p>
    <w:p>
      <w:pPr>
        <w:spacing w:after="0" w:line="257"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38100</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860"/>
          </w:cols>
          <w:pgMar w:left="580" w:top="976" w:right="459" w:bottom="1440" w:gutter="0" w:footer="0" w:header="0"/>
          <w:type w:val="continuous"/>
        </w:sectPr>
      </w:pPr>
    </w:p>
    <w:bookmarkStart w:id="34" w:name="page35"/>
    <w:bookmarkEnd w:id="34"/>
    <w:p>
      <w:pPr>
        <w:ind w:right="40" w:hanging="161"/>
        <w:spacing w:after="0" w:line="277" w:lineRule="auto"/>
        <w:rPr>
          <w:sz w:val="20"/>
          <w:szCs w:val="20"/>
          <w:color w:val="auto"/>
        </w:rPr>
      </w:pPr>
      <w:r>
        <w:rPr>
          <w:rFonts w:ascii="Arial" w:cs="Arial" w:eastAsia="Arial" w:hAnsi="Arial"/>
          <w:sz w:val="18"/>
          <w:szCs w:val="18"/>
          <w:color w:val="auto"/>
        </w:rPr>
        <w:t>Redemption of public shares and distribution and liquidation if no initial business combination</w:t>
      </w:r>
    </w:p>
    <w:p>
      <w:pPr>
        <w:spacing w:after="0" w:line="20" w:lineRule="exact"/>
        <w:rPr>
          <w:sz w:val="20"/>
          <w:szCs w:val="20"/>
          <w:color w:val="auto"/>
        </w:rPr>
      </w:pPr>
      <w:r>
        <w:rPr>
          <w:sz w:val="20"/>
          <w:szCs w:val="20"/>
          <w:color w:val="auto"/>
        </w:rPr>
        <w:br w:type="column"/>
      </w:r>
    </w:p>
    <w:p>
      <w:pPr>
        <w:spacing w:after="0" w:line="267" w:lineRule="auto"/>
        <w:rPr>
          <w:sz w:val="20"/>
          <w:szCs w:val="20"/>
          <w:color w:val="auto"/>
        </w:rPr>
      </w:pPr>
      <w:r>
        <w:rPr>
          <w:rFonts w:ascii="Arial" w:cs="Arial" w:eastAsia="Arial" w:hAnsi="Arial"/>
          <w:sz w:val="17"/>
          <w:szCs w:val="17"/>
          <w:color w:val="auto"/>
        </w:rPr>
        <w:t>Our amended and restated memorandum and articles of association provide that we will have only 24 months from the closing of this offering to complete our initial business combination. If we have not completed our initial business combination within such 24-month period or during any Extension Period, we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(less taxes payable and up to $100,000 of interest income to pay dissolution expenses), divided by the number of then outstanding public shares, which redemption will completely extinguish public shareholders’ rights as shareholders (including the right to receive further liquidation distributions, if any) and (iii) as promptly as reasonably possible following such redemption, subject to the approval of our remaining shareholders and our board of directors, liquidate and dissolve, subject, in each case, to our obligations under Cayman Islands law to provide for claims of creditors and in all cases subject to the other requirements of applicable law. There will be no redemption rights or liquidating distributions with respect to our warrants, which will expire worthless if we fail to complete our initial business combination within the 24-month time period or during any Extension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-3564890</wp:posOffset>
            </wp:positionH>
            <wp:positionV relativeFrom="paragraph">
              <wp:posOffset>-3279140</wp:posOffset>
            </wp:positionV>
            <wp:extent cx="7136130" cy="53359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6130" cy="5335905"/>
                    </a:xfrm>
                    <a:prstGeom prst="rect">
                      <a:avLst/>
                    </a:prstGeom>
                    <a:noFill/>
                  </pic:spPr>
                </pic:pic>
              </a:graphicData>
            </a:graphic>
          </wp:anchor>
        </w:drawing>
      </w:r>
    </w:p>
    <w:p>
      <w:pPr>
        <w:spacing w:after="0" w:line="285" w:lineRule="exact"/>
        <w:rPr>
          <w:sz w:val="20"/>
          <w:szCs w:val="20"/>
          <w:color w:val="auto"/>
        </w:rPr>
      </w:pPr>
    </w:p>
    <w:p>
      <w:pPr>
        <w:jc w:val="both"/>
        <w:ind w:right="80"/>
        <w:spacing w:after="0" w:line="255" w:lineRule="auto"/>
        <w:rPr>
          <w:sz w:val="20"/>
          <w:szCs w:val="20"/>
          <w:color w:val="auto"/>
        </w:rPr>
      </w:pPr>
      <w:r>
        <w:rPr>
          <w:rFonts w:ascii="Arial" w:cs="Arial" w:eastAsia="Arial" w:hAnsi="Arial"/>
          <w:sz w:val="18"/>
          <w:szCs w:val="18"/>
          <w:color w:val="auto"/>
        </w:rPr>
        <w:t>Our initial shareholders, sponsor, officers and directors have entered into a letter agreement with us, pursuant to which they have waived their rights to liquidating distributions from the trust account with respect to any founder shares held by them if we fail to complete our initial business combination within 24 months from the closing of this offering or during any Extension Period.</w:t>
      </w:r>
    </w:p>
    <w:p>
      <w:pPr>
        <w:spacing w:after="0" w:line="138"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However, if our initial shareholders or management team acquire public shares in or after this offering, they will be entitled to liquidating distributions from the trust account with respect to such public shares if we fail to complete our initial business combination within the allotted 24-month time period or during any Extension Period.</w:t>
      </w:r>
    </w:p>
    <w:p>
      <w:pPr>
        <w:spacing w:after="0" w:line="200" w:lineRule="exact"/>
        <w:rPr>
          <w:sz w:val="20"/>
          <w:szCs w:val="20"/>
          <w:color w:val="auto"/>
        </w:rPr>
      </w:pPr>
    </w:p>
    <w:p>
      <w:pPr>
        <w:sectPr>
          <w:pgSz w:w="11900" w:h="16838" w:orient="portrait"/>
          <w:cols w:equalWidth="0" w:num="2">
            <w:col w:w="4640" w:space="720"/>
            <w:col w:w="5520"/>
          </w:cols>
          <w:pgMar w:left="580" w:top="976" w:right="439" w:bottom="1440" w:gutter="0" w:footer="0" w:header="0"/>
        </w:sectPr>
      </w:pPr>
    </w:p>
    <w:p>
      <w:pPr>
        <w:spacing w:after="0" w:line="246" w:lineRule="exact"/>
        <w:rPr>
          <w:sz w:val="20"/>
          <w:szCs w:val="20"/>
          <w:color w:val="auto"/>
        </w:rPr>
      </w:pPr>
    </w:p>
    <w:p>
      <w:pPr>
        <w:jc w:val="center"/>
        <w:ind w:right="180"/>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38100</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880"/>
          </w:cols>
          <w:pgMar w:left="580" w:top="976" w:right="439" w:bottom="1440" w:gutter="0" w:footer="0" w:header="0"/>
          <w:type w:val="continuous"/>
        </w:sectPr>
      </w:pPr>
    </w:p>
    <w:bookmarkStart w:id="35" w:name="page36"/>
    <w:bookmarkEnd w:id="35"/>
    <w:tbl>
      <w:tblPr>
        <w:tblLayout w:type="fixed"/>
        <w:tblInd w:w="10" w:type="dxa"/>
        <w:tblCellMar>
          <w:top w:w="0" w:type="dxa"/>
          <w:left w:w="0" w:type="dxa"/>
          <w:bottom w:w="0" w:type="dxa"/>
          <w:right w:w="0" w:type="dxa"/>
        </w:tblCellMar>
      </w:tblPr>
      <w:tr>
        <w:trPr>
          <w:trHeight w:val="596"/>
        </w:trPr>
        <w:tc>
          <w:tcPr>
            <w:tcW w:w="3860" w:type="dxa"/>
            <w:vAlign w:val="bottom"/>
            <w:tcBorders>
              <w:top w:val="single" w:sz="8" w:color="auto"/>
              <w:left w:val="single" w:sz="8" w:color="auto"/>
            </w:tcBorders>
          </w:tcPr>
          <w:p>
            <w:pPr>
              <w:spacing w:after="0"/>
              <w:rPr>
                <w:sz w:val="24"/>
                <w:szCs w:val="24"/>
                <w:color w:val="auto"/>
              </w:rPr>
            </w:pPr>
          </w:p>
        </w:tc>
        <w:tc>
          <w:tcPr>
            <w:tcW w:w="7380" w:type="dxa"/>
            <w:vAlign w:val="bottom"/>
            <w:tcBorders>
              <w:top w:val="single" w:sz="8" w:color="auto"/>
              <w:right w:val="single" w:sz="8" w:color="auto"/>
            </w:tcBorders>
          </w:tcPr>
          <w:p>
            <w:pPr>
              <w:ind w:left="1760"/>
              <w:spacing w:after="0"/>
              <w:rPr>
                <w:sz w:val="20"/>
                <w:szCs w:val="20"/>
                <w:color w:val="auto"/>
              </w:rPr>
            </w:pPr>
            <w:r>
              <w:rPr>
                <w:rFonts w:ascii="Arial" w:cs="Arial" w:eastAsia="Arial" w:hAnsi="Arial"/>
                <w:sz w:val="18"/>
                <w:szCs w:val="18"/>
                <w:color w:val="auto"/>
              </w:rPr>
              <w:t>The underwriters have agreed to waive their rights to their deferred</w:t>
            </w:r>
          </w:p>
        </w:tc>
      </w:tr>
      <w:tr>
        <w:trPr>
          <w:trHeight w:val="216"/>
        </w:trPr>
        <w:tc>
          <w:tcPr>
            <w:tcW w:w="3860" w:type="dxa"/>
            <w:vAlign w:val="bottom"/>
            <w:tcBorders>
              <w:left w:val="single" w:sz="8" w:color="auto"/>
            </w:tcBorders>
          </w:tcPr>
          <w:p>
            <w:pPr>
              <w:spacing w:after="0"/>
              <w:rPr>
                <w:sz w:val="18"/>
                <w:szCs w:val="18"/>
                <w:color w:val="auto"/>
              </w:rPr>
            </w:pPr>
          </w:p>
        </w:tc>
        <w:tc>
          <w:tcPr>
            <w:tcW w:w="7380" w:type="dxa"/>
            <w:vAlign w:val="bottom"/>
            <w:tcBorders>
              <w:right w:val="single" w:sz="8" w:color="auto"/>
            </w:tcBorders>
          </w:tcPr>
          <w:p>
            <w:pPr>
              <w:ind w:left="1760"/>
              <w:spacing w:after="0"/>
              <w:rPr>
                <w:sz w:val="20"/>
                <w:szCs w:val="20"/>
                <w:color w:val="auto"/>
              </w:rPr>
            </w:pPr>
            <w:r>
              <w:rPr>
                <w:rFonts w:ascii="Arial" w:cs="Arial" w:eastAsia="Arial" w:hAnsi="Arial"/>
                <w:sz w:val="18"/>
                <w:szCs w:val="18"/>
                <w:color w:val="auto"/>
                <w:w w:val="96"/>
              </w:rPr>
              <w:t>underwriting commission held in the trust account in the event we do not</w:t>
            </w:r>
          </w:p>
        </w:tc>
      </w:tr>
      <w:tr>
        <w:trPr>
          <w:trHeight w:val="216"/>
        </w:trPr>
        <w:tc>
          <w:tcPr>
            <w:tcW w:w="3860" w:type="dxa"/>
            <w:vAlign w:val="bottom"/>
            <w:tcBorders>
              <w:left w:val="single" w:sz="8" w:color="auto"/>
            </w:tcBorders>
          </w:tcPr>
          <w:p>
            <w:pPr>
              <w:spacing w:after="0"/>
              <w:rPr>
                <w:sz w:val="18"/>
                <w:szCs w:val="18"/>
                <w:color w:val="auto"/>
              </w:rPr>
            </w:pPr>
          </w:p>
        </w:tc>
        <w:tc>
          <w:tcPr>
            <w:tcW w:w="7380" w:type="dxa"/>
            <w:vAlign w:val="bottom"/>
            <w:tcBorders>
              <w:right w:val="single" w:sz="8" w:color="auto"/>
            </w:tcBorders>
          </w:tcPr>
          <w:p>
            <w:pPr>
              <w:ind w:left="1760"/>
              <w:spacing w:after="0"/>
              <w:rPr>
                <w:sz w:val="20"/>
                <w:szCs w:val="20"/>
                <w:color w:val="auto"/>
              </w:rPr>
            </w:pPr>
            <w:r>
              <w:rPr>
                <w:rFonts w:ascii="Arial" w:cs="Arial" w:eastAsia="Arial" w:hAnsi="Arial"/>
                <w:sz w:val="18"/>
                <w:szCs w:val="18"/>
                <w:color w:val="auto"/>
              </w:rPr>
              <w:t>complete our initial business combination within 24 months from the</w:t>
            </w:r>
          </w:p>
        </w:tc>
      </w:tr>
      <w:tr>
        <w:trPr>
          <w:trHeight w:val="216"/>
        </w:trPr>
        <w:tc>
          <w:tcPr>
            <w:tcW w:w="3860" w:type="dxa"/>
            <w:vAlign w:val="bottom"/>
            <w:tcBorders>
              <w:left w:val="single" w:sz="8" w:color="auto"/>
            </w:tcBorders>
          </w:tcPr>
          <w:p>
            <w:pPr>
              <w:spacing w:after="0"/>
              <w:rPr>
                <w:sz w:val="18"/>
                <w:szCs w:val="18"/>
                <w:color w:val="auto"/>
              </w:rPr>
            </w:pPr>
          </w:p>
        </w:tc>
        <w:tc>
          <w:tcPr>
            <w:tcW w:w="7380" w:type="dxa"/>
            <w:vAlign w:val="bottom"/>
            <w:tcBorders>
              <w:right w:val="single" w:sz="8" w:color="auto"/>
            </w:tcBorders>
          </w:tcPr>
          <w:p>
            <w:pPr>
              <w:ind w:left="1760"/>
              <w:spacing w:after="0"/>
              <w:rPr>
                <w:sz w:val="20"/>
                <w:szCs w:val="20"/>
                <w:color w:val="auto"/>
              </w:rPr>
            </w:pPr>
            <w:r>
              <w:rPr>
                <w:rFonts w:ascii="Arial" w:cs="Arial" w:eastAsia="Arial" w:hAnsi="Arial"/>
                <w:sz w:val="18"/>
                <w:szCs w:val="18"/>
                <w:color w:val="auto"/>
                <w:w w:val="95"/>
              </w:rPr>
              <w:t>closing of this offering or during any Extension Period and, in such event,</w:t>
            </w:r>
          </w:p>
        </w:tc>
      </w:tr>
      <w:tr>
        <w:trPr>
          <w:trHeight w:val="216"/>
        </w:trPr>
        <w:tc>
          <w:tcPr>
            <w:tcW w:w="3860" w:type="dxa"/>
            <w:vAlign w:val="bottom"/>
            <w:tcBorders>
              <w:left w:val="single" w:sz="8" w:color="auto"/>
            </w:tcBorders>
          </w:tcPr>
          <w:p>
            <w:pPr>
              <w:spacing w:after="0"/>
              <w:rPr>
                <w:sz w:val="18"/>
                <w:szCs w:val="18"/>
                <w:color w:val="auto"/>
              </w:rPr>
            </w:pPr>
          </w:p>
        </w:tc>
        <w:tc>
          <w:tcPr>
            <w:tcW w:w="7380" w:type="dxa"/>
            <w:vAlign w:val="bottom"/>
            <w:tcBorders>
              <w:right w:val="single" w:sz="8" w:color="auto"/>
            </w:tcBorders>
          </w:tcPr>
          <w:p>
            <w:pPr>
              <w:ind w:left="1760"/>
              <w:spacing w:after="0"/>
              <w:rPr>
                <w:sz w:val="20"/>
                <w:szCs w:val="20"/>
                <w:color w:val="auto"/>
              </w:rPr>
            </w:pPr>
            <w:r>
              <w:rPr>
                <w:rFonts w:ascii="Arial" w:cs="Arial" w:eastAsia="Arial" w:hAnsi="Arial"/>
                <w:sz w:val="18"/>
                <w:szCs w:val="18"/>
                <w:color w:val="auto"/>
                <w:w w:val="95"/>
              </w:rPr>
              <w:t>such amounts will be included with the funds held in the trust account that</w:t>
            </w:r>
          </w:p>
        </w:tc>
      </w:tr>
      <w:tr>
        <w:trPr>
          <w:trHeight w:val="230"/>
        </w:trPr>
        <w:tc>
          <w:tcPr>
            <w:tcW w:w="3860" w:type="dxa"/>
            <w:vAlign w:val="bottom"/>
            <w:tcBorders>
              <w:left w:val="single" w:sz="8" w:color="auto"/>
            </w:tcBorders>
          </w:tcPr>
          <w:p>
            <w:pPr>
              <w:spacing w:after="0"/>
              <w:rPr>
                <w:sz w:val="20"/>
                <w:szCs w:val="20"/>
                <w:color w:val="auto"/>
              </w:rPr>
            </w:pPr>
          </w:p>
        </w:tc>
        <w:tc>
          <w:tcPr>
            <w:tcW w:w="7380" w:type="dxa"/>
            <w:vAlign w:val="bottom"/>
            <w:tcBorders>
              <w:right w:val="single" w:sz="8" w:color="auto"/>
            </w:tcBorders>
          </w:tcPr>
          <w:p>
            <w:pPr>
              <w:ind w:left="1760"/>
              <w:spacing w:after="0"/>
              <w:rPr>
                <w:sz w:val="20"/>
                <w:szCs w:val="20"/>
                <w:color w:val="auto"/>
              </w:rPr>
            </w:pPr>
            <w:r>
              <w:rPr>
                <w:rFonts w:ascii="Arial" w:cs="Arial" w:eastAsia="Arial" w:hAnsi="Arial"/>
                <w:sz w:val="18"/>
                <w:szCs w:val="18"/>
                <w:color w:val="auto"/>
              </w:rPr>
              <w:t>will be available to fund the redemption of our public shares.</w:t>
            </w:r>
          </w:p>
        </w:tc>
      </w:tr>
      <w:tr>
        <w:trPr>
          <w:trHeight w:val="364"/>
        </w:trPr>
        <w:tc>
          <w:tcPr>
            <w:tcW w:w="3860" w:type="dxa"/>
            <w:vAlign w:val="bottom"/>
            <w:tcBorders>
              <w:left w:val="single" w:sz="8" w:color="auto"/>
            </w:tcBorders>
          </w:tcPr>
          <w:p>
            <w:pPr>
              <w:spacing w:after="0"/>
              <w:rPr>
                <w:sz w:val="24"/>
                <w:szCs w:val="24"/>
                <w:color w:val="auto"/>
              </w:rPr>
            </w:pPr>
          </w:p>
        </w:tc>
        <w:tc>
          <w:tcPr>
            <w:tcW w:w="7380" w:type="dxa"/>
            <w:vAlign w:val="bottom"/>
            <w:tcBorders>
              <w:right w:val="single" w:sz="8" w:color="auto"/>
            </w:tcBorders>
          </w:tcPr>
          <w:p>
            <w:pPr>
              <w:ind w:left="1760"/>
              <w:spacing w:after="0"/>
              <w:rPr>
                <w:sz w:val="20"/>
                <w:szCs w:val="20"/>
                <w:color w:val="auto"/>
              </w:rPr>
            </w:pPr>
            <w:r>
              <w:rPr>
                <w:rFonts w:ascii="Arial" w:cs="Arial" w:eastAsia="Arial" w:hAnsi="Arial"/>
                <w:sz w:val="18"/>
                <w:szCs w:val="18"/>
                <w:color w:val="auto"/>
              </w:rPr>
              <w:t>Our initial shareholders, sponsor, officers and directors have agreed,</w:t>
            </w:r>
          </w:p>
        </w:tc>
      </w:tr>
      <w:tr>
        <w:trPr>
          <w:trHeight w:val="216"/>
        </w:trPr>
        <w:tc>
          <w:tcPr>
            <w:tcW w:w="3860" w:type="dxa"/>
            <w:vAlign w:val="bottom"/>
            <w:tcBorders>
              <w:left w:val="single" w:sz="8" w:color="auto"/>
            </w:tcBorders>
          </w:tcPr>
          <w:p>
            <w:pPr>
              <w:spacing w:after="0"/>
              <w:rPr>
                <w:sz w:val="18"/>
                <w:szCs w:val="18"/>
                <w:color w:val="auto"/>
              </w:rPr>
            </w:pPr>
          </w:p>
        </w:tc>
        <w:tc>
          <w:tcPr>
            <w:tcW w:w="7380" w:type="dxa"/>
            <w:vAlign w:val="bottom"/>
            <w:tcBorders>
              <w:right w:val="single" w:sz="8" w:color="auto"/>
            </w:tcBorders>
          </w:tcPr>
          <w:p>
            <w:pPr>
              <w:ind w:left="1760"/>
              <w:spacing w:after="0"/>
              <w:rPr>
                <w:sz w:val="20"/>
                <w:szCs w:val="20"/>
                <w:color w:val="auto"/>
              </w:rPr>
            </w:pPr>
            <w:r>
              <w:rPr>
                <w:rFonts w:ascii="Arial" w:cs="Arial" w:eastAsia="Arial" w:hAnsi="Arial"/>
                <w:sz w:val="18"/>
                <w:szCs w:val="18"/>
                <w:color w:val="auto"/>
                <w:w w:val="92"/>
              </w:rPr>
              <w:t>pursuant to a letter agreement, that they will not propose any amendment to</w:t>
            </w:r>
          </w:p>
        </w:tc>
      </w:tr>
      <w:tr>
        <w:trPr>
          <w:trHeight w:val="216"/>
        </w:trPr>
        <w:tc>
          <w:tcPr>
            <w:tcW w:w="3860" w:type="dxa"/>
            <w:vAlign w:val="bottom"/>
            <w:tcBorders>
              <w:left w:val="single" w:sz="8" w:color="auto"/>
            </w:tcBorders>
          </w:tcPr>
          <w:p>
            <w:pPr>
              <w:spacing w:after="0"/>
              <w:rPr>
                <w:sz w:val="18"/>
                <w:szCs w:val="18"/>
                <w:color w:val="auto"/>
              </w:rPr>
            </w:pPr>
          </w:p>
        </w:tc>
        <w:tc>
          <w:tcPr>
            <w:tcW w:w="7380" w:type="dxa"/>
            <w:vAlign w:val="bottom"/>
            <w:tcBorders>
              <w:right w:val="single" w:sz="8" w:color="auto"/>
            </w:tcBorders>
          </w:tcPr>
          <w:p>
            <w:pPr>
              <w:ind w:left="1760"/>
              <w:spacing w:after="0"/>
              <w:rPr>
                <w:sz w:val="20"/>
                <w:szCs w:val="20"/>
                <w:color w:val="auto"/>
              </w:rPr>
            </w:pPr>
            <w:r>
              <w:rPr>
                <w:rFonts w:ascii="Arial" w:cs="Arial" w:eastAsia="Arial" w:hAnsi="Arial"/>
                <w:sz w:val="18"/>
                <w:szCs w:val="18"/>
                <w:color w:val="auto"/>
                <w:w w:val="94"/>
              </w:rPr>
              <w:t>our amended and restated memorandum and articles of association (A) to</w:t>
            </w:r>
          </w:p>
        </w:tc>
      </w:tr>
      <w:tr>
        <w:trPr>
          <w:trHeight w:val="216"/>
        </w:trPr>
        <w:tc>
          <w:tcPr>
            <w:tcW w:w="3860" w:type="dxa"/>
            <w:vAlign w:val="bottom"/>
            <w:tcBorders>
              <w:left w:val="single" w:sz="8" w:color="auto"/>
            </w:tcBorders>
          </w:tcPr>
          <w:p>
            <w:pPr>
              <w:spacing w:after="0"/>
              <w:rPr>
                <w:sz w:val="18"/>
                <w:szCs w:val="18"/>
                <w:color w:val="auto"/>
              </w:rPr>
            </w:pPr>
          </w:p>
        </w:tc>
        <w:tc>
          <w:tcPr>
            <w:tcW w:w="7380" w:type="dxa"/>
            <w:vAlign w:val="bottom"/>
            <w:tcBorders>
              <w:right w:val="single" w:sz="8" w:color="auto"/>
            </w:tcBorders>
          </w:tcPr>
          <w:p>
            <w:pPr>
              <w:ind w:left="1760"/>
              <w:spacing w:after="0"/>
              <w:rPr>
                <w:sz w:val="20"/>
                <w:szCs w:val="20"/>
                <w:color w:val="auto"/>
              </w:rPr>
            </w:pPr>
            <w:r>
              <w:rPr>
                <w:rFonts w:ascii="Arial" w:cs="Arial" w:eastAsia="Arial" w:hAnsi="Arial"/>
                <w:sz w:val="18"/>
                <w:szCs w:val="18"/>
                <w:color w:val="auto"/>
              </w:rPr>
              <w:t>modify the substance or timing of our obligation to allow redemption in</w:t>
            </w:r>
          </w:p>
        </w:tc>
      </w:tr>
      <w:tr>
        <w:trPr>
          <w:trHeight w:val="216"/>
        </w:trPr>
        <w:tc>
          <w:tcPr>
            <w:tcW w:w="3860" w:type="dxa"/>
            <w:vAlign w:val="bottom"/>
            <w:tcBorders>
              <w:left w:val="single" w:sz="8" w:color="auto"/>
            </w:tcBorders>
          </w:tcPr>
          <w:p>
            <w:pPr>
              <w:spacing w:after="0"/>
              <w:rPr>
                <w:sz w:val="18"/>
                <w:szCs w:val="18"/>
                <w:color w:val="auto"/>
              </w:rPr>
            </w:pPr>
          </w:p>
        </w:tc>
        <w:tc>
          <w:tcPr>
            <w:tcW w:w="7380" w:type="dxa"/>
            <w:vAlign w:val="bottom"/>
            <w:tcBorders>
              <w:right w:val="single" w:sz="8" w:color="auto"/>
            </w:tcBorders>
          </w:tcPr>
          <w:p>
            <w:pPr>
              <w:ind w:left="1760"/>
              <w:spacing w:after="0"/>
              <w:rPr>
                <w:sz w:val="20"/>
                <w:szCs w:val="20"/>
                <w:color w:val="auto"/>
              </w:rPr>
            </w:pPr>
            <w:r>
              <w:rPr>
                <w:rFonts w:ascii="Arial" w:cs="Arial" w:eastAsia="Arial" w:hAnsi="Arial"/>
                <w:sz w:val="18"/>
                <w:szCs w:val="18"/>
                <w:color w:val="auto"/>
                <w:w w:val="94"/>
              </w:rPr>
              <w:t>connection with our initial business combination or to redeem 100% of our</w:t>
            </w:r>
          </w:p>
        </w:tc>
      </w:tr>
      <w:tr>
        <w:trPr>
          <w:trHeight w:val="216"/>
        </w:trPr>
        <w:tc>
          <w:tcPr>
            <w:tcW w:w="3860" w:type="dxa"/>
            <w:vAlign w:val="bottom"/>
            <w:tcBorders>
              <w:left w:val="single" w:sz="8" w:color="auto"/>
            </w:tcBorders>
          </w:tcPr>
          <w:p>
            <w:pPr>
              <w:spacing w:after="0"/>
              <w:rPr>
                <w:sz w:val="18"/>
                <w:szCs w:val="18"/>
                <w:color w:val="auto"/>
              </w:rPr>
            </w:pPr>
          </w:p>
        </w:tc>
        <w:tc>
          <w:tcPr>
            <w:tcW w:w="7380" w:type="dxa"/>
            <w:vAlign w:val="bottom"/>
            <w:tcBorders>
              <w:right w:val="single" w:sz="8" w:color="auto"/>
            </w:tcBorders>
          </w:tcPr>
          <w:p>
            <w:pPr>
              <w:ind w:left="1760"/>
              <w:spacing w:after="0"/>
              <w:rPr>
                <w:sz w:val="20"/>
                <w:szCs w:val="20"/>
                <w:color w:val="auto"/>
              </w:rPr>
            </w:pPr>
            <w:r>
              <w:rPr>
                <w:rFonts w:ascii="Arial" w:cs="Arial" w:eastAsia="Arial" w:hAnsi="Arial"/>
                <w:sz w:val="18"/>
                <w:szCs w:val="18"/>
                <w:color w:val="auto"/>
                <w:w w:val="94"/>
              </w:rPr>
              <w:t>public shares if we have not consummated an initial business combination</w:t>
            </w:r>
          </w:p>
        </w:tc>
      </w:tr>
      <w:tr>
        <w:trPr>
          <w:trHeight w:val="216"/>
        </w:trPr>
        <w:tc>
          <w:tcPr>
            <w:tcW w:w="3860" w:type="dxa"/>
            <w:vAlign w:val="bottom"/>
            <w:tcBorders>
              <w:left w:val="single" w:sz="8" w:color="auto"/>
            </w:tcBorders>
          </w:tcPr>
          <w:p>
            <w:pPr>
              <w:spacing w:after="0"/>
              <w:rPr>
                <w:sz w:val="18"/>
                <w:szCs w:val="18"/>
                <w:color w:val="auto"/>
              </w:rPr>
            </w:pPr>
          </w:p>
        </w:tc>
        <w:tc>
          <w:tcPr>
            <w:tcW w:w="7380" w:type="dxa"/>
            <w:vAlign w:val="bottom"/>
            <w:tcBorders>
              <w:right w:val="single" w:sz="8" w:color="auto"/>
            </w:tcBorders>
          </w:tcPr>
          <w:p>
            <w:pPr>
              <w:ind w:left="1760"/>
              <w:spacing w:after="0"/>
              <w:rPr>
                <w:sz w:val="20"/>
                <w:szCs w:val="20"/>
                <w:color w:val="auto"/>
              </w:rPr>
            </w:pPr>
            <w:r>
              <w:rPr>
                <w:rFonts w:ascii="Arial" w:cs="Arial" w:eastAsia="Arial" w:hAnsi="Arial"/>
                <w:sz w:val="18"/>
                <w:szCs w:val="18"/>
                <w:color w:val="auto"/>
                <w:w w:val="94"/>
              </w:rPr>
              <w:t>within 24 months from the closing of this offering or (B) with respect to any</w:t>
            </w:r>
          </w:p>
        </w:tc>
      </w:tr>
      <w:tr>
        <w:trPr>
          <w:trHeight w:val="216"/>
        </w:trPr>
        <w:tc>
          <w:tcPr>
            <w:tcW w:w="3860" w:type="dxa"/>
            <w:vAlign w:val="bottom"/>
            <w:tcBorders>
              <w:left w:val="single" w:sz="8" w:color="auto"/>
            </w:tcBorders>
          </w:tcPr>
          <w:p>
            <w:pPr>
              <w:spacing w:after="0"/>
              <w:rPr>
                <w:sz w:val="18"/>
                <w:szCs w:val="18"/>
                <w:color w:val="auto"/>
              </w:rPr>
            </w:pPr>
          </w:p>
        </w:tc>
        <w:tc>
          <w:tcPr>
            <w:tcW w:w="7380" w:type="dxa"/>
            <w:vAlign w:val="bottom"/>
            <w:tcBorders>
              <w:right w:val="single" w:sz="8" w:color="auto"/>
            </w:tcBorders>
          </w:tcPr>
          <w:p>
            <w:pPr>
              <w:ind w:left="1760"/>
              <w:spacing w:after="0"/>
              <w:rPr>
                <w:sz w:val="20"/>
                <w:szCs w:val="20"/>
                <w:color w:val="auto"/>
              </w:rPr>
            </w:pPr>
            <w:r>
              <w:rPr>
                <w:rFonts w:ascii="Arial" w:cs="Arial" w:eastAsia="Arial" w:hAnsi="Arial"/>
                <w:sz w:val="18"/>
                <w:szCs w:val="18"/>
                <w:color w:val="auto"/>
              </w:rPr>
              <w:t>other material provisions relating to shareholders’ rights or pre-initial</w:t>
            </w:r>
          </w:p>
        </w:tc>
      </w:tr>
      <w:tr>
        <w:trPr>
          <w:trHeight w:val="216"/>
        </w:trPr>
        <w:tc>
          <w:tcPr>
            <w:tcW w:w="3860" w:type="dxa"/>
            <w:vAlign w:val="bottom"/>
            <w:tcBorders>
              <w:left w:val="single" w:sz="8" w:color="auto"/>
            </w:tcBorders>
          </w:tcPr>
          <w:p>
            <w:pPr>
              <w:spacing w:after="0"/>
              <w:rPr>
                <w:sz w:val="18"/>
                <w:szCs w:val="18"/>
                <w:color w:val="auto"/>
              </w:rPr>
            </w:pPr>
          </w:p>
        </w:tc>
        <w:tc>
          <w:tcPr>
            <w:tcW w:w="7380" w:type="dxa"/>
            <w:vAlign w:val="bottom"/>
            <w:tcBorders>
              <w:right w:val="single" w:sz="8" w:color="auto"/>
            </w:tcBorders>
          </w:tcPr>
          <w:p>
            <w:pPr>
              <w:ind w:left="1760"/>
              <w:spacing w:after="0"/>
              <w:rPr>
                <w:sz w:val="20"/>
                <w:szCs w:val="20"/>
                <w:color w:val="auto"/>
              </w:rPr>
            </w:pPr>
            <w:r>
              <w:rPr>
                <w:rFonts w:ascii="Arial" w:cs="Arial" w:eastAsia="Arial" w:hAnsi="Arial"/>
                <w:sz w:val="18"/>
                <w:szCs w:val="18"/>
                <w:color w:val="auto"/>
                <w:w w:val="96"/>
              </w:rPr>
              <w:t>business combination activity, unless we provide our public shareholders</w:t>
            </w:r>
          </w:p>
        </w:tc>
      </w:tr>
      <w:tr>
        <w:trPr>
          <w:trHeight w:val="216"/>
        </w:trPr>
        <w:tc>
          <w:tcPr>
            <w:tcW w:w="3860" w:type="dxa"/>
            <w:vAlign w:val="bottom"/>
            <w:tcBorders>
              <w:left w:val="single" w:sz="8" w:color="auto"/>
            </w:tcBorders>
          </w:tcPr>
          <w:p>
            <w:pPr>
              <w:spacing w:after="0"/>
              <w:rPr>
                <w:sz w:val="18"/>
                <w:szCs w:val="18"/>
                <w:color w:val="auto"/>
              </w:rPr>
            </w:pPr>
          </w:p>
        </w:tc>
        <w:tc>
          <w:tcPr>
            <w:tcW w:w="7380" w:type="dxa"/>
            <w:vAlign w:val="bottom"/>
            <w:tcBorders>
              <w:right w:val="single" w:sz="8" w:color="auto"/>
            </w:tcBorders>
          </w:tcPr>
          <w:p>
            <w:pPr>
              <w:ind w:left="1760"/>
              <w:spacing w:after="0"/>
              <w:rPr>
                <w:sz w:val="20"/>
                <w:szCs w:val="20"/>
                <w:color w:val="auto"/>
              </w:rPr>
            </w:pPr>
            <w:r>
              <w:rPr>
                <w:rFonts w:ascii="Arial" w:cs="Arial" w:eastAsia="Arial" w:hAnsi="Arial"/>
                <w:sz w:val="18"/>
                <w:szCs w:val="18"/>
                <w:color w:val="auto"/>
                <w:w w:val="93"/>
              </w:rPr>
              <w:t>with the opportunity to redeem their Class A ordinary shares upon approval</w:t>
            </w:r>
          </w:p>
        </w:tc>
      </w:tr>
      <w:tr>
        <w:trPr>
          <w:trHeight w:val="216"/>
        </w:trPr>
        <w:tc>
          <w:tcPr>
            <w:tcW w:w="3860" w:type="dxa"/>
            <w:vAlign w:val="bottom"/>
            <w:tcBorders>
              <w:left w:val="single" w:sz="8" w:color="auto"/>
            </w:tcBorders>
          </w:tcPr>
          <w:p>
            <w:pPr>
              <w:spacing w:after="0"/>
              <w:rPr>
                <w:sz w:val="18"/>
                <w:szCs w:val="18"/>
                <w:color w:val="auto"/>
              </w:rPr>
            </w:pPr>
          </w:p>
        </w:tc>
        <w:tc>
          <w:tcPr>
            <w:tcW w:w="7380" w:type="dxa"/>
            <w:vAlign w:val="bottom"/>
            <w:tcBorders>
              <w:right w:val="single" w:sz="8" w:color="auto"/>
            </w:tcBorders>
          </w:tcPr>
          <w:p>
            <w:pPr>
              <w:ind w:left="1760"/>
              <w:spacing w:after="0"/>
              <w:rPr>
                <w:sz w:val="20"/>
                <w:szCs w:val="20"/>
                <w:color w:val="auto"/>
              </w:rPr>
            </w:pPr>
            <w:r>
              <w:rPr>
                <w:rFonts w:ascii="Arial" w:cs="Arial" w:eastAsia="Arial" w:hAnsi="Arial"/>
                <w:sz w:val="18"/>
                <w:szCs w:val="18"/>
                <w:color w:val="auto"/>
                <w:w w:val="94"/>
              </w:rPr>
              <w:t>of any such amendment at a per-share price, payable in cash, equal to the</w:t>
            </w:r>
          </w:p>
        </w:tc>
      </w:tr>
      <w:tr>
        <w:trPr>
          <w:trHeight w:val="216"/>
        </w:trPr>
        <w:tc>
          <w:tcPr>
            <w:tcW w:w="3860" w:type="dxa"/>
            <w:vAlign w:val="bottom"/>
            <w:tcBorders>
              <w:left w:val="single" w:sz="8" w:color="auto"/>
            </w:tcBorders>
          </w:tcPr>
          <w:p>
            <w:pPr>
              <w:spacing w:after="0"/>
              <w:rPr>
                <w:sz w:val="18"/>
                <w:szCs w:val="18"/>
                <w:color w:val="auto"/>
              </w:rPr>
            </w:pPr>
          </w:p>
        </w:tc>
        <w:tc>
          <w:tcPr>
            <w:tcW w:w="7380" w:type="dxa"/>
            <w:vAlign w:val="bottom"/>
            <w:tcBorders>
              <w:right w:val="single" w:sz="8" w:color="auto"/>
            </w:tcBorders>
          </w:tcPr>
          <w:p>
            <w:pPr>
              <w:ind w:left="1760"/>
              <w:spacing w:after="0"/>
              <w:rPr>
                <w:sz w:val="20"/>
                <w:szCs w:val="20"/>
                <w:color w:val="auto"/>
              </w:rPr>
            </w:pPr>
            <w:r>
              <w:rPr>
                <w:rFonts w:ascii="Arial" w:cs="Arial" w:eastAsia="Arial" w:hAnsi="Arial"/>
                <w:sz w:val="18"/>
                <w:szCs w:val="18"/>
                <w:color w:val="auto"/>
                <w:w w:val="96"/>
              </w:rPr>
              <w:t>aggregate amount then on deposit in the trust account, including interest</w:t>
            </w:r>
          </w:p>
        </w:tc>
      </w:tr>
      <w:tr>
        <w:trPr>
          <w:trHeight w:val="216"/>
        </w:trPr>
        <w:tc>
          <w:tcPr>
            <w:tcW w:w="3860" w:type="dxa"/>
            <w:vAlign w:val="bottom"/>
            <w:tcBorders>
              <w:left w:val="single" w:sz="8" w:color="auto"/>
            </w:tcBorders>
          </w:tcPr>
          <w:p>
            <w:pPr>
              <w:spacing w:after="0"/>
              <w:rPr>
                <w:sz w:val="18"/>
                <w:szCs w:val="18"/>
                <w:color w:val="auto"/>
              </w:rPr>
            </w:pPr>
          </w:p>
        </w:tc>
        <w:tc>
          <w:tcPr>
            <w:tcW w:w="7380" w:type="dxa"/>
            <w:vAlign w:val="bottom"/>
            <w:tcBorders>
              <w:right w:val="single" w:sz="8" w:color="auto"/>
            </w:tcBorders>
          </w:tcPr>
          <w:p>
            <w:pPr>
              <w:ind w:left="1760"/>
              <w:spacing w:after="0"/>
              <w:rPr>
                <w:sz w:val="20"/>
                <w:szCs w:val="20"/>
                <w:color w:val="auto"/>
              </w:rPr>
            </w:pPr>
            <w:r>
              <w:rPr>
                <w:rFonts w:ascii="Arial" w:cs="Arial" w:eastAsia="Arial" w:hAnsi="Arial"/>
                <w:sz w:val="18"/>
                <w:szCs w:val="18"/>
                <w:color w:val="auto"/>
                <w:w w:val="92"/>
              </w:rPr>
              <w:t>earned on the funds held in the trust account and not previously released to</w:t>
            </w:r>
          </w:p>
        </w:tc>
      </w:tr>
      <w:tr>
        <w:trPr>
          <w:trHeight w:val="216"/>
        </w:trPr>
        <w:tc>
          <w:tcPr>
            <w:tcW w:w="3860" w:type="dxa"/>
            <w:vAlign w:val="bottom"/>
            <w:tcBorders>
              <w:left w:val="single" w:sz="8" w:color="auto"/>
            </w:tcBorders>
          </w:tcPr>
          <w:p>
            <w:pPr>
              <w:spacing w:after="0"/>
              <w:rPr>
                <w:sz w:val="18"/>
                <w:szCs w:val="18"/>
                <w:color w:val="auto"/>
              </w:rPr>
            </w:pPr>
          </w:p>
        </w:tc>
        <w:tc>
          <w:tcPr>
            <w:tcW w:w="7380" w:type="dxa"/>
            <w:vAlign w:val="bottom"/>
            <w:tcBorders>
              <w:right w:val="single" w:sz="8" w:color="auto"/>
            </w:tcBorders>
          </w:tcPr>
          <w:p>
            <w:pPr>
              <w:ind w:left="1760"/>
              <w:spacing w:after="0"/>
              <w:rPr>
                <w:sz w:val="20"/>
                <w:szCs w:val="20"/>
                <w:color w:val="auto"/>
              </w:rPr>
            </w:pPr>
            <w:r>
              <w:rPr>
                <w:rFonts w:ascii="Arial" w:cs="Arial" w:eastAsia="Arial" w:hAnsi="Arial"/>
                <w:sz w:val="18"/>
                <w:szCs w:val="18"/>
                <w:color w:val="auto"/>
              </w:rPr>
              <w:t>us to pay our taxes, divided by the number of then outstanding public</w:t>
            </w:r>
          </w:p>
        </w:tc>
      </w:tr>
      <w:tr>
        <w:trPr>
          <w:trHeight w:val="216"/>
        </w:trPr>
        <w:tc>
          <w:tcPr>
            <w:tcW w:w="3860" w:type="dxa"/>
            <w:vAlign w:val="bottom"/>
            <w:tcBorders>
              <w:left w:val="single" w:sz="8" w:color="auto"/>
            </w:tcBorders>
          </w:tcPr>
          <w:p>
            <w:pPr>
              <w:spacing w:after="0"/>
              <w:rPr>
                <w:sz w:val="18"/>
                <w:szCs w:val="18"/>
                <w:color w:val="auto"/>
              </w:rPr>
            </w:pPr>
          </w:p>
        </w:tc>
        <w:tc>
          <w:tcPr>
            <w:tcW w:w="7380" w:type="dxa"/>
            <w:vAlign w:val="bottom"/>
            <w:tcBorders>
              <w:right w:val="single" w:sz="8" w:color="auto"/>
            </w:tcBorders>
          </w:tcPr>
          <w:p>
            <w:pPr>
              <w:ind w:left="1760"/>
              <w:spacing w:after="0"/>
              <w:rPr>
                <w:sz w:val="20"/>
                <w:szCs w:val="20"/>
                <w:color w:val="auto"/>
              </w:rPr>
            </w:pPr>
            <w:r>
              <w:rPr>
                <w:rFonts w:ascii="Arial" w:cs="Arial" w:eastAsia="Arial" w:hAnsi="Arial"/>
                <w:sz w:val="18"/>
                <w:szCs w:val="18"/>
                <w:color w:val="auto"/>
                <w:w w:val="98"/>
              </w:rPr>
              <w:t>shares, subject to the limitations and on the conditions described above</w:t>
            </w:r>
          </w:p>
        </w:tc>
      </w:tr>
      <w:tr>
        <w:trPr>
          <w:trHeight w:val="216"/>
        </w:trPr>
        <w:tc>
          <w:tcPr>
            <w:tcW w:w="3860" w:type="dxa"/>
            <w:vAlign w:val="bottom"/>
            <w:tcBorders>
              <w:left w:val="single" w:sz="8" w:color="auto"/>
            </w:tcBorders>
          </w:tcPr>
          <w:p>
            <w:pPr>
              <w:spacing w:after="0"/>
              <w:rPr>
                <w:sz w:val="18"/>
                <w:szCs w:val="18"/>
                <w:color w:val="auto"/>
              </w:rPr>
            </w:pPr>
          </w:p>
        </w:tc>
        <w:tc>
          <w:tcPr>
            <w:tcW w:w="7380" w:type="dxa"/>
            <w:vAlign w:val="bottom"/>
            <w:tcBorders>
              <w:right w:val="single" w:sz="8" w:color="auto"/>
            </w:tcBorders>
          </w:tcPr>
          <w:p>
            <w:pPr>
              <w:ind w:left="1760"/>
              <w:spacing w:after="0"/>
              <w:rPr>
                <w:sz w:val="20"/>
                <w:szCs w:val="20"/>
                <w:color w:val="auto"/>
              </w:rPr>
            </w:pPr>
            <w:r>
              <w:rPr>
                <w:rFonts w:ascii="Arial" w:cs="Arial" w:eastAsia="Arial" w:hAnsi="Arial"/>
                <w:sz w:val="18"/>
                <w:szCs w:val="18"/>
                <w:color w:val="auto"/>
                <w:w w:val="99"/>
              </w:rPr>
              <w:t>adjacent to the caption “Limitations on redemptions.” For example, our</w:t>
            </w:r>
          </w:p>
        </w:tc>
      </w:tr>
      <w:tr>
        <w:trPr>
          <w:trHeight w:val="216"/>
        </w:trPr>
        <w:tc>
          <w:tcPr>
            <w:tcW w:w="3860" w:type="dxa"/>
            <w:vAlign w:val="bottom"/>
            <w:tcBorders>
              <w:left w:val="single" w:sz="8" w:color="auto"/>
            </w:tcBorders>
          </w:tcPr>
          <w:p>
            <w:pPr>
              <w:spacing w:after="0"/>
              <w:rPr>
                <w:sz w:val="18"/>
                <w:szCs w:val="18"/>
                <w:color w:val="auto"/>
              </w:rPr>
            </w:pPr>
          </w:p>
        </w:tc>
        <w:tc>
          <w:tcPr>
            <w:tcW w:w="7380" w:type="dxa"/>
            <w:vAlign w:val="bottom"/>
            <w:tcBorders>
              <w:right w:val="single" w:sz="8" w:color="auto"/>
            </w:tcBorders>
          </w:tcPr>
          <w:p>
            <w:pPr>
              <w:ind w:left="1760"/>
              <w:spacing w:after="0"/>
              <w:rPr>
                <w:sz w:val="20"/>
                <w:szCs w:val="20"/>
                <w:color w:val="auto"/>
              </w:rPr>
            </w:pPr>
            <w:r>
              <w:rPr>
                <w:rFonts w:ascii="Arial" w:cs="Arial" w:eastAsia="Arial" w:hAnsi="Arial"/>
                <w:sz w:val="18"/>
                <w:szCs w:val="18"/>
                <w:color w:val="auto"/>
                <w:w w:val="97"/>
              </w:rPr>
              <w:t>board of directors may propose such an amendment if it determines that</w:t>
            </w:r>
          </w:p>
        </w:tc>
      </w:tr>
      <w:tr>
        <w:trPr>
          <w:trHeight w:val="216"/>
        </w:trPr>
        <w:tc>
          <w:tcPr>
            <w:tcW w:w="3860" w:type="dxa"/>
            <w:vAlign w:val="bottom"/>
            <w:tcBorders>
              <w:left w:val="single" w:sz="8" w:color="auto"/>
            </w:tcBorders>
          </w:tcPr>
          <w:p>
            <w:pPr>
              <w:spacing w:after="0"/>
              <w:rPr>
                <w:sz w:val="18"/>
                <w:szCs w:val="18"/>
                <w:color w:val="auto"/>
              </w:rPr>
            </w:pPr>
          </w:p>
        </w:tc>
        <w:tc>
          <w:tcPr>
            <w:tcW w:w="7380" w:type="dxa"/>
            <w:vAlign w:val="bottom"/>
            <w:tcBorders>
              <w:right w:val="single" w:sz="8" w:color="auto"/>
            </w:tcBorders>
          </w:tcPr>
          <w:p>
            <w:pPr>
              <w:ind w:left="1760"/>
              <w:spacing w:after="0"/>
              <w:rPr>
                <w:sz w:val="20"/>
                <w:szCs w:val="20"/>
                <w:color w:val="auto"/>
              </w:rPr>
            </w:pPr>
            <w:r>
              <w:rPr>
                <w:rFonts w:ascii="Arial" w:cs="Arial" w:eastAsia="Arial" w:hAnsi="Arial"/>
                <w:sz w:val="18"/>
                <w:szCs w:val="18"/>
                <w:color w:val="auto"/>
                <w:w w:val="93"/>
              </w:rPr>
              <w:t>additional time is necessary to complete our initial business combination. In</w:t>
            </w:r>
          </w:p>
        </w:tc>
      </w:tr>
      <w:tr>
        <w:trPr>
          <w:trHeight w:val="216"/>
        </w:trPr>
        <w:tc>
          <w:tcPr>
            <w:tcW w:w="3860" w:type="dxa"/>
            <w:vAlign w:val="bottom"/>
            <w:tcBorders>
              <w:left w:val="single" w:sz="8" w:color="auto"/>
            </w:tcBorders>
          </w:tcPr>
          <w:p>
            <w:pPr>
              <w:spacing w:after="0"/>
              <w:rPr>
                <w:sz w:val="18"/>
                <w:szCs w:val="18"/>
                <w:color w:val="auto"/>
              </w:rPr>
            </w:pPr>
          </w:p>
        </w:tc>
        <w:tc>
          <w:tcPr>
            <w:tcW w:w="7380" w:type="dxa"/>
            <w:vAlign w:val="bottom"/>
            <w:tcBorders>
              <w:right w:val="single" w:sz="8" w:color="auto"/>
            </w:tcBorders>
          </w:tcPr>
          <w:p>
            <w:pPr>
              <w:ind w:left="1760"/>
              <w:spacing w:after="0"/>
              <w:rPr>
                <w:sz w:val="20"/>
                <w:szCs w:val="20"/>
                <w:color w:val="auto"/>
              </w:rPr>
            </w:pPr>
            <w:r>
              <w:rPr>
                <w:rFonts w:ascii="Arial" w:cs="Arial" w:eastAsia="Arial" w:hAnsi="Arial"/>
                <w:sz w:val="18"/>
                <w:szCs w:val="18"/>
                <w:color w:val="auto"/>
              </w:rPr>
              <w:t>such event, we will conduct a proxy solicitation and distribute proxy</w:t>
            </w:r>
          </w:p>
        </w:tc>
      </w:tr>
      <w:tr>
        <w:trPr>
          <w:trHeight w:val="216"/>
        </w:trPr>
        <w:tc>
          <w:tcPr>
            <w:tcW w:w="3860" w:type="dxa"/>
            <w:vAlign w:val="bottom"/>
            <w:tcBorders>
              <w:left w:val="single" w:sz="8" w:color="auto"/>
            </w:tcBorders>
          </w:tcPr>
          <w:p>
            <w:pPr>
              <w:spacing w:after="0"/>
              <w:rPr>
                <w:sz w:val="18"/>
                <w:szCs w:val="18"/>
                <w:color w:val="auto"/>
              </w:rPr>
            </w:pPr>
          </w:p>
        </w:tc>
        <w:tc>
          <w:tcPr>
            <w:tcW w:w="7380" w:type="dxa"/>
            <w:vAlign w:val="bottom"/>
            <w:tcBorders>
              <w:right w:val="single" w:sz="8" w:color="auto"/>
            </w:tcBorders>
          </w:tcPr>
          <w:p>
            <w:pPr>
              <w:ind w:left="1760"/>
              <w:spacing w:after="0"/>
              <w:rPr>
                <w:sz w:val="20"/>
                <w:szCs w:val="20"/>
                <w:color w:val="auto"/>
              </w:rPr>
            </w:pPr>
            <w:r>
              <w:rPr>
                <w:rFonts w:ascii="Arial" w:cs="Arial" w:eastAsia="Arial" w:hAnsi="Arial"/>
                <w:sz w:val="18"/>
                <w:szCs w:val="18"/>
                <w:color w:val="auto"/>
              </w:rPr>
              <w:t>materials pursuant to Regulation 14A of the Exchange Act seeking</w:t>
            </w:r>
          </w:p>
        </w:tc>
      </w:tr>
      <w:tr>
        <w:trPr>
          <w:trHeight w:val="216"/>
        </w:trPr>
        <w:tc>
          <w:tcPr>
            <w:tcW w:w="3860" w:type="dxa"/>
            <w:vAlign w:val="bottom"/>
            <w:tcBorders>
              <w:left w:val="single" w:sz="8" w:color="auto"/>
            </w:tcBorders>
          </w:tcPr>
          <w:p>
            <w:pPr>
              <w:spacing w:after="0"/>
              <w:rPr>
                <w:sz w:val="18"/>
                <w:szCs w:val="18"/>
                <w:color w:val="auto"/>
              </w:rPr>
            </w:pPr>
          </w:p>
        </w:tc>
        <w:tc>
          <w:tcPr>
            <w:tcW w:w="7380" w:type="dxa"/>
            <w:vAlign w:val="bottom"/>
            <w:tcBorders>
              <w:right w:val="single" w:sz="8" w:color="auto"/>
            </w:tcBorders>
          </w:tcPr>
          <w:p>
            <w:pPr>
              <w:ind w:left="1760"/>
              <w:spacing w:after="0"/>
              <w:rPr>
                <w:sz w:val="20"/>
                <w:szCs w:val="20"/>
                <w:color w:val="auto"/>
              </w:rPr>
            </w:pPr>
            <w:r>
              <w:rPr>
                <w:rFonts w:ascii="Arial" w:cs="Arial" w:eastAsia="Arial" w:hAnsi="Arial"/>
                <w:sz w:val="18"/>
                <w:szCs w:val="18"/>
                <w:color w:val="auto"/>
                <w:w w:val="92"/>
              </w:rPr>
              <w:t>shareholder approval of such proposal, and in connection therewith, provide</w:t>
            </w:r>
          </w:p>
        </w:tc>
      </w:tr>
      <w:tr>
        <w:trPr>
          <w:trHeight w:val="216"/>
        </w:trPr>
        <w:tc>
          <w:tcPr>
            <w:tcW w:w="3860" w:type="dxa"/>
            <w:vAlign w:val="bottom"/>
            <w:tcBorders>
              <w:left w:val="single" w:sz="8" w:color="auto"/>
            </w:tcBorders>
          </w:tcPr>
          <w:p>
            <w:pPr>
              <w:spacing w:after="0"/>
              <w:rPr>
                <w:sz w:val="18"/>
                <w:szCs w:val="18"/>
                <w:color w:val="auto"/>
              </w:rPr>
            </w:pPr>
          </w:p>
        </w:tc>
        <w:tc>
          <w:tcPr>
            <w:tcW w:w="7380" w:type="dxa"/>
            <w:vAlign w:val="bottom"/>
            <w:tcBorders>
              <w:right w:val="single" w:sz="8" w:color="auto"/>
            </w:tcBorders>
          </w:tcPr>
          <w:p>
            <w:pPr>
              <w:ind w:left="1760"/>
              <w:spacing w:after="0"/>
              <w:rPr>
                <w:sz w:val="20"/>
                <w:szCs w:val="20"/>
                <w:color w:val="auto"/>
              </w:rPr>
            </w:pPr>
            <w:r>
              <w:rPr>
                <w:rFonts w:ascii="Arial" w:cs="Arial" w:eastAsia="Arial" w:hAnsi="Arial"/>
                <w:sz w:val="18"/>
                <w:szCs w:val="18"/>
                <w:color w:val="auto"/>
                <w:w w:val="96"/>
              </w:rPr>
              <w:t>our public shareholders with the redemption rights described above upon</w:t>
            </w:r>
          </w:p>
        </w:tc>
      </w:tr>
      <w:tr>
        <w:trPr>
          <w:trHeight w:val="230"/>
        </w:trPr>
        <w:tc>
          <w:tcPr>
            <w:tcW w:w="3860" w:type="dxa"/>
            <w:vAlign w:val="bottom"/>
            <w:tcBorders>
              <w:left w:val="single" w:sz="8" w:color="auto"/>
            </w:tcBorders>
          </w:tcPr>
          <w:p>
            <w:pPr>
              <w:spacing w:after="0"/>
              <w:rPr>
                <w:sz w:val="20"/>
                <w:szCs w:val="20"/>
                <w:color w:val="auto"/>
              </w:rPr>
            </w:pPr>
          </w:p>
        </w:tc>
        <w:tc>
          <w:tcPr>
            <w:tcW w:w="7380" w:type="dxa"/>
            <w:vAlign w:val="bottom"/>
            <w:tcBorders>
              <w:right w:val="single" w:sz="8" w:color="auto"/>
            </w:tcBorders>
          </w:tcPr>
          <w:p>
            <w:pPr>
              <w:ind w:left="1760"/>
              <w:spacing w:after="0"/>
              <w:rPr>
                <w:sz w:val="20"/>
                <w:szCs w:val="20"/>
                <w:color w:val="auto"/>
              </w:rPr>
            </w:pPr>
            <w:r>
              <w:rPr>
                <w:rFonts w:ascii="Arial" w:cs="Arial" w:eastAsia="Arial" w:hAnsi="Arial"/>
                <w:sz w:val="18"/>
                <w:szCs w:val="18"/>
                <w:color w:val="auto"/>
              </w:rPr>
              <w:t>shareholder approval of such amendment.</w:t>
            </w:r>
          </w:p>
        </w:tc>
      </w:tr>
      <w:tr>
        <w:trPr>
          <w:trHeight w:val="364"/>
        </w:trPr>
        <w:tc>
          <w:tcPr>
            <w:tcW w:w="3860" w:type="dxa"/>
            <w:vAlign w:val="bottom"/>
            <w:tcBorders>
              <w:left w:val="single" w:sz="8" w:color="auto"/>
            </w:tcBorders>
          </w:tcPr>
          <w:p>
            <w:pPr>
              <w:ind w:left="100"/>
              <w:spacing w:after="0"/>
              <w:rPr>
                <w:sz w:val="20"/>
                <w:szCs w:val="20"/>
                <w:color w:val="auto"/>
              </w:rPr>
            </w:pPr>
            <w:r>
              <w:rPr>
                <w:rFonts w:ascii="Arial" w:cs="Arial" w:eastAsia="Arial" w:hAnsi="Arial"/>
                <w:sz w:val="18"/>
                <w:szCs w:val="18"/>
                <w:color w:val="auto"/>
              </w:rPr>
              <w:t>Limited payments to insiders</w:t>
            </w:r>
          </w:p>
        </w:tc>
        <w:tc>
          <w:tcPr>
            <w:tcW w:w="7380" w:type="dxa"/>
            <w:vAlign w:val="bottom"/>
            <w:tcBorders>
              <w:right w:val="single" w:sz="8" w:color="auto"/>
            </w:tcBorders>
          </w:tcPr>
          <w:p>
            <w:pPr>
              <w:ind w:left="1760"/>
              <w:spacing w:after="0"/>
              <w:rPr>
                <w:sz w:val="20"/>
                <w:szCs w:val="20"/>
                <w:color w:val="auto"/>
              </w:rPr>
            </w:pPr>
            <w:r>
              <w:rPr>
                <w:rFonts w:ascii="Arial" w:cs="Arial" w:eastAsia="Arial" w:hAnsi="Arial"/>
                <w:sz w:val="18"/>
                <w:szCs w:val="18"/>
                <w:color w:val="auto"/>
                <w:w w:val="98"/>
              </w:rPr>
              <w:t>There will be no finder’s fees, reimbursement, consulting fee, monies in</w:t>
            </w:r>
          </w:p>
        </w:tc>
      </w:tr>
      <w:tr>
        <w:trPr>
          <w:trHeight w:val="216"/>
        </w:trPr>
        <w:tc>
          <w:tcPr>
            <w:tcW w:w="3860" w:type="dxa"/>
            <w:vAlign w:val="bottom"/>
            <w:tcBorders>
              <w:left w:val="single" w:sz="8" w:color="auto"/>
            </w:tcBorders>
          </w:tcPr>
          <w:p>
            <w:pPr>
              <w:spacing w:after="0"/>
              <w:rPr>
                <w:sz w:val="18"/>
                <w:szCs w:val="18"/>
                <w:color w:val="auto"/>
              </w:rPr>
            </w:pPr>
          </w:p>
        </w:tc>
        <w:tc>
          <w:tcPr>
            <w:tcW w:w="7380" w:type="dxa"/>
            <w:vAlign w:val="bottom"/>
            <w:tcBorders>
              <w:right w:val="single" w:sz="8" w:color="auto"/>
            </w:tcBorders>
          </w:tcPr>
          <w:p>
            <w:pPr>
              <w:ind w:left="1760"/>
              <w:spacing w:after="0"/>
              <w:rPr>
                <w:sz w:val="20"/>
                <w:szCs w:val="20"/>
                <w:color w:val="auto"/>
              </w:rPr>
            </w:pPr>
            <w:r>
              <w:rPr>
                <w:rFonts w:ascii="Arial" w:cs="Arial" w:eastAsia="Arial" w:hAnsi="Arial"/>
                <w:sz w:val="18"/>
                <w:szCs w:val="18"/>
                <w:color w:val="auto"/>
                <w:w w:val="95"/>
              </w:rPr>
              <w:t>respect of any payment of a loan or other compensation paid by us to our</w:t>
            </w:r>
          </w:p>
        </w:tc>
      </w:tr>
      <w:tr>
        <w:trPr>
          <w:trHeight w:val="216"/>
        </w:trPr>
        <w:tc>
          <w:tcPr>
            <w:tcW w:w="3860" w:type="dxa"/>
            <w:vAlign w:val="bottom"/>
            <w:tcBorders>
              <w:left w:val="single" w:sz="8" w:color="auto"/>
            </w:tcBorders>
          </w:tcPr>
          <w:p>
            <w:pPr>
              <w:spacing w:after="0"/>
              <w:rPr>
                <w:sz w:val="18"/>
                <w:szCs w:val="18"/>
                <w:color w:val="auto"/>
              </w:rPr>
            </w:pPr>
          </w:p>
        </w:tc>
        <w:tc>
          <w:tcPr>
            <w:tcW w:w="7380" w:type="dxa"/>
            <w:vAlign w:val="bottom"/>
            <w:tcBorders>
              <w:right w:val="single" w:sz="8" w:color="auto"/>
            </w:tcBorders>
          </w:tcPr>
          <w:p>
            <w:pPr>
              <w:ind w:left="1760"/>
              <w:spacing w:after="0"/>
              <w:rPr>
                <w:sz w:val="20"/>
                <w:szCs w:val="20"/>
                <w:color w:val="auto"/>
              </w:rPr>
            </w:pPr>
            <w:r>
              <w:rPr>
                <w:rFonts w:ascii="Arial" w:cs="Arial" w:eastAsia="Arial" w:hAnsi="Arial"/>
                <w:sz w:val="18"/>
                <w:szCs w:val="18"/>
                <w:color w:val="auto"/>
                <w:w w:val="97"/>
              </w:rPr>
              <w:t>sponsor, officers, directors or employees, or any affiliate of our sponsor,</w:t>
            </w:r>
          </w:p>
        </w:tc>
      </w:tr>
      <w:tr>
        <w:trPr>
          <w:trHeight w:val="216"/>
        </w:trPr>
        <w:tc>
          <w:tcPr>
            <w:tcW w:w="3860" w:type="dxa"/>
            <w:vAlign w:val="bottom"/>
            <w:tcBorders>
              <w:left w:val="single" w:sz="8" w:color="auto"/>
            </w:tcBorders>
          </w:tcPr>
          <w:p>
            <w:pPr>
              <w:spacing w:after="0"/>
              <w:rPr>
                <w:sz w:val="18"/>
                <w:szCs w:val="18"/>
                <w:color w:val="auto"/>
              </w:rPr>
            </w:pPr>
          </w:p>
        </w:tc>
        <w:tc>
          <w:tcPr>
            <w:tcW w:w="7380" w:type="dxa"/>
            <w:vAlign w:val="bottom"/>
            <w:tcBorders>
              <w:right w:val="single" w:sz="8" w:color="auto"/>
            </w:tcBorders>
          </w:tcPr>
          <w:p>
            <w:pPr>
              <w:ind w:left="1760"/>
              <w:spacing w:after="0"/>
              <w:rPr>
                <w:sz w:val="20"/>
                <w:szCs w:val="20"/>
                <w:color w:val="auto"/>
              </w:rPr>
            </w:pPr>
            <w:r>
              <w:rPr>
                <w:rFonts w:ascii="Arial" w:cs="Arial" w:eastAsia="Arial" w:hAnsi="Arial"/>
                <w:sz w:val="18"/>
                <w:szCs w:val="18"/>
                <w:color w:val="auto"/>
                <w:w w:val="94"/>
              </w:rPr>
              <w:t>officers, directors or employees prior to, or in connection with any services</w:t>
            </w:r>
          </w:p>
        </w:tc>
      </w:tr>
      <w:tr>
        <w:trPr>
          <w:trHeight w:val="216"/>
        </w:trPr>
        <w:tc>
          <w:tcPr>
            <w:tcW w:w="3860" w:type="dxa"/>
            <w:vAlign w:val="bottom"/>
            <w:tcBorders>
              <w:left w:val="single" w:sz="8" w:color="auto"/>
            </w:tcBorders>
          </w:tcPr>
          <w:p>
            <w:pPr>
              <w:spacing w:after="0"/>
              <w:rPr>
                <w:sz w:val="18"/>
                <w:szCs w:val="18"/>
                <w:color w:val="auto"/>
              </w:rPr>
            </w:pPr>
          </w:p>
        </w:tc>
        <w:tc>
          <w:tcPr>
            <w:tcW w:w="7380" w:type="dxa"/>
            <w:vAlign w:val="bottom"/>
            <w:tcBorders>
              <w:right w:val="single" w:sz="8" w:color="auto"/>
            </w:tcBorders>
          </w:tcPr>
          <w:p>
            <w:pPr>
              <w:ind w:left="1760"/>
              <w:spacing w:after="0"/>
              <w:rPr>
                <w:sz w:val="20"/>
                <w:szCs w:val="20"/>
                <w:color w:val="auto"/>
              </w:rPr>
            </w:pPr>
            <w:r>
              <w:rPr>
                <w:rFonts w:ascii="Arial" w:cs="Arial" w:eastAsia="Arial" w:hAnsi="Arial"/>
                <w:sz w:val="18"/>
                <w:szCs w:val="18"/>
                <w:color w:val="auto"/>
                <w:w w:val="97"/>
              </w:rPr>
              <w:t>rendered in order to effectuate, the consummation of our initial business</w:t>
            </w:r>
          </w:p>
        </w:tc>
      </w:tr>
      <w:tr>
        <w:trPr>
          <w:trHeight w:val="216"/>
        </w:trPr>
        <w:tc>
          <w:tcPr>
            <w:tcW w:w="3860" w:type="dxa"/>
            <w:vAlign w:val="bottom"/>
            <w:tcBorders>
              <w:left w:val="single" w:sz="8" w:color="auto"/>
            </w:tcBorders>
          </w:tcPr>
          <w:p>
            <w:pPr>
              <w:spacing w:after="0"/>
              <w:rPr>
                <w:sz w:val="18"/>
                <w:szCs w:val="18"/>
                <w:color w:val="auto"/>
              </w:rPr>
            </w:pPr>
          </w:p>
        </w:tc>
        <w:tc>
          <w:tcPr>
            <w:tcW w:w="7380" w:type="dxa"/>
            <w:vAlign w:val="bottom"/>
            <w:tcBorders>
              <w:right w:val="single" w:sz="8" w:color="auto"/>
            </w:tcBorders>
          </w:tcPr>
          <w:p>
            <w:pPr>
              <w:ind w:left="1760"/>
              <w:spacing w:after="0"/>
              <w:rPr>
                <w:sz w:val="20"/>
                <w:szCs w:val="20"/>
                <w:color w:val="auto"/>
              </w:rPr>
            </w:pPr>
            <w:r>
              <w:rPr>
                <w:rFonts w:ascii="Arial" w:cs="Arial" w:eastAsia="Arial" w:hAnsi="Arial"/>
                <w:sz w:val="18"/>
                <w:szCs w:val="18"/>
                <w:color w:val="auto"/>
                <w:w w:val="94"/>
              </w:rPr>
              <w:t>combination (regardless of the type of transaction that it is), other than the</w:t>
            </w:r>
          </w:p>
        </w:tc>
      </w:tr>
      <w:tr>
        <w:trPr>
          <w:trHeight w:val="216"/>
        </w:trPr>
        <w:tc>
          <w:tcPr>
            <w:tcW w:w="3860" w:type="dxa"/>
            <w:vAlign w:val="bottom"/>
            <w:tcBorders>
              <w:left w:val="single" w:sz="8" w:color="auto"/>
            </w:tcBorders>
          </w:tcPr>
          <w:p>
            <w:pPr>
              <w:spacing w:after="0"/>
              <w:rPr>
                <w:sz w:val="18"/>
                <w:szCs w:val="18"/>
                <w:color w:val="auto"/>
              </w:rPr>
            </w:pPr>
          </w:p>
        </w:tc>
        <w:tc>
          <w:tcPr>
            <w:tcW w:w="7380" w:type="dxa"/>
            <w:vAlign w:val="bottom"/>
            <w:tcBorders>
              <w:right w:val="single" w:sz="8" w:color="auto"/>
            </w:tcBorders>
          </w:tcPr>
          <w:p>
            <w:pPr>
              <w:ind w:left="1760"/>
              <w:spacing w:after="0"/>
              <w:rPr>
                <w:sz w:val="20"/>
                <w:szCs w:val="20"/>
                <w:color w:val="auto"/>
              </w:rPr>
            </w:pPr>
            <w:r>
              <w:rPr>
                <w:rFonts w:ascii="Arial" w:cs="Arial" w:eastAsia="Arial" w:hAnsi="Arial"/>
                <w:sz w:val="18"/>
                <w:szCs w:val="18"/>
                <w:color w:val="auto"/>
                <w:w w:val="94"/>
              </w:rPr>
              <w:t>following payments, which may be made to our sponsor, officers, directors</w:t>
            </w:r>
          </w:p>
        </w:tc>
      </w:tr>
      <w:tr>
        <w:trPr>
          <w:trHeight w:val="216"/>
        </w:trPr>
        <w:tc>
          <w:tcPr>
            <w:tcW w:w="3860" w:type="dxa"/>
            <w:vAlign w:val="bottom"/>
            <w:tcBorders>
              <w:left w:val="single" w:sz="8" w:color="auto"/>
            </w:tcBorders>
          </w:tcPr>
          <w:p>
            <w:pPr>
              <w:spacing w:after="0"/>
              <w:rPr>
                <w:sz w:val="18"/>
                <w:szCs w:val="18"/>
                <w:color w:val="auto"/>
              </w:rPr>
            </w:pPr>
          </w:p>
        </w:tc>
        <w:tc>
          <w:tcPr>
            <w:tcW w:w="7380" w:type="dxa"/>
            <w:vAlign w:val="bottom"/>
            <w:tcBorders>
              <w:right w:val="single" w:sz="8" w:color="auto"/>
            </w:tcBorders>
          </w:tcPr>
          <w:p>
            <w:pPr>
              <w:ind w:left="1760"/>
              <w:spacing w:after="0"/>
              <w:rPr>
                <w:sz w:val="20"/>
                <w:szCs w:val="20"/>
                <w:color w:val="auto"/>
              </w:rPr>
            </w:pPr>
            <w:r>
              <w:rPr>
                <w:rFonts w:ascii="Arial" w:cs="Arial" w:eastAsia="Arial" w:hAnsi="Arial"/>
                <w:sz w:val="18"/>
                <w:szCs w:val="18"/>
                <w:color w:val="auto"/>
              </w:rPr>
              <w:t>or employees, or our or their affiliates, and, if made prior to our initial</w:t>
            </w:r>
          </w:p>
        </w:tc>
      </w:tr>
      <w:tr>
        <w:trPr>
          <w:trHeight w:val="216"/>
        </w:trPr>
        <w:tc>
          <w:tcPr>
            <w:tcW w:w="3860" w:type="dxa"/>
            <w:vAlign w:val="bottom"/>
            <w:tcBorders>
              <w:left w:val="single" w:sz="8" w:color="auto"/>
            </w:tcBorders>
          </w:tcPr>
          <w:p>
            <w:pPr>
              <w:spacing w:after="0"/>
              <w:rPr>
                <w:sz w:val="18"/>
                <w:szCs w:val="18"/>
                <w:color w:val="auto"/>
              </w:rPr>
            </w:pPr>
          </w:p>
        </w:tc>
        <w:tc>
          <w:tcPr>
            <w:tcW w:w="7380" w:type="dxa"/>
            <w:vAlign w:val="bottom"/>
            <w:tcBorders>
              <w:right w:val="single" w:sz="8" w:color="auto"/>
            </w:tcBorders>
          </w:tcPr>
          <w:p>
            <w:pPr>
              <w:ind w:left="1760"/>
              <w:spacing w:after="0"/>
              <w:rPr>
                <w:sz w:val="20"/>
                <w:szCs w:val="20"/>
                <w:color w:val="auto"/>
              </w:rPr>
            </w:pPr>
            <w:r>
              <w:rPr>
                <w:rFonts w:ascii="Arial" w:cs="Arial" w:eastAsia="Arial" w:hAnsi="Arial"/>
                <w:sz w:val="18"/>
                <w:szCs w:val="18"/>
                <w:color w:val="auto"/>
              </w:rPr>
              <w:t>business combination will be made from funds held outside the trust</w:t>
            </w:r>
          </w:p>
        </w:tc>
      </w:tr>
      <w:tr>
        <w:trPr>
          <w:trHeight w:val="230"/>
        </w:trPr>
        <w:tc>
          <w:tcPr>
            <w:tcW w:w="3860" w:type="dxa"/>
            <w:vAlign w:val="bottom"/>
            <w:tcBorders>
              <w:left w:val="single" w:sz="8" w:color="auto"/>
            </w:tcBorders>
          </w:tcPr>
          <w:p>
            <w:pPr>
              <w:spacing w:after="0"/>
              <w:rPr>
                <w:sz w:val="20"/>
                <w:szCs w:val="20"/>
                <w:color w:val="auto"/>
              </w:rPr>
            </w:pPr>
          </w:p>
        </w:tc>
        <w:tc>
          <w:tcPr>
            <w:tcW w:w="7380" w:type="dxa"/>
            <w:vAlign w:val="bottom"/>
            <w:tcBorders>
              <w:right w:val="single" w:sz="8" w:color="auto"/>
            </w:tcBorders>
          </w:tcPr>
          <w:p>
            <w:pPr>
              <w:ind w:left="1760"/>
              <w:spacing w:after="0"/>
              <w:rPr>
                <w:sz w:val="20"/>
                <w:szCs w:val="20"/>
                <w:color w:val="auto"/>
              </w:rPr>
            </w:pPr>
            <w:r>
              <w:rPr>
                <w:rFonts w:ascii="Arial" w:cs="Arial" w:eastAsia="Arial" w:hAnsi="Arial"/>
                <w:sz w:val="18"/>
                <w:szCs w:val="18"/>
                <w:color w:val="auto"/>
              </w:rPr>
              <w:t>account:</w:t>
            </w:r>
          </w:p>
        </w:tc>
      </w:tr>
      <w:tr>
        <w:trPr>
          <w:trHeight w:val="537"/>
        </w:trPr>
        <w:tc>
          <w:tcPr>
            <w:tcW w:w="3860" w:type="dxa"/>
            <w:vAlign w:val="bottom"/>
            <w:tcBorders>
              <w:left w:val="single" w:sz="8" w:color="auto"/>
              <w:bottom w:val="single" w:sz="8" w:color="auto"/>
            </w:tcBorders>
          </w:tcPr>
          <w:p>
            <w:pPr>
              <w:spacing w:after="0"/>
              <w:rPr>
                <w:sz w:val="24"/>
                <w:szCs w:val="24"/>
                <w:color w:val="auto"/>
              </w:rPr>
            </w:pPr>
          </w:p>
        </w:tc>
        <w:tc>
          <w:tcPr>
            <w:tcW w:w="7380" w:type="dxa"/>
            <w:vAlign w:val="bottom"/>
            <w:tcBorders>
              <w:bottom w:val="single" w:sz="8" w:color="auto"/>
              <w:right w:val="single" w:sz="8" w:color="auto"/>
            </w:tcBorders>
          </w:tcPr>
          <w:p>
            <w:pPr>
              <w:spacing w:after="0"/>
              <w:rPr>
                <w:sz w:val="24"/>
                <w:szCs w:val="24"/>
                <w:color w:val="auto"/>
              </w:rPr>
            </w:pPr>
          </w:p>
        </w:tc>
      </w:tr>
      <w:tr>
        <w:trPr>
          <w:trHeight w:val="328"/>
        </w:trPr>
        <w:tc>
          <w:tcPr>
            <w:tcW w:w="3860" w:type="dxa"/>
            <w:vAlign w:val="bottom"/>
            <w:tcBorders>
              <w:bottom w:val="single" w:sz="8" w:color="auto"/>
            </w:tcBorders>
          </w:tcPr>
          <w:p>
            <w:pPr>
              <w:spacing w:after="0"/>
              <w:rPr>
                <w:sz w:val="24"/>
                <w:szCs w:val="24"/>
                <w:color w:val="auto"/>
              </w:rPr>
            </w:pPr>
          </w:p>
        </w:tc>
        <w:tc>
          <w:tcPr>
            <w:tcW w:w="7380" w:type="dxa"/>
            <w:vAlign w:val="bottom"/>
            <w:tcBorders>
              <w:bottom w:val="single" w:sz="8" w:color="auto"/>
            </w:tcBorders>
          </w:tcPr>
          <w:p>
            <w:pPr>
              <w:ind w:left="1660"/>
              <w:spacing w:after="0"/>
              <w:rPr>
                <w:sz w:val="20"/>
                <w:szCs w:val="20"/>
                <w:color w:val="auto"/>
              </w:rPr>
            </w:pPr>
            <w:r>
              <w:rPr>
                <w:rFonts w:ascii="Arial" w:cs="Arial" w:eastAsia="Arial" w:hAnsi="Arial"/>
                <w:sz w:val="18"/>
                <w:szCs w:val="18"/>
                <w:color w:val="auto"/>
              </w:rPr>
              <w:t>31</w:t>
            </w:r>
          </w:p>
        </w:tc>
      </w:tr>
    </w:tbl>
    <w:p>
      <w:pPr>
        <w:sectPr>
          <w:pgSz w:w="11900" w:h="16838" w:orient="portrait"/>
          <w:cols w:equalWidth="0" w:num="1">
            <w:col w:w="11240"/>
          </w:cols>
          <w:pgMar w:left="320" w:top="575" w:right="339" w:bottom="1440" w:gutter="0" w:footer="0" w:header="0"/>
        </w:sectPr>
      </w:pPr>
    </w:p>
    <w:bookmarkStart w:id="36" w:name="page37"/>
    <w:bookmarkEnd w:id="36"/>
    <w:p>
      <w:pPr>
        <w:ind w:left="55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206375</wp:posOffset>
            </wp:positionH>
            <wp:positionV relativeFrom="page">
              <wp:posOffset>378460</wp:posOffset>
            </wp:positionV>
            <wp:extent cx="7136130" cy="5233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6130" cy="5233035"/>
                    </a:xfrm>
                    <a:prstGeom prst="rect">
                      <a:avLst/>
                    </a:prstGeom>
                    <a:noFill/>
                  </pic:spPr>
                </pic:pic>
              </a:graphicData>
            </a:graphic>
          </wp:anchor>
        </w:drawing>
        <w:t>· Repayment of up to an aggregate of $300,000 in loans made to us by our</w:t>
      </w:r>
    </w:p>
    <w:p>
      <w:pPr>
        <w:spacing w:after="0" w:line="46"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sponsor to cover offering-related and organizational expenses;</w:t>
      </w:r>
    </w:p>
    <w:p>
      <w:pPr>
        <w:spacing w:after="0" w:line="157" w:lineRule="exact"/>
        <w:rPr>
          <w:sz w:val="20"/>
          <w:szCs w:val="20"/>
          <w:color w:val="auto"/>
        </w:rPr>
      </w:pPr>
    </w:p>
    <w:p>
      <w:pPr>
        <w:ind w:left="5520"/>
        <w:spacing w:after="0"/>
        <w:rPr>
          <w:sz w:val="20"/>
          <w:szCs w:val="20"/>
          <w:color w:val="auto"/>
        </w:rPr>
      </w:pPr>
      <w:r>
        <w:rPr>
          <w:rFonts w:ascii="Arial" w:cs="Arial" w:eastAsia="Arial" w:hAnsi="Arial"/>
          <w:sz w:val="16"/>
          <w:szCs w:val="16"/>
          <w:color w:val="auto"/>
        </w:rPr>
        <w:t>· Payment to our sponsor or an affiliate thereof of up to $10,000 per month</w:t>
      </w:r>
    </w:p>
    <w:p>
      <w:pPr>
        <w:spacing w:after="0" w:line="46" w:lineRule="exact"/>
        <w:rPr>
          <w:sz w:val="20"/>
          <w:szCs w:val="20"/>
          <w:color w:val="auto"/>
        </w:rPr>
      </w:pPr>
    </w:p>
    <w:p>
      <w:pPr>
        <w:ind w:left="5680"/>
        <w:spacing w:after="0"/>
        <w:rPr>
          <w:sz w:val="20"/>
          <w:szCs w:val="20"/>
          <w:color w:val="auto"/>
        </w:rPr>
      </w:pPr>
      <w:r>
        <w:rPr>
          <w:rFonts w:ascii="Arial" w:cs="Arial" w:eastAsia="Arial" w:hAnsi="Arial"/>
          <w:sz w:val="17"/>
          <w:szCs w:val="17"/>
          <w:color w:val="auto"/>
        </w:rPr>
        <w:t>for office space, utilities, secretarial and administrative support services</w:t>
      </w:r>
    </w:p>
    <w:p>
      <w:pPr>
        <w:spacing w:after="0" w:line="21"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provided to us and other expenses and obligations of our sponsor;</w:t>
      </w:r>
    </w:p>
    <w:p>
      <w:pPr>
        <w:spacing w:after="0" w:line="157" w:lineRule="exact"/>
        <w:rPr>
          <w:sz w:val="20"/>
          <w:szCs w:val="20"/>
          <w:color w:val="auto"/>
        </w:rPr>
      </w:pPr>
    </w:p>
    <w:p>
      <w:pPr>
        <w:ind w:left="5560"/>
        <w:spacing w:after="0"/>
        <w:rPr>
          <w:sz w:val="20"/>
          <w:szCs w:val="20"/>
          <w:color w:val="auto"/>
        </w:rPr>
      </w:pPr>
      <w:r>
        <w:rPr>
          <w:rFonts w:ascii="Arial" w:cs="Arial" w:eastAsia="Arial" w:hAnsi="Arial"/>
          <w:sz w:val="16"/>
          <w:szCs w:val="16"/>
          <w:color w:val="auto"/>
        </w:rPr>
        <w:t>· Aggregate payment of up to approximately $412,500 for salaries annually</w:t>
      </w:r>
    </w:p>
    <w:p>
      <w:pPr>
        <w:spacing w:after="0" w:line="46" w:lineRule="exact"/>
        <w:rPr>
          <w:sz w:val="20"/>
          <w:szCs w:val="20"/>
          <w:color w:val="auto"/>
        </w:rPr>
      </w:pPr>
    </w:p>
    <w:p>
      <w:pPr>
        <w:ind w:left="5680"/>
        <w:spacing w:after="0"/>
        <w:rPr>
          <w:sz w:val="20"/>
          <w:szCs w:val="20"/>
          <w:color w:val="auto"/>
        </w:rPr>
      </w:pPr>
      <w:r>
        <w:rPr>
          <w:rFonts w:ascii="Arial" w:cs="Arial" w:eastAsia="Arial" w:hAnsi="Arial"/>
          <w:sz w:val="17"/>
          <w:szCs w:val="17"/>
          <w:color w:val="auto"/>
        </w:rPr>
        <w:t>to certain employees for their services prior to the consummation of our</w:t>
      </w:r>
    </w:p>
    <w:p>
      <w:pPr>
        <w:spacing w:after="0" w:line="21"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initial business combination;</w:t>
      </w:r>
    </w:p>
    <w:p>
      <w:pPr>
        <w:spacing w:after="0" w:line="332" w:lineRule="exact"/>
        <w:rPr>
          <w:sz w:val="20"/>
          <w:szCs w:val="20"/>
          <w:color w:val="auto"/>
        </w:rPr>
      </w:pPr>
    </w:p>
    <w:p>
      <w:pPr>
        <w:ind w:left="5520"/>
        <w:spacing w:after="0"/>
        <w:rPr>
          <w:sz w:val="20"/>
          <w:szCs w:val="20"/>
          <w:color w:val="auto"/>
        </w:rPr>
      </w:pPr>
      <w:r>
        <w:rPr>
          <w:rFonts w:ascii="Arial" w:cs="Arial" w:eastAsia="Arial" w:hAnsi="Arial"/>
          <w:sz w:val="17"/>
          <w:szCs w:val="17"/>
          <w:color w:val="auto"/>
        </w:rPr>
        <w:t>· Reimbursement for any out-of-pocket expenses related to identifying,</w:t>
      </w:r>
    </w:p>
    <w:p>
      <w:pPr>
        <w:spacing w:after="0" w:line="35" w:lineRule="exact"/>
        <w:rPr>
          <w:sz w:val="20"/>
          <w:szCs w:val="20"/>
          <w:color w:val="auto"/>
        </w:rPr>
      </w:pPr>
    </w:p>
    <w:p>
      <w:pPr>
        <w:ind w:left="5680"/>
        <w:spacing w:after="0"/>
        <w:rPr>
          <w:sz w:val="20"/>
          <w:szCs w:val="20"/>
          <w:color w:val="auto"/>
        </w:rPr>
      </w:pPr>
      <w:r>
        <w:rPr>
          <w:rFonts w:ascii="Arial" w:cs="Arial" w:eastAsia="Arial" w:hAnsi="Arial"/>
          <w:sz w:val="16"/>
          <w:szCs w:val="16"/>
          <w:color w:val="auto"/>
        </w:rPr>
        <w:t>investigating, negotiating and completing an initial business combination;</w:t>
      </w:r>
    </w:p>
    <w:p>
      <w:pPr>
        <w:spacing w:after="0" w:line="32"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and</w:t>
      </w:r>
    </w:p>
    <w:p>
      <w:pPr>
        <w:spacing w:after="0" w:line="157" w:lineRule="exact"/>
        <w:rPr>
          <w:sz w:val="20"/>
          <w:szCs w:val="20"/>
          <w:color w:val="auto"/>
        </w:rPr>
      </w:pPr>
    </w:p>
    <w:p>
      <w:pPr>
        <w:ind w:left="5520"/>
        <w:spacing w:after="0"/>
        <w:rPr>
          <w:sz w:val="20"/>
          <w:szCs w:val="20"/>
          <w:color w:val="auto"/>
        </w:rPr>
      </w:pPr>
      <w:r>
        <w:rPr>
          <w:rFonts w:ascii="Arial" w:cs="Arial" w:eastAsia="Arial" w:hAnsi="Arial"/>
          <w:sz w:val="16"/>
          <w:szCs w:val="16"/>
          <w:color w:val="auto"/>
        </w:rPr>
        <w:t>· Repayment of loans which may be made by our sponsor or an affiliate of</w:t>
      </w:r>
    </w:p>
    <w:p>
      <w:pPr>
        <w:spacing w:after="0" w:line="46" w:lineRule="exact"/>
        <w:rPr>
          <w:sz w:val="20"/>
          <w:szCs w:val="20"/>
          <w:color w:val="auto"/>
        </w:rPr>
      </w:pPr>
    </w:p>
    <w:p>
      <w:pPr>
        <w:ind w:left="5680"/>
        <w:spacing w:after="0"/>
        <w:rPr>
          <w:sz w:val="20"/>
          <w:szCs w:val="20"/>
          <w:color w:val="auto"/>
        </w:rPr>
      </w:pPr>
      <w:r>
        <w:rPr>
          <w:rFonts w:ascii="Arial" w:cs="Arial" w:eastAsia="Arial" w:hAnsi="Arial"/>
          <w:sz w:val="16"/>
          <w:szCs w:val="16"/>
          <w:color w:val="auto"/>
        </w:rPr>
        <w:t>our sponsor or certain of our officers and directors to fund working capital</w:t>
      </w:r>
    </w:p>
    <w:p>
      <w:pPr>
        <w:spacing w:after="0" w:line="32" w:lineRule="exact"/>
        <w:rPr>
          <w:sz w:val="20"/>
          <w:szCs w:val="20"/>
          <w:color w:val="auto"/>
        </w:rPr>
      </w:pPr>
    </w:p>
    <w:p>
      <w:pPr>
        <w:ind w:left="5680"/>
        <w:spacing w:after="0"/>
        <w:rPr>
          <w:sz w:val="20"/>
          <w:szCs w:val="20"/>
          <w:color w:val="auto"/>
        </w:rPr>
      </w:pPr>
      <w:r>
        <w:rPr>
          <w:rFonts w:ascii="Arial" w:cs="Arial" w:eastAsia="Arial" w:hAnsi="Arial"/>
          <w:sz w:val="17"/>
          <w:szCs w:val="17"/>
          <w:color w:val="auto"/>
        </w:rPr>
        <w:t>deficiencies or finance transaction costs in connection with an intended</w:t>
      </w:r>
    </w:p>
    <w:p>
      <w:pPr>
        <w:spacing w:after="0" w:line="21" w:lineRule="exact"/>
        <w:rPr>
          <w:sz w:val="20"/>
          <w:szCs w:val="20"/>
          <w:color w:val="auto"/>
        </w:rPr>
      </w:pPr>
    </w:p>
    <w:p>
      <w:pPr>
        <w:ind w:left="5680"/>
        <w:spacing w:after="0"/>
        <w:rPr>
          <w:sz w:val="20"/>
          <w:szCs w:val="20"/>
          <w:color w:val="auto"/>
        </w:rPr>
      </w:pPr>
      <w:r>
        <w:rPr>
          <w:rFonts w:ascii="Arial" w:cs="Arial" w:eastAsia="Arial" w:hAnsi="Arial"/>
          <w:sz w:val="17"/>
          <w:szCs w:val="17"/>
          <w:color w:val="auto"/>
        </w:rPr>
        <w:t>initial business combination. Up to $2,000,000 of such loans may be</w:t>
      </w:r>
    </w:p>
    <w:p>
      <w:pPr>
        <w:spacing w:after="0" w:line="21"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convertible into private placement warrants of the post-business</w:t>
      </w:r>
    </w:p>
    <w:p>
      <w:pPr>
        <w:spacing w:after="0" w:line="9" w:lineRule="exact"/>
        <w:rPr>
          <w:sz w:val="20"/>
          <w:szCs w:val="20"/>
          <w:color w:val="auto"/>
        </w:rPr>
      </w:pPr>
    </w:p>
    <w:p>
      <w:pPr>
        <w:ind w:left="5680"/>
        <w:spacing w:after="0"/>
        <w:rPr>
          <w:sz w:val="20"/>
          <w:szCs w:val="20"/>
          <w:color w:val="auto"/>
        </w:rPr>
      </w:pPr>
      <w:r>
        <w:rPr>
          <w:rFonts w:ascii="Arial" w:cs="Arial" w:eastAsia="Arial" w:hAnsi="Arial"/>
          <w:sz w:val="17"/>
          <w:szCs w:val="17"/>
          <w:color w:val="auto"/>
        </w:rPr>
        <w:t>combination entity at a price of $1.50 per warrant at the option of the</w:t>
      </w:r>
    </w:p>
    <w:p>
      <w:pPr>
        <w:spacing w:after="0" w:line="21"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lender. Such warrants would be identical to the private placement</w:t>
      </w:r>
    </w:p>
    <w:p>
      <w:pPr>
        <w:spacing w:after="0" w:line="9" w:lineRule="exact"/>
        <w:rPr>
          <w:sz w:val="20"/>
          <w:szCs w:val="20"/>
          <w:color w:val="auto"/>
        </w:rPr>
      </w:pPr>
    </w:p>
    <w:p>
      <w:pPr>
        <w:ind w:left="5680"/>
        <w:spacing w:after="0"/>
        <w:rPr>
          <w:sz w:val="20"/>
          <w:szCs w:val="20"/>
          <w:color w:val="auto"/>
        </w:rPr>
      </w:pPr>
      <w:r>
        <w:rPr>
          <w:rFonts w:ascii="Arial" w:cs="Arial" w:eastAsia="Arial" w:hAnsi="Arial"/>
          <w:sz w:val="16"/>
          <w:szCs w:val="16"/>
          <w:color w:val="auto"/>
        </w:rPr>
        <w:t>warrants. Except for the foregoing, the terms of such loans, if any, have</w:t>
      </w:r>
    </w:p>
    <w:p>
      <w:pPr>
        <w:spacing w:after="0" w:line="32" w:lineRule="exact"/>
        <w:rPr>
          <w:sz w:val="20"/>
          <w:szCs w:val="20"/>
          <w:color w:val="auto"/>
        </w:rPr>
      </w:pPr>
    </w:p>
    <w:p>
      <w:pPr>
        <w:ind w:left="5680"/>
        <w:spacing w:after="0"/>
        <w:rPr>
          <w:sz w:val="20"/>
          <w:szCs w:val="20"/>
          <w:color w:val="auto"/>
        </w:rPr>
      </w:pPr>
      <w:r>
        <w:rPr>
          <w:rFonts w:ascii="Arial" w:cs="Arial" w:eastAsia="Arial" w:hAnsi="Arial"/>
          <w:sz w:val="16"/>
          <w:szCs w:val="16"/>
          <w:color w:val="auto"/>
        </w:rPr>
        <w:t>not been determined and no written agreements exist with respect to such</w:t>
      </w:r>
    </w:p>
    <w:p>
      <w:pPr>
        <w:spacing w:after="0" w:line="32"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loans.</w:t>
      </w:r>
    </w:p>
    <w:p>
      <w:pPr>
        <w:sectPr>
          <w:pgSz w:w="11900" w:h="16838" w:orient="portrait"/>
          <w:cols w:equalWidth="0" w:num="1">
            <w:col w:w="11040"/>
          </w:cols>
          <w:pgMar w:left="420" w:top="976" w:right="439" w:bottom="1440" w:gutter="0" w:footer="0" w:header="0"/>
        </w:sectPr>
      </w:pP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color w:val="auto"/>
        </w:rPr>
        <w:t>Audit Committee</w:t>
      </w:r>
    </w:p>
    <w:p>
      <w:pPr>
        <w:spacing w:after="0" w:line="20" w:lineRule="exact"/>
        <w:rPr>
          <w:sz w:val="20"/>
          <w:szCs w:val="20"/>
          <w:color w:val="auto"/>
        </w:rPr>
      </w:pPr>
      <w:r>
        <w:rPr>
          <w:sz w:val="20"/>
          <w:szCs w:val="20"/>
          <w:color w:val="auto"/>
        </w:rPr>
        <w:br w:type="column"/>
      </w:r>
    </w:p>
    <w:p>
      <w:pPr>
        <w:spacing w:after="0" w:line="137" w:lineRule="exact"/>
        <w:rPr>
          <w:sz w:val="20"/>
          <w:szCs w:val="20"/>
          <w:color w:val="auto"/>
        </w:rPr>
      </w:pPr>
    </w:p>
    <w:p>
      <w:pPr>
        <w:ind w:right="380"/>
        <w:spacing w:after="0" w:line="291" w:lineRule="auto"/>
        <w:rPr>
          <w:sz w:val="20"/>
          <w:szCs w:val="20"/>
          <w:color w:val="auto"/>
        </w:rPr>
      </w:pPr>
      <w:r>
        <w:rPr>
          <w:rFonts w:ascii="Arial" w:cs="Arial" w:eastAsia="Arial" w:hAnsi="Arial"/>
          <w:sz w:val="16"/>
          <w:szCs w:val="16"/>
          <w:color w:val="auto"/>
        </w:rPr>
        <w:t>We will establish and maintain an audit committee. Among its responsibilities, the audit committee will review on a quarterly basis all</w:t>
      </w:r>
    </w:p>
    <w:p>
      <w:pPr>
        <w:spacing w:after="0" w:line="1" w:lineRule="exact"/>
        <w:rPr>
          <w:sz w:val="20"/>
          <w:szCs w:val="20"/>
          <w:color w:val="auto"/>
        </w:rPr>
      </w:pPr>
    </w:p>
    <w:p>
      <w:pPr>
        <w:sectPr>
          <w:pgSz w:w="11900" w:h="16838" w:orient="portrait"/>
          <w:cols w:equalWidth="0" w:num="2">
            <w:col w:w="4800" w:space="720"/>
            <w:col w:w="5520"/>
          </w:cols>
          <w:pgMar w:left="420" w:top="976" w:right="439" w:bottom="1440" w:gutter="0" w:footer="0" w:header="0"/>
          <w:type w:val="continuous"/>
        </w:sectPr>
      </w:pPr>
    </w:p>
    <w:p>
      <w:pPr>
        <w:ind w:left="5520"/>
        <w:spacing w:after="0"/>
        <w:rPr>
          <w:sz w:val="20"/>
          <w:szCs w:val="20"/>
          <w:color w:val="auto"/>
        </w:rPr>
      </w:pPr>
      <w:r>
        <w:rPr>
          <w:rFonts w:ascii="Arial" w:cs="Arial" w:eastAsia="Arial" w:hAnsi="Arial"/>
          <w:sz w:val="16"/>
          <w:szCs w:val="16"/>
          <w:color w:val="auto"/>
        </w:rPr>
        <w:t>payments that were made by us to our sponsor, officers or directors, or our</w:t>
      </w:r>
    </w:p>
    <w:p>
      <w:pPr>
        <w:spacing w:after="0" w:line="32" w:lineRule="exact"/>
        <w:rPr>
          <w:sz w:val="20"/>
          <w:szCs w:val="20"/>
          <w:color w:val="auto"/>
        </w:rPr>
      </w:pPr>
    </w:p>
    <w:p>
      <w:pPr>
        <w:ind w:left="5520"/>
        <w:spacing w:after="0"/>
        <w:rPr>
          <w:sz w:val="20"/>
          <w:szCs w:val="20"/>
          <w:color w:val="auto"/>
        </w:rPr>
      </w:pPr>
      <w:r>
        <w:rPr>
          <w:rFonts w:ascii="Arial" w:cs="Arial" w:eastAsia="Arial" w:hAnsi="Arial"/>
          <w:sz w:val="17"/>
          <w:szCs w:val="17"/>
          <w:color w:val="auto"/>
        </w:rPr>
        <w:t>or their affiliates and monitor compliance with the other terms relating to</w:t>
      </w:r>
    </w:p>
    <w:p>
      <w:pPr>
        <w:spacing w:after="0" w:line="21" w:lineRule="exact"/>
        <w:rPr>
          <w:sz w:val="20"/>
          <w:szCs w:val="20"/>
          <w:color w:val="auto"/>
        </w:rPr>
      </w:pPr>
    </w:p>
    <w:p>
      <w:pPr>
        <w:ind w:left="5520"/>
        <w:spacing w:after="0"/>
        <w:rPr>
          <w:sz w:val="20"/>
          <w:szCs w:val="20"/>
          <w:color w:val="auto"/>
        </w:rPr>
      </w:pPr>
      <w:r>
        <w:rPr>
          <w:rFonts w:ascii="Arial" w:cs="Arial" w:eastAsia="Arial" w:hAnsi="Arial"/>
          <w:sz w:val="17"/>
          <w:szCs w:val="17"/>
          <w:color w:val="auto"/>
        </w:rPr>
        <w:t>this offering. If any noncompliance is identified, then the audit committee</w:t>
      </w:r>
    </w:p>
    <w:p>
      <w:pPr>
        <w:spacing w:after="0" w:line="21" w:lineRule="exact"/>
        <w:rPr>
          <w:sz w:val="20"/>
          <w:szCs w:val="20"/>
          <w:color w:val="auto"/>
        </w:rPr>
      </w:pPr>
    </w:p>
    <w:p>
      <w:pPr>
        <w:ind w:left="5520"/>
        <w:spacing w:after="0"/>
        <w:rPr>
          <w:sz w:val="20"/>
          <w:szCs w:val="20"/>
          <w:color w:val="auto"/>
        </w:rPr>
      </w:pPr>
      <w:r>
        <w:rPr>
          <w:rFonts w:ascii="Arial" w:cs="Arial" w:eastAsia="Arial" w:hAnsi="Arial"/>
          <w:sz w:val="16"/>
          <w:szCs w:val="16"/>
          <w:color w:val="auto"/>
        </w:rPr>
        <w:t>will be charged with the responsibility to promptly take all action necessary</w:t>
      </w:r>
    </w:p>
    <w:p>
      <w:pPr>
        <w:spacing w:after="0" w:line="32" w:lineRule="exact"/>
        <w:rPr>
          <w:sz w:val="20"/>
          <w:szCs w:val="20"/>
          <w:color w:val="auto"/>
        </w:rPr>
      </w:pPr>
    </w:p>
    <w:p>
      <w:pPr>
        <w:ind w:left="5520"/>
        <w:spacing w:after="0"/>
        <w:rPr>
          <w:sz w:val="20"/>
          <w:szCs w:val="20"/>
          <w:color w:val="auto"/>
        </w:rPr>
      </w:pPr>
      <w:r>
        <w:rPr>
          <w:rFonts w:ascii="Arial" w:cs="Arial" w:eastAsia="Arial" w:hAnsi="Arial"/>
          <w:sz w:val="17"/>
          <w:szCs w:val="17"/>
          <w:color w:val="auto"/>
        </w:rPr>
        <w:t>to rectify such noncompliance or otherwise to cause compliance with the</w:t>
      </w:r>
    </w:p>
    <w:p>
      <w:pPr>
        <w:spacing w:after="0" w:line="21"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terms of this offering. For more information, see the section entitled</w:t>
      </w:r>
    </w:p>
    <w:p>
      <w:pPr>
        <w:spacing w:after="0" w:line="9" w:lineRule="exact"/>
        <w:rPr>
          <w:sz w:val="20"/>
          <w:szCs w:val="20"/>
          <w:color w:val="auto"/>
        </w:rPr>
      </w:pPr>
    </w:p>
    <w:p>
      <w:pPr>
        <w:ind w:left="5520"/>
        <w:spacing w:after="0"/>
        <w:rPr>
          <w:sz w:val="20"/>
          <w:szCs w:val="20"/>
          <w:color w:val="auto"/>
        </w:rPr>
      </w:pPr>
      <w:r>
        <w:rPr>
          <w:rFonts w:ascii="Arial" w:cs="Arial" w:eastAsia="Arial" w:hAnsi="Arial"/>
          <w:sz w:val="16"/>
          <w:szCs w:val="16"/>
          <w:color w:val="auto"/>
        </w:rPr>
        <w:t>“Management—Committees of the Board of Directors—Audit Committee.”</w:t>
      </w:r>
    </w:p>
    <w:p>
      <w:pPr>
        <w:spacing w:after="0" w:line="200" w:lineRule="exact"/>
        <w:rPr>
          <w:sz w:val="20"/>
          <w:szCs w:val="20"/>
          <w:color w:val="auto"/>
        </w:rPr>
      </w:pPr>
    </w:p>
    <w:p>
      <w:pPr>
        <w:spacing w:after="0" w:line="304"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38100</wp:posOffset>
            </wp:positionV>
            <wp:extent cx="71323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40"/>
          </w:cols>
          <w:pgMar w:left="420" w:top="976" w:right="439" w:bottom="1440" w:gutter="0" w:footer="0" w:header="0"/>
          <w:type w:val="continuous"/>
        </w:sectPr>
      </w:pPr>
    </w:p>
    <w:bookmarkStart w:id="37" w:name="page38"/>
    <w:bookmarkEnd w:id="37"/>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378460</wp:posOffset>
            </wp:positionV>
            <wp:extent cx="7136130" cy="20358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6130" cy="2035810"/>
                    </a:xfrm>
                    <a:prstGeom prst="rect">
                      <a:avLst/>
                    </a:prstGeom>
                    <a:noFill/>
                  </pic:spPr>
                </pic:pic>
              </a:graphicData>
            </a:graphic>
          </wp:anchor>
        </w:drawing>
        <w:t>RISKS</w:t>
      </w:r>
    </w:p>
    <w:p>
      <w:pPr>
        <w:spacing w:after="0" w:line="229"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We are a blank check company that has conducted no operations and has generated no revenues to date. Until we complete our initial business combination, we will have no operations and will generate no operating revenues. In making your decision whether to invest in our securities, you should take into account not only the background of our management team, but also the special risks we face as a blank check company. This offering is not being conducted in compliance with Rule 419 promulgated under the Securities Act. Accordingly, you will not be entitled to protections normally afforded to investors in Rule 419 blank check offerings. For additional information concerning how Rule 419 blank check offerings differ from this offering, please see “Proposed Business—Comparison of This Offering to Those of Blank Check Companies Subject to Rule 419.” You should carefully consider these and the other risks set forth in the section entitled “Risk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23495</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80"/>
          </w:cols>
          <w:pgMar w:left="420" w:top="891" w:right="499" w:bottom="1440" w:gutter="0" w:footer="0" w:header="0"/>
        </w:sectPr>
      </w:pPr>
    </w:p>
    <w:bookmarkStart w:id="38" w:name="page39"/>
    <w:bookmarkEnd w:id="38"/>
    <w:p>
      <w:pPr>
        <w:jc w:val="center"/>
        <w:ind w:right="-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378460</wp:posOffset>
            </wp:positionV>
            <wp:extent cx="7136130" cy="65703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6130" cy="6570345"/>
                    </a:xfrm>
                    <a:prstGeom prst="rect">
                      <a:avLst/>
                    </a:prstGeom>
                    <a:noFill/>
                  </pic:spPr>
                </pic:pic>
              </a:graphicData>
            </a:graphic>
          </wp:anchor>
        </w:drawing>
        <w:t>SUMMARY FINANCIAL DATA</w:t>
      </w:r>
    </w:p>
    <w:p>
      <w:pPr>
        <w:spacing w:after="0" w:line="229" w:lineRule="exact"/>
        <w:rPr>
          <w:sz w:val="20"/>
          <w:szCs w:val="20"/>
          <w:color w:val="auto"/>
        </w:rPr>
      </w:pPr>
    </w:p>
    <w:p>
      <w:pPr>
        <w:ind w:left="2" w:right="120" w:firstLine="324"/>
        <w:spacing w:after="0" w:line="277" w:lineRule="auto"/>
        <w:rPr>
          <w:sz w:val="20"/>
          <w:szCs w:val="20"/>
          <w:color w:val="auto"/>
        </w:rPr>
      </w:pPr>
      <w:r>
        <w:rPr>
          <w:rFonts w:ascii="Arial" w:cs="Arial" w:eastAsia="Arial" w:hAnsi="Arial"/>
          <w:sz w:val="18"/>
          <w:szCs w:val="18"/>
          <w:color w:val="auto"/>
        </w:rPr>
        <w:t>The following table summarizes the relevant financial data for our business and should be read with our financial statements, which are included in this prospectus. We have not had any significant operations to date, so only balance sheet data is presented.</w:t>
      </w:r>
    </w:p>
    <w:p>
      <w:pPr>
        <w:spacing w:after="0" w:line="166" w:lineRule="exact"/>
        <w:rPr>
          <w:sz w:val="20"/>
          <w:szCs w:val="20"/>
          <w:color w:val="auto"/>
        </w:rPr>
      </w:pPr>
    </w:p>
    <w:tbl>
      <w:tblPr>
        <w:tblLayout w:type="fixed"/>
        <w:tblInd w:w="2" w:type="dxa"/>
        <w:tblCellMar>
          <w:top w:w="0" w:type="dxa"/>
          <w:left w:w="0" w:type="dxa"/>
          <w:bottom w:w="0" w:type="dxa"/>
          <w:right w:w="0" w:type="dxa"/>
        </w:tblCellMar>
      </w:tblPr>
      <w:tr>
        <w:trPr>
          <w:trHeight w:val="234"/>
        </w:trPr>
        <w:tc>
          <w:tcPr>
            <w:tcW w:w="27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gridSpan w:val="3"/>
          </w:tcPr>
          <w:p>
            <w:pPr>
              <w:jc w:val="right"/>
              <w:ind w:right="550"/>
              <w:spacing w:after="0"/>
              <w:rPr>
                <w:sz w:val="20"/>
                <w:szCs w:val="20"/>
                <w:color w:val="auto"/>
              </w:rPr>
            </w:pPr>
            <w:r>
              <w:rPr>
                <w:rFonts w:ascii="Arial" w:cs="Arial" w:eastAsia="Arial" w:hAnsi="Arial"/>
                <w:sz w:val="18"/>
                <w:szCs w:val="18"/>
                <w:b w:val="1"/>
                <w:bCs w:val="1"/>
                <w:color w:val="auto"/>
              </w:rPr>
              <w:t>December 31, 2020</w:t>
            </w:r>
          </w:p>
        </w:tc>
        <w:tc>
          <w:tcPr>
            <w:tcW w:w="0" w:type="dxa"/>
            <w:vAlign w:val="bottom"/>
          </w:tcPr>
          <w:p>
            <w:pPr>
              <w:spacing w:after="0"/>
              <w:rPr>
                <w:sz w:val="1"/>
                <w:szCs w:val="1"/>
                <w:color w:val="auto"/>
              </w:rPr>
            </w:pPr>
          </w:p>
        </w:tc>
      </w:tr>
      <w:tr>
        <w:trPr>
          <w:trHeight w:val="209"/>
        </w:trPr>
        <w:tc>
          <w:tcPr>
            <w:tcW w:w="64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Balance Sheet Data:</w:t>
            </w:r>
          </w:p>
        </w:tc>
        <w:tc>
          <w:tcPr>
            <w:tcW w:w="18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Actual</w:t>
            </w:r>
          </w:p>
        </w:tc>
        <w:tc>
          <w:tcPr>
            <w:tcW w:w="120" w:type="dxa"/>
            <w:vAlign w:val="bottom"/>
          </w:tcPr>
          <w:p>
            <w:pPr>
              <w:spacing w:after="0"/>
              <w:rPr>
                <w:sz w:val="18"/>
                <w:szCs w:val="18"/>
                <w:color w:val="auto"/>
              </w:rPr>
            </w:pPr>
          </w:p>
        </w:tc>
        <w:tc>
          <w:tcPr>
            <w:tcW w:w="1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As Adjusted</w:t>
            </w:r>
          </w:p>
        </w:tc>
        <w:tc>
          <w:tcPr>
            <w:tcW w:w="0" w:type="dxa"/>
            <w:vAlign w:val="bottom"/>
          </w:tcPr>
          <w:p>
            <w:pPr>
              <w:spacing w:after="0"/>
              <w:rPr>
                <w:sz w:val="1"/>
                <w:szCs w:val="1"/>
                <w:color w:val="auto"/>
              </w:rPr>
            </w:pPr>
          </w:p>
        </w:tc>
      </w:tr>
      <w:tr>
        <w:trPr>
          <w:trHeight w:val="210"/>
        </w:trPr>
        <w:tc>
          <w:tcPr>
            <w:tcW w:w="6460" w:type="dxa"/>
            <w:vAlign w:val="bottom"/>
            <w:gridSpan w:val="3"/>
            <w:vMerge w:val="continue"/>
          </w:tcPr>
          <w:p>
            <w:pPr>
              <w:spacing w:after="0"/>
              <w:rPr>
                <w:sz w:val="18"/>
                <w:szCs w:val="18"/>
                <w:color w:val="auto"/>
              </w:rPr>
            </w:pPr>
          </w:p>
        </w:tc>
        <w:tc>
          <w:tcPr>
            <w:tcW w:w="1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gridSpan w:val="3"/>
            <w:shd w:val="clear" w:color="auto" w:fill="D5EAEA"/>
          </w:tcPr>
          <w:p>
            <w:pPr>
              <w:spacing w:after="0"/>
              <w:rPr>
                <w:sz w:val="20"/>
                <w:szCs w:val="20"/>
                <w:color w:val="auto"/>
              </w:rPr>
            </w:pPr>
            <w:r>
              <w:rPr>
                <w:rFonts w:ascii="Arial" w:cs="Arial" w:eastAsia="Arial" w:hAnsi="Arial"/>
                <w:sz w:val="18"/>
                <w:szCs w:val="18"/>
                <w:color w:val="auto"/>
              </w:rPr>
              <w:t>Working (deficiency) capital(1)</w:t>
            </w:r>
          </w:p>
        </w:tc>
        <w:tc>
          <w:tcPr>
            <w:tcW w:w="2080" w:type="dxa"/>
            <w:vAlign w:val="bottom"/>
            <w:gridSpan w:val="2"/>
            <w:shd w:val="clear" w:color="auto" w:fill="D5EAEA"/>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shd w:val="clear" w:color="auto" w:fill="D5EAEA"/>
          </w:tcPr>
          <w:p>
            <w:pPr>
              <w:jc w:val="right"/>
              <w:spacing w:after="0"/>
              <w:rPr>
                <w:sz w:val="20"/>
                <w:szCs w:val="20"/>
                <w:color w:val="auto"/>
              </w:rPr>
            </w:pPr>
            <w:r>
              <w:rPr>
                <w:rFonts w:ascii="Arial" w:cs="Arial" w:eastAsia="Arial" w:hAnsi="Arial"/>
                <w:sz w:val="18"/>
                <w:szCs w:val="18"/>
                <w:color w:val="auto"/>
              </w:rPr>
              <w:t>(108,185)</w:t>
            </w:r>
          </w:p>
        </w:tc>
        <w:tc>
          <w:tcPr>
            <w:tcW w:w="1420" w:type="dxa"/>
            <w:vAlign w:val="bottom"/>
            <w:gridSpan w:val="2"/>
            <w:shd w:val="clear" w:color="auto" w:fill="D5EAEA"/>
          </w:tcPr>
          <w:p>
            <w:pPr>
              <w:jc w:val="right"/>
              <w:ind w:right="10"/>
              <w:spacing w:after="0"/>
              <w:rPr>
                <w:sz w:val="20"/>
                <w:szCs w:val="20"/>
                <w:color w:val="auto"/>
              </w:rPr>
            </w:pPr>
            <w:r>
              <w:rPr>
                <w:rFonts w:ascii="Arial" w:cs="Arial" w:eastAsia="Arial" w:hAnsi="Arial"/>
                <w:sz w:val="18"/>
                <w:szCs w:val="18"/>
                <w:color w:val="auto"/>
              </w:rPr>
              <w:t>$   243,264,506</w:t>
            </w:r>
          </w:p>
        </w:tc>
        <w:tc>
          <w:tcPr>
            <w:tcW w:w="0" w:type="dxa"/>
            <w:vAlign w:val="bottom"/>
          </w:tcPr>
          <w:p>
            <w:pPr>
              <w:spacing w:after="0"/>
              <w:rPr>
                <w:sz w:val="1"/>
                <w:szCs w:val="1"/>
                <w:color w:val="auto"/>
              </w:rPr>
            </w:pPr>
          </w:p>
        </w:tc>
      </w:tr>
      <w:tr>
        <w:trPr>
          <w:trHeight w:val="216"/>
        </w:trPr>
        <w:tc>
          <w:tcPr>
            <w:tcW w:w="6460" w:type="dxa"/>
            <w:vAlign w:val="bottom"/>
            <w:gridSpan w:val="3"/>
          </w:tcPr>
          <w:p>
            <w:pPr>
              <w:spacing w:after="0"/>
              <w:rPr>
                <w:sz w:val="20"/>
                <w:szCs w:val="20"/>
                <w:color w:val="auto"/>
              </w:rPr>
            </w:pPr>
            <w:r>
              <w:rPr>
                <w:rFonts w:ascii="Arial" w:cs="Arial" w:eastAsia="Arial" w:hAnsi="Arial"/>
                <w:sz w:val="18"/>
                <w:szCs w:val="18"/>
                <w:color w:val="auto"/>
              </w:rPr>
              <w:t>Total assets(2)</w:t>
            </w:r>
          </w:p>
        </w:tc>
        <w:tc>
          <w:tcPr>
            <w:tcW w:w="1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127,691</w:t>
            </w:r>
          </w:p>
        </w:tc>
        <w:tc>
          <w:tcPr>
            <w:tcW w:w="1420" w:type="dxa"/>
            <w:vAlign w:val="bottom"/>
            <w:gridSpan w:val="2"/>
          </w:tcPr>
          <w:p>
            <w:pPr>
              <w:jc w:val="right"/>
              <w:ind w:right="10"/>
              <w:spacing w:after="0"/>
              <w:rPr>
                <w:sz w:val="20"/>
                <w:szCs w:val="20"/>
                <w:color w:val="auto"/>
              </w:rPr>
            </w:pPr>
            <w:r>
              <w:rPr>
                <w:rFonts w:ascii="Arial" w:cs="Arial" w:eastAsia="Arial" w:hAnsi="Arial"/>
                <w:sz w:val="18"/>
                <w:szCs w:val="18"/>
                <w:color w:val="auto"/>
              </w:rPr>
              <w:t>252,014,506</w:t>
            </w:r>
          </w:p>
        </w:tc>
        <w:tc>
          <w:tcPr>
            <w:tcW w:w="0" w:type="dxa"/>
            <w:vAlign w:val="bottom"/>
          </w:tcPr>
          <w:p>
            <w:pPr>
              <w:spacing w:after="0"/>
              <w:rPr>
                <w:sz w:val="1"/>
                <w:szCs w:val="1"/>
                <w:color w:val="auto"/>
              </w:rPr>
            </w:pPr>
          </w:p>
        </w:tc>
      </w:tr>
      <w:tr>
        <w:trPr>
          <w:trHeight w:val="216"/>
        </w:trPr>
        <w:tc>
          <w:tcPr>
            <w:tcW w:w="6460" w:type="dxa"/>
            <w:vAlign w:val="bottom"/>
            <w:gridSpan w:val="3"/>
            <w:shd w:val="clear" w:color="auto" w:fill="D5EAEA"/>
          </w:tcPr>
          <w:p>
            <w:pPr>
              <w:spacing w:after="0"/>
              <w:rPr>
                <w:sz w:val="20"/>
                <w:szCs w:val="20"/>
                <w:color w:val="auto"/>
              </w:rPr>
            </w:pPr>
            <w:r>
              <w:rPr>
                <w:rFonts w:ascii="Arial" w:cs="Arial" w:eastAsia="Arial" w:hAnsi="Arial"/>
                <w:sz w:val="18"/>
                <w:szCs w:val="18"/>
                <w:color w:val="auto"/>
              </w:rPr>
              <w:t>Total liabilities(3)</w:t>
            </w:r>
          </w:p>
        </w:tc>
        <w:tc>
          <w:tcPr>
            <w:tcW w:w="1840" w:type="dxa"/>
            <w:vAlign w:val="bottom"/>
            <w:shd w:val="clear" w:color="auto" w:fill="D5EAEA"/>
          </w:tcPr>
          <w:p>
            <w:pPr>
              <w:spacing w:after="0"/>
              <w:rPr>
                <w:sz w:val="18"/>
                <w:szCs w:val="18"/>
                <w:color w:val="auto"/>
              </w:rPr>
            </w:pPr>
          </w:p>
        </w:tc>
        <w:tc>
          <w:tcPr>
            <w:tcW w:w="240" w:type="dxa"/>
            <w:vAlign w:val="bottom"/>
            <w:shd w:val="clear" w:color="auto" w:fill="D5EAEA"/>
          </w:tcPr>
          <w:p>
            <w:pPr>
              <w:spacing w:after="0"/>
              <w:rPr>
                <w:sz w:val="18"/>
                <w:szCs w:val="18"/>
                <w:color w:val="auto"/>
              </w:rPr>
            </w:pPr>
          </w:p>
        </w:tc>
        <w:tc>
          <w:tcPr>
            <w:tcW w:w="108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108,185</w:t>
            </w:r>
          </w:p>
        </w:tc>
        <w:tc>
          <w:tcPr>
            <w:tcW w:w="1420" w:type="dxa"/>
            <w:vAlign w:val="bottom"/>
            <w:gridSpan w:val="2"/>
            <w:shd w:val="clear" w:color="auto" w:fill="D5EAEA"/>
          </w:tcPr>
          <w:p>
            <w:pPr>
              <w:jc w:val="right"/>
              <w:ind w:right="10"/>
              <w:spacing w:after="0"/>
              <w:rPr>
                <w:sz w:val="20"/>
                <w:szCs w:val="20"/>
                <w:color w:val="auto"/>
              </w:rPr>
            </w:pPr>
            <w:r>
              <w:rPr>
                <w:rFonts w:ascii="Arial" w:cs="Arial" w:eastAsia="Arial" w:hAnsi="Arial"/>
                <w:sz w:val="18"/>
                <w:szCs w:val="18"/>
                <w:color w:val="auto"/>
              </w:rPr>
              <w:t>8,750,000</w:t>
            </w:r>
          </w:p>
        </w:tc>
        <w:tc>
          <w:tcPr>
            <w:tcW w:w="0" w:type="dxa"/>
            <w:vAlign w:val="bottom"/>
          </w:tcPr>
          <w:p>
            <w:pPr>
              <w:spacing w:after="0"/>
              <w:rPr>
                <w:sz w:val="1"/>
                <w:szCs w:val="1"/>
                <w:color w:val="auto"/>
              </w:rPr>
            </w:pPr>
          </w:p>
        </w:tc>
      </w:tr>
      <w:tr>
        <w:trPr>
          <w:trHeight w:val="216"/>
        </w:trPr>
        <w:tc>
          <w:tcPr>
            <w:tcW w:w="6460" w:type="dxa"/>
            <w:vAlign w:val="bottom"/>
            <w:gridSpan w:val="3"/>
          </w:tcPr>
          <w:p>
            <w:pPr>
              <w:spacing w:after="0"/>
              <w:rPr>
                <w:sz w:val="20"/>
                <w:szCs w:val="20"/>
                <w:color w:val="auto"/>
              </w:rPr>
            </w:pPr>
            <w:r>
              <w:rPr>
                <w:rFonts w:ascii="Arial" w:cs="Arial" w:eastAsia="Arial" w:hAnsi="Arial"/>
                <w:sz w:val="18"/>
                <w:szCs w:val="18"/>
                <w:color w:val="auto"/>
              </w:rPr>
              <w:t>Value of ordinary share subject to possible conversion/tender(4)</w:t>
            </w:r>
          </w:p>
        </w:tc>
        <w:tc>
          <w:tcPr>
            <w:tcW w:w="1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
              <w:spacing w:after="0"/>
              <w:rPr>
                <w:sz w:val="20"/>
                <w:szCs w:val="20"/>
                <w:color w:val="auto"/>
              </w:rPr>
            </w:pPr>
            <w:r>
              <w:rPr>
                <w:rFonts w:ascii="Arial" w:cs="Arial" w:eastAsia="Arial" w:hAnsi="Arial"/>
                <w:sz w:val="18"/>
                <w:szCs w:val="18"/>
                <w:color w:val="auto"/>
              </w:rPr>
              <w:t>238,264,500</w:t>
            </w:r>
          </w:p>
        </w:tc>
        <w:tc>
          <w:tcPr>
            <w:tcW w:w="0" w:type="dxa"/>
            <w:vAlign w:val="bottom"/>
          </w:tcPr>
          <w:p>
            <w:pPr>
              <w:spacing w:after="0"/>
              <w:rPr>
                <w:sz w:val="1"/>
                <w:szCs w:val="1"/>
                <w:color w:val="auto"/>
              </w:rPr>
            </w:pPr>
          </w:p>
        </w:tc>
      </w:tr>
      <w:tr>
        <w:trPr>
          <w:trHeight w:val="216"/>
        </w:trPr>
        <w:tc>
          <w:tcPr>
            <w:tcW w:w="6460" w:type="dxa"/>
            <w:vAlign w:val="bottom"/>
            <w:gridSpan w:val="3"/>
            <w:shd w:val="clear" w:color="auto" w:fill="D5EAEA"/>
          </w:tcPr>
          <w:p>
            <w:pPr>
              <w:spacing w:after="0"/>
              <w:rPr>
                <w:sz w:val="20"/>
                <w:szCs w:val="20"/>
                <w:color w:val="auto"/>
              </w:rPr>
            </w:pPr>
            <w:r>
              <w:rPr>
                <w:rFonts w:ascii="Arial" w:cs="Arial" w:eastAsia="Arial" w:hAnsi="Arial"/>
                <w:sz w:val="18"/>
                <w:szCs w:val="18"/>
                <w:color w:val="auto"/>
              </w:rPr>
              <w:t>Shareholders’ (deficit) equity(5)</w:t>
            </w:r>
          </w:p>
        </w:tc>
        <w:tc>
          <w:tcPr>
            <w:tcW w:w="1840" w:type="dxa"/>
            <w:vAlign w:val="bottom"/>
            <w:shd w:val="clear" w:color="auto" w:fill="D5EAEA"/>
          </w:tcPr>
          <w:p>
            <w:pPr>
              <w:spacing w:after="0"/>
              <w:rPr>
                <w:sz w:val="18"/>
                <w:szCs w:val="18"/>
                <w:color w:val="auto"/>
              </w:rPr>
            </w:pPr>
          </w:p>
        </w:tc>
        <w:tc>
          <w:tcPr>
            <w:tcW w:w="240" w:type="dxa"/>
            <w:vAlign w:val="bottom"/>
            <w:shd w:val="clear" w:color="auto" w:fill="D5EAEA"/>
          </w:tcPr>
          <w:p>
            <w:pPr>
              <w:spacing w:after="0"/>
              <w:rPr>
                <w:sz w:val="18"/>
                <w:szCs w:val="18"/>
                <w:color w:val="auto"/>
              </w:rPr>
            </w:pPr>
          </w:p>
        </w:tc>
        <w:tc>
          <w:tcPr>
            <w:tcW w:w="108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19,506</w:t>
            </w:r>
          </w:p>
        </w:tc>
        <w:tc>
          <w:tcPr>
            <w:tcW w:w="1420" w:type="dxa"/>
            <w:vAlign w:val="bottom"/>
            <w:gridSpan w:val="2"/>
            <w:shd w:val="clear" w:color="auto" w:fill="D5EAEA"/>
          </w:tcPr>
          <w:p>
            <w:pPr>
              <w:jc w:val="right"/>
              <w:ind w:right="10"/>
              <w:spacing w:after="0"/>
              <w:rPr>
                <w:sz w:val="20"/>
                <w:szCs w:val="20"/>
                <w:color w:val="auto"/>
              </w:rPr>
            </w:pPr>
            <w:r>
              <w:rPr>
                <w:rFonts w:ascii="Arial" w:cs="Arial" w:eastAsia="Arial" w:hAnsi="Arial"/>
                <w:sz w:val="18"/>
                <w:szCs w:val="18"/>
                <w:color w:val="auto"/>
              </w:rPr>
              <w:t>5,000,006</w:t>
            </w:r>
          </w:p>
        </w:tc>
        <w:tc>
          <w:tcPr>
            <w:tcW w:w="0" w:type="dxa"/>
            <w:vAlign w:val="bottom"/>
          </w:tcPr>
          <w:p>
            <w:pPr>
              <w:spacing w:after="0"/>
              <w:rPr>
                <w:sz w:val="1"/>
                <w:szCs w:val="1"/>
                <w:color w:val="auto"/>
              </w:rPr>
            </w:pPr>
          </w:p>
        </w:tc>
      </w:tr>
      <w:tr>
        <w:trPr>
          <w:trHeight w:val="20"/>
        </w:trPr>
        <w:tc>
          <w:tcPr>
            <w:tcW w:w="27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
        </w:trPr>
        <w:tc>
          <w:tcPr>
            <w:tcW w:w="2760" w:type="dxa"/>
            <w:vAlign w:val="bottom"/>
            <w:tcBorders>
              <w:bottom w:val="single" w:sz="8" w:color="auto"/>
            </w:tcBorders>
          </w:tcPr>
          <w:p>
            <w:pPr>
              <w:spacing w:after="0"/>
              <w:rPr>
                <w:sz w:val="3"/>
                <w:szCs w:val="3"/>
                <w:color w:val="auto"/>
              </w:rPr>
            </w:pPr>
          </w:p>
        </w:tc>
        <w:tc>
          <w:tcPr>
            <w:tcW w:w="1160" w:type="dxa"/>
            <w:vAlign w:val="bottom"/>
          </w:tcPr>
          <w:p>
            <w:pPr>
              <w:spacing w:after="0"/>
              <w:rPr>
                <w:sz w:val="3"/>
                <w:szCs w:val="3"/>
                <w:color w:val="auto"/>
              </w:rPr>
            </w:pPr>
          </w:p>
        </w:tc>
        <w:tc>
          <w:tcPr>
            <w:tcW w:w="2540" w:type="dxa"/>
            <w:vAlign w:val="bottom"/>
          </w:tcPr>
          <w:p>
            <w:pPr>
              <w:spacing w:after="0"/>
              <w:rPr>
                <w:sz w:val="3"/>
                <w:szCs w:val="3"/>
                <w:color w:val="auto"/>
              </w:rPr>
            </w:pPr>
          </w:p>
        </w:tc>
        <w:tc>
          <w:tcPr>
            <w:tcW w:w="18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0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322" w:right="140" w:hanging="322"/>
        <w:spacing w:after="0" w:line="286" w:lineRule="auto"/>
        <w:tabs>
          <w:tab w:leader="none" w:pos="322"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“as adjusted” calculation includes $250,000,000 of cash held in trust from the proceeds of this offering and the sale of the private placement warrants, plus $1,995,000 of cash held outside the trust account (assuming no exercise of the underwriters’ over-allotment option), plus $19,506 of actual shareholders’ equity on December 31, 2020, less $8,750,000 of deferred underwriting commissions.</w:t>
      </w:r>
    </w:p>
    <w:p>
      <w:pPr>
        <w:spacing w:after="0" w:line="165" w:lineRule="exact"/>
        <w:rPr>
          <w:rFonts w:ascii="Arial" w:cs="Arial" w:eastAsia="Arial" w:hAnsi="Arial"/>
          <w:sz w:val="17"/>
          <w:szCs w:val="17"/>
          <w:color w:val="auto"/>
        </w:rPr>
      </w:pPr>
    </w:p>
    <w:p>
      <w:pPr>
        <w:ind w:left="322" w:right="160" w:hanging="322"/>
        <w:spacing w:after="0" w:line="263" w:lineRule="auto"/>
        <w:tabs>
          <w:tab w:leader="none" w:pos="322"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“as adjusted” calculation equals $250,000,000 of cash held in trust from the proceeds of this offering and the sale of the private placement warrants, plus $1,995,000 in cash held outside the trust account (assuming no exercise of the underwriters’ over-allotment option), plus $19,506 of actual shareholders’ equity on December 31, 2020.</w:t>
      </w:r>
    </w:p>
    <w:p>
      <w:pPr>
        <w:spacing w:after="0" w:line="183" w:lineRule="exact"/>
        <w:rPr>
          <w:rFonts w:ascii="Arial" w:cs="Arial" w:eastAsia="Arial" w:hAnsi="Arial"/>
          <w:sz w:val="18"/>
          <w:szCs w:val="18"/>
          <w:color w:val="auto"/>
        </w:rPr>
      </w:pPr>
    </w:p>
    <w:p>
      <w:pPr>
        <w:ind w:left="322" w:right="360" w:hanging="322"/>
        <w:spacing w:after="0" w:line="277" w:lineRule="auto"/>
        <w:tabs>
          <w:tab w:leader="none" w:pos="322"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“as adjusted” calculation equals $8,750,000 of deferred underwriting commissions, assuming the underwriters’ over-allotment option is not exercised.</w:t>
      </w:r>
    </w:p>
    <w:p>
      <w:pPr>
        <w:spacing w:after="0" w:line="170" w:lineRule="exact"/>
        <w:rPr>
          <w:rFonts w:ascii="Arial" w:cs="Arial" w:eastAsia="Arial" w:hAnsi="Arial"/>
          <w:sz w:val="18"/>
          <w:szCs w:val="18"/>
          <w:color w:val="auto"/>
        </w:rPr>
      </w:pPr>
    </w:p>
    <w:p>
      <w:pPr>
        <w:jc w:val="both"/>
        <w:ind w:left="322" w:right="140" w:hanging="322"/>
        <w:spacing w:after="0" w:line="263" w:lineRule="auto"/>
        <w:tabs>
          <w:tab w:leader="none" w:pos="322"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“as adjusted” calculation equals the “as adjusted” total assets, less the “as adjusted” total liabilities, less the “as adjusted” shareholders’ equity, which is set to approximate the minimum net tangible assets threshold of at least $5,000,001 either immediately prior to or upon consummation of our initial business combination.</w:t>
      </w:r>
    </w:p>
    <w:p>
      <w:pPr>
        <w:spacing w:after="0" w:line="183" w:lineRule="exact"/>
        <w:rPr>
          <w:rFonts w:ascii="Arial" w:cs="Arial" w:eastAsia="Arial" w:hAnsi="Arial"/>
          <w:sz w:val="18"/>
          <w:szCs w:val="18"/>
          <w:color w:val="auto"/>
        </w:rPr>
      </w:pPr>
    </w:p>
    <w:p>
      <w:pPr>
        <w:ind w:left="322" w:right="400" w:hanging="322"/>
        <w:spacing w:after="0" w:line="263" w:lineRule="auto"/>
        <w:tabs>
          <w:tab w:leader="none" w:pos="322"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Excludes 23,826,450 Class A ordinary shares sold in the offering which are subject to redemption in connection with our initial business combination. The “as adjusted” calculation equals the “as adjusted” total assets, less the “as adjusted” total liabilities, less the value of ordinary shares that may be redeemed in connection with our initial business combination ($10.00 per share).</w:t>
      </w:r>
    </w:p>
    <w:p>
      <w:pPr>
        <w:spacing w:after="0" w:line="184" w:lineRule="exact"/>
        <w:rPr>
          <w:sz w:val="20"/>
          <w:szCs w:val="20"/>
          <w:color w:val="auto"/>
        </w:rPr>
      </w:pPr>
    </w:p>
    <w:p>
      <w:pPr>
        <w:ind w:left="2" w:right="160" w:firstLine="324"/>
        <w:spacing w:after="0" w:line="263" w:lineRule="auto"/>
        <w:rPr>
          <w:sz w:val="20"/>
          <w:szCs w:val="20"/>
          <w:color w:val="auto"/>
        </w:rPr>
      </w:pPr>
      <w:r>
        <w:rPr>
          <w:rFonts w:ascii="Arial" w:cs="Arial" w:eastAsia="Arial" w:hAnsi="Arial"/>
          <w:sz w:val="18"/>
          <w:szCs w:val="18"/>
          <w:color w:val="auto"/>
        </w:rPr>
        <w:t>The “as adjusted” information in the table above gives effect to the sale of the public units we are offering and the sale of the private placement warrants, including the application of the related gross proceeds and the payment of the estimated remaining costs from such sale and the repayment of the accrued and other liabilities required to be repaid.</w:t>
      </w:r>
    </w:p>
    <w:p>
      <w:pPr>
        <w:spacing w:after="0" w:line="184" w:lineRule="exact"/>
        <w:rPr>
          <w:sz w:val="20"/>
          <w:szCs w:val="20"/>
          <w:color w:val="auto"/>
        </w:rPr>
      </w:pPr>
    </w:p>
    <w:p>
      <w:pPr>
        <w:ind w:left="2" w:right="240" w:firstLine="324"/>
        <w:spacing w:after="0" w:line="271" w:lineRule="auto"/>
        <w:rPr>
          <w:sz w:val="20"/>
          <w:szCs w:val="20"/>
          <w:color w:val="auto"/>
        </w:rPr>
      </w:pPr>
      <w:r>
        <w:rPr>
          <w:rFonts w:ascii="Arial" w:cs="Arial" w:eastAsia="Arial" w:hAnsi="Arial"/>
          <w:sz w:val="17"/>
          <w:szCs w:val="17"/>
          <w:color w:val="auto"/>
        </w:rPr>
        <w:t>The “as adjusted” total assets of $250,000,000 to be held in the trust account (or $287,500,000 if the underwriters’ over-allotment option is exercised in full) which, except for limited situations described in this prospectus, will be available to us only upon the consummation of a business combination within the time period described in this prospectus. If no business combination is completed within 24 months from the closing of this offering or during any Extension Period, the proceeds then on deposit in the trust account, including interest (less up to $100,000 of interest income to pay dissolution expenses and which interest shall be net of taxes payable) will be used to fund the redemption of our public shares. Our initial shareholders, sponsor, officers and directors have entered into a letter agreement with us, pursuant to which they have agreed to waive their rights to liquidating distributions from the trust account with respect to their founder shares and public shares if we fail to complete our initial business combination within such 24-month time period or during any Extension Period.</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8"/>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14605</wp:posOffset>
            </wp:positionV>
            <wp:extent cx="71323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42"/>
          </w:cols>
          <w:pgMar w:left="418" w:top="918" w:right="439" w:bottom="1440" w:gutter="0" w:footer="0" w:header="0"/>
        </w:sectPr>
      </w:pPr>
    </w:p>
    <w:bookmarkStart w:id="39" w:name="page40"/>
    <w:bookmarkEnd w:id="39"/>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378460</wp:posOffset>
            </wp:positionV>
            <wp:extent cx="7136130" cy="712787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6130" cy="7127875"/>
                    </a:xfrm>
                    <a:prstGeom prst="rect">
                      <a:avLst/>
                    </a:prstGeom>
                    <a:noFill/>
                  </pic:spPr>
                </pic:pic>
              </a:graphicData>
            </a:graphic>
          </wp:anchor>
        </w:drawing>
        <w:t>CAUTIONARY NOTE REGARDING FORWARD-LOOKING STATEMENTS AND</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RISK FACTOR SUMMARY</w:t>
      </w:r>
    </w:p>
    <w:p>
      <w:pPr>
        <w:spacing w:after="0" w:line="211"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Some of the statements contained in this prospectus may constitute “forward-looking statements” for purposes of the federal securities laws. Our forward-looking statements include, but are not limited to, statements regarding our or our management team’s expectations, hopes, beliefs, intentions or strategies regarding the future. In addition, any statements that refer to projections, forecasts or other characterizations of future events or circumstances, including any underlying assumptions, are forward-looking statements. The words “anticipate,” “believe,” “continue,” “could,” “estimate,” “expect,” “intend,” “may,” “might,” “plan,” “possible,” “potential,” “predict,” “project,” “should,” “would” and similar expressions may identify forward-looking statements, but the absence of these words does not mean that a statement is not forward-looking. The forward-looking statements contained in this prospectus are based on our current expectations and beliefs concerning future developments and their potential effects on us. There can be no assurance that future developments affecting us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the following risks, uncertainties and other factors:</w:t>
      </w:r>
    </w:p>
    <w:p>
      <w:pPr>
        <w:spacing w:after="0" w:line="182" w:lineRule="exact"/>
        <w:rPr>
          <w:sz w:val="20"/>
          <w:szCs w:val="20"/>
          <w:color w:val="auto"/>
        </w:rPr>
      </w:pPr>
    </w:p>
    <w:p>
      <w:pPr>
        <w:ind w:left="640" w:hanging="318"/>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being a blank check company with no operating history and no revenues;</w:t>
      </w:r>
    </w:p>
    <w:p>
      <w:pPr>
        <w:spacing w:after="0" w:line="225" w:lineRule="exact"/>
        <w:rPr>
          <w:rFonts w:ascii="Arial" w:cs="Arial" w:eastAsia="Arial" w:hAnsi="Arial"/>
          <w:sz w:val="18"/>
          <w:szCs w:val="18"/>
          <w:color w:val="auto"/>
        </w:rPr>
      </w:pPr>
    </w:p>
    <w:p>
      <w:pPr>
        <w:ind w:left="640" w:hanging="318"/>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select an appropriate target business or businesses;</w:t>
      </w:r>
    </w:p>
    <w:p>
      <w:pPr>
        <w:spacing w:after="0" w:line="225" w:lineRule="exact"/>
        <w:rPr>
          <w:rFonts w:ascii="Arial" w:cs="Arial" w:eastAsia="Arial" w:hAnsi="Arial"/>
          <w:sz w:val="18"/>
          <w:szCs w:val="18"/>
          <w:color w:val="auto"/>
        </w:rPr>
      </w:pPr>
    </w:p>
    <w:p>
      <w:pPr>
        <w:ind w:left="640" w:hanging="318"/>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complete our initial business combination;</w:t>
      </w:r>
    </w:p>
    <w:p>
      <w:pPr>
        <w:spacing w:after="0" w:line="225" w:lineRule="exact"/>
        <w:rPr>
          <w:rFonts w:ascii="Arial" w:cs="Arial" w:eastAsia="Arial" w:hAnsi="Arial"/>
          <w:sz w:val="18"/>
          <w:szCs w:val="18"/>
          <w:color w:val="auto"/>
        </w:rPr>
      </w:pPr>
    </w:p>
    <w:p>
      <w:pPr>
        <w:ind w:left="640" w:hanging="318"/>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expectations around the performance of the prospective target business or businesses;</w:t>
      </w:r>
    </w:p>
    <w:p>
      <w:pPr>
        <w:spacing w:after="0" w:line="225" w:lineRule="exact"/>
        <w:rPr>
          <w:rFonts w:ascii="Arial" w:cs="Arial" w:eastAsia="Arial" w:hAnsi="Arial"/>
          <w:sz w:val="18"/>
          <w:szCs w:val="18"/>
          <w:color w:val="auto"/>
        </w:rPr>
      </w:pPr>
    </w:p>
    <w:p>
      <w:pPr>
        <w:ind w:left="640" w:right="920" w:hanging="318"/>
        <w:spacing w:after="0" w:line="277" w:lineRule="auto"/>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success in retaining or recruiting, or changes required in, our officers, key employees or directors following our initial business combination;</w:t>
      </w:r>
    </w:p>
    <w:p>
      <w:pPr>
        <w:spacing w:after="0" w:line="170" w:lineRule="exact"/>
        <w:rPr>
          <w:rFonts w:ascii="Arial" w:cs="Arial" w:eastAsia="Arial" w:hAnsi="Arial"/>
          <w:sz w:val="18"/>
          <w:szCs w:val="18"/>
          <w:color w:val="auto"/>
        </w:rPr>
      </w:pPr>
    </w:p>
    <w:p>
      <w:pPr>
        <w:ind w:left="640" w:right="100" w:hanging="318"/>
        <w:spacing w:after="0" w:line="277" w:lineRule="auto"/>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officers and directors allocating their time to other businesses and potentially having conflicts of interest with our business or in approving our initial business combination;</w:t>
      </w:r>
    </w:p>
    <w:p>
      <w:pPr>
        <w:spacing w:after="0" w:line="170" w:lineRule="exact"/>
        <w:rPr>
          <w:rFonts w:ascii="Arial" w:cs="Arial" w:eastAsia="Arial" w:hAnsi="Arial"/>
          <w:sz w:val="18"/>
          <w:szCs w:val="18"/>
          <w:color w:val="auto"/>
        </w:rPr>
      </w:pPr>
    </w:p>
    <w:p>
      <w:pPr>
        <w:ind w:left="640" w:hanging="318"/>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potential ability to obtain additional financing to complete our initial business combination;</w:t>
      </w:r>
    </w:p>
    <w:p>
      <w:pPr>
        <w:spacing w:after="0" w:line="225" w:lineRule="exact"/>
        <w:rPr>
          <w:rFonts w:ascii="Arial" w:cs="Arial" w:eastAsia="Arial" w:hAnsi="Arial"/>
          <w:sz w:val="18"/>
          <w:szCs w:val="18"/>
          <w:color w:val="auto"/>
        </w:rPr>
      </w:pPr>
    </w:p>
    <w:p>
      <w:pPr>
        <w:ind w:left="640" w:hanging="318"/>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pool of prospective target businesses;</w:t>
      </w:r>
    </w:p>
    <w:p>
      <w:pPr>
        <w:spacing w:after="0" w:line="225" w:lineRule="exact"/>
        <w:rPr>
          <w:rFonts w:ascii="Arial" w:cs="Arial" w:eastAsia="Arial" w:hAnsi="Arial"/>
          <w:sz w:val="18"/>
          <w:szCs w:val="18"/>
          <w:color w:val="auto"/>
        </w:rPr>
      </w:pPr>
    </w:p>
    <w:p>
      <w:pPr>
        <w:ind w:left="640" w:right="100" w:hanging="318"/>
        <w:spacing w:after="0" w:line="277" w:lineRule="auto"/>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consummate an initial business combination due to the uncertainty resulting from the COVID-19 pandemic or other events (such as terrorist attacks, natural disasters or a significant outbreak of other infectious diseases);</w:t>
      </w:r>
    </w:p>
    <w:p>
      <w:pPr>
        <w:spacing w:after="0" w:line="170" w:lineRule="exact"/>
        <w:rPr>
          <w:rFonts w:ascii="Arial" w:cs="Arial" w:eastAsia="Arial" w:hAnsi="Arial"/>
          <w:sz w:val="18"/>
          <w:szCs w:val="18"/>
          <w:color w:val="auto"/>
        </w:rPr>
      </w:pPr>
    </w:p>
    <w:p>
      <w:pPr>
        <w:ind w:left="640" w:hanging="318"/>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ability of our officers and directors to generate a number of potential business combination opportunities;</w:t>
      </w:r>
    </w:p>
    <w:p>
      <w:pPr>
        <w:spacing w:after="0" w:line="225" w:lineRule="exact"/>
        <w:rPr>
          <w:rFonts w:ascii="Arial" w:cs="Arial" w:eastAsia="Arial" w:hAnsi="Arial"/>
          <w:sz w:val="18"/>
          <w:szCs w:val="18"/>
          <w:color w:val="auto"/>
        </w:rPr>
      </w:pPr>
    </w:p>
    <w:p>
      <w:pPr>
        <w:ind w:left="640" w:hanging="318"/>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public securities’ potential liquidity and trading;</w:t>
      </w:r>
    </w:p>
    <w:p>
      <w:pPr>
        <w:spacing w:after="0" w:line="225" w:lineRule="exact"/>
        <w:rPr>
          <w:rFonts w:ascii="Arial" w:cs="Arial" w:eastAsia="Arial" w:hAnsi="Arial"/>
          <w:sz w:val="18"/>
          <w:szCs w:val="18"/>
          <w:color w:val="auto"/>
        </w:rPr>
      </w:pPr>
    </w:p>
    <w:p>
      <w:pPr>
        <w:ind w:left="640" w:hanging="318"/>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lack of a market for our securities;</w:t>
      </w:r>
    </w:p>
    <w:p>
      <w:pPr>
        <w:spacing w:after="0" w:line="225" w:lineRule="exact"/>
        <w:rPr>
          <w:rFonts w:ascii="Arial" w:cs="Arial" w:eastAsia="Arial" w:hAnsi="Arial"/>
          <w:sz w:val="18"/>
          <w:szCs w:val="18"/>
          <w:color w:val="auto"/>
        </w:rPr>
      </w:pPr>
    </w:p>
    <w:p>
      <w:pPr>
        <w:ind w:left="640" w:hanging="318"/>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use of proceeds not held in the trust account or available to us from interest income on the trust account balance;</w:t>
      </w:r>
    </w:p>
    <w:p>
      <w:pPr>
        <w:spacing w:after="0" w:line="225" w:lineRule="exact"/>
        <w:rPr>
          <w:rFonts w:ascii="Arial" w:cs="Arial" w:eastAsia="Arial" w:hAnsi="Arial"/>
          <w:sz w:val="18"/>
          <w:szCs w:val="18"/>
          <w:color w:val="auto"/>
        </w:rPr>
      </w:pPr>
    </w:p>
    <w:p>
      <w:pPr>
        <w:ind w:left="640" w:hanging="318"/>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trust account being subject to claims of third parties;</w:t>
      </w:r>
    </w:p>
    <w:p>
      <w:pPr>
        <w:spacing w:after="0" w:line="225" w:lineRule="exact"/>
        <w:rPr>
          <w:rFonts w:ascii="Arial" w:cs="Arial" w:eastAsia="Arial" w:hAnsi="Arial"/>
          <w:sz w:val="18"/>
          <w:szCs w:val="18"/>
          <w:color w:val="auto"/>
        </w:rPr>
      </w:pPr>
    </w:p>
    <w:p>
      <w:pPr>
        <w:ind w:left="640" w:hanging="318"/>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financial performance following this offering; and</w:t>
      </w:r>
    </w:p>
    <w:p>
      <w:pPr>
        <w:spacing w:after="0" w:line="225" w:lineRule="exact"/>
        <w:rPr>
          <w:rFonts w:ascii="Arial" w:cs="Arial" w:eastAsia="Arial" w:hAnsi="Arial"/>
          <w:sz w:val="18"/>
          <w:szCs w:val="18"/>
          <w:color w:val="auto"/>
        </w:rPr>
      </w:pPr>
    </w:p>
    <w:p>
      <w:pPr>
        <w:ind w:left="640" w:hanging="318"/>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other risk and uncertainties discussed in “Risk Factors” and elsewhere in this prospectus.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23495</wp:posOffset>
            </wp:positionV>
            <wp:extent cx="71323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00"/>
          </w:cols>
          <w:pgMar w:left="420" w:top="918" w:right="479" w:bottom="1440" w:gutter="0" w:footer="0" w:header="0"/>
        </w:sectPr>
      </w:pPr>
    </w:p>
    <w:bookmarkStart w:id="40" w:name="page41"/>
    <w:bookmarkEnd w:id="40"/>
    <w:p>
      <w:pPr>
        <w:ind w:firstLine="324"/>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206375</wp:posOffset>
            </wp:positionH>
            <wp:positionV relativeFrom="page">
              <wp:posOffset>378460</wp:posOffset>
            </wp:positionV>
            <wp:extent cx="7136130" cy="1418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6130" cy="1418590"/>
                    </a:xfrm>
                    <a:prstGeom prst="rect">
                      <a:avLst/>
                    </a:prstGeom>
                    <a:noFill/>
                  </pic:spPr>
                </pic:pic>
              </a:graphicData>
            </a:graphic>
          </wp:anchor>
        </w:drawing>
        <w:t>Should one or more of these risks or uncertainties materialize, or should any of our assumptions prove incorrect, actual results may vary in material respects from those projected in these forward-looking statements. We undertake no obligation to update or revise any forward-looking statements, whether as a result of new information, future events or otherwise, except as may be required under applicable securities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23495</wp:posOffset>
            </wp:positionV>
            <wp:extent cx="71323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40"/>
          </w:cols>
          <w:pgMar w:left="420" w:top="895" w:right="539" w:bottom="1440" w:gutter="0" w:footer="0" w:header="0"/>
        </w:sectPr>
      </w:pPr>
    </w:p>
    <w:bookmarkStart w:id="41" w:name="page42"/>
    <w:bookmarkEnd w:id="41"/>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i w:val="1"/>
          <w:iCs w:val="1"/>
          <w:color w:val="auto"/>
        </w:rPr>
        <w:t>An investment in our securities involves a high degree of risk. You should consider carefully all of the risks described below, together with the other information contained in this prospectus, before making a decision to invest in our units. If any of the following events occur, our business, financial condition and operating results may be materially adversely affected. In that event, the trading price of our securities could decline, and you could lose all or part of your investment.</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Associated with Our Business Strategy and Business Combination</w:t>
      </w:r>
    </w:p>
    <w:p>
      <w:pPr>
        <w:spacing w:after="0" w:line="225" w:lineRule="exact"/>
        <w:rPr>
          <w:sz w:val="20"/>
          <w:szCs w:val="20"/>
          <w:color w:val="auto"/>
        </w:rPr>
      </w:pPr>
    </w:p>
    <w:p>
      <w:pPr>
        <w:ind w:right="180"/>
        <w:spacing w:after="0" w:line="282" w:lineRule="auto"/>
        <w:rPr>
          <w:sz w:val="20"/>
          <w:szCs w:val="20"/>
          <w:color w:val="auto"/>
        </w:rPr>
      </w:pPr>
      <w:r>
        <w:rPr>
          <w:rFonts w:ascii="Arial" w:cs="Arial" w:eastAsia="Arial" w:hAnsi="Arial"/>
          <w:sz w:val="18"/>
          <w:szCs w:val="18"/>
          <w:b w:val="1"/>
          <w:bCs w:val="1"/>
          <w:color w:val="auto"/>
        </w:rPr>
        <w:t>We are a blank check company with no operating history and no revenues, and you have no basis on which to evaluate our ability to achieve our business objective.</w:t>
      </w:r>
    </w:p>
    <w:p>
      <w:pPr>
        <w:spacing w:after="0" w:line="166"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We are a blank check company incorporated under the laws of the Cayman Islands with no operating results, and we will not commence operations until obtaining funding through this offering. Because we lack an operating history, you have no basis upon which to evaluate our ability to achieve our business objective of completing our initial business combination. We have no plans, arrangements or understandings with any prospective target business concerning a business combination and may be unable to complete our initial business combination. If we fail to complete our initial business combination, we will never generate any operating revenues.</w:t>
      </w:r>
    </w:p>
    <w:p>
      <w:pPr>
        <w:spacing w:after="0" w:line="184" w:lineRule="exact"/>
        <w:rPr>
          <w:sz w:val="20"/>
          <w:szCs w:val="20"/>
          <w:color w:val="auto"/>
        </w:rPr>
      </w:pPr>
    </w:p>
    <w:p>
      <w:pPr>
        <w:ind w:right="300"/>
        <w:spacing w:after="0" w:line="266" w:lineRule="auto"/>
        <w:rPr>
          <w:sz w:val="20"/>
          <w:szCs w:val="20"/>
          <w:color w:val="auto"/>
        </w:rPr>
      </w:pPr>
      <w:r>
        <w:rPr>
          <w:rFonts w:ascii="Arial" w:cs="Arial" w:eastAsia="Arial" w:hAnsi="Arial"/>
          <w:sz w:val="18"/>
          <w:szCs w:val="18"/>
          <w:b w:val="1"/>
          <w:bCs w:val="1"/>
          <w:color w:val="auto"/>
        </w:rPr>
        <w:t>Past performance by our management team, directors, advisors, the PIMCO private fund and their respective affiliates, including investments and transactions in which they have participated and businesses with which they have been associated, may not be indicative of future performance of an investment in the Company.</w:t>
      </w:r>
    </w:p>
    <w:p>
      <w:pPr>
        <w:spacing w:after="0" w:line="180" w:lineRule="exact"/>
        <w:rPr>
          <w:sz w:val="20"/>
          <w:szCs w:val="20"/>
          <w:color w:val="auto"/>
        </w:rPr>
      </w:pPr>
    </w:p>
    <w:p>
      <w:pPr>
        <w:ind w:right="100" w:firstLine="324"/>
        <w:spacing w:after="0" w:line="287" w:lineRule="auto"/>
        <w:rPr>
          <w:sz w:val="20"/>
          <w:szCs w:val="20"/>
          <w:color w:val="auto"/>
        </w:rPr>
      </w:pPr>
      <w:r>
        <w:rPr>
          <w:rFonts w:ascii="Arial" w:cs="Arial" w:eastAsia="Arial" w:hAnsi="Arial"/>
          <w:sz w:val="16"/>
          <w:szCs w:val="16"/>
          <w:color w:val="auto"/>
        </w:rPr>
        <w:t>Information regarding our management team, directors, advisors, the PIMCO private fund and their respective affiliates, including investments and transactions in which they have participated and businesses with which they have been associated, is presented for informational purposes only. Not all of the businesses in which our management team directors, advisors, the PIMCO private fund or their respective affiliates have invested have achieved the same level of value creation. Any past experience and performance by our management team, directors, advisors, the PIMCO private fund and their respective affiliates and the businesses with which they have been associated, is not a guarantee that we will be able to successfully identify a suitable candidate for our initial business combination, that we will be able to provide positive returns to our shareholders, or of any results with respect to any initial business combination we may consummate. You should not rely on the historical experiences of our management team directors, advisors, the PIMCO private fund and their respective affiliates, including investments and transactions in which they have participated and businesses with which they have been associated, as indicative of the future performance of an investment in us or as indicative of every prior investment by each of the members of our management team directors, advisors, the PIMCO private fund or their respective affiliates. The market price of our securities may be influenced by numerous factors, many of which are beyond our control, and our shareholders may experience losses on their investment in our securities.</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may seek business combination opportunities in industries or sectors that may be outside of our management’s areas of expertise.</w:t>
      </w:r>
    </w:p>
    <w:p>
      <w:pPr>
        <w:spacing w:after="0" w:line="241"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We will consider a business combination outside of our management’s areas of expertise if a business combination candidate is presented to us and we determine that such candidate offers an attractive business combination opportunity for our company. Although our management will endeavor to evaluate the risks inherent in any particular business combination candidate, we cannot assure you that we will adequately ascertain or assess all of the significant risk factors. We also cannot assure you that an investment in our units will not ultimately prove to be less favorable to investors in this offering than a direct investment, if an opportunity were available, in a business combination candidate. In the event we elect to pursue a business combination outside of the areas of our management’s expertise, our management’s expertise may not be directly applicable to its evaluation or operation, and the information contained in this prospectus regarding the areas of our management’s expertise would not be relevant to an understanding of the business that we elect to acquire. As a result, our management may not be able to ascertain or assess adequately all of the relevant risk factors. Accordingly, any shareholders or warrant holders who choose to remain shareholders or warrant holders following the business combination could suffer a reduction in the value of their securities. Such shareholders or warrant holders are unlikely to have a remedy for such reduction in value.</w:t>
      </w:r>
    </w:p>
    <w:p>
      <w:pPr>
        <w:spacing w:after="0" w:line="27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823" w:right="359" w:bottom="1440" w:gutter="0" w:footer="0" w:header="0"/>
        </w:sectPr>
      </w:pPr>
    </w:p>
    <w:bookmarkStart w:id="42" w:name="page43"/>
    <w:bookmarkEnd w:id="42"/>
    <w:p>
      <w:pPr>
        <w:ind w:right="40"/>
        <w:spacing w:after="0" w:line="266" w:lineRule="auto"/>
        <w:rPr>
          <w:sz w:val="20"/>
          <w:szCs w:val="20"/>
          <w:color w:val="auto"/>
        </w:rPr>
      </w:pPr>
      <w:r>
        <w:rPr>
          <w:rFonts w:ascii="Arial" w:cs="Arial" w:eastAsia="Arial" w:hAnsi="Arial"/>
          <w:sz w:val="18"/>
          <w:szCs w:val="18"/>
          <w:b w:val="1"/>
          <w:bCs w:val="1"/>
          <w:color w:val="auto"/>
        </w:rPr>
        <w:t>Because we are neither limited to evaluating a target business in a particular industry, sector or geographic region nor have we selected any target businesses with which to pursue our initial business combination, you will be unable to ascertain the merits or risks of any particular target business’s operations.</w:t>
      </w:r>
    </w:p>
    <w:p>
      <w:pPr>
        <w:spacing w:after="0" w:line="180" w:lineRule="exact"/>
        <w:rPr>
          <w:sz w:val="20"/>
          <w:szCs w:val="20"/>
          <w:color w:val="auto"/>
        </w:rPr>
      </w:pPr>
    </w:p>
    <w:p>
      <w:pPr>
        <w:ind w:firstLine="324"/>
        <w:spacing w:after="0" w:line="285" w:lineRule="auto"/>
        <w:rPr>
          <w:sz w:val="20"/>
          <w:szCs w:val="20"/>
          <w:color w:val="auto"/>
        </w:rPr>
      </w:pPr>
      <w:r>
        <w:rPr>
          <w:rFonts w:ascii="Arial" w:cs="Arial" w:eastAsia="Arial" w:hAnsi="Arial"/>
          <w:sz w:val="16"/>
          <w:szCs w:val="16"/>
          <w:color w:val="auto"/>
        </w:rPr>
        <w:t>Although we expect to focus our search for a target business in the financial services sector, our efforts to identify a prospective initial business combination target will not be limited to a particular industry, sector or geographic region. While we may pursue an initial business combination opportunity in any industry or sector, we intend to capitalize on the ability of our management team to identify and acquire a business or businesses that can benefit from our management team’s established global relationships and operating experience. Our management team has extensive experience in identifying and executing strategic investments globally and has done so successfully in a number of sectors, including the financial services and insurance sectors. Our amended and restated memorandum and articles of association prohibit us from effectuating a business combination solely with another blank check company or similar company with nominal operations. Because we have not yet selected or approached any specific target business with respect to a business combination, there is no basis to evaluate the possible merits or risks of any particular target business’s operations, results of operations, cash flows, liquidity, financial condition or prospects. To the extent we complete our initial business combination, we may be affected by numerous risks inherent in the business operations with which we combine. For example, if we combine with a financially unstable business or an entity lacking an established record of sales or earnings, we may be affected by the risks inherent in the business and operations of a financially unstable or a development stage entity. Although our officers and directors will endeavor to evaluate the risks inherent in a particular target business, we cannot assure you that we will properly ascertain or assess all of the significant risk factors or that we will have adequate time to complete due diligence. Furthermore, some of these risks may be outside of our control and leave us with no ability to control or reduce the chances that those risks will adversely impact a target business. We also cannot assure you that an investment in our units will not ultimately prove to be less favorable to investors in this offering than a direct investment, if an opportunity were available, in a business combination candidate. Accordingly, any shareholders or warrant holders who choose to remain shareholders or warrant holders following the business combination could suffer a reduction in the value of their securities. Such shareholders or warrant holders are unlikely to have a remedy for such reduction in value.</w:t>
      </w:r>
    </w:p>
    <w:p>
      <w:pPr>
        <w:spacing w:after="0" w:line="386" w:lineRule="exact"/>
        <w:rPr>
          <w:sz w:val="20"/>
          <w:szCs w:val="20"/>
          <w:color w:val="auto"/>
        </w:rPr>
      </w:pPr>
    </w:p>
    <w:p>
      <w:pPr>
        <w:ind w:right="240"/>
        <w:spacing w:after="0" w:line="314" w:lineRule="auto"/>
        <w:rPr>
          <w:sz w:val="20"/>
          <w:szCs w:val="20"/>
          <w:color w:val="auto"/>
        </w:rPr>
      </w:pPr>
      <w:r>
        <w:rPr>
          <w:rFonts w:ascii="Arial" w:cs="Arial" w:eastAsia="Arial" w:hAnsi="Arial"/>
          <w:sz w:val="16"/>
          <w:szCs w:val="16"/>
          <w:b w:val="1"/>
          <w:bCs w:val="1"/>
          <w:color w:val="auto"/>
        </w:rPr>
        <w:t>Although we have identified general criteria and guidelines that we believe are important in evaluating prospective target businesses, we may enter into our initial business combination with a target that does not meet such criteria and guidelines, and as a result, the target business with which we enter into our initial business combination may not have attributes entirely consistent with our general criteria and guidelines.</w:t>
      </w:r>
    </w:p>
    <w:p>
      <w:pPr>
        <w:spacing w:after="0" w:line="146"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Although we have identified general criteria and guidelines for evaluating prospective target businesses, it is possible that a target business with which we enter into our initial business combination will not have all of these positive attributes. If we complete our initial business combination with a target that does not meet some or all of these criteria and guidelines, such combination may not be as successful as a combination with a business that does meet all of our general criteria and guidelines. In addition, if we announce a prospective business combination with a target that does not meet our general criteria and guidelines, a greater number of shareholders may exercise their redemption rights, which may make it difficult for us to meet any closing condition with a target business that requires us to have a minimum net worth or a certain amount of cash. In addition, if shareholder approval of the transaction is required by applicable law, or we decide to obtain shareholder approval for business or other reasons, it may be more difficult for us to attain shareholder approval of our initial business combination if the target business does not meet our general criteria and guidelines. If we are unable to complete our initial business combination, our public shareholders may only receive their pro rata portion of the funds in the trust account that are available for distribution to public shareholders, and our warrants will expire worthless.</w:t>
      </w:r>
    </w:p>
    <w:p>
      <w:pPr>
        <w:spacing w:after="0" w:line="181"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b w:val="1"/>
          <w:bCs w:val="1"/>
          <w:color w:val="auto"/>
        </w:rPr>
        <w:t>We are not required to obtain an opinion regarding fairness, and consequently, you may have no assurance from an independent source that the price we are paying for the business is fair to our shareholders from a financial point of view.</w:t>
      </w:r>
    </w:p>
    <w:p>
      <w:pPr>
        <w:spacing w:after="0" w:line="166" w:lineRule="exact"/>
        <w:rPr>
          <w:sz w:val="20"/>
          <w:szCs w:val="20"/>
          <w:color w:val="auto"/>
        </w:rPr>
      </w:pPr>
    </w:p>
    <w:p>
      <w:pPr>
        <w:ind w:right="40" w:firstLine="324"/>
        <w:spacing w:after="0" w:line="279" w:lineRule="auto"/>
        <w:rPr>
          <w:sz w:val="20"/>
          <w:szCs w:val="20"/>
          <w:color w:val="auto"/>
        </w:rPr>
      </w:pPr>
      <w:r>
        <w:rPr>
          <w:rFonts w:ascii="Arial" w:cs="Arial" w:eastAsia="Arial" w:hAnsi="Arial"/>
          <w:sz w:val="17"/>
          <w:szCs w:val="17"/>
          <w:color w:val="auto"/>
        </w:rPr>
        <w:t>Unless we complete our initial business combination with an affiliated entity, we are not required to obtain an opinion that such an initial business combination is fair to our company from a financial point of view. If no opinion is obtained, our shareholders will be relying on the judgment of our board of directors, who will determine fair market value based on standards generally accepted by the financial community. Such standards used will be disclosed in our proxy materials or tender offer documents, as applicable, related to our initial business combination.</w:t>
      </w:r>
    </w:p>
    <w:p>
      <w:pPr>
        <w:spacing w:after="0" w:line="27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3" w:name="page44"/>
    <w:bookmarkEnd w:id="43"/>
    <w:p>
      <w:pPr>
        <w:ind w:left="180" w:right="20"/>
        <w:spacing w:after="0" w:line="320" w:lineRule="auto"/>
        <w:rPr>
          <w:sz w:val="20"/>
          <w:szCs w:val="20"/>
          <w:color w:val="auto"/>
        </w:rPr>
      </w:pPr>
      <w:r>
        <w:rPr>
          <w:rFonts w:ascii="Arial" w:cs="Arial" w:eastAsia="Arial" w:hAnsi="Arial"/>
          <w:sz w:val="15"/>
          <w:szCs w:val="15"/>
          <w:b w:val="1"/>
          <w:bCs w:val="1"/>
          <w:i w:val="1"/>
          <w:iCs w:val="1"/>
          <w:color w:val="auto"/>
        </w:rPr>
        <w:t>We may engage one or more of the underwriters or their affiliates to provide additional services to us after this offering, which may include acting as financial advisor in connection with an initial business combination or as placement agent in connection with a related financing transaction. The underwriters are entitled to receive deferred commissions that will be released from the trust only on a completion of an initial business combination. These financial incentives may cause the underwriters to have potential conflicts of interest in rendering any such additional services to us after this offering, including, for example, in connection with the sourcing and consummation of an initial business combination.</w:t>
      </w:r>
    </w:p>
    <w:p>
      <w:pPr>
        <w:spacing w:after="0" w:line="146"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We may engage one or more of the underwriters or their affiliates to provide additional services to us after this offering, including, for example, identifying potential targets, providing financial advisory services, acting as a placement agent in a private offering or arranging debt financing. We may pay the underwriters or their affiliates fair and reasonable fees or other compensation that would be determined at that time in an arm’s length negotiation; provided that no agreement will be entered into with the underwriters or their affiliates and no fees or other compensation for such services will be paid to the underwriters or their affiliates prior to the date that is 60 days from the date of this prospectus, unless such payment would not be deemed underwriter’s compensation in connection with this offering. The underwriters are also entitled to receive deferred commissions that are conditioned on the completion of an initial business combination. The fact that the underwriters or their affiliates’ financial interests are tied to the consummation of a business combination transaction may give rise to potential conflicts of interest in providing any such additional services to us, including potential conflicts of interest in connection with the sourcing and consummation of an initial business combination.</w:t>
      </w:r>
    </w:p>
    <w:p>
      <w:pPr>
        <w:spacing w:after="0" w:line="177"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b w:val="1"/>
          <w:bCs w:val="1"/>
          <w:color w:val="auto"/>
        </w:rPr>
        <w:t>We may seek acquisition opportunities with an early stage company, a financially unstable business or an entity lacking an established record of revenue or earnings.</w:t>
      </w:r>
    </w:p>
    <w:p>
      <w:pPr>
        <w:spacing w:after="0" w:line="166" w:lineRule="exact"/>
        <w:rPr>
          <w:sz w:val="20"/>
          <w:szCs w:val="20"/>
          <w:color w:val="auto"/>
        </w:rPr>
      </w:pPr>
    </w:p>
    <w:p>
      <w:pPr>
        <w:ind w:right="200" w:firstLine="324"/>
        <w:spacing w:after="0" w:line="254" w:lineRule="auto"/>
        <w:rPr>
          <w:sz w:val="20"/>
          <w:szCs w:val="20"/>
          <w:color w:val="auto"/>
        </w:rPr>
      </w:pPr>
      <w:r>
        <w:rPr>
          <w:rFonts w:ascii="Arial" w:cs="Arial" w:eastAsia="Arial" w:hAnsi="Arial"/>
          <w:sz w:val="18"/>
          <w:szCs w:val="18"/>
          <w:color w:val="auto"/>
        </w:rPr>
        <w:t>To the extent we complete our initial business combination with an early stage company, a financially unstable business or an entity lacking an established record of sales or earnings, we may be affected by numerous risks inherent in the operations of the business with which we combine. These risks include investing in a business without a proven business model and with limited historical financial data, volatile revenues or earnings, intense competition and difficulties in obtaining and retaining key personnel. Although our officers and directors will endeavor to evaluate the risks inherent in a particular target business, we may not be able to properly ascertain or assess all of the significant risk factors and we may not have adequate time to complete due diligence. Furthermore, some of these risks may be outside of our control and leave us with no ability to control or reduce the chances that those risks will adversely impact a target business.</w:t>
      </w:r>
    </w:p>
    <w:p>
      <w:pPr>
        <w:spacing w:after="0" w:line="191"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We may attempt to complete our initial business combination with a private company about which little information is available, which may result in a business combination with a company that is not as profitable as we suspected, if at all.</w:t>
      </w:r>
    </w:p>
    <w:p>
      <w:pPr>
        <w:spacing w:after="0" w:line="166" w:lineRule="exact"/>
        <w:rPr>
          <w:sz w:val="20"/>
          <w:szCs w:val="20"/>
          <w:color w:val="auto"/>
        </w:rPr>
      </w:pPr>
    </w:p>
    <w:p>
      <w:pPr>
        <w:ind w:right="240" w:firstLine="324"/>
        <w:spacing w:after="0" w:line="259" w:lineRule="auto"/>
        <w:rPr>
          <w:sz w:val="20"/>
          <w:szCs w:val="20"/>
          <w:color w:val="auto"/>
        </w:rPr>
      </w:pPr>
      <w:r>
        <w:rPr>
          <w:rFonts w:ascii="Arial" w:cs="Arial" w:eastAsia="Arial" w:hAnsi="Arial"/>
          <w:sz w:val="18"/>
          <w:szCs w:val="18"/>
          <w:color w:val="auto"/>
        </w:rPr>
        <w:t>In pursuing our business combination strategy, we may seek to effectuate our initial business combination with a privately held company. Very little public information generally exists about private companies, and we could be required to make our decision on whether to pursue a potential initial business combination on the basis of limited information, which may result in a business combination with a company that is not as profitable as we suspected, if at all.</w:t>
      </w:r>
    </w:p>
    <w:p>
      <w:pPr>
        <w:spacing w:after="0" w:line="183" w:lineRule="exact"/>
        <w:rPr>
          <w:sz w:val="20"/>
          <w:szCs w:val="20"/>
          <w:color w:val="auto"/>
        </w:rPr>
      </w:pPr>
    </w:p>
    <w:p>
      <w:pPr>
        <w:ind w:right="160"/>
        <w:spacing w:after="0" w:line="312" w:lineRule="auto"/>
        <w:rPr>
          <w:sz w:val="20"/>
          <w:szCs w:val="20"/>
          <w:color w:val="auto"/>
        </w:rPr>
      </w:pPr>
      <w:r>
        <w:rPr>
          <w:rFonts w:ascii="Arial" w:cs="Arial" w:eastAsia="Arial" w:hAnsi="Arial"/>
          <w:sz w:val="17"/>
          <w:szCs w:val="17"/>
          <w:b w:val="1"/>
          <w:bCs w:val="1"/>
          <w:color w:val="auto"/>
        </w:rPr>
        <w:t>We may issue notes or other debt securities, or otherwise incur substantial debt, to complete a business combination, which may adversely affect our leverage and financial condition and thus negatively impact the value of our shareholders’ investment in us.</w:t>
      </w:r>
    </w:p>
    <w:p>
      <w:pPr>
        <w:spacing w:after="0" w:line="144"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Although we have no commitments as of the date of this prospectus to issue any notes or other debt securities, or to otherwise incur outstanding debt following this offering, we may choose to incur substantial debt to complete our initial business combination. We have agreed that we will not incur any indebtedness unless we have obtained from the lender a waiver of any right, title, interest or claim of any kind in or to the monies held in the trust account. As such, no issuance of debt will affect the per-share amount available for redemption from the trust account. Nevertheless, the incurrence of debt could have a variety of negative effects, including:</w:t>
      </w:r>
    </w:p>
    <w:p>
      <w:pPr>
        <w:spacing w:after="0" w:line="188"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default and foreclosure on our assets if our operating revenues after an initial business combination are insufficient to repay our debt obligations;</w:t>
      </w:r>
    </w:p>
    <w:p>
      <w:pPr>
        <w:spacing w:after="0" w:line="248" w:lineRule="exact"/>
        <w:rPr>
          <w:rFonts w:ascii="Arial" w:cs="Arial" w:eastAsia="Arial" w:hAnsi="Arial"/>
          <w:sz w:val="16"/>
          <w:szCs w:val="16"/>
          <w:color w:val="auto"/>
        </w:rPr>
      </w:pPr>
    </w:p>
    <w:p>
      <w:pPr>
        <w:ind w:left="660" w:right="540" w:hanging="328"/>
        <w:spacing w:after="0" w:line="342" w:lineRule="auto"/>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acceleration of our obligations to repay the indebtedness even if we make all principal and interest payments when due if we breach certain covenants that require the maintenance of certain financial ratios or reserves without a waiver or renegotiation of that covenant;</w:t>
      </w:r>
    </w:p>
    <w:p>
      <w:pPr>
        <w:spacing w:after="0" w:line="123" w:lineRule="exact"/>
        <w:rPr>
          <w:rFonts w:ascii="Arial" w:cs="Arial" w:eastAsia="Arial" w:hAnsi="Arial"/>
          <w:sz w:val="16"/>
          <w:szCs w:val="16"/>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immediate payment of all principal and accrued interest, if any, if the debt is payable on demand;</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inability to obtain necessary additional financing if the debt contains covenants restricting our ability to obtain such financing while the debt is outstanding;</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inability to pay dividends on our Class A ordinary shares;</w:t>
      </w:r>
    </w:p>
    <w:p>
      <w:pPr>
        <w:spacing w:after="0" w:line="225" w:lineRule="exact"/>
        <w:rPr>
          <w:rFonts w:ascii="Arial" w:cs="Arial" w:eastAsia="Arial" w:hAnsi="Arial"/>
          <w:sz w:val="18"/>
          <w:szCs w:val="18"/>
          <w:color w:val="auto"/>
        </w:rPr>
      </w:pPr>
    </w:p>
    <w:p>
      <w:pPr>
        <w:ind w:left="660" w:right="240" w:hanging="328"/>
        <w:spacing w:after="0" w:line="308" w:lineRule="auto"/>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using a substantial portion of our cash flow to pay principal and interest on our debt, which will reduce the funds available for dividends on our Class A ordinary shares if declared, expenses, capital expenditures, acquisitions and other general corporate purposes;</w:t>
      </w:r>
    </w:p>
    <w:p>
      <w:pPr>
        <w:spacing w:after="0" w:line="146" w:lineRule="exact"/>
        <w:rPr>
          <w:rFonts w:ascii="Arial" w:cs="Arial" w:eastAsia="Arial" w:hAnsi="Arial"/>
          <w:sz w:val="17"/>
          <w:szCs w:val="17"/>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limitations on our flexibility in planning for and reacting to changes in our business and in the industry in which we operate;</w:t>
      </w:r>
    </w:p>
    <w:p>
      <w:pPr>
        <w:spacing w:after="0" w:line="225" w:lineRule="exact"/>
        <w:rPr>
          <w:rFonts w:ascii="Arial" w:cs="Arial" w:eastAsia="Arial" w:hAnsi="Arial"/>
          <w:sz w:val="18"/>
          <w:szCs w:val="18"/>
          <w:color w:val="auto"/>
        </w:rPr>
      </w:pPr>
    </w:p>
    <w:p>
      <w:pPr>
        <w:ind w:left="660" w:right="72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increased vulnerability to adverse changes in general economic, industry and competitive conditions and adverse changes in government regulation; and</w:t>
      </w:r>
    </w:p>
    <w:p>
      <w:pPr>
        <w:spacing w:after="0" w:line="27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800" w:right="359" w:bottom="1440" w:gutter="0" w:footer="0" w:header="0"/>
        </w:sectPr>
      </w:pPr>
    </w:p>
    <w:bookmarkStart w:id="44" w:name="page45"/>
    <w:bookmarkEnd w:id="44"/>
    <w:p>
      <w:pPr>
        <w:ind w:left="660" w:right="28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limitations on our ability to borrow additional amounts for expenses, capital expenditures, acquisitions, debt service requirements, execution of our strategy and other purposes and other disadvantages compared to our competitors who have less debt.</w:t>
      </w:r>
    </w:p>
    <w:p>
      <w:pPr>
        <w:spacing w:after="0" w:line="166" w:lineRule="exact"/>
        <w:rPr>
          <w:sz w:val="20"/>
          <w:szCs w:val="20"/>
          <w:color w:val="auto"/>
        </w:rPr>
      </w:pPr>
    </w:p>
    <w:p>
      <w:pPr>
        <w:ind w:right="240"/>
        <w:spacing w:after="0" w:line="312" w:lineRule="auto"/>
        <w:rPr>
          <w:sz w:val="20"/>
          <w:szCs w:val="20"/>
          <w:color w:val="auto"/>
        </w:rPr>
      </w:pPr>
      <w:r>
        <w:rPr>
          <w:rFonts w:ascii="Arial" w:cs="Arial" w:eastAsia="Arial" w:hAnsi="Arial"/>
          <w:sz w:val="17"/>
          <w:szCs w:val="17"/>
          <w:b w:val="1"/>
          <w:bCs w:val="1"/>
          <w:color w:val="auto"/>
        </w:rPr>
        <w:t>Our search for a business combination, and any partner business with which we ultimately complete a business combination, may be materially adversely affected by the coronavirus (COVID-19) pandemic and other events and the status of debt and equity markets.</w:t>
      </w:r>
    </w:p>
    <w:p>
      <w:pPr>
        <w:spacing w:after="0" w:line="144"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In December 2019, a novel strain of coronavirus surfaced, which has and is continuing to spread throughout the world, including the United States. On January 30, 2020, the World Health Organization declared the outbreak of the coronavirus disease (COVID-19) a “Public Health Emergency of International Concern.” On January 31, 2020, U.S. Health and Human Services Secretary Alex M. Azar II declared a public health emergency for the United States to aid the U.S. healthcare community in responding to COVID-19, and on March 11, 2020 the World Health Organization characterized the outbreak as a “pandemic”. The COVID-19 pandemic has adversely affected, and other events (such as terrorist attacks, natural disasters or a significant outbreak of other infectious diseases) could adversely affect the economies and financial markets worldwide, business operations and the conduct of commerce generally, and the business of any potential partner business with which we consummate a business combination could be, or may already have been, materially and adversely affected.</w:t>
      </w:r>
    </w:p>
    <w:p>
      <w:pPr>
        <w:spacing w:after="0" w:line="192"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Furthermore, we may be unable to complete a business combination if concerns relating to COVID-19 continue to restrict travel, limit the ability to have meetings with potential investors or the partner business’s personnel, vendors and services providers are unavailable to negotiate and complete a transaction in a timely manner. The extent to which COVID-19 impacts our search for a business combination will depend on future developments, which are highly uncertain and cannot be predicted, including new information which may emerge concerning the severity of COVID-19 and the actions to contain COVID-19 or treat its impact, among others. If the disruptions posed by COVID-19 continue for an extensive period of time or other events (such as terrorist attacks, natural disasters or a significant outbreak of other infectious diseases) occur, our ability to complete a business combination, or the operations of a partner business with which we ultimately complete a business combination, may be materially adversely affected. In addition, our ability to complete a transaction may be dependent on the ability to raise equity and debt financing which may be impacted by COVID-19 and other events (such as terrorist attacks, natural disasters or a significant outbreak of other infectious diseases), including as a result of increased market volatility, decreased market liquidity and third-party financing being unavailable on terms acceptable to us or at all.</w:t>
      </w:r>
    </w:p>
    <w:p>
      <w:pPr>
        <w:spacing w:after="0" w:line="185"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Finally, the outbreak of COVID-19 may also have the effect of heightening many of the other risks described in this “Risk Factors” section, such as those related to the market for our securities and cross-border transactions.</w:t>
      </w:r>
    </w:p>
    <w:p>
      <w:pPr>
        <w:spacing w:after="0" w:line="166" w:lineRule="exact"/>
        <w:rPr>
          <w:sz w:val="20"/>
          <w:szCs w:val="20"/>
          <w:color w:val="auto"/>
        </w:rPr>
      </w:pPr>
    </w:p>
    <w:p>
      <w:pPr>
        <w:ind w:right="500"/>
        <w:spacing w:after="0" w:line="266" w:lineRule="auto"/>
        <w:rPr>
          <w:sz w:val="20"/>
          <w:szCs w:val="20"/>
          <w:color w:val="auto"/>
        </w:rPr>
      </w:pPr>
      <w:r>
        <w:rPr>
          <w:rFonts w:ascii="Arial" w:cs="Arial" w:eastAsia="Arial" w:hAnsi="Arial"/>
          <w:sz w:val="18"/>
          <w:szCs w:val="18"/>
          <w:b w:val="1"/>
          <w:bCs w:val="1"/>
          <w:color w:val="auto"/>
        </w:rPr>
        <w:t>We may only be able to complete one business combination with the proceeds of this offering and the sale of the private placement warrants, which will cause us to be solely dependent on a single business which may have a limited number of products or services. This lack of diversification may negatively impact our operations and profitability.</w:t>
      </w:r>
    </w:p>
    <w:p>
      <w:pPr>
        <w:spacing w:after="0" w:line="180"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The net proceeds from this offering and the sale of the private placement warrants will provide us with $241,250,000 (or $277,437,500 if the underwriters’ over-allotment option is exercised in full) that we may use to complete our initial business combination (after taking into account the $8,750,000, or up to $10,062,500 if the over-allotment option is exercised in full, of deferred underwriting commissions being held in the trust account, and excludes estimated offering expenses and working capital costs of $2,995,000).</w:t>
      </w:r>
    </w:p>
    <w:p>
      <w:pPr>
        <w:spacing w:after="0" w:line="187"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We may effectuate our initial business combination with a single target business or multiple target businesses simultaneously or within a short period of time. However, we may not be able to effectuate our initial business combination with more than one target business because of various factors, including the existence of complex accounting issues and the requirement that we prepare and file pro forma financial statements with the SEC that present operating results and the financial condition of several target businesses as if they had been operated on a combined basis. By completing our initial business combination with only a single entity, our lack of diversification may subject us to numerous economic, competitive and regulatory developments. Further, we would not be able to diversify our operations or benefit from the possible spreading of risks or offsetting of losses, unlike other entities which may have the resources to complete several business combinations in different industries or different areas of a single industry. Accordingly, the prospects for our success may be:</w:t>
      </w:r>
    </w:p>
    <w:p>
      <w:pPr>
        <w:spacing w:after="0" w:line="30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45" w:name="page46"/>
    <w:bookmarkEnd w:id="45"/>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solely dependent upon the performance of a single business, property or asset, or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dependent upon the development or market acceptance of a single or limited number of products, processes or services.</w:t>
      </w:r>
    </w:p>
    <w:p>
      <w:pPr>
        <w:spacing w:after="0" w:line="225"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This lack of diversification may subject us to numerous economic, competitive and regulatory risks, any or all of which may have a substantial adverse impact upon the particular industry in which we may operate subsequent to our initial business combination.</w:t>
      </w:r>
    </w:p>
    <w:p>
      <w:pPr>
        <w:spacing w:after="0" w:line="166" w:lineRule="exact"/>
        <w:rPr>
          <w:sz w:val="20"/>
          <w:szCs w:val="20"/>
          <w:color w:val="auto"/>
        </w:rPr>
      </w:pPr>
    </w:p>
    <w:p>
      <w:pPr>
        <w:ind w:right="260"/>
        <w:spacing w:after="0" w:line="347" w:lineRule="auto"/>
        <w:rPr>
          <w:sz w:val="20"/>
          <w:szCs w:val="20"/>
          <w:color w:val="auto"/>
        </w:rPr>
      </w:pPr>
      <w:r>
        <w:rPr>
          <w:rFonts w:ascii="Arial" w:cs="Arial" w:eastAsia="Arial" w:hAnsi="Arial"/>
          <w:sz w:val="16"/>
          <w:szCs w:val="16"/>
          <w:b w:val="1"/>
          <w:bCs w:val="1"/>
          <w:color w:val="auto"/>
        </w:rPr>
        <w:t>We may attempt to simultaneously complete business combinations with multiple prospective targets, which may hinder our ability to complete our initial business combination and give rise to increased costs and risks that could negatively impact our operations and profitability.</w:t>
      </w:r>
    </w:p>
    <w:p>
      <w:pPr>
        <w:spacing w:after="0" w:line="120" w:lineRule="exact"/>
        <w:rPr>
          <w:sz w:val="20"/>
          <w:szCs w:val="20"/>
          <w:color w:val="auto"/>
        </w:rPr>
      </w:pPr>
    </w:p>
    <w:p>
      <w:pPr>
        <w:ind w:right="80" w:firstLine="324"/>
        <w:spacing w:after="0" w:line="273" w:lineRule="auto"/>
        <w:rPr>
          <w:sz w:val="20"/>
          <w:szCs w:val="20"/>
          <w:color w:val="auto"/>
        </w:rPr>
      </w:pPr>
      <w:r>
        <w:rPr>
          <w:rFonts w:ascii="Arial" w:cs="Arial" w:eastAsia="Arial" w:hAnsi="Arial"/>
          <w:sz w:val="17"/>
          <w:szCs w:val="17"/>
          <w:color w:val="auto"/>
        </w:rPr>
        <w:t>If we determine to simultaneously acquire several businesses that are owned by different sellers, we will need for each of such sellers to agree that our purchase of its business is contingent on the simultaneous closings of the other business combinations, which may make it more difficult for us, and delay our ability, to complete our initial business combination. With multiple business combinations, we could also face additional risks, including additional burdens and costs with respect to possible multiple negotiations and due diligence investigations (if there are multiple sellers) and the additional risks associated with the subsequent assimilation of the operations and services or products of the acquired companies in a single operating business. If we are unable to adequately address these risks, they could negatively impact our profitability and results of operations.</w:t>
      </w:r>
    </w:p>
    <w:p>
      <w:pPr>
        <w:spacing w:after="0" w:line="174" w:lineRule="exact"/>
        <w:rPr>
          <w:sz w:val="20"/>
          <w:szCs w:val="20"/>
          <w:color w:val="auto"/>
        </w:rPr>
      </w:pPr>
    </w:p>
    <w:p>
      <w:pPr>
        <w:jc w:val="both"/>
        <w:ind w:right="320"/>
        <w:spacing w:after="0" w:line="266" w:lineRule="auto"/>
        <w:rPr>
          <w:sz w:val="20"/>
          <w:szCs w:val="20"/>
          <w:color w:val="auto"/>
        </w:rPr>
      </w:pPr>
      <w:r>
        <w:rPr>
          <w:rFonts w:ascii="Arial" w:cs="Arial" w:eastAsia="Arial" w:hAnsi="Arial"/>
          <w:sz w:val="18"/>
          <w:szCs w:val="18"/>
          <w:b w:val="1"/>
          <w:bCs w:val="1"/>
          <w:color w:val="auto"/>
        </w:rPr>
        <w:t>Our management may not be able to maintain control of a target business after our initial business combination. We cannot provide assurance that, upon loss of control of a target business, new management will possess the skills, qualifications or abilities necessary to profitably operate such business.</w:t>
      </w:r>
    </w:p>
    <w:p>
      <w:pPr>
        <w:spacing w:after="0" w:line="180" w:lineRule="exact"/>
        <w:rPr>
          <w:sz w:val="20"/>
          <w:szCs w:val="20"/>
          <w:color w:val="auto"/>
        </w:rPr>
      </w:pPr>
    </w:p>
    <w:p>
      <w:pPr>
        <w:ind w:right="80" w:firstLine="324"/>
        <w:spacing w:after="0" w:line="286" w:lineRule="auto"/>
        <w:rPr>
          <w:sz w:val="20"/>
          <w:szCs w:val="20"/>
          <w:color w:val="auto"/>
        </w:rPr>
      </w:pPr>
      <w:r>
        <w:rPr>
          <w:rFonts w:ascii="Arial" w:cs="Arial" w:eastAsia="Arial" w:hAnsi="Arial"/>
          <w:sz w:val="16"/>
          <w:szCs w:val="16"/>
          <w:color w:val="auto"/>
        </w:rPr>
        <w:t>We may structure our initial business combination so that the post-business combination company in which our public shareholders own shares will own or acquire less than 100% of the outstanding equity interests or assets of a target business, but we will only complete such business combination if the post-transaction company owns or acquires 50% or more of the outstanding voting securities of the target or otherwise acquires a controlling interest in the target business sufficient for us not to be required to register as an investment company under the Investment Company Act. We will not consider any transaction that does not meet such criteria. Even if the post-transaction company owns or acquires 50% or more of the voting securities of the target, our shareholders prior to the business combination may collectively own a minority interest in the post-business combination company, depending on valuations ascribed to the target and us in the business combination. For example, we could pursue a transaction in which we issue a substantial number of new shares in exchange for all of the outstanding capital stock, shares or other equity interests of a target, or issue a substantial number of new shares to third-parties in connection with financing our initial business combination. In this case, we would acquire a 100% controlling interest in the target. However, as a result of the issuance of a substantial number of new shares, our shareholders immediately prior to such transaction could own less than a majority of our issued and outstanding shares subsequent to such transaction. In addition, other minority shareholders may subsequently combine their holdings resulting in a single person or group obtaining a larger share of the company’s shares than we initially acquired. Accordingly, this may make it more likely that our management will not be able to maintain control of the target business.</w:t>
      </w:r>
    </w:p>
    <w:p>
      <w:pPr>
        <w:spacing w:after="0" w:line="170" w:lineRule="exact"/>
        <w:rPr>
          <w:sz w:val="20"/>
          <w:szCs w:val="20"/>
          <w:color w:val="auto"/>
        </w:rPr>
      </w:pPr>
    </w:p>
    <w:p>
      <w:pPr>
        <w:spacing w:after="0" w:line="312" w:lineRule="auto"/>
        <w:rPr>
          <w:sz w:val="20"/>
          <w:szCs w:val="20"/>
          <w:color w:val="auto"/>
        </w:rPr>
      </w:pPr>
      <w:r>
        <w:rPr>
          <w:rFonts w:ascii="Arial" w:cs="Arial" w:eastAsia="Arial" w:hAnsi="Arial"/>
          <w:sz w:val="17"/>
          <w:szCs w:val="17"/>
          <w:b w:val="1"/>
          <w:bCs w:val="1"/>
          <w:color w:val="auto"/>
        </w:rPr>
        <w:t>We are dependent upon our officers and directors and their loss could adversely affect our ability to operate. In addition, reputational harm to our officers and directors could have adverse consequences on our ability to operate or consummate a business combination.</w:t>
      </w:r>
    </w:p>
    <w:p>
      <w:pPr>
        <w:spacing w:after="0" w:line="144"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Our operations are dependent upon a relatively small group of individuals and, in particular, our officers and directors. We believe that our success depends on the continued service of our officers and directors, at least until we have completed our initial business combination. In addition, our officers and directors are not required to commit any specified amount of time to our affairs and, accordingly, will have conflicts of interest in allocating their time among various business activities, including identifying potential business combinations and monitoring the related due diligence. We do not have an employment agreement with, or key-man insurance on the life of, any of our directors or officers. The unexpected loss of the services of one or more of our directors or officers could have a detrimental effect on us. While we also expect to hire up to three employees prior to or shortly after the consummation of this offering to assist our management team, there is no guarantee that we will hire any such employees or that, if hired, such employees will continue their employment with us.</w:t>
      </w:r>
    </w:p>
    <w:p>
      <w:pPr>
        <w:spacing w:after="0" w:line="30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46" w:name="page47"/>
    <w:bookmarkEnd w:id="46"/>
    <w:p>
      <w:pPr>
        <w:ind w:right="160" w:firstLine="324"/>
        <w:spacing w:after="0" w:line="255" w:lineRule="auto"/>
        <w:rPr>
          <w:sz w:val="20"/>
          <w:szCs w:val="20"/>
          <w:color w:val="auto"/>
        </w:rPr>
      </w:pPr>
      <w:r>
        <w:rPr>
          <w:rFonts w:ascii="Arial" w:cs="Arial" w:eastAsia="Arial" w:hAnsi="Arial"/>
          <w:sz w:val="18"/>
          <w:szCs w:val="18"/>
          <w:color w:val="auto"/>
        </w:rPr>
        <w:t>In addition, certain of our officers and directors are currently, and may in the future be, a party to litigation, regulatory and other government investigations and enforcement actions. This includes enforcement proceedings initiated by the Swiss Financial Market Supervisory Authority (FINMA) against Credit Suisse in September 2020, which covers the period during which certain of our officers and directors were executives of Credit Suisse. Whether or not such proceedings are determined adversely to our officers and directors, the negative publicity and reputational harm associated with such proceedings may divert resources and the attention of management from our business and adversely impact our ability to consummate a business combination.</w:t>
      </w:r>
    </w:p>
    <w:p>
      <w:pPr>
        <w:spacing w:after="0" w:line="188" w:lineRule="exact"/>
        <w:rPr>
          <w:sz w:val="20"/>
          <w:szCs w:val="20"/>
          <w:color w:val="auto"/>
        </w:rPr>
      </w:pPr>
    </w:p>
    <w:p>
      <w:pPr>
        <w:ind w:right="80"/>
        <w:spacing w:after="0" w:line="266" w:lineRule="auto"/>
        <w:rPr>
          <w:sz w:val="20"/>
          <w:szCs w:val="20"/>
          <w:color w:val="auto"/>
        </w:rPr>
      </w:pPr>
      <w:r>
        <w:rPr>
          <w:rFonts w:ascii="Arial" w:cs="Arial" w:eastAsia="Arial" w:hAnsi="Arial"/>
          <w:sz w:val="18"/>
          <w:szCs w:val="18"/>
          <w:b w:val="1"/>
          <w:bCs w:val="1"/>
          <w:color w:val="auto"/>
        </w:rPr>
        <w:t>Our ability to successfully effect our initial business combination and to be successful thereafter will be dependent upon the efforts of our key personnel, some of whom may join us following our initial business combination. The loss of key personnel could negatively impact the operations and profitability of our post-combination business.</w:t>
      </w:r>
    </w:p>
    <w:p>
      <w:pPr>
        <w:spacing w:after="0" w:line="180" w:lineRule="exact"/>
        <w:rPr>
          <w:sz w:val="20"/>
          <w:szCs w:val="20"/>
          <w:color w:val="auto"/>
        </w:rPr>
      </w:pPr>
    </w:p>
    <w:p>
      <w:pPr>
        <w:ind w:right="140" w:firstLine="324"/>
        <w:spacing w:after="0" w:line="293" w:lineRule="auto"/>
        <w:rPr>
          <w:sz w:val="20"/>
          <w:szCs w:val="20"/>
          <w:color w:val="auto"/>
        </w:rPr>
      </w:pPr>
      <w:r>
        <w:rPr>
          <w:rFonts w:ascii="Arial" w:cs="Arial" w:eastAsia="Arial" w:hAnsi="Arial"/>
          <w:sz w:val="16"/>
          <w:szCs w:val="16"/>
          <w:color w:val="auto"/>
        </w:rPr>
        <w:t>Our ability to successfully effect our initial business combination is dependent upon the efforts of our key personnel. The role of our key personnel in the target business, however, cannot presently be ascertained. Although some of our key personnel may remain with the target business in senior management or advisory positions following our initial business combination, it is likely that some or all of the management of the target business will remain in place. While we intend to closely scrutinize any individuals we engage after our initial business combination, we cannot assure you that our assessment of these individuals will prove to be correct. These individuals may be unfamiliar with the requirements of operating a company regulated by the SEC, which could cause us to have to expend time and resources helping them become familiar with such requirements.</w:t>
      </w:r>
    </w:p>
    <w:p>
      <w:pPr>
        <w:spacing w:after="0" w:line="164"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In addition, the directors and officers of an acquisition candidate may resign upon completion of our initial business combination. The departure of a business combination target’s key personnel could negatively impact the operations and profitability of our post-combination business. The role of an acquisition candidate’s key personnel upon the completion of our initial business combination cannot be ascertained at this time. Although we contemplate that certain members of an acquisition candidate’s management team will remain associated with the post-combination company following our initial business combination, it is possible that members of the management of an acquisition candidate will not wish to remain in place. The loss of key personnel could negatively impact the operations and profitability of our post-combination business.</w:t>
      </w:r>
    </w:p>
    <w:p>
      <w:pPr>
        <w:spacing w:after="0" w:line="174" w:lineRule="exact"/>
        <w:rPr>
          <w:sz w:val="20"/>
          <w:szCs w:val="20"/>
          <w:color w:val="auto"/>
        </w:rPr>
      </w:pPr>
    </w:p>
    <w:p>
      <w:pPr>
        <w:ind w:right="160"/>
        <w:spacing w:after="0" w:line="281" w:lineRule="auto"/>
        <w:rPr>
          <w:sz w:val="20"/>
          <w:szCs w:val="20"/>
          <w:color w:val="auto"/>
        </w:rPr>
      </w:pPr>
      <w:r>
        <w:rPr>
          <w:rFonts w:ascii="Arial" w:cs="Arial" w:eastAsia="Arial" w:hAnsi="Arial"/>
          <w:sz w:val="17"/>
          <w:szCs w:val="17"/>
          <w:b w:val="1"/>
          <w:bCs w:val="1"/>
          <w:color w:val="auto"/>
        </w:rPr>
        <w:t>Our key personnel may negotiate employment or consulting agreements with a target business in connection with a particular business combination, and a particular business combination may be conditioned on the retention or resignation of such key personnel. These agreements may provide for them to receive compensation following our initial business combination and as a result, may cause them to have conflicts of interest in determining whether a particular business combination is the most advantageous.</w:t>
      </w:r>
    </w:p>
    <w:p>
      <w:pPr>
        <w:spacing w:after="0" w:line="169" w:lineRule="exact"/>
        <w:rPr>
          <w:sz w:val="20"/>
          <w:szCs w:val="20"/>
          <w:color w:val="auto"/>
        </w:rPr>
      </w:pPr>
    </w:p>
    <w:p>
      <w:pPr>
        <w:ind w:right="80" w:firstLine="324"/>
        <w:spacing w:after="0" w:line="273" w:lineRule="auto"/>
        <w:rPr>
          <w:sz w:val="20"/>
          <w:szCs w:val="20"/>
          <w:color w:val="auto"/>
        </w:rPr>
      </w:pPr>
      <w:r>
        <w:rPr>
          <w:rFonts w:ascii="Arial" w:cs="Arial" w:eastAsia="Arial" w:hAnsi="Arial"/>
          <w:sz w:val="17"/>
          <w:szCs w:val="17"/>
          <w:color w:val="auto"/>
        </w:rPr>
        <w:t>Our key personnel may be able to remain with our company after the completion of our initial business combination only if they are able to negotiate employment or consulting agreements in connection with the business combination. Such negotiations would take place simultaneously with the negotiation of the business combination and could provide for such individuals to receive compensation in the form of cash payments and/or our securities for services they would render to us after the completion of the business combination. Such negotiations also could make such key personnel’s retention or resignation a condition to any such agreement. The personal and financial interests of such individuals may influence their motivation in identifying and selecting a target business, subject to their fiduciary duties under Cayman Islands law.</w:t>
      </w:r>
    </w:p>
    <w:p>
      <w:pPr>
        <w:spacing w:after="0" w:line="174" w:lineRule="exact"/>
        <w:rPr>
          <w:sz w:val="20"/>
          <w:szCs w:val="20"/>
          <w:color w:val="auto"/>
        </w:rPr>
      </w:pPr>
    </w:p>
    <w:p>
      <w:pPr>
        <w:jc w:val="both"/>
        <w:ind w:right="920"/>
        <w:spacing w:after="0" w:line="386" w:lineRule="auto"/>
        <w:rPr>
          <w:sz w:val="20"/>
          <w:szCs w:val="20"/>
          <w:color w:val="auto"/>
        </w:rPr>
      </w:pPr>
      <w:r>
        <w:rPr>
          <w:rFonts w:ascii="Arial" w:cs="Arial" w:eastAsia="Arial" w:hAnsi="Arial"/>
          <w:sz w:val="15"/>
          <w:szCs w:val="15"/>
          <w:b w:val="1"/>
          <w:bCs w:val="1"/>
          <w:color w:val="auto"/>
        </w:rPr>
        <w:t>We may have a limited ability to assess the management of a prospective target business and, as a result, may effect our initial business combination with a target business whose management may not have the skills, qualifications or abilities to manage a public company.</w:t>
      </w:r>
    </w:p>
    <w:p>
      <w:pPr>
        <w:spacing w:after="0" w:line="97"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When evaluating the desirability of effecting our initial business combination with a prospective target business, our ability to assess the target business’s management may be limited due to a lack of time, resources or information. Our assessment of the capabilities of the target business’s management, therefore, may prove to be incorrect and such management may lack the skills, qualifications or abilities we suspected. Should the target business’s management not possess the skills, qualifications or abilities necessary to manage a public company, the operations and profitability of the post-combination business may be negatively impacted. Accordingly, any shareholders or warrant holders who choose to remain shareholders or warrant holders following the business combination could suffer a reduction in the value of their securities. Such shareholders or warrant holders are unlikely to have a remedy for such reduction in value.</w:t>
      </w:r>
    </w:p>
    <w:p>
      <w:pPr>
        <w:spacing w:after="0" w:line="30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47" w:name="page48"/>
    <w:bookmarkEnd w:id="47"/>
    <w:p>
      <w:pPr>
        <w:ind w:right="460"/>
        <w:spacing w:after="0" w:line="347" w:lineRule="auto"/>
        <w:rPr>
          <w:sz w:val="20"/>
          <w:szCs w:val="20"/>
          <w:color w:val="auto"/>
        </w:rPr>
      </w:pPr>
      <w:r>
        <w:rPr>
          <w:rFonts w:ascii="Arial" w:cs="Arial" w:eastAsia="Arial" w:hAnsi="Arial"/>
          <w:sz w:val="16"/>
          <w:szCs w:val="16"/>
          <w:b w:val="1"/>
          <w:bCs w:val="1"/>
          <w:color w:val="auto"/>
        </w:rPr>
        <w:t>The officers and directors of an acquisition candidate may resign upon completion of our initial business combination. The loss of a business combination target’s key personnel could negatively impact the operations and profitability of our post-combination business.</w:t>
      </w:r>
    </w:p>
    <w:p>
      <w:pPr>
        <w:spacing w:after="0" w:line="120" w:lineRule="exact"/>
        <w:rPr>
          <w:sz w:val="20"/>
          <w:szCs w:val="20"/>
          <w:color w:val="auto"/>
        </w:rPr>
      </w:pPr>
    </w:p>
    <w:p>
      <w:pPr>
        <w:ind w:right="80" w:firstLine="324"/>
        <w:spacing w:after="0" w:line="311" w:lineRule="auto"/>
        <w:rPr>
          <w:sz w:val="20"/>
          <w:szCs w:val="20"/>
          <w:color w:val="auto"/>
        </w:rPr>
      </w:pPr>
      <w:r>
        <w:rPr>
          <w:rFonts w:ascii="Arial" w:cs="Arial" w:eastAsia="Arial" w:hAnsi="Arial"/>
          <w:sz w:val="16"/>
          <w:szCs w:val="16"/>
          <w:color w:val="auto"/>
        </w:rPr>
        <w:t>The role of an acquisition candidate’s key personnel upon the completion of our initial business combination cannot be ascertained at this time. Although we contemplate that certain members of an acquisition candidate’s management team will remain associated with the post-combination business following our initial business combination, it is possible that members of the management of an acquisition candidate will not wish to remain in place.</w:t>
      </w:r>
    </w:p>
    <w:p>
      <w:pPr>
        <w:spacing w:after="0" w:line="145"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b w:val="1"/>
          <w:bCs w:val="1"/>
          <w:color w:val="auto"/>
        </w:rPr>
        <w:t>We may issue additional Class A ordinary shares or preferred shares to complete our initial business combination or under an employee incentive plan after completion of our initial business combination. We may also issue Class A ordinary shares upon the conversion of the founder shares at a ratio greater than one-to-one at the time of our initial business combination as a result of the anti-dilution provisions contained in our amended and restated memorandum and articles of association. Any such issuances would dilute the interest of our shareholders and likely present other risks.</w:t>
      </w:r>
    </w:p>
    <w:p>
      <w:pPr>
        <w:spacing w:after="0" w:line="187" w:lineRule="exact"/>
        <w:rPr>
          <w:sz w:val="20"/>
          <w:szCs w:val="20"/>
          <w:color w:val="auto"/>
        </w:rPr>
      </w:pPr>
    </w:p>
    <w:p>
      <w:pPr>
        <w:ind w:right="60" w:firstLine="324"/>
        <w:spacing w:after="0" w:line="269" w:lineRule="auto"/>
        <w:rPr>
          <w:sz w:val="20"/>
          <w:szCs w:val="20"/>
          <w:color w:val="auto"/>
        </w:rPr>
      </w:pPr>
      <w:r>
        <w:rPr>
          <w:rFonts w:ascii="Arial" w:cs="Arial" w:eastAsia="Arial" w:hAnsi="Arial"/>
          <w:sz w:val="17"/>
          <w:szCs w:val="17"/>
          <w:color w:val="auto"/>
        </w:rPr>
        <w:t>Our amended and restated memorandum and articles of association authorizes the issuance of up to 200,000,000 Class A ordinary shares, par value $0.0001 per share, 20,000,000 Class B ordinary shares, par value $0.0001 per share, and 1,000,000 preferred shares, par value $0.0001 per share. Immediately after this offering, there will be 175,000,000 and 13,750,000 (assuming in each case that the underwriters have not exercised their over-allotment option and the forfeiture of 937,500 Class B ordinary shares) authorized but unissued Class A ordinary shares and Class B ordinary shares, respectively, available for issuance which amounts do not take into account shares reserved for issuance upon exercise of outstanding warrants or shares issuable upon conversion of the Class B ordinary shares. The Class B ordinary shares are automatically convertible into Class A ordinary shares concurrently with or immediately following the consummation of our initial business combination, initially at a one-for-one ratio but subject to adjustment as set forth herein and in our amended and restated memorandum and articles of association, including in certain circumstances in which we issue Class A ordinary shares or equity-linked securities related to our initial business combination. Immediately after this offering, there will be no preferred shares issued and outstanding.</w:t>
      </w:r>
    </w:p>
    <w:p>
      <w:pPr>
        <w:spacing w:after="0" w:line="185"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We may issue a substantial number of additional Class A ordinary shares or preferred shares to complete our initial business combination or under an employee incentive plan after completion of our initial business combination. We may also issue Class A ordinary shares upon conversion of the Class B ordinary shares at a ratio greater than one-to-one at the time of our initial business combination as a result of the anti-dilution provisions as set forth therein or in connection with the redemption of our public warrants. However, our amended and restated memorandum and articles of association provide, among other things, that prior to our initial business combination, we may not issue additional securities that would entitle the holders thereof to (i) receive funds from the trust account or (ii) vote on any initial business combination. These provisions of our amended and restated memorandum and articles of association, like all provisions of our amended and restated memorandum and articles of association, may be amended with a shareholder vote. The issuance of additional ordinary or preferred shares may:</w:t>
      </w:r>
    </w:p>
    <w:p>
      <w:pPr>
        <w:spacing w:after="0" w:line="178" w:lineRule="exact"/>
        <w:rPr>
          <w:sz w:val="20"/>
          <w:szCs w:val="20"/>
          <w:color w:val="auto"/>
        </w:rPr>
      </w:pPr>
    </w:p>
    <w:p>
      <w:pPr>
        <w:jc w:val="both"/>
        <w:ind w:left="660" w:right="340" w:hanging="328"/>
        <w:spacing w:after="0" w:line="263"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significantly dilute the equity interest of investors in this offering, which dilution would increase if the anti-dilution provisions in the Class B ordinary shares resulted in the issuance of Class A ordinary shares on a greater than one-to-one basis upon conversion of the Class B ordinary shares;</w:t>
      </w:r>
    </w:p>
    <w:p>
      <w:pPr>
        <w:spacing w:after="0" w:line="183" w:lineRule="exact"/>
        <w:rPr>
          <w:rFonts w:ascii="Arial" w:cs="Arial" w:eastAsia="Arial" w:hAnsi="Arial"/>
          <w:sz w:val="18"/>
          <w:szCs w:val="18"/>
          <w:color w:val="auto"/>
        </w:rPr>
      </w:pPr>
    </w:p>
    <w:p>
      <w:pPr>
        <w:ind w:left="660" w:right="4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subordinate the rights of holders of Class A ordinary shares if preferred shares are issued with rights senior to those afforded our Class A ordinary shares;</w:t>
      </w:r>
    </w:p>
    <w:p>
      <w:pPr>
        <w:spacing w:after="0" w:line="170" w:lineRule="exact"/>
        <w:rPr>
          <w:rFonts w:ascii="Arial" w:cs="Arial" w:eastAsia="Arial" w:hAnsi="Arial"/>
          <w:sz w:val="18"/>
          <w:szCs w:val="18"/>
          <w:color w:val="auto"/>
        </w:rPr>
      </w:pPr>
    </w:p>
    <w:p>
      <w:pPr>
        <w:ind w:left="660" w:right="200" w:hanging="328"/>
        <w:spacing w:after="0" w:line="342" w:lineRule="auto"/>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cause a change in control if a substantial number of our Class A ordinary shares are issued, which may affect, among other things, our ability to use our net operating loss carry forwards, if any, and could result in the resignation or removal of our present officers and directors;</w:t>
      </w:r>
    </w:p>
    <w:p>
      <w:pPr>
        <w:spacing w:after="0" w:line="123" w:lineRule="exact"/>
        <w:rPr>
          <w:rFonts w:ascii="Arial" w:cs="Arial" w:eastAsia="Arial" w:hAnsi="Arial"/>
          <w:sz w:val="16"/>
          <w:szCs w:val="16"/>
          <w:color w:val="auto"/>
        </w:rPr>
      </w:pPr>
    </w:p>
    <w:p>
      <w:pPr>
        <w:ind w:left="660" w:right="20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have the effect of delaying or preventing a change of control of us by diluting the share ownership or voting rights of a person seeking to obtain control of us;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adversely affect prevailing market prices for our units, Class A ordinary shares and/or warrants; and</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580" w:right="379" w:bottom="1440" w:gutter="0" w:footer="0" w:header="0"/>
        </w:sectPr>
      </w:pPr>
    </w:p>
    <w:bookmarkStart w:id="48" w:name="page49"/>
    <w:bookmarkEnd w:id="48"/>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not result in adjustment to the exercise price of our warrants.</w:t>
      </w:r>
    </w:p>
    <w:p>
      <w:pPr>
        <w:spacing w:after="0" w:line="221" w:lineRule="exact"/>
        <w:rPr>
          <w:sz w:val="20"/>
          <w:szCs w:val="20"/>
          <w:color w:val="auto"/>
        </w:rPr>
      </w:pPr>
    </w:p>
    <w:p>
      <w:pPr>
        <w:ind w:right="320"/>
        <w:spacing w:after="0" w:line="282" w:lineRule="auto"/>
        <w:rPr>
          <w:sz w:val="20"/>
          <w:szCs w:val="20"/>
          <w:color w:val="auto"/>
        </w:rPr>
      </w:pPr>
      <w:r>
        <w:rPr>
          <w:rFonts w:ascii="Arial" w:cs="Arial" w:eastAsia="Arial" w:hAnsi="Arial"/>
          <w:sz w:val="18"/>
          <w:szCs w:val="18"/>
          <w:b w:val="1"/>
          <w:bCs w:val="1"/>
          <w:color w:val="auto"/>
        </w:rPr>
        <w:t>Unlike some other similarly structured special purpose acquisition companies, our initial shareholders will receive additional Class A ordinary shares if we issue certain shares to consummate an initial business combination.</w:t>
      </w:r>
    </w:p>
    <w:p>
      <w:pPr>
        <w:spacing w:after="0" w:line="166"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The founder shares will automatically convert into Class A ordinary shares concurrently with or immediately following the consummation of our initial business combination on a one-for-one basis, subject to adjustment for share sub-divisions, share capitalizations, reorganizations, recapitalizations and the like, and subject to further adjustment as provided herein. In the case that additional Class A ordinary shares or equity-linked securities are issued or deemed issued in connection with our initial business combination, the number of Class A ordinary shares issuable upon conversion of all founder shares will equal, in the aggregate, 20% of the total number of Class A ordinary shares outstanding after such conversion (after giving effect to any redemptions of Class A ordinary shares by public shareholders), including the total number of Class A ordinary shares issued, or deemed issued or issuable upon conversion or exercise of any equity-linked securities issued or deemed issued, by the Company in connection with the consummation of the initial business combination, excluding any Class A ordinary shares or equity-linked securities exercisable for or convertible into Class A ordinary shares issued, deemed issued or to be issued, to any seller in the initial business combination and any private placement warrants issued to our sponsor, officers or directors upon conversion of working capital loans; provided that such conversion of founder shares will never occur on a less than one-for-one basis.</w:t>
      </w:r>
    </w:p>
    <w:p>
      <w:pPr>
        <w:spacing w:after="0" w:line="164"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b w:val="1"/>
          <w:bCs w:val="1"/>
          <w:color w:val="auto"/>
        </w:rPr>
        <w:t>Resources could be wasted in researching business combinations that are not completed, which could materially adversely affect subsequent attempts to locate and acquire or merge with another business. If we are unable to complete our initial business combination, our public shareholders may only receive their pro rata portion of the funds in the trust account that are available for distribution to public shareholders, and our warrants will expire worthless.</w:t>
      </w:r>
    </w:p>
    <w:p>
      <w:pPr>
        <w:spacing w:after="0" w:line="184"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We anticipate that the investigation of each specific target business and the negotiation, drafting and execution of relevant agreements, disclosure documents and other instruments will require substantial management time and attention and substantial costs for accountants, attorneys, consultants and others. If we decide not to complete a specific initial business combination, the costs incurred up to that point for the proposed transaction likely would not be recoverable. Furthermore, if we reach an agreement relating to a specific target business, we may fail to complete our initial business combination for any number of reasons including those beyond our control. Any such event will result in a loss to us of the related costs incurred, which could materially adversely affect subsequent attempts to locate and acquire or merge with another business. If we are unable to complete our initial business combination, our public shareholders may only receive their pro rata portion of the funds in the trust account that are available for distribution to public shareholders, and our warrants will expire worthless.</w:t>
      </w:r>
    </w:p>
    <w:p>
      <w:pPr>
        <w:spacing w:after="0" w:line="188"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b w:val="1"/>
          <w:bCs w:val="1"/>
          <w:color w:val="auto"/>
        </w:rPr>
        <w:t>Our public shareholders may not be afforded an opportunity to vote on our proposed initial business combination, and even if we hold a vote, holders of our founder shares will participate in such vote, which means we may complete our initial business combination even though a majority of our public shareholders do not support such a combination.</w:t>
      </w:r>
    </w:p>
    <w:p>
      <w:pPr>
        <w:spacing w:after="0" w:line="180" w:lineRule="exact"/>
        <w:rPr>
          <w:sz w:val="20"/>
          <w:szCs w:val="20"/>
          <w:color w:val="auto"/>
        </w:rPr>
      </w:pPr>
    </w:p>
    <w:p>
      <w:pPr>
        <w:ind w:right="80" w:firstLine="324"/>
        <w:spacing w:after="0" w:line="271" w:lineRule="auto"/>
        <w:rPr>
          <w:sz w:val="20"/>
          <w:szCs w:val="20"/>
          <w:color w:val="auto"/>
        </w:rPr>
      </w:pPr>
      <w:r>
        <w:rPr>
          <w:rFonts w:ascii="Arial" w:cs="Arial" w:eastAsia="Arial" w:hAnsi="Arial"/>
          <w:sz w:val="17"/>
          <w:szCs w:val="17"/>
          <w:color w:val="auto"/>
        </w:rPr>
        <w:t>We may choose not to hold a shareholder vote to approve our initial business combination unless the business combination would require shareholder approval under applicable law or stock exchange listing requirements. In such case, the decision as to whether we will seek shareholder approval of a proposed business combination or will allow shareholders to sell their shares to us in a tender offer will be made by us, solely in our discretion, and will be based on a variety of factors, such as the timing of the transaction and whether the terms of the transaction would otherwise require us to seek shareholder approval. Even if we seek shareholder approval, the holders of our founder shares will participate in the vote on such approval and have agreed to vote in favor of our initial business combination. Accordingly, we may complete our initial business combination even if holders of a majority of our ordinary shares do not approve of the business combination we complete. Please see the section entitled “Proposed Business—Shareholders May Not Have the Ability to Approve Our Initial Business Combination” for additional information.</w:t>
      </w:r>
    </w:p>
    <w:p>
      <w:pPr>
        <w:spacing w:after="0" w:line="28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49" w:name="page50"/>
    <w:bookmarkEnd w:id="49"/>
    <w:p>
      <w:pPr>
        <w:ind w:right="20"/>
        <w:spacing w:after="0" w:line="282" w:lineRule="auto"/>
        <w:rPr>
          <w:sz w:val="20"/>
          <w:szCs w:val="20"/>
          <w:color w:val="auto"/>
        </w:rPr>
      </w:pPr>
      <w:r>
        <w:rPr>
          <w:rFonts w:ascii="Arial" w:cs="Arial" w:eastAsia="Arial" w:hAnsi="Arial"/>
          <w:sz w:val="18"/>
          <w:szCs w:val="18"/>
          <w:b w:val="1"/>
          <w:bCs w:val="1"/>
          <w:color w:val="auto"/>
        </w:rPr>
        <w:t>Your only opportunity to effect your investment decision regarding a potential business combination may be limited to the exercise of your right to redeem your shares from us for cash.</w:t>
      </w:r>
    </w:p>
    <w:p>
      <w:pPr>
        <w:spacing w:after="0" w:line="166" w:lineRule="exact"/>
        <w:rPr>
          <w:sz w:val="20"/>
          <w:szCs w:val="20"/>
          <w:color w:val="auto"/>
        </w:rPr>
      </w:pPr>
    </w:p>
    <w:p>
      <w:pPr>
        <w:ind w:firstLine="324"/>
        <w:spacing w:after="0" w:line="296" w:lineRule="auto"/>
        <w:rPr>
          <w:sz w:val="20"/>
          <w:szCs w:val="20"/>
          <w:color w:val="auto"/>
        </w:rPr>
      </w:pPr>
      <w:r>
        <w:rPr>
          <w:rFonts w:ascii="Arial" w:cs="Arial" w:eastAsia="Arial" w:hAnsi="Arial"/>
          <w:sz w:val="16"/>
          <w:szCs w:val="16"/>
          <w:color w:val="auto"/>
        </w:rPr>
        <w:t>At the time of your investment in us, you will not be provided with an opportunity to evaluate the specific merits or risks of our initial business combination. Since our board of directors may complete a business combination without seeking shareholder approval, public shareholders may not have the right or opportunity to vote on the business combination, unless we seek such shareholder vote. Accordingly, your only opportunity to effect your investment decision regarding our initial business combination may be limited to exercising your redemption rights within the period of time (which will be at least 20 business days) set forth in our tender offer documents mailed to our public shareholders in which we describe our initial business combination.</w:t>
      </w:r>
    </w:p>
    <w:p>
      <w:pPr>
        <w:spacing w:after="0" w:line="157"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b w:val="1"/>
          <w:bCs w:val="1"/>
          <w:color w:val="auto"/>
        </w:rPr>
        <w:t>If we seek shareholder approval of our initial business combination, our initial shareholders and management team have agreed to vote in favor of such initial business combination, regardless of how our public shareholders vote.</w:t>
      </w:r>
    </w:p>
    <w:p>
      <w:pPr>
        <w:spacing w:after="0" w:line="166"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Our initial shareholders will own 20% of our issued and outstanding ordinary shares immediately following the completion of this offering (assuming our initial shareholders do not purchase any units in this offering). Our initial shareholders and management team also may from time to time purchase Class A ordinary shares prior to our initial business combination. Our amended and restated memorandum and articles of association provide that, if we seek shareholder approval of an initial business combination, such initial business combination will be approved if we receive an ordinary resolution under Cayman Islands law, which requires the affirmative vote of a majority of the shareholders who attend and vote at a general meeting of the company, including the founder shares. As a result, in addition to our initial shareholders’ founder shares, we would need 9,375,001, or 37.5%, of the 25,000,000 public shares sold in this offering to be voted in favor of an initial business combination in order to have our initial business combination approved (assuming all outstanding shares are voted and the over-allotment option is not exercised). If the PIMCO private fund or its affiliates purchase 2,475,000 units in this offering, and vote the shares included in these units in favor of our initial business combination, the percentage would be reduced to 27.6%. Accordingly, if we seek shareholder approval of our initial business combination, the agreement by our initial shareholders and management team to vote in favor of our initial business combination will increase the likelihood that we will receive an ordinary resolution, being the requisite shareholder approval for such initial business combination.</w:t>
      </w:r>
    </w:p>
    <w:p>
      <w:pPr>
        <w:spacing w:after="0" w:line="175" w:lineRule="exact"/>
        <w:rPr>
          <w:sz w:val="20"/>
          <w:szCs w:val="20"/>
          <w:color w:val="auto"/>
        </w:rPr>
      </w:pPr>
    </w:p>
    <w:p>
      <w:pPr>
        <w:ind w:right="80"/>
        <w:spacing w:after="0" w:line="266" w:lineRule="auto"/>
        <w:rPr>
          <w:sz w:val="20"/>
          <w:szCs w:val="20"/>
          <w:color w:val="auto"/>
        </w:rPr>
      </w:pPr>
      <w:r>
        <w:rPr>
          <w:rFonts w:ascii="Arial" w:cs="Arial" w:eastAsia="Arial" w:hAnsi="Arial"/>
          <w:sz w:val="18"/>
          <w:szCs w:val="18"/>
          <w:b w:val="1"/>
          <w:bCs w:val="1"/>
          <w:color w:val="auto"/>
        </w:rPr>
        <w:t>If we seek shareholder approval of our initial business combination, our initial shareholders, directors, officers, advisors and their affiliates may elect to purchase public shares or warrants from public shareholders, which may influence a vote on a proposed business combination and reduce the public “float” of our securities.</w:t>
      </w:r>
    </w:p>
    <w:p>
      <w:pPr>
        <w:spacing w:after="0" w:line="180" w:lineRule="exact"/>
        <w:rPr>
          <w:sz w:val="20"/>
          <w:szCs w:val="20"/>
          <w:color w:val="auto"/>
        </w:rPr>
      </w:pPr>
    </w:p>
    <w:p>
      <w:pPr>
        <w:ind w:right="20" w:firstLine="324"/>
        <w:spacing w:after="0" w:line="290" w:lineRule="auto"/>
        <w:rPr>
          <w:sz w:val="20"/>
          <w:szCs w:val="20"/>
          <w:color w:val="auto"/>
        </w:rPr>
      </w:pPr>
      <w:r>
        <w:rPr>
          <w:rFonts w:ascii="Arial" w:cs="Arial" w:eastAsia="Arial" w:hAnsi="Arial"/>
          <w:sz w:val="16"/>
          <w:szCs w:val="16"/>
          <w:color w:val="auto"/>
        </w:rPr>
        <w:t>If we seek shareholder approval of our initial business combination and we do not conduct redemptions in connection with our initial business combination pursuant to the tender offer rules, our initial shareholders, directors, officers, advisors or their affiliates may purchase public shares or warrants in privately negotiated transactions or in the open market either prior to or following the completion of our initial business combination, although they are under no obligation to do so. There is no limit on the number of shares our initial shareholders, directors, officers, advisors or their affiliates may purchase in such transactions, subject to compliance with applicable law and NYSE rules. However, they have no current commitments, plans or intentions to engage in such transactions and have not formulated any terms or conditions for any such transactions. None of the funds held in the trust account will be used to purchase public shares or warrants in such transactions. Such purchases may include a contractual acknowledgment that such shareholder, although still the record holder of our shares, is no longer the beneficial owner thereof and therefore agrees not to exercise its redemption rights.</w:t>
      </w:r>
    </w:p>
    <w:p>
      <w:pPr>
        <w:spacing w:after="0" w:line="165" w:lineRule="exact"/>
        <w:rPr>
          <w:sz w:val="20"/>
          <w:szCs w:val="20"/>
          <w:color w:val="auto"/>
        </w:rPr>
      </w:pPr>
    </w:p>
    <w:p>
      <w:pPr>
        <w:ind w:right="40" w:firstLine="324"/>
        <w:spacing w:after="0" w:line="288" w:lineRule="auto"/>
        <w:rPr>
          <w:sz w:val="20"/>
          <w:szCs w:val="20"/>
          <w:color w:val="auto"/>
        </w:rPr>
      </w:pPr>
      <w:r>
        <w:rPr>
          <w:rFonts w:ascii="Arial" w:cs="Arial" w:eastAsia="Arial" w:hAnsi="Arial"/>
          <w:sz w:val="16"/>
          <w:szCs w:val="16"/>
          <w:color w:val="auto"/>
        </w:rPr>
        <w:t>In the event that our initial shareholders, directors, officers, advisors or their affiliates purchase shares in privately negotiated transactions from public shareholders who have already elected to exercise their redemption rights, such selling shareholders would be required to revoke their prior elections to redeem their shares. The purpose of any such purchases of shares could be to vote such shares in favor of the initial business combination and thereby increase the likelihood of obtaining shareholder approval of the initial business combination or to satisfy a closing condition in an agreement with a target that requires us to have a minimum net worth or a certain amount of cash at the closing of our initial business combination, where it appears that such requirement would otherwise not be met. The purpose of any such purchases of public warrants could be to reduce the number of public warrants outstanding or to vote such warrants on any matters submitted to the warrant holders for approval in connection with our initial business combination. Any such purchases of our securities may result in the completion of our initial business combination that may not otherwise have been possible. See “Proposed Business—Effecting Our Initial Business Combination—Permitted Purchases of Our Securities” for a description of how our initial shareholders, directors, officers, advisors or any of their affiliates will select which shareholders to purchase securities from in any private transaction.</w:t>
      </w:r>
    </w:p>
    <w:p>
      <w:pPr>
        <w:spacing w:after="0" w:line="27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50" w:name="page51"/>
    <w:bookmarkEnd w:id="50"/>
    <w:p>
      <w:pPr>
        <w:jc w:val="both"/>
        <w:ind w:right="220" w:firstLine="324"/>
        <w:spacing w:after="0" w:line="263" w:lineRule="auto"/>
        <w:rPr>
          <w:sz w:val="20"/>
          <w:szCs w:val="20"/>
          <w:color w:val="auto"/>
        </w:rPr>
      </w:pPr>
      <w:r>
        <w:rPr>
          <w:rFonts w:ascii="Arial" w:cs="Arial" w:eastAsia="Arial" w:hAnsi="Arial"/>
          <w:sz w:val="18"/>
          <w:szCs w:val="18"/>
          <w:color w:val="auto"/>
        </w:rPr>
        <w:t>In addition, if such purchases are made, the public “float” of our Class A ordinary shares or public warrants and the number of beneficial holders of our securities may be reduced, possibly making it difficult to obtain or maintain the quotation, listing or trading of our securities on a national securities exchange.</w:t>
      </w:r>
    </w:p>
    <w:p>
      <w:pPr>
        <w:spacing w:after="0" w:line="180"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b w:val="1"/>
          <w:bCs w:val="1"/>
          <w:color w:val="auto"/>
        </w:rPr>
        <w:t>We do not have a specified maximum redemption threshold. The absence of such a redemption threshold may make it possible for us to complete our initial business combination with which a substantial majority of our shareholders do not agree.</w:t>
      </w:r>
    </w:p>
    <w:p>
      <w:pPr>
        <w:spacing w:after="0" w:line="166"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Our amended and restated memorandum and articles of association provide that in no event will we redeem our public shares in an amount that would cause our net tangible assets to be less than $5,000,001. In addition, our proposed initial business combination may impose a minimum cash requirement for (i) cash consideration to be paid to the target or its owners, (ii) cash for working capital or other general corporate purposes or (iii) the retention of cash to satisfy other conditions. As a result, we may be able to complete our initial business combination even though a substantial majority of our public shareholders do not agree with the transaction and have redeemed their shares or, if we seek shareholder approval of our initial business combination and do not conduct redemptions in connection with our initial business combination pursuant to the tender offer rules, have entered into privately negotiated agreements to sell their shares to our sponsor, officers, directors, advisors or any of their affiliates. In the event the aggregate cash consideration we would be required to pay for all Class A ordinary shares that are validly submitted for redemption plus any amount required to satisfy cash conditions pursuant to the terms of the proposed business combination exceed the aggregate amount of cash available to us, we will not complete the business combination or redeem any shares, all Class A ordinary shares submitted for redemption will be returned to the holders thereof, and we instead may search for an alternate business combination.</w:t>
      </w:r>
    </w:p>
    <w:p>
      <w:pPr>
        <w:spacing w:after="0" w:line="178" w:lineRule="exact"/>
        <w:rPr>
          <w:sz w:val="20"/>
          <w:szCs w:val="20"/>
          <w:color w:val="auto"/>
        </w:rPr>
      </w:pPr>
    </w:p>
    <w:p>
      <w:pPr>
        <w:jc w:val="both"/>
        <w:ind w:right="60"/>
        <w:spacing w:after="0" w:line="261" w:lineRule="auto"/>
        <w:rPr>
          <w:sz w:val="20"/>
          <w:szCs w:val="20"/>
          <w:color w:val="auto"/>
        </w:rPr>
      </w:pPr>
      <w:r>
        <w:rPr>
          <w:rFonts w:ascii="Arial" w:cs="Arial" w:eastAsia="Arial" w:hAnsi="Arial"/>
          <w:sz w:val="18"/>
          <w:szCs w:val="18"/>
          <w:b w:val="1"/>
          <w:bCs w:val="1"/>
          <w:color w:val="auto"/>
        </w:rPr>
        <w:t>In order to effectuate an initial business combination, special purpose acquisition companies have, in the recent past, amended various provisions of their charters and other governing instruments, including their warrant agreements. We cannot assure you that we will not seek to amend our amended and restated memorandum and articles of association or governing instruments in a manner that will make it easier for us to complete our initial business combination that our shareholders may not support.</w:t>
      </w:r>
    </w:p>
    <w:p>
      <w:pPr>
        <w:spacing w:after="0" w:line="184" w:lineRule="exact"/>
        <w:rPr>
          <w:sz w:val="20"/>
          <w:szCs w:val="20"/>
          <w:color w:val="auto"/>
        </w:rPr>
      </w:pPr>
    </w:p>
    <w:p>
      <w:pPr>
        <w:ind w:firstLine="324"/>
        <w:spacing w:after="0" w:line="285" w:lineRule="auto"/>
        <w:rPr>
          <w:sz w:val="20"/>
          <w:szCs w:val="20"/>
          <w:color w:val="auto"/>
        </w:rPr>
      </w:pPr>
      <w:r>
        <w:rPr>
          <w:rFonts w:ascii="Arial" w:cs="Arial" w:eastAsia="Arial" w:hAnsi="Arial"/>
          <w:sz w:val="16"/>
          <w:szCs w:val="16"/>
          <w:color w:val="auto"/>
        </w:rPr>
        <w:t>In order to effectuate a business combination, special purpose acquisition companies have, in the recent past, amended various provisions of their charters and governing instruments, including their warrant agreements. For example, special purpose acquisition companies have amended the definition of business combination, increased redemption thresholds and extended the time to consummate an initial business combination and, with respect to their warrants, amended their warrant agreements to require the warrants to be exchanged for cash and/or other securities. Amending our amended and restated memorandum and articles of association requires a special resolution under Cayman Islands law, which requires the affirmative vote of a majority of at least two-thirds of the shareholders who attend and vote at a general meeting of the company (other than amendments relating to the rights of holders of Class B ordinary shares to appoint or remove directors, which may be amended by a special resolution passed by a majority of at least 90% of our ordinary shares voting in a general meeting), and amending our warrant agreement will require a vote of holders of at least 65% of the public warrants and, solely with respect to any amendment to the terms of the private placement warrants or any provision of the warrant agreement with respect to the private placement warrants, at least 65% of the then outstanding private placement warrants. In addition, our amended and restated memorandum and articles of association require us to provide our public shareholders with the opportunity to redeem their public shares for cash if we propose an amendment to our amended and restated memorandum and articles of association (A) to modify the substance or timing of our obligation to allow redemption in connection with our initial business combination or to redeem 100% of our public shares if we have not consummated an initial business combination within 24 months from the closing of this offering or (B) with respect to any other material provisions relating to shareholders’ rights or pre-initial business combination activity. To the extent any of such amendments would be deemed to fundamentally change the nature of the securities offered through the registration statement of which this prospectus forms a part, we would register, or seek an exemption from registration for, the affected securities. We cannot assure you that we will not seek to amend our charter or governing instruments or extend the time to consummate an initial business combination in order to effectuate our initial business combination.</w:t>
      </w: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584" w:right="399" w:bottom="1440" w:gutter="0" w:footer="0" w:header="0"/>
        </w:sectPr>
      </w:pPr>
    </w:p>
    <w:bookmarkStart w:id="51" w:name="page52"/>
    <w:bookmarkEnd w:id="51"/>
    <w:p>
      <w:pPr>
        <w:spacing w:after="0" w:line="273" w:lineRule="auto"/>
        <w:rPr>
          <w:sz w:val="20"/>
          <w:szCs w:val="20"/>
          <w:color w:val="auto"/>
        </w:rPr>
      </w:pPr>
      <w:r>
        <w:rPr>
          <w:rFonts w:ascii="Arial" w:cs="Arial" w:eastAsia="Arial" w:hAnsi="Arial"/>
          <w:sz w:val="17"/>
          <w:szCs w:val="17"/>
          <w:b w:val="1"/>
          <w:bCs w:val="1"/>
          <w:color w:val="auto"/>
        </w:rPr>
        <w:t>The provisions of our amended and restated memorandum and articles of association that relate to our pre-business combination activity (and corresponding provisions of the agreement governing the release of funds from our trust account) may be amended with the approval of holders of not less than two-thirds of our ordinary shares who attend and vote at a general meeting of the company (or 65% of our ordinary shares who attend and vote at a general meeting of the company with respect to amendments to the trust agreement governing the release of funds from our trust account), which is a lower amendment threshold than that of some other special purpose acquisition companies. It may be easier for us, therefore, to amend our amended and restated memorandum and articles of association and trust agreement to facilitate the completion of an initial business combination that some of our shareholders may not support.</w:t>
      </w:r>
    </w:p>
    <w:p>
      <w:pPr>
        <w:spacing w:after="0" w:line="176" w:lineRule="exact"/>
        <w:rPr>
          <w:sz w:val="20"/>
          <w:szCs w:val="20"/>
          <w:color w:val="auto"/>
        </w:rPr>
      </w:pPr>
    </w:p>
    <w:p>
      <w:pPr>
        <w:ind w:right="40" w:firstLine="324"/>
        <w:spacing w:after="0" w:line="268" w:lineRule="auto"/>
        <w:rPr>
          <w:sz w:val="20"/>
          <w:szCs w:val="20"/>
          <w:color w:val="auto"/>
        </w:rPr>
      </w:pPr>
      <w:r>
        <w:rPr>
          <w:rFonts w:ascii="Arial" w:cs="Arial" w:eastAsia="Arial" w:hAnsi="Arial"/>
          <w:sz w:val="17"/>
          <w:szCs w:val="17"/>
          <w:color w:val="auto"/>
        </w:rPr>
        <w:t>Our amended and restated memorandum and articles of association provide that any of its provisions related to pre-business combination activity (including the requirement to deposit proceeds of this offering and the sale of the private placement warrants into the trust account and not release such amounts except in specified circumstances, and to provide redemption rights to public shareholders as described herein) may be amended if approved by special resolution under Cayman Islands law, which requires the affirmative vote of a majority of at least two-thirds of the shareholders who attend and vote at a general meeting of the company (other than amendments relating to the rights of holders of Class B ordinary shares to appoint or remove directors, which may be amended by a special resolution passed by a majority of at least 90% of our ordinary shares voting in a general meeting), and corresponding provisions of the trust agreement governing the release of funds from our trust account may be amended if approved by holders of 65% of our ordinary shares who attend and vote at a general meeting of the company. Our initial shareholders, who will collectively beneficially own 20% of our ordinary shares upon the closing of this offering (assuming they do not purchase any units in this offering), may participate in any vote to amend our amended and restated memorandum and articles of association and/or trust agreement and will have the discretion to vote in any manner they choose. As a result, we may be able to amend the provisions of our amended and restated memorandum and articles of association that govern our pre-business combination behavior more easily than some other special purpose acquisition companies, and this may increase our ability to complete a business combination with which you do not agree. Our shareholders may pursue remedies against us for any breach of our amended and restated memorandum and articles of association.</w:t>
      </w:r>
    </w:p>
    <w:p>
      <w:pPr>
        <w:spacing w:after="0" w:line="184" w:lineRule="exact"/>
        <w:rPr>
          <w:sz w:val="20"/>
          <w:szCs w:val="20"/>
          <w:color w:val="auto"/>
        </w:rPr>
      </w:pPr>
    </w:p>
    <w:p>
      <w:pPr>
        <w:ind w:right="20" w:firstLine="324"/>
        <w:spacing w:after="0" w:line="288" w:lineRule="auto"/>
        <w:rPr>
          <w:sz w:val="20"/>
          <w:szCs w:val="20"/>
          <w:color w:val="auto"/>
        </w:rPr>
      </w:pPr>
      <w:r>
        <w:rPr>
          <w:rFonts w:ascii="Arial" w:cs="Arial" w:eastAsia="Arial" w:hAnsi="Arial"/>
          <w:sz w:val="16"/>
          <w:szCs w:val="16"/>
          <w:color w:val="auto"/>
        </w:rPr>
        <w:t>Our initial shareholders, sponsor, officers and directors have agreed, pursuant to a written agreement with us, that they will not propose any amendment to our amended and restated memorandum and articles of association (A) to modify the substance or timing of our obligation to allow redemption in connection with our initial business combination or to redeem 100% of our public shares if we have not consummated an initial business combination within 24 months from the closing of this offering or (B) with respect to any other material provisions relating to shareholders’ rights or pre-initial business combination activity, unless we provide our public shareholders with the opportunity to redeem their Class A ordinary shares upon approval of any such amendment at a per-share price, payable in cash, equal to the aggregate amount then on deposit in the trust account, including interest earned on the funds held in the trust account and not previously released to us to pay our taxes, divided by the number of then outstanding public shares. Our shareholders are not parties to, or third-party beneficiaries of, these agreements and, as a result, will not have the right to approve any waiver to these agreements and will not have the ability to pursue remedies against our sponsor, officers or directors for any breach of these agreements. As a result, in the event of a breach, our shareholders would need to pursue a shareholder derivative action, subject to applicable law.</w:t>
      </w:r>
    </w:p>
    <w:p>
      <w:pPr>
        <w:spacing w:after="0" w:line="164" w:lineRule="exact"/>
        <w:rPr>
          <w:sz w:val="20"/>
          <w:szCs w:val="20"/>
          <w:color w:val="auto"/>
        </w:rPr>
      </w:pPr>
    </w:p>
    <w:p>
      <w:pPr>
        <w:ind w:right="80"/>
        <w:spacing w:after="0" w:line="266" w:lineRule="auto"/>
        <w:rPr>
          <w:sz w:val="20"/>
          <w:szCs w:val="20"/>
          <w:color w:val="auto"/>
        </w:rPr>
      </w:pPr>
      <w:r>
        <w:rPr>
          <w:rFonts w:ascii="Arial" w:cs="Arial" w:eastAsia="Arial" w:hAnsi="Arial"/>
          <w:sz w:val="18"/>
          <w:szCs w:val="18"/>
          <w:b w:val="1"/>
          <w:bCs w:val="1"/>
          <w:color w:val="auto"/>
        </w:rPr>
        <w:t>The ability of our public shareholders to redeem their shares for cash may make our financial condition unattractive to potential business combination targets, which may make it difficult for us to enter into a business combination with a target or prevent us from completing the most desirable business combination or optimizing our capital structure.</w:t>
      </w:r>
    </w:p>
    <w:p>
      <w:pPr>
        <w:spacing w:after="0" w:line="180" w:lineRule="exact"/>
        <w:rPr>
          <w:sz w:val="20"/>
          <w:szCs w:val="20"/>
          <w:color w:val="auto"/>
        </w:rPr>
      </w:pPr>
    </w:p>
    <w:p>
      <w:pPr>
        <w:ind w:right="100" w:firstLine="324"/>
        <w:spacing w:after="0" w:line="271" w:lineRule="auto"/>
        <w:rPr>
          <w:sz w:val="20"/>
          <w:szCs w:val="20"/>
          <w:color w:val="auto"/>
        </w:rPr>
      </w:pPr>
      <w:r>
        <w:rPr>
          <w:rFonts w:ascii="Arial" w:cs="Arial" w:eastAsia="Arial" w:hAnsi="Arial"/>
          <w:sz w:val="17"/>
          <w:szCs w:val="17"/>
          <w:color w:val="auto"/>
        </w:rPr>
        <w:t>We may seek to enter into a business combination transaction agreement with a minimum cash requirement for (i) cash consideration to be paid to the target or its owners, (ii) cash for working capital or other general corporate purposes or (iii) the retention of cash to satisfy other conditions. If too many public shareholders exercise their redemption rights, we would not be able to meet such closing condition and, as a result, would not be able to proceed with the business combination. The amount of the deferred underwriting commissions payable to the underwriters will not be adjusted for any shares that are redeemed in connection with a business combination and such amount of deferred underwriting discount is not available for us to use as consideration in an initial business combination. Furthermore, in no event will we redeem our public shares in an amount that would cause our net tangible assets, after payment of the deferred underwriting commissions, to be less than $5,000,001 upon completion of our initial business combination, or any greater net tangible asset or cash requirement that may be contained in</w:t>
      </w:r>
    </w:p>
    <w:p>
      <w:pPr>
        <w:spacing w:after="0" w:line="28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52" w:name="page53"/>
    <w:bookmarkEnd w:id="52"/>
    <w:p>
      <w:pPr>
        <w:ind w:right="40"/>
        <w:spacing w:after="0" w:line="287" w:lineRule="auto"/>
        <w:rPr>
          <w:sz w:val="20"/>
          <w:szCs w:val="20"/>
          <w:color w:val="auto"/>
        </w:rPr>
      </w:pPr>
      <w:r>
        <w:rPr>
          <w:rFonts w:ascii="Arial" w:cs="Arial" w:eastAsia="Arial" w:hAnsi="Arial"/>
          <w:sz w:val="16"/>
          <w:szCs w:val="16"/>
          <w:color w:val="auto"/>
        </w:rPr>
        <w:t>the agreement relating to our initial business combination. Consequently, if accepting all properly submitted redemption requests would cause our net tangible assets, after payment of the deferred underwriting commissions, to be less than $5,000,001 upon completion of our initial business combination or less than such greater amount necessary to satisfy a closing condition as described above, we would not proceed with such redemption of our public shares and the related business combination, and we may instead search for an alternate business combination. Alternatively, we may seek to restructure the transaction to reserve a greater portion of the cash in the trust account or arrange for third-party financing. Raising additional third-party financing may involve dilutive equity issuances or the incurrence of indebtedness at higher than desirable levels. Furthermore, this dilution would increase to the extent that the anti-dilution provision of the Class B ordinary shares results in the issuance of Class A ordinary shares on a greater than one-to-one basis upon conversion of the Class B ordinary shares at the time of our initial business combination. Prospective targets will be aware of these risks and, thus, may be reluctant to enter into a business combination transaction with us. If we are able to consummate an initial business combination, the per-share value of shares held by non-redeeming shareholders will reflect our obligation to pay the deferred underwriting commissions. The above considerations may limit our ability to complete the most desirable business combination available to us or optimize our capital structure.</w:t>
      </w:r>
    </w:p>
    <w:p>
      <w:pPr>
        <w:spacing w:after="0" w:line="172"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If our initial business combination is unsuccessful, you would not receive your pro rata portion of the trust account until we liquidate the trust account. If you are in need of immediate liquidity, you could attempt to sell your shares in the open market; however, at such time our shares may trade at a discount to the pro rata amount per share in the trust account. You may suffer a material loss on your investment or lose the benefit of funds expected in connection with your exercise of redemption rights until we liquidate or you are able to sell your shares in the open market.</w:t>
      </w:r>
    </w:p>
    <w:p>
      <w:pPr>
        <w:spacing w:after="0" w:line="167" w:lineRule="exact"/>
        <w:rPr>
          <w:sz w:val="20"/>
          <w:szCs w:val="20"/>
          <w:color w:val="auto"/>
        </w:rPr>
      </w:pPr>
    </w:p>
    <w:p>
      <w:pPr>
        <w:ind w:right="600"/>
        <w:spacing w:after="0" w:line="282" w:lineRule="auto"/>
        <w:rPr>
          <w:sz w:val="20"/>
          <w:szCs w:val="20"/>
          <w:color w:val="auto"/>
        </w:rPr>
      </w:pPr>
      <w:r>
        <w:rPr>
          <w:rFonts w:ascii="Arial" w:cs="Arial" w:eastAsia="Arial" w:hAnsi="Arial"/>
          <w:sz w:val="18"/>
          <w:szCs w:val="18"/>
          <w:b w:val="1"/>
          <w:bCs w:val="1"/>
          <w:color w:val="auto"/>
        </w:rPr>
        <w:t>Because we must furnish our shareholders with the target business’s financial statements, we may lose the ability to complete an otherwise advantageous initial business combination with some prospective target businesses.</w:t>
      </w:r>
    </w:p>
    <w:p>
      <w:pPr>
        <w:spacing w:after="0" w:line="166" w:lineRule="exact"/>
        <w:rPr>
          <w:sz w:val="20"/>
          <w:szCs w:val="20"/>
          <w:color w:val="auto"/>
        </w:rPr>
      </w:pPr>
    </w:p>
    <w:p>
      <w:pPr>
        <w:ind w:right="60" w:firstLine="324"/>
        <w:spacing w:after="0" w:line="290" w:lineRule="auto"/>
        <w:rPr>
          <w:sz w:val="20"/>
          <w:szCs w:val="20"/>
          <w:color w:val="auto"/>
        </w:rPr>
      </w:pPr>
      <w:r>
        <w:rPr>
          <w:rFonts w:ascii="Arial" w:cs="Arial" w:eastAsia="Arial" w:hAnsi="Arial"/>
          <w:sz w:val="16"/>
          <w:szCs w:val="16"/>
          <w:color w:val="auto"/>
        </w:rPr>
        <w:t>The federal proxy rules require that the proxy statement with respect to the vote on an initial business combination include historical and pro forma financial statement disclosure. We will include the same financial statement disclosure in connection with our tender offer documents, whether or not they are required under the tender offer rules. These financial statements may be required to be prepared in accordance with, or be reconciled to, accounting principles generally accepted in the United States of America (“GAAP”) or international financial reporting standards as issued by the International Accounting Standards Board (“IFRS”) depending on the circumstances and the historical financial statements may be required to be audited in accordance with the standards of the Public Company Accounting Oversight Board (United States) (“PCAOB”). These financial statement requirements may limit the pool of potential target businesses we may acquire because some targets may be unable to provide such financial statements in time for us to disclose such statements in accordance with federal proxy rules and complete our initial business combination within the prescribed time frame.</w:t>
      </w:r>
    </w:p>
    <w:p>
      <w:pPr>
        <w:spacing w:after="0" w:line="161" w:lineRule="exact"/>
        <w:rPr>
          <w:sz w:val="20"/>
          <w:szCs w:val="20"/>
          <w:color w:val="auto"/>
        </w:rPr>
      </w:pPr>
    </w:p>
    <w:p>
      <w:pPr>
        <w:ind w:right="220"/>
        <w:spacing w:after="0" w:line="303" w:lineRule="auto"/>
        <w:rPr>
          <w:sz w:val="20"/>
          <w:szCs w:val="20"/>
          <w:color w:val="auto"/>
        </w:rPr>
      </w:pPr>
      <w:r>
        <w:rPr>
          <w:rFonts w:ascii="Arial" w:cs="Arial" w:eastAsia="Arial" w:hAnsi="Arial"/>
          <w:sz w:val="16"/>
          <w:szCs w:val="16"/>
          <w:b w:val="1"/>
          <w:bCs w:val="1"/>
          <w:color w:val="auto"/>
        </w:rPr>
        <w:t>The requirement that we complete our initial business combination within 24 months after the closing of this offering or during any Extension Period may give potential target businesses leverage over us in negotiating a business combination and may limit the time we have in which to conduct due diligence on potential business combination targets, in particular as we approach our dissolution deadline, which could undermine our ability to complete our initial business combination on terms that would produce value for our shareholders.</w:t>
      </w:r>
    </w:p>
    <w:p>
      <w:pPr>
        <w:spacing w:after="0" w:line="155"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Any potential target business with which we enter into negotiations concerning a business combination will be aware that we must complete our initial business combination within 24 months from the closing of this offering or during any Extension Period. Consequently, such target business may obtain leverage over us in negotiating a business combination, knowing that if we do not complete our initial business combination with that particular target business, we may be unable to complete our initial business combination with any target business. This risk will increase as we get closer to the timeframe described above. In addition, we may have limited time to conduct due diligence and may enter into our initial business combination on terms that we would have rejected upon a more comprehensive investigation.</w:t>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584" w:right="379" w:bottom="1440" w:gutter="0" w:footer="0" w:header="0"/>
        </w:sectPr>
      </w:pPr>
    </w:p>
    <w:bookmarkStart w:id="53" w:name="page54"/>
    <w:bookmarkEnd w:id="53"/>
    <w:p>
      <w:pPr>
        <w:ind w:right="80"/>
        <w:spacing w:after="0" w:line="282" w:lineRule="auto"/>
        <w:rPr>
          <w:sz w:val="20"/>
          <w:szCs w:val="20"/>
          <w:color w:val="auto"/>
        </w:rPr>
      </w:pPr>
      <w:r>
        <w:rPr>
          <w:rFonts w:ascii="Arial" w:cs="Arial" w:eastAsia="Arial" w:hAnsi="Arial"/>
          <w:sz w:val="18"/>
          <w:szCs w:val="18"/>
          <w:b w:val="1"/>
          <w:bCs w:val="1"/>
          <w:color w:val="auto"/>
        </w:rPr>
        <w:t>Our independent registered public accounting firm’s report contains an explanatory paragraph that expresses substantial doubt about our ability to continue as a “going concern.”</w:t>
      </w:r>
    </w:p>
    <w:p>
      <w:pPr>
        <w:spacing w:after="0" w:line="166"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At December 31, 2020, we had no cash and a working capital deficit of $108,185. Further, we have incurred and expect to continue to incur significant costs in pursuit of our financing and acquisition plans. Management’s plans to address this need for capital through this offering are discussed in the section of this prospectus titled “Management’s Discussion and Analysis of Financial Condition and Results of Operations.” We cannot assure you that our plans to raise capital or to consummate an initial business combination will be successful. These factors, among others, raise substantial doubt about our ability to continue as a going concern. The financial statements contained elsewhere in this prospectus do not include any adjustments that might result from our inability to consummate this offering or our inability to continue as a going concern.</w:t>
      </w:r>
    </w:p>
    <w:p>
      <w:pPr>
        <w:spacing w:after="0" w:line="174"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b w:val="1"/>
          <w:bCs w:val="1"/>
          <w:color w:val="auto"/>
        </w:rPr>
        <w:t>If the net proceeds of this offering and the sale of the private placement warrants not being held in the trust account are insufficient to allow us to operate for at least the 24 months following the closing of this offering, it could limit the amount available to fund our search for a target business or businesses and complete our initial business combination, and we will depend on loans from our sponsor or management team to fund our search and to complete our initial business combination.</w:t>
      </w:r>
    </w:p>
    <w:p>
      <w:pPr>
        <w:spacing w:after="0" w:line="184"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Of the net proceeds of this offering, only an estimated $1,995,000 will be available to us initially outside the trust account to fund our working capital requirements. We believe that, upon closing of this offering, the funds available to us outside of the trust account will be sufficient to allow us to operate for at least the 24 months following the closing of this offering; however, we cannot assure you that our estimate is accurate. Of the funds available to us, we could use a portion of the funds available to us to pay fees to consultants to assist us with our search for a target business. We could also use a portion of the funds as a down payment or to fund a “no-shop” provision (a provision in letters of intent or merger agreements designed to keep target businesses from “shopping” around for transactions with other companies or investors on terms more favorable to such target businesses) with respect to a particular proposed business combination, although we do not have any current intention to do so. If we entered into a letter of intent or merger agreement where we paid for the right to receive exclusivity from a target business and were subsequently required to forfeit such funds (whether as a result of our breach or otherwise), we might not have sufficient funds to continue searching for, or conduct due diligence with respect to, a target business.</w:t>
      </w:r>
    </w:p>
    <w:p>
      <w:pPr>
        <w:spacing w:after="0" w:line="166" w:lineRule="exact"/>
        <w:rPr>
          <w:sz w:val="20"/>
          <w:szCs w:val="20"/>
          <w:color w:val="auto"/>
        </w:rPr>
      </w:pPr>
    </w:p>
    <w:p>
      <w:pPr>
        <w:ind w:right="20" w:firstLine="324"/>
        <w:spacing w:after="0" w:line="268" w:lineRule="auto"/>
        <w:rPr>
          <w:sz w:val="20"/>
          <w:szCs w:val="20"/>
          <w:color w:val="auto"/>
        </w:rPr>
      </w:pPr>
      <w:r>
        <w:rPr>
          <w:rFonts w:ascii="Arial" w:cs="Arial" w:eastAsia="Arial" w:hAnsi="Arial"/>
          <w:sz w:val="17"/>
          <w:szCs w:val="17"/>
          <w:color w:val="auto"/>
        </w:rPr>
        <w:t>In the event that our offering expenses exceed our estimate of $1,000,000, we may fund such excess with funds not to be held in the trust account. In such case, the amount of funds we intend to be held outside the trust account would decrease by a corresponding amount. The amount held in the trust account will not be impacted as a result of such increase or decrease. Conversely, in the event that the offering expenses are less than our estimate of $1,000,000, the amount of funds we intend to be held outside the trust account would increase by a corresponding amount. If we are required to seek additional capital, we would need to borrow funds from our sponsor, management team or other third parties to operate or may be forced to liquidate. Neither our sponsor, members of our management team nor any of their affiliates is under any obligation to advance funds to, or invest in, us in such circumstances. Any such loans may be repaid only from funds held outside the trust account or from funds released to us upon completion of our initial business combination. Up to $2,000,000 of such loans may be convertible into private placement warrants of the post-business combination entity at a price of $1.50 per warrant at the option of the lender. Such warrants would be identical to the private placement warrants. Prior to the completion of our initial business combination, we do not expect to seek loans from parties other than our sponsor or an affiliate of our sponsor as we do not believe third parties will be willing to loan such funds and provide a waiver against any and all rights to seek access to funds in our trust account. If we are unable to complete our initial business combination because we do not have sufficient funds available to us, we will be forced to cease operations and liquidate the trust account. Consequently, our public shareholders may only receive an estimated $10.00 per share, or possibly less, on our redemption of our public shares, and our warrants will expire worthless.</w:t>
      </w:r>
    </w:p>
    <w:p>
      <w:pPr>
        <w:spacing w:after="0" w:line="184" w:lineRule="exact"/>
        <w:rPr>
          <w:sz w:val="20"/>
          <w:szCs w:val="20"/>
          <w:color w:val="auto"/>
        </w:rPr>
      </w:pPr>
    </w:p>
    <w:p>
      <w:pPr>
        <w:ind w:left="180" w:right="60"/>
        <w:spacing w:after="0" w:line="277" w:lineRule="auto"/>
        <w:rPr>
          <w:sz w:val="20"/>
          <w:szCs w:val="20"/>
          <w:color w:val="auto"/>
        </w:rPr>
      </w:pPr>
      <w:r>
        <w:rPr>
          <w:rFonts w:ascii="Arial" w:cs="Arial" w:eastAsia="Arial" w:hAnsi="Arial"/>
          <w:sz w:val="18"/>
          <w:szCs w:val="18"/>
          <w:b w:val="1"/>
          <w:bCs w:val="1"/>
          <w:i w:val="1"/>
          <w:iCs w:val="1"/>
          <w:color w:val="auto"/>
        </w:rPr>
        <w:t>Changes in the market for directors and officers liability insurance could make it more difficult and more expensive for us to negotiate and complete an initial business combination.</w:t>
      </w:r>
    </w:p>
    <w:p>
      <w:pPr>
        <w:spacing w:after="0" w:line="170" w:lineRule="exact"/>
        <w:rPr>
          <w:sz w:val="20"/>
          <w:szCs w:val="20"/>
          <w:color w:val="auto"/>
        </w:rPr>
      </w:pPr>
    </w:p>
    <w:p>
      <w:pPr>
        <w:ind w:right="100" w:firstLine="324"/>
        <w:spacing w:after="0" w:line="311" w:lineRule="auto"/>
        <w:rPr>
          <w:sz w:val="20"/>
          <w:szCs w:val="20"/>
          <w:color w:val="auto"/>
        </w:rPr>
      </w:pPr>
      <w:r>
        <w:rPr>
          <w:rFonts w:ascii="Arial" w:cs="Arial" w:eastAsia="Arial" w:hAnsi="Arial"/>
          <w:sz w:val="16"/>
          <w:szCs w:val="16"/>
          <w:color w:val="auto"/>
        </w:rPr>
        <w:t>In recent months, the market for directors and officers liability insurance for special purpose acquisition companies has changed in ways adverse to us and our management team. Fewer insurance companies are offering quotes for directors and officers liability coverage, the premiums charged for such policies have generally increased and the terms of such policies have generally become less favorable. These trends may continue into the future.</w:t>
      </w:r>
    </w:p>
    <w:p>
      <w:pPr>
        <w:spacing w:after="0" w:line="149"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The increased cost and decreased availability of directors and officers liability insurance could make it more difficult and more expensive for us to negotiate and complete an initial business combination. In order to obtain directors and officers liability insurance or modify its coverage as a result of becoming a public company, the post-business combination entity might need to incur greater expense and/or accept less favorable terms. Furthermore, any failure to obtain adequate directors and officers liability insurance could have an adverse impact on the post-business combination’s ability to attract and retain qualified officers and directors.</w:t>
      </w:r>
    </w:p>
    <w:p>
      <w:pPr>
        <w:spacing w:after="0" w:line="188"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In addition, after completion of any initial business combination, our directors and officers could be subject to potential liability from claims arising from conduct alleged to have occurred prior to such initial business combination. As a result, in order to protect our directors and officers, the post-business combination entity may need to purchase additional insurance with respect to any such claims (“run-off insurance”). The need for run-off insurance would be an added expense for the post-business combination entity and could interfere with or frustrate our ability to consummate an initial business combination on terms favorable to our investors.</w:t>
      </w:r>
    </w:p>
    <w:p>
      <w:pPr>
        <w:spacing w:after="0" w:line="184" w:lineRule="exact"/>
        <w:rPr>
          <w:sz w:val="20"/>
          <w:szCs w:val="20"/>
          <w:color w:val="auto"/>
        </w:rPr>
      </w:pPr>
    </w:p>
    <w:p>
      <w:pPr>
        <w:ind w:right="360"/>
        <w:spacing w:after="0" w:line="282" w:lineRule="auto"/>
        <w:rPr>
          <w:sz w:val="20"/>
          <w:szCs w:val="20"/>
          <w:color w:val="auto"/>
        </w:rPr>
      </w:pPr>
      <w:r>
        <w:rPr>
          <w:rFonts w:ascii="Arial" w:cs="Arial" w:eastAsia="Arial" w:hAnsi="Arial"/>
          <w:sz w:val="18"/>
          <w:szCs w:val="18"/>
          <w:b w:val="1"/>
          <w:bCs w:val="1"/>
          <w:color w:val="auto"/>
        </w:rPr>
        <w:t>We may be unable to obtain additional financing to complete our initial business combination or to fund the operations and growth of a target business, which could compel us to restructure or abandon a particular business combination.</w:t>
      </w:r>
    </w:p>
    <w:p>
      <w:pPr>
        <w:spacing w:after="0" w:line="166" w:lineRule="exact"/>
        <w:rPr>
          <w:sz w:val="20"/>
          <w:szCs w:val="20"/>
          <w:color w:val="auto"/>
        </w:rPr>
      </w:pPr>
    </w:p>
    <w:p>
      <w:pPr>
        <w:ind w:firstLine="324"/>
        <w:spacing w:after="0" w:line="311" w:lineRule="auto"/>
        <w:rPr>
          <w:sz w:val="20"/>
          <w:szCs w:val="20"/>
          <w:color w:val="auto"/>
        </w:rPr>
      </w:pPr>
      <w:r>
        <w:rPr>
          <w:rFonts w:ascii="Arial" w:cs="Arial" w:eastAsia="Arial" w:hAnsi="Arial"/>
          <w:sz w:val="16"/>
          <w:szCs w:val="16"/>
          <w:color w:val="auto"/>
        </w:rPr>
        <w:t>We have not selected any specific business combination target but intend to target businesses with enterprise values that are greater than we could acquire solely with the net proceeds of this offering and the sale of the private placement warrants. As a result, if the cash portion of the purchase price exceeds the amount available from the trust account, net of amounts needed to satisfy any redemption by public shareholders and pay deferred underwriting</w:t>
      </w:r>
    </w:p>
    <w:p>
      <w:pPr>
        <w:spacing w:after="0" w:line="25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0" w:right="339" w:bottom="1118" w:gutter="0" w:footer="0" w:header="0"/>
        </w:sectPr>
      </w:pPr>
    </w:p>
    <w:bookmarkStart w:id="54" w:name="page55"/>
    <w:bookmarkEnd w:id="54"/>
    <w:p>
      <w:pPr>
        <w:spacing w:after="0" w:line="287" w:lineRule="auto"/>
        <w:rPr>
          <w:sz w:val="20"/>
          <w:szCs w:val="20"/>
          <w:color w:val="auto"/>
        </w:rPr>
      </w:pPr>
      <w:r>
        <w:rPr>
          <w:rFonts w:ascii="Arial" w:cs="Arial" w:eastAsia="Arial" w:hAnsi="Arial"/>
          <w:sz w:val="16"/>
          <w:szCs w:val="16"/>
          <w:color w:val="auto"/>
        </w:rPr>
        <w:t>commissions, we may be required to seek additional financing to complete such proposed initial business combination. We cannot assure you that such financing will be available on acceptable terms, if at all. To the extent that additional financing proves to be unavailable when needed to complete our initial business combination, we would be compelled to either restructure the transaction or abandon that particular business combination and seek an alternative target business candidate. Further, we may be required to obtain additional financing in connection with the closing of our initial business combination for general corporate purposes, including for maintenance or expansion of operations of the post-transaction businesses, the payment of principal or interest due on indebtedness incurred in completing our initial business combination, or to fund the purchase of other companies. If we are unable to complete our initial business combination, our public shareholders may only receive their pro rata portion of the funds in the trust account that are available for distribution to public shareholders, and our warrants will expire worthless. In addition, even if we do not need additional financing to complete our initial business combination, we may require such financing to fund the operations or growth of the target business. The failure to secure additional financing could have a material adverse effect on the continued development or growth of the target business. None of our officers, directors or shareholders is required to provide any financing to us in connection with or after our initial business combination.</w:t>
      </w:r>
    </w:p>
    <w:p>
      <w:pPr>
        <w:spacing w:after="0" w:line="168" w:lineRule="exact"/>
        <w:rPr>
          <w:sz w:val="20"/>
          <w:szCs w:val="20"/>
          <w:color w:val="auto"/>
        </w:rPr>
      </w:pPr>
    </w:p>
    <w:p>
      <w:pPr>
        <w:ind w:right="260"/>
        <w:spacing w:after="0" w:line="386" w:lineRule="auto"/>
        <w:rPr>
          <w:sz w:val="20"/>
          <w:szCs w:val="20"/>
          <w:color w:val="auto"/>
        </w:rPr>
      </w:pPr>
      <w:r>
        <w:rPr>
          <w:rFonts w:ascii="Arial" w:cs="Arial" w:eastAsia="Arial" w:hAnsi="Arial"/>
          <w:sz w:val="15"/>
          <w:szCs w:val="15"/>
          <w:b w:val="1"/>
          <w:bCs w:val="1"/>
          <w:color w:val="auto"/>
        </w:rPr>
        <w:t>We may not be able to complete our initial business combination within 24 months after the closing of this offering or during any Extension Period, in which case we would cease all operations except for the purpose of winding up and we would redeem our public shares and liquidate.</w:t>
      </w:r>
    </w:p>
    <w:p>
      <w:pPr>
        <w:spacing w:after="0" w:line="97" w:lineRule="exact"/>
        <w:rPr>
          <w:sz w:val="20"/>
          <w:szCs w:val="20"/>
          <w:color w:val="auto"/>
        </w:rPr>
      </w:pPr>
    </w:p>
    <w:p>
      <w:pPr>
        <w:ind w:right="20" w:firstLine="324"/>
        <w:spacing w:after="0" w:line="286" w:lineRule="auto"/>
        <w:rPr>
          <w:sz w:val="20"/>
          <w:szCs w:val="20"/>
          <w:color w:val="auto"/>
        </w:rPr>
      </w:pPr>
      <w:r>
        <w:rPr>
          <w:rFonts w:ascii="Arial" w:cs="Arial" w:eastAsia="Arial" w:hAnsi="Arial"/>
          <w:sz w:val="16"/>
          <w:szCs w:val="16"/>
          <w:color w:val="auto"/>
        </w:rPr>
        <w:t>We may not be able to find a suitable target business and complete our initial business combination within 24 months after the closing of this offering or during any Extension Period. Our ability to complete our initial business combination may be negatively impacted by general market conditions, volatility in the capital and debt markets and the other risks described herein. For example, the COVID-19 pandemic continues to grow both in the U.S. and globally and, while the extent of the impact of the pandemic on us will depend on future developments, it could limit our ability to complete our initial business combination, including as a result of increased market volatility, decreased market liquidity and third-party financing being unavailable on terms acceptable to us or at all. Additionally, the COVID-19 pandemic may negatively impact businesses we may seek to acquire. If we have not completed our initial business combination within such time period, we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(less taxes payable and up to $100,000 of interest income to pay dissolution expenses), divided by the number of then outstanding public shares, which redemption will completely extinguish public shareholders’ rights as shareholders (including the right to receive further liquidation distributions, if any) and (iii) as promptly as reasonably possible following such redemption, subject to the approval of our remaining shareholders and our board of directors, liquidate and dissolve, subject, in each case, to our obligations under Cayman Islands law to provide for claims of creditors and in all cases subject to the other requirements of applicable law.</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You will not be entitled to protections normally afforded to investors of many other blank check companies.</w:t>
      </w:r>
    </w:p>
    <w:p>
      <w:pPr>
        <w:spacing w:after="0" w:line="229" w:lineRule="exact"/>
        <w:rPr>
          <w:sz w:val="20"/>
          <w:szCs w:val="20"/>
          <w:color w:val="auto"/>
        </w:rPr>
      </w:pPr>
    </w:p>
    <w:p>
      <w:pPr>
        <w:ind w:right="60" w:firstLine="324"/>
        <w:spacing w:after="0" w:line="269" w:lineRule="auto"/>
        <w:rPr>
          <w:sz w:val="20"/>
          <w:szCs w:val="20"/>
          <w:color w:val="auto"/>
        </w:rPr>
      </w:pPr>
      <w:r>
        <w:rPr>
          <w:rFonts w:ascii="Arial" w:cs="Arial" w:eastAsia="Arial" w:hAnsi="Arial"/>
          <w:sz w:val="17"/>
          <w:szCs w:val="17"/>
          <w:color w:val="auto"/>
        </w:rPr>
        <w:t>Since the net proceeds of this offering and the sale of the private placement warrants are intended to be used to complete an initial business combination with a target business that has not been selected, we may be deemed to be a “blank check” company under the United States securities laws. However, because we will have net tangible assets in excess of $5,000,000 upon the completion of this offering and the sale of the private placement warrants and will file a Current Report on Form 8-K, including an audited balance sheet demonstrating this fact, we are exempt from rules promulgated by the SEC to protect investors in blank check companies, such as Rule 419. Accordingly, investors will not be afforded the benefits or protections of those rules. Among other things, this means our units will be immediately tradable and we will have a longer period of time to complete our initial business combination than do companies subject to Rule 419. Moreover, if this offering were subject to Rule 419, that rule would prohibit the release of any interest earned on funds held in the trust account to us unless and until the funds in the trust account were released to us in connection with our completion of an initial business combination. For a more detailed comparison of our offering to offerings that comply with Rule 419, please see “Proposed Business— Comparison of This Offering to Those of Blank Check Companies Subject to Rule 419.”</w:t>
      </w:r>
    </w:p>
    <w:p>
      <w:pPr>
        <w:spacing w:after="0" w:line="181"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b w:val="1"/>
          <w:bCs w:val="1"/>
          <w:color w:val="auto"/>
        </w:rPr>
        <w:t>Because of our limited resources and the significant competition for business combination opportunities, it may be more difficult for us to complete our initial business combination. If we are unable to complete our initial business combination, our public shareholders may receive only their pro rata portion of the funds in the trust account that are available for distribution to public shareholders, and our warrants will expire worthless.</w:t>
      </w:r>
    </w:p>
    <w:p>
      <w:pPr>
        <w:spacing w:after="0" w:line="29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55" w:name="page56"/>
    <w:bookmarkEnd w:id="55"/>
    <w:p>
      <w:pPr>
        <w:ind w:right="120" w:firstLine="324"/>
        <w:spacing w:after="0" w:line="268" w:lineRule="auto"/>
        <w:rPr>
          <w:sz w:val="20"/>
          <w:szCs w:val="20"/>
          <w:color w:val="auto"/>
        </w:rPr>
      </w:pPr>
      <w:r>
        <w:rPr>
          <w:rFonts w:ascii="Arial" w:cs="Arial" w:eastAsia="Arial" w:hAnsi="Arial"/>
          <w:sz w:val="17"/>
          <w:szCs w:val="17"/>
          <w:color w:val="auto"/>
        </w:rPr>
        <w:t>We expect to encounter competition from other entities having a business objective similar to ours, including private investors (which may be individuals or investment partnerships), other blank check companies and other entities, domestic and international, competing for the types of businesses we intend to acquire. Many of these individuals and entities are well-established and have extensive experience in identifying and effecting, directly or indirectly, acquisitions of companies operating in or providing services to various industries. Many of these competitors possess similar or greater technical, human and other resources to ours or more local industry knowledge than we do and our financial resources will be relatively limited when contrasted with those of many of these competitors. Additionally, the number of blank check companies looking for business combination targets has increased compared to recent years and many of these blank check companies are sponsored by entities or persons that have significant experience with completing business combinations. While we believe there are numerous target businesses we could potentially acquire with the net proceeds of this offering and the sale of the private placement warrants, our ability to compete with respect to the acquisition of certain target businesses that are sizable will be limited by our available financial resources. This inherent competitive limitation gives others an advantage in pursuing the acquisition of certain target businesses. Furthermore, we are obligated to offer holders of our public shares the right to redeem their shares for cash at the time of our initial business combination in conjunction with a shareholder vote or via a tender offer. Target companies will be aware that this may reduce the resources available to us for our initial business combination. Any of these obligations may place us at a competitive disadvantage in successfully negotiating a business combination. If we are unable to complete our initial business combination, our public shareholders may receive only their pro rata portion of the funds in the trust account that are available for distribution to public shareholders, which may only be $10.00 per share or possibly less in certain circumstances, and our warrants will expire worthless.</w:t>
      </w:r>
    </w:p>
    <w:p>
      <w:pPr>
        <w:spacing w:after="0" w:line="180" w:lineRule="exact"/>
        <w:rPr>
          <w:sz w:val="20"/>
          <w:szCs w:val="20"/>
          <w:color w:val="auto"/>
        </w:rPr>
      </w:pPr>
    </w:p>
    <w:p>
      <w:pPr>
        <w:ind w:left="180" w:right="140"/>
        <w:spacing w:after="0" w:line="263" w:lineRule="auto"/>
        <w:rPr>
          <w:sz w:val="20"/>
          <w:szCs w:val="20"/>
          <w:color w:val="auto"/>
        </w:rPr>
      </w:pPr>
      <w:r>
        <w:rPr>
          <w:rFonts w:ascii="Arial" w:cs="Arial" w:eastAsia="Arial" w:hAnsi="Arial"/>
          <w:sz w:val="18"/>
          <w:szCs w:val="18"/>
          <w:b w:val="1"/>
          <w:bCs w:val="1"/>
          <w:i w:val="1"/>
          <w:iCs w:val="1"/>
          <w:color w:val="auto"/>
        </w:rPr>
        <w:t>As the number of special purpose acquisition companies increases, there may be more competition to find an attractive target for an initial business combination. This could increase the costs associated with completing our initial business combination and may result in our inability to find a suitable target for our initial business combination.</w:t>
      </w:r>
    </w:p>
    <w:p>
      <w:pPr>
        <w:spacing w:after="0" w:line="184" w:lineRule="exact"/>
        <w:rPr>
          <w:sz w:val="20"/>
          <w:szCs w:val="20"/>
          <w:color w:val="auto"/>
        </w:rPr>
      </w:pPr>
    </w:p>
    <w:p>
      <w:pPr>
        <w:ind w:right="60" w:firstLine="324"/>
        <w:spacing w:after="0" w:line="301" w:lineRule="auto"/>
        <w:rPr>
          <w:sz w:val="20"/>
          <w:szCs w:val="20"/>
          <w:color w:val="auto"/>
        </w:rPr>
      </w:pPr>
      <w:r>
        <w:rPr>
          <w:rFonts w:ascii="Arial" w:cs="Arial" w:eastAsia="Arial" w:hAnsi="Arial"/>
          <w:sz w:val="16"/>
          <w:szCs w:val="16"/>
          <w:color w:val="auto"/>
        </w:rPr>
        <w:t>In recent years, the number of special purpose acquisition companies that have been formed has increased substantially. Many companies have entered into business combinations with special purpose acquisition companies, and there are still many special purpose acquisition companies seeking targets for their initial business combination, as well as many additional special purpose acquisition companies currently in registration. As a result, at times, fewer attractive targets may be available, and it may require more time, effort and resources to identify a suitable target for an initial business combination.</w:t>
      </w:r>
    </w:p>
    <w:p>
      <w:pPr>
        <w:spacing w:after="0" w:line="157" w:lineRule="exact"/>
        <w:rPr>
          <w:sz w:val="20"/>
          <w:szCs w:val="20"/>
          <w:color w:val="auto"/>
        </w:rPr>
      </w:pPr>
    </w:p>
    <w:p>
      <w:pPr>
        <w:ind w:right="160" w:firstLine="324"/>
        <w:spacing w:after="0" w:line="296" w:lineRule="auto"/>
        <w:rPr>
          <w:sz w:val="20"/>
          <w:szCs w:val="20"/>
          <w:color w:val="auto"/>
        </w:rPr>
      </w:pPr>
      <w:r>
        <w:rPr>
          <w:rFonts w:ascii="Arial" w:cs="Arial" w:eastAsia="Arial" w:hAnsi="Arial"/>
          <w:sz w:val="16"/>
          <w:szCs w:val="16"/>
          <w:color w:val="auto"/>
        </w:rPr>
        <w:t>In addition, because there are more special purpose acquisition companies seeking to enter into an initial business combination with available targets, the competition for available targets with attractive fundamentals or business models may increase, which could cause target companies to demand improved financial terms. Attractive deals could also become scarcer for other reasons, such as economic or industry sector downturns, geopolitical tensions or increases in the cost of additional capital needed to close business combinations or operate targets post-business combination. This could increase the cost of, delay or otherwise complicate or frustrate our ability to find a suitable target for and/or complete our initial business combination.</w:t>
      </w:r>
    </w:p>
    <w:p>
      <w:pPr>
        <w:spacing w:after="0" w:line="157" w:lineRule="exact"/>
        <w:rPr>
          <w:sz w:val="20"/>
          <w:szCs w:val="20"/>
          <w:color w:val="auto"/>
        </w:rPr>
      </w:pPr>
    </w:p>
    <w:p>
      <w:pPr>
        <w:ind w:right="420"/>
        <w:spacing w:after="0" w:line="266" w:lineRule="auto"/>
        <w:rPr>
          <w:sz w:val="20"/>
          <w:szCs w:val="20"/>
          <w:color w:val="auto"/>
        </w:rPr>
      </w:pPr>
      <w:r>
        <w:rPr>
          <w:rFonts w:ascii="Arial" w:cs="Arial" w:eastAsia="Arial" w:hAnsi="Arial"/>
          <w:sz w:val="18"/>
          <w:szCs w:val="18"/>
          <w:b w:val="1"/>
          <w:bCs w:val="1"/>
          <w:color w:val="auto"/>
        </w:rPr>
        <w:t>Subsequent to our completion of our initial business combination, we may be required to take write-downs or write-offs, restructuring and impairment or other charges that could have a significant negative effect on our financial condition, results of operations and the price of our securities, which could cause you to lose some or all of your investment.</w:t>
      </w:r>
    </w:p>
    <w:p>
      <w:pPr>
        <w:spacing w:after="0" w:line="180" w:lineRule="exact"/>
        <w:rPr>
          <w:sz w:val="20"/>
          <w:szCs w:val="20"/>
          <w:color w:val="auto"/>
        </w:rPr>
      </w:pPr>
    </w:p>
    <w:p>
      <w:pPr>
        <w:ind w:right="120" w:firstLine="324"/>
        <w:spacing w:after="0" w:line="287" w:lineRule="auto"/>
        <w:rPr>
          <w:sz w:val="20"/>
          <w:szCs w:val="20"/>
          <w:color w:val="auto"/>
        </w:rPr>
      </w:pPr>
      <w:r>
        <w:rPr>
          <w:rFonts w:ascii="Arial" w:cs="Arial" w:eastAsia="Arial" w:hAnsi="Arial"/>
          <w:sz w:val="16"/>
          <w:szCs w:val="16"/>
          <w:color w:val="auto"/>
        </w:rPr>
        <w:t>Even if we conduct extensive due diligence on a target business with which we combine, we cannot assure you that this diligence will identify all material issues that may be present with a particular target business that it would be possible to uncover all material issues through a customary amount of due diligence, or that factors outside of the target business and outside of our control will not later arise. As a result of these factors, we may be forced to later write-down or write-off assets, restructure our operations, or incur impairment or other charges that could result in our reporting losses. Even if our due diligence successfully identifies certain risks, unexpected risks may arise and previously known risks may materialize in a manner not consistent with our preliminary risk analysis. Even though these charges may be non-cash items and not have an immediate impact on our liquidity, the fact that we report charges of this nature could contribute to negative market perceptions about us or our securities. In addition, charges of this nature may cause us to violate net worth or other covenants to which we may be subject as a result of assuming pre-existing debt held by a target business or by virtue of our obtaining debt financing to partially finance the initial business combination or thereafter. Accordingly, any shareholders or warrant holders who choose to remain shareholders or warrant holders following the business combination could suffer a reduction in the value of their securities. Such shareholders or warrant holders are unlikely to have a remedy for such reduction in value.</w:t>
      </w:r>
    </w:p>
    <w:p>
      <w:pPr>
        <w:spacing w:after="0" w:line="168" w:lineRule="exact"/>
        <w:rPr>
          <w:sz w:val="20"/>
          <w:szCs w:val="20"/>
          <w:color w:val="auto"/>
        </w:rPr>
      </w:pPr>
    </w:p>
    <w:p>
      <w:pPr>
        <w:ind w:right="340"/>
        <w:spacing w:after="0" w:line="282" w:lineRule="auto"/>
        <w:rPr>
          <w:sz w:val="20"/>
          <w:szCs w:val="20"/>
          <w:color w:val="auto"/>
        </w:rPr>
      </w:pPr>
      <w:r>
        <w:rPr>
          <w:rFonts w:ascii="Arial" w:cs="Arial" w:eastAsia="Arial" w:hAnsi="Arial"/>
          <w:sz w:val="18"/>
          <w:szCs w:val="18"/>
          <w:b w:val="1"/>
          <w:bCs w:val="1"/>
          <w:color w:val="auto"/>
        </w:rPr>
        <w:t>If third parties bring claims against us, the funds held in the trust account could be reduced and the per-share redemption amount received by shareholders may be substantially less than $10.00 per share.</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placing of funds in the trust account may not protect those funds from third-party claims against us.</w:t>
      </w:r>
    </w:p>
    <w:p>
      <w:pPr>
        <w:spacing w:after="0" w:line="225"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Although we will seek to have all vendors, service providers, prospective target businesses and other entities with which we do business execute agreements with us waiving any right, title, interest or claim of any kind in or to any monies held in the trust account for the benefit of our public shareholders, such parties may not execute such agreements, or even if they execute such agreements they may not be prevented from bringing claims against the trust account, including, but not limited to, fraudulent inducement, breach of fiduciary responsibility or other similar claims, as well as claims challenging the enforceability of the waiver, in each case in order to gain an advantage with respect to a claim against our assets, including the funds held in the trust account. If any third party refuses to execute an agreement waiving such claims to the monies held in the trust account, our management will consider</w:t>
      </w:r>
    </w:p>
    <w:p>
      <w:pPr>
        <w:spacing w:after="0" w:line="30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56" w:name="page57"/>
    <w:bookmarkEnd w:id="56"/>
    <w:p>
      <w:pPr>
        <w:ind w:right="340"/>
        <w:spacing w:after="0" w:line="311" w:lineRule="auto"/>
        <w:rPr>
          <w:sz w:val="20"/>
          <w:szCs w:val="20"/>
          <w:color w:val="auto"/>
        </w:rPr>
      </w:pPr>
      <w:r>
        <w:rPr>
          <w:rFonts w:ascii="Arial" w:cs="Arial" w:eastAsia="Arial" w:hAnsi="Arial"/>
          <w:sz w:val="16"/>
          <w:szCs w:val="16"/>
          <w:color w:val="auto"/>
        </w:rPr>
        <w:t>whether competitive alternatives are reasonably available to us and will only enter into an agreement with such third party if management believes that such third party’s engagement would be in the best interests of the company under the circumstances. Marcum LLP, our independent registered public accounting firm, and the underwriters of this offering will not execute agreements with us waiving such claims to the monies held in the trust account.</w:t>
      </w:r>
    </w:p>
    <w:p>
      <w:pPr>
        <w:spacing w:after="0" w:line="149" w:lineRule="exact"/>
        <w:rPr>
          <w:sz w:val="20"/>
          <w:szCs w:val="20"/>
          <w:color w:val="auto"/>
        </w:rPr>
      </w:pPr>
    </w:p>
    <w:p>
      <w:pPr>
        <w:ind w:firstLine="324"/>
        <w:spacing w:after="0" w:line="284" w:lineRule="auto"/>
        <w:rPr>
          <w:sz w:val="20"/>
          <w:szCs w:val="20"/>
          <w:color w:val="auto"/>
        </w:rPr>
      </w:pPr>
      <w:r>
        <w:rPr>
          <w:rFonts w:ascii="Arial" w:cs="Arial" w:eastAsia="Arial" w:hAnsi="Arial"/>
          <w:sz w:val="16"/>
          <w:szCs w:val="16"/>
          <w:color w:val="auto"/>
        </w:rPr>
        <w:t>Examples of possible instances where we may engage a third party that refuses to execute a waiver include the engagement of a third-party consultant whose particular expertise or skills are believed by management to be significantly superior to those of other consultants that would agree to execute a waiver or in cases where management is unable to find a service provider willing to execute a waiver. In addition, there is no guarantee that such entities will agree to waive any claims they may have in the future as a result of, or arising out of, any negotiations, contracts or agreements with us and will not seek recourse against the trust account for any reason. Upon redemption of our public shares, if we have not completed our initial business combination within the prescribed timeframe, or upon the exercise of a redemption right in connection with our initial business combination, we will be required to provide for payment of claims of creditors that were not waived that may be brought against us within the 10 years following redemption. Accordingly, the per-share redemption amount received by public shareholders could be less than the $10.00 per public share initially held in the trust account, due to claims of such creditors. Pursuant to the letter agreement the form of which is filed as an exhibit to the registration statement of which this prospectus forms a part, our sponsor has agreed that it will be liable to us if and to the extent any claims by a third party (other than Marcum LLP, our independent registered public accounting firm) for services rendered or products sold to us, or a prospective target business with which we have entered into a written letter of intent, confidentiality or other similar agreement or business combination agreement, reduce the amount of funds in the trust account to below the lesser of (i) $10.00 per public share and (ii) the actual amount per public share held in the trust account as of the date of the liquidation of the trust account, if less than $10.00 per public share due to reductions in the value of the trust assets, in each case less taxes payable, provided that such liability will not apply to any claims by a third party or prospective target business who executed a waiver of any and all rights to the monies held in the trust account (whether or not such waiver is enforceable) nor will it apply to any claims under our indemnity of the underwriters of this offering against certain liabilities, including liabilities under the Securities Act. However, we have not asked our sponsor to reserve for such indemnification obligations, nor have we independently verified whether our sponsor has sufficient funds to satisfy its indemnity obligations and we believe that our sponsor’s only assets are securities of our company. Therefore, we cannot assure you that our sponsor would be able to satisfy those obligations. As a result, if any such claims were successfully made against the trust account, the funds available for our initial business combination and redemptions could be reduced to substantially less than $10.00 per public share. In such event, we may not be able to complete our initial business combination, and you would receive such lesser amount per share in connection with any redemption of your public shares. None of our officers or directors will indemnify us for claims by third parties including, without limitation, claims by vendors and prospective target businesses.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have sufficient funds to satisfy indemnification claims of our directors and officers.</w:t>
      </w:r>
    </w:p>
    <w:p>
      <w:pPr>
        <w:spacing w:after="0" w:line="229" w:lineRule="exact"/>
        <w:rPr>
          <w:sz w:val="20"/>
          <w:szCs w:val="20"/>
          <w:color w:val="auto"/>
        </w:rPr>
      </w:pPr>
    </w:p>
    <w:p>
      <w:pPr>
        <w:ind w:right="20" w:firstLine="324"/>
        <w:spacing w:after="0" w:line="287" w:lineRule="auto"/>
        <w:rPr>
          <w:sz w:val="20"/>
          <w:szCs w:val="20"/>
          <w:color w:val="auto"/>
        </w:rPr>
      </w:pPr>
      <w:r>
        <w:rPr>
          <w:rFonts w:ascii="Arial" w:cs="Arial" w:eastAsia="Arial" w:hAnsi="Arial"/>
          <w:sz w:val="16"/>
          <w:szCs w:val="16"/>
          <w:color w:val="auto"/>
        </w:rPr>
        <w:t>We have agreed to indemnify our officers and directors to the fullest extent permitted by law. However, our officers and directors have agreed to waive any right, title, interest or claim of any kind in or to any monies in the trust account and to not seek recourse against the trust account for any reason whatsoever. Accordingly, any indemnification provided will be able to be satisfied by us only if (i) we have sufficient funds outside of the trust account or</w:t>
      </w:r>
    </w:p>
    <w:p>
      <w:pPr>
        <w:spacing w:after="0" w:line="2" w:lineRule="exact"/>
        <w:rPr>
          <w:sz w:val="20"/>
          <w:szCs w:val="20"/>
          <w:color w:val="auto"/>
        </w:rPr>
      </w:pPr>
    </w:p>
    <w:p>
      <w:pPr>
        <w:ind w:right="20" w:firstLine="8"/>
        <w:spacing w:after="0" w:line="253" w:lineRule="auto"/>
        <w:tabs>
          <w:tab w:leader="none" w:pos="265"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consummate an initial business combination. Our obligation to indemnify our officers and directors may discourage shareholders from bringing a lawsuit against our officers or directors for breach of their fiduciary duty. These provisions also may have the effect of reducing the likelihood of derivative litigation against our officers and directors, even though such an action, if successful, might otherwise benefit us and our shareholders. Furthermore, a shareholder’s investment may be adversely affected to the extent we pay the costs of settlement and damage awards against our officers and directors pursuant to these indemnification provisions.</w:t>
      </w:r>
    </w:p>
    <w:p>
      <w:pPr>
        <w:spacing w:after="0" w:line="187" w:lineRule="exact"/>
        <w:rPr>
          <w:sz w:val="20"/>
          <w:szCs w:val="20"/>
          <w:color w:val="auto"/>
        </w:rPr>
      </w:pPr>
    </w:p>
    <w:p>
      <w:pPr>
        <w:ind w:right="380"/>
        <w:spacing w:after="0" w:line="347" w:lineRule="auto"/>
        <w:rPr>
          <w:sz w:val="20"/>
          <w:szCs w:val="20"/>
          <w:color w:val="auto"/>
        </w:rPr>
      </w:pPr>
      <w:r>
        <w:rPr>
          <w:rFonts w:ascii="Arial" w:cs="Arial" w:eastAsia="Arial" w:hAnsi="Arial"/>
          <w:sz w:val="16"/>
          <w:szCs w:val="16"/>
          <w:b w:val="1"/>
          <w:bCs w:val="1"/>
          <w:color w:val="auto"/>
        </w:rPr>
        <w:t>The securities in which we invest the funds held in the trust account could bear a negative rate of interest, which could reduce the value of the assets held in trust such that the per-share redemption amount received by public shareholders may be less than $10.00 per share.</w:t>
      </w:r>
    </w:p>
    <w:p>
      <w:pPr>
        <w:spacing w:after="0" w:line="120" w:lineRule="exact"/>
        <w:rPr>
          <w:sz w:val="20"/>
          <w:szCs w:val="20"/>
          <w:color w:val="auto"/>
        </w:rPr>
      </w:pPr>
    </w:p>
    <w:p>
      <w:pPr>
        <w:ind w:right="220" w:firstLine="324"/>
        <w:spacing w:after="0" w:line="311" w:lineRule="auto"/>
        <w:rPr>
          <w:sz w:val="20"/>
          <w:szCs w:val="20"/>
          <w:color w:val="auto"/>
        </w:rPr>
      </w:pPr>
      <w:r>
        <w:rPr>
          <w:rFonts w:ascii="Arial" w:cs="Arial" w:eastAsia="Arial" w:hAnsi="Arial"/>
          <w:sz w:val="16"/>
          <w:szCs w:val="16"/>
          <w:color w:val="auto"/>
        </w:rPr>
        <w:t>The proceeds held in the trust account will be invested only in U.S. government treasury obligations with a maturity of 185 days or less or in money market funds meeting certain conditions under Rule 2a-7 under the Investment Company Act, which invest only in direct U.S. government treasury obligations. While short-term U.S. government treasury obligations currently yield a positive rate of interest, they have briefly yielded negative interest</w:t>
      </w:r>
    </w:p>
    <w:p>
      <w:pPr>
        <w:spacing w:after="0" w:line="25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57" w:name="page58"/>
    <w:bookmarkEnd w:id="57"/>
    <w:p>
      <w:pPr>
        <w:ind w:right="20"/>
        <w:spacing w:after="0" w:line="273" w:lineRule="auto"/>
        <w:rPr>
          <w:sz w:val="20"/>
          <w:szCs w:val="20"/>
          <w:color w:val="auto"/>
        </w:rPr>
      </w:pPr>
      <w:r>
        <w:rPr>
          <w:rFonts w:ascii="Arial" w:cs="Arial" w:eastAsia="Arial" w:hAnsi="Arial"/>
          <w:sz w:val="17"/>
          <w:szCs w:val="17"/>
          <w:color w:val="auto"/>
        </w:rPr>
        <w:t>rates in recent years. Central banks in Europe and Japan pursued interest rates below zero in recent years, and the Open Market Committee of the Federal Reserve has not ruled out the possibility that it may in the future adopt similar policies in the United States. In the event that we do not to complete our initial business combination or make certain amendments to our amended and restated memorandum and articles of association, our public shareholders are entitled to receive their pro-rata share of the proceeds held in the trust account, plus any interest income earned thereon (less taxes payable and up to $100,000 of interest income to pay dissolution expenses). Negative interest rates could reduce the value of the assets held in trust such that the per-share redemption amount received by public shareholders may be less than $10.00 per share.</w:t>
      </w:r>
    </w:p>
    <w:p>
      <w:pPr>
        <w:spacing w:after="0" w:line="174"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b w:val="1"/>
          <w:bCs w:val="1"/>
          <w:color w:val="auto"/>
        </w:rPr>
        <w:t>If, after we distribute the funds in the trust account to our public shareholders, we file a bankruptcy or winding-up petition or an involuntary bankruptcy or winding-up petition is filed against us that is not dismissed, a bankruptcy or insolvency court may seek to recover such proceeds, and the members of our board of directors may be viewed as having breached their fiduciary duties to our creditors, thereby exposing the members of our board of directors and us to claims of punitive damages.</w:t>
      </w:r>
    </w:p>
    <w:p>
      <w:pPr>
        <w:spacing w:after="0" w:line="184" w:lineRule="exact"/>
        <w:rPr>
          <w:sz w:val="20"/>
          <w:szCs w:val="20"/>
          <w:color w:val="auto"/>
        </w:rPr>
      </w:pPr>
    </w:p>
    <w:p>
      <w:pPr>
        <w:ind w:right="100" w:firstLine="324"/>
        <w:spacing w:after="0" w:line="273" w:lineRule="auto"/>
        <w:rPr>
          <w:sz w:val="20"/>
          <w:szCs w:val="20"/>
          <w:color w:val="auto"/>
        </w:rPr>
      </w:pPr>
      <w:r>
        <w:rPr>
          <w:rFonts w:ascii="Arial" w:cs="Arial" w:eastAsia="Arial" w:hAnsi="Arial"/>
          <w:sz w:val="17"/>
          <w:szCs w:val="17"/>
          <w:color w:val="auto"/>
        </w:rPr>
        <w:t>If, after we distribute the funds in the trust account to our public shareholders, we file a bankruptcy or winding-up petition or an involuntary bankruptcy or winding-up petition is filed against us that is not dismissed, any distributions received by shareholders could be viewed under applicable debtor/creditor and/or bankruptcy or insolvency laws as either a “preferential transfer” or a “fraudulent conveyance.” As a result, a bankruptcy or insolvency court could seek to recover some or all amounts received by our shareholders. In addition, our board of directors may be viewed as having breached its fiduciary duty to our creditors and/or having acted in bad faith, thereby exposing itself and us to claims of punitive damages, by paying public shareholders from the trust account prior to addressing the claims of creditors.</w:t>
      </w:r>
    </w:p>
    <w:p>
      <w:pPr>
        <w:spacing w:after="0" w:line="174" w:lineRule="exact"/>
        <w:rPr>
          <w:sz w:val="20"/>
          <w:szCs w:val="20"/>
          <w:color w:val="auto"/>
        </w:rPr>
      </w:pPr>
    </w:p>
    <w:p>
      <w:pPr>
        <w:spacing w:after="0" w:line="261" w:lineRule="auto"/>
        <w:rPr>
          <w:sz w:val="20"/>
          <w:szCs w:val="20"/>
          <w:color w:val="auto"/>
        </w:rPr>
      </w:pPr>
      <w:r>
        <w:rPr>
          <w:rFonts w:ascii="Arial" w:cs="Arial" w:eastAsia="Arial" w:hAnsi="Arial"/>
          <w:sz w:val="18"/>
          <w:szCs w:val="18"/>
          <w:b w:val="1"/>
          <w:bCs w:val="1"/>
          <w:color w:val="auto"/>
        </w:rPr>
        <w:t>If, before distributing the funds in the trust account to our public shareholders, we file a bankruptcy or winding-up petition or an involuntary bankruptcy or winding-up petition is filed against us that is not dismissed, the claims of creditors in such proceeding may have priority over the claims of our shareholders and the per-share amount that would otherwise be received by our shareholders in connection with our liquidation may be reduced.</w:t>
      </w:r>
    </w:p>
    <w:p>
      <w:pPr>
        <w:spacing w:after="0" w:line="184"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If, before distributing the funds in the trust account to our public shareholders, we file a bankruptcy or winding-up petition or an involuntary bankruptcy or winding-up petition is filed against us that is not dismissed, the funds held in the trust account could be subject to applicable bankruptcy or insolvency law, and may be included in our bankruptcy estate and subject to the claims of third parties with priority over the claims of our shareholders. To the extent any bankruptcy claims deplete the trust account, the per-share amount that would otherwise be received by our shareholders in connection with our liquidation may be reduced.</w:t>
      </w:r>
    </w:p>
    <w:p>
      <w:pPr>
        <w:spacing w:after="0" w:line="184"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b w:val="1"/>
          <w:bCs w:val="1"/>
          <w:color w:val="auto"/>
        </w:rPr>
        <w:t>Our directors may decide not to enforce the indemnification obligations of our sponsor, resulting in a reduction in the amount of funds in the trust account available for distribution to our public shareholders.</w:t>
      </w:r>
    </w:p>
    <w:p>
      <w:pPr>
        <w:spacing w:after="0" w:line="166" w:lineRule="exact"/>
        <w:rPr>
          <w:sz w:val="20"/>
          <w:szCs w:val="20"/>
          <w:color w:val="auto"/>
        </w:rPr>
      </w:pPr>
    </w:p>
    <w:p>
      <w:pPr>
        <w:ind w:right="60" w:firstLine="324"/>
        <w:spacing w:after="0" w:line="269" w:lineRule="auto"/>
        <w:rPr>
          <w:sz w:val="20"/>
          <w:szCs w:val="20"/>
          <w:color w:val="auto"/>
        </w:rPr>
      </w:pPr>
      <w:r>
        <w:rPr>
          <w:rFonts w:ascii="Arial" w:cs="Arial" w:eastAsia="Arial" w:hAnsi="Arial"/>
          <w:sz w:val="17"/>
          <w:szCs w:val="17"/>
          <w:color w:val="auto"/>
        </w:rPr>
        <w:t>In the event that the funds in the trust account are reduced below the lesser of (i) $10.00 per public share and (ii) the actual amount per public share held in the trust account as of the date of the liquidation of the trust account if less than $10.00 per public share due to reductions in the value of the trust assets, in each case less taxes payable, and our sponsor asserts that it is unable to satisfy its obligations or that it has no indemnification obligations related to a particular claim, our independent directors would determine whether to take legal action against our sponsor to enforce its indemnification obligations. While we currently expect that our independent directors would take legal action on our behalf against our sponsor to enforce its indemnification obligations to us, it is possible that our independent directors in exercising their business judgment and subject to their fiduciary duties may choose not to do so in any particular instance if, for example, the cost of such legal action is deemed by the independent directors to be too high relative to the amount recoverable or if the independent directors determine that a favorable outcome is not likely. If our independent directors choose not to enforce these indemnification obligations, the amount of funds in the trust account available for distribution to our public shareholders may be reduced below $10.00 per share.</w:t>
      </w:r>
    </w:p>
    <w:p>
      <w:pPr>
        <w:spacing w:after="0" w:line="29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58" w:name="page59"/>
    <w:bookmarkEnd w:id="58"/>
    <w:p>
      <w:pPr>
        <w:ind w:right="420"/>
        <w:spacing w:after="0" w:line="347" w:lineRule="auto"/>
        <w:rPr>
          <w:sz w:val="20"/>
          <w:szCs w:val="20"/>
          <w:color w:val="auto"/>
        </w:rPr>
      </w:pPr>
      <w:r>
        <w:rPr>
          <w:rFonts w:ascii="Arial" w:cs="Arial" w:eastAsia="Arial" w:hAnsi="Arial"/>
          <w:sz w:val="16"/>
          <w:szCs w:val="16"/>
          <w:b w:val="1"/>
          <w:bCs w:val="1"/>
          <w:color w:val="auto"/>
        </w:rPr>
        <w:t>If we are deemed to be an investment company under the Investment Company Act, we may be required to institute burdensome compliance requirements and our activities may be restricted, which may make it difficult for us to complete our initial business combination.</w:t>
      </w:r>
    </w:p>
    <w:p>
      <w:pPr>
        <w:spacing w:after="0" w:line="12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If we are deemed to be an investment company under the Investment Company Act, our activities may be restricted, including:</w:t>
      </w:r>
    </w:p>
    <w:p>
      <w:pPr>
        <w:spacing w:after="0" w:line="225"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restrictions on the nature of our investments;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restrictions on the issuance of securities,</w:t>
      </w:r>
    </w:p>
    <w:p>
      <w:pPr>
        <w:spacing w:after="0" w:line="225" w:lineRule="exact"/>
        <w:rPr>
          <w:rFonts w:ascii="Arial" w:cs="Arial" w:eastAsia="Arial" w:hAnsi="Arial"/>
          <w:sz w:val="18"/>
          <w:szCs w:val="18"/>
          <w:color w:val="auto"/>
        </w:rPr>
      </w:pPr>
    </w:p>
    <w:p>
      <w:pPr>
        <w:ind w:left="660" w:right="200" w:hanging="328"/>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each of which may make it difficult for us to complete our initial business combination. In addition, we may have imposed upon us burdensome requirements, including:</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registration as an investment company with the SEC;</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adoption of a specific form of corporate structure;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reporting, record keeping, voting, proxy and disclosure requirements and other rules and regulations that we are currently not subject to.</w:t>
      </w:r>
    </w:p>
    <w:p>
      <w:pPr>
        <w:spacing w:after="0" w:line="237"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In order not to be regulated as an investment company under the Investment Company Act, unless we can qualify for an exclusion, we must ensure that we are engaged primarily in a business other than investing, reinvesting or trading of securities and that our activities do not include investing, reinvesting, owning, holding or trading “investment securities” constituting more than 40% of our assets (exclusive of U.S. government securities and cash items) on an unconsolidated basis. Our business will be to identify and complete a business combination and thereafter to operate the post-transaction business or assets for the long term. We do not plan to buy businesses or assets with a view to resell or profit from their resale. We do not plan to buy unrelated businesses or assets or to be a passive investor.</w:t>
      </w:r>
    </w:p>
    <w:p>
      <w:pPr>
        <w:spacing w:after="0" w:line="192" w:lineRule="exact"/>
        <w:rPr>
          <w:sz w:val="20"/>
          <w:szCs w:val="20"/>
          <w:color w:val="auto"/>
        </w:rPr>
      </w:pPr>
    </w:p>
    <w:p>
      <w:pPr>
        <w:ind w:right="20" w:firstLine="324"/>
        <w:spacing w:after="0" w:line="285" w:lineRule="auto"/>
        <w:rPr>
          <w:sz w:val="20"/>
          <w:szCs w:val="20"/>
          <w:color w:val="auto"/>
        </w:rPr>
      </w:pPr>
      <w:r>
        <w:rPr>
          <w:rFonts w:ascii="Arial" w:cs="Arial" w:eastAsia="Arial" w:hAnsi="Arial"/>
          <w:sz w:val="16"/>
          <w:szCs w:val="16"/>
          <w:color w:val="auto"/>
        </w:rPr>
        <w:t>We do not believe that our anticipated principal activities will subject us to the Investment Company Act. To this end, the proceeds held in the trust account may only be invested in United States “government securities” within the meaning of Section 2(a)(16) of the Investment Company Act having a maturity of 185 days or less or in money market funds meeting certain conditions under Rule 2a-7 promulgated under the Investment Company Act which invest only in direct U.S. government treasury obligations. Pursuant to the trust agreement, the trustee is not permitted to invest in other securities or assets. By restricting the investment of the proceeds to these instruments, and by having a business plan targeted at acquiring and growing businesses for the long term (rather than on buying and selling businesses in the manner of a merchant bank or private equity fund), we intend to avoid being deemed an “investment company” within the meaning of the Investment Company Act. This offering is not intended for persons who are seeking a return on investments in government securities or investment securities. The trust account is intended as a holding place for funds pending the earliest to occur of either: (i) the completion of our initial business combination; (ii) the redemption of any public shares properly submitted in connection with a shareholder vote to amend our amended and restated memorandum and articles of association (A) to modify the substance or timing of our obligation to allow redemption in connection with our initial business combination or to redeem 100% of our public shares if we have not consummated an initial business combination within 24 months from the closing of this offering or (B) with respect to any other material provisions relating to shareholders’ rights or pre-initial business combination activity; or (iii) absent an initial business combination within 24 months from the closing of this offering, our return of the funds held in the trust account to our public shareholders as part of our redemption of the public shares. If we do not invest the proceeds as discussed above, we may be deemed to be subject to the Investment Company Act. If we were deemed to be subject to the Investment Company Act, compliance with these additional regulatory burdens would require additional expenses for which we have not allotted funds and may hinder our ability to complete a business combination. If we are unable to complete our initial business combination, our public shareholders may only receive their pro rata portion of the funds in the trust account that are available for distribution to public shareholders, and our warrants will expire worthless.</w:t>
      </w:r>
    </w:p>
    <w:p>
      <w:pPr>
        <w:spacing w:after="0" w:line="27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59" w:name="page60"/>
    <w:bookmarkEnd w:id="59"/>
    <w:p>
      <w:pPr>
        <w:ind w:right="300"/>
        <w:spacing w:after="0" w:line="347" w:lineRule="auto"/>
        <w:rPr>
          <w:sz w:val="20"/>
          <w:szCs w:val="20"/>
          <w:color w:val="auto"/>
        </w:rPr>
      </w:pPr>
      <w:r>
        <w:rPr>
          <w:rFonts w:ascii="Arial" w:cs="Arial" w:eastAsia="Arial" w:hAnsi="Arial"/>
          <w:sz w:val="16"/>
          <w:szCs w:val="16"/>
          <w:b w:val="1"/>
          <w:bCs w:val="1"/>
          <w:color w:val="auto"/>
        </w:rPr>
        <w:t>Compliance obligations under the Sarbanes-Oxley Act may make it more difficult for us to effectuate our initial business combination, require substantial financial and management resources, and increase the time and costs of completing an initial business combination.</w:t>
      </w:r>
    </w:p>
    <w:p>
      <w:pPr>
        <w:spacing w:after="0" w:line="120" w:lineRule="exact"/>
        <w:rPr>
          <w:sz w:val="20"/>
          <w:szCs w:val="20"/>
          <w:color w:val="auto"/>
        </w:rPr>
      </w:pPr>
    </w:p>
    <w:p>
      <w:pPr>
        <w:ind w:right="120" w:firstLine="324"/>
        <w:spacing w:after="0" w:line="254" w:lineRule="auto"/>
        <w:rPr>
          <w:sz w:val="20"/>
          <w:szCs w:val="20"/>
          <w:color w:val="auto"/>
        </w:rPr>
      </w:pPr>
      <w:r>
        <w:rPr>
          <w:rFonts w:ascii="Arial" w:cs="Arial" w:eastAsia="Arial" w:hAnsi="Arial"/>
          <w:sz w:val="18"/>
          <w:szCs w:val="18"/>
          <w:color w:val="auto"/>
        </w:rPr>
        <w:t>Section 404 of the Sarbanes-Oxley Act requires that we evaluate and report on our system of internal controls beginning with our Annual Report on Form 10-K for the year ending December 31, 2022. Only in the event we are deemed to be a large accelerated filer or an accelerated filer, and no longer qualify as an emerging growth company, will we be required to comply with the independent registered public accounting firm attestation requirement on our internal control over financial reporting. The fact that we are a blank check company makes compliance with the requirements of the Sarbanes-Oxley Act particularly burdensome on us as compared to other public companies because a target business with which we seek to complete our initial business combination may not be in compliance with the provisions of the Sarbanes-Oxley Act regarding adequacy of its internal controls. The development of the internal controls of any such entity to achieve compliance with the Sarbanes-Oxley Act may increase the time and costs necessary to complete any such business combination.</w:t>
      </w:r>
    </w:p>
    <w:p>
      <w:pPr>
        <w:spacing w:after="0" w:line="188" w:lineRule="exact"/>
        <w:rPr>
          <w:sz w:val="20"/>
          <w:szCs w:val="20"/>
          <w:color w:val="auto"/>
        </w:rPr>
      </w:pPr>
    </w:p>
    <w:p>
      <w:pPr>
        <w:ind w:right="240"/>
        <w:spacing w:after="0" w:line="282" w:lineRule="auto"/>
        <w:rPr>
          <w:sz w:val="20"/>
          <w:szCs w:val="20"/>
          <w:color w:val="auto"/>
        </w:rPr>
      </w:pPr>
      <w:r>
        <w:rPr>
          <w:rFonts w:ascii="Arial" w:cs="Arial" w:eastAsia="Arial" w:hAnsi="Arial"/>
          <w:sz w:val="18"/>
          <w:szCs w:val="18"/>
          <w:b w:val="1"/>
          <w:bCs w:val="1"/>
          <w:color w:val="auto"/>
        </w:rPr>
        <w:t>Changes in laws or regulations, or a failure to comply with any laws and regulations, may adversely affect our business, including our ability to negotiate and complete our initial business combination, and results of operations.</w:t>
      </w:r>
    </w:p>
    <w:p>
      <w:pPr>
        <w:spacing w:after="0" w:line="166" w:lineRule="exact"/>
        <w:rPr>
          <w:sz w:val="20"/>
          <w:szCs w:val="20"/>
          <w:color w:val="auto"/>
        </w:rPr>
      </w:pPr>
    </w:p>
    <w:p>
      <w:pPr>
        <w:ind w:right="40" w:firstLine="324"/>
        <w:spacing w:after="0" w:line="271" w:lineRule="auto"/>
        <w:rPr>
          <w:sz w:val="20"/>
          <w:szCs w:val="20"/>
          <w:color w:val="auto"/>
        </w:rPr>
      </w:pPr>
      <w:r>
        <w:rPr>
          <w:rFonts w:ascii="Arial" w:cs="Arial" w:eastAsia="Arial" w:hAnsi="Arial"/>
          <w:sz w:val="17"/>
          <w:szCs w:val="17"/>
          <w:color w:val="auto"/>
        </w:rPr>
        <w:t>We are and will be subject to laws and regulations enacted by national, regional and local governments. In particular, we will be required to comply with certain SEC and other legal requirements, our business combination may be contingent on our ability to comply with certain laws and regulations and any post-business combination company may be subject to additional laws and regulations. Compliance with, and monitoring of, applicable laws and regulations may be difficult, time consuming and costly. Those laws and regulations and their interpretation and application may also change from time to time, including as a result of changes in economic, political, social and government policies, and those changes could have a material adverse effect on our business, including our ability to negotiate and complete our initial business combination, and results of operations. In addition, a failure to comply with applicable laws or regulations, as interpreted and applied, could have a material adverse effect on our business, including our ability to negotiate and complete our initial business combination, and results of operations.</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Cyber incidents or attacks directed at us could result in information theft, data corruption, operational disruption and/or financial loss.</w:t>
      </w:r>
    </w:p>
    <w:p>
      <w:pPr>
        <w:spacing w:after="0" w:line="241"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We depend on digital technologies, including information systems, infrastructure and cloud applications and services, including those of third parties with which we may deal. Sophisticated and deliberate attacks on, or security breaches in, our systems or infrastructure, or the systems or infrastructure of third parties or the cloud, could lead to corruption or misappropriation of our assets, proprietary information and sensitive or confidential data. As an early stage company without significant investments in data security protection, we may not be sufficiently protected against such occurrences. We may not have sufficient resources to adequately protect against, or to investigate and remediate any vulnerability to, cyber incidents. It is possible that any of these occurrences, or a combination of them, could have adverse consequences on our business and lead to financial loss.</w:t>
      </w:r>
    </w:p>
    <w:p>
      <w:pPr>
        <w:spacing w:after="0" w:line="16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Risks Associated with Our Securities and Redemption</w:t>
      </w:r>
    </w:p>
    <w:p>
      <w:pPr>
        <w:spacing w:after="0" w:line="225" w:lineRule="exact"/>
        <w:rPr>
          <w:sz w:val="20"/>
          <w:szCs w:val="20"/>
          <w:color w:val="auto"/>
        </w:rPr>
      </w:pPr>
    </w:p>
    <w:p>
      <w:pPr>
        <w:ind w:right="280"/>
        <w:spacing w:after="0" w:line="289" w:lineRule="auto"/>
        <w:rPr>
          <w:sz w:val="20"/>
          <w:szCs w:val="20"/>
          <w:color w:val="auto"/>
        </w:rPr>
      </w:pPr>
      <w:r>
        <w:rPr>
          <w:rFonts w:ascii="Arial" w:cs="Arial" w:eastAsia="Arial" w:hAnsi="Arial"/>
          <w:sz w:val="17"/>
          <w:szCs w:val="17"/>
          <w:b w:val="1"/>
          <w:bCs w:val="1"/>
          <w:color w:val="auto"/>
        </w:rPr>
        <w:t>The determination of the offering price of our units and the size of this offering is more arbitrary than the pricing of securities and size of an offering of an operating company in a particular industry. You may have less assurance, therefore, that the offering price of our units properly reflects the value of such units than you would have in a typical offering of an operating company.</w:t>
      </w:r>
    </w:p>
    <w:p>
      <w:pPr>
        <w:spacing w:after="0" w:line="162" w:lineRule="exact"/>
        <w:rPr>
          <w:sz w:val="20"/>
          <w:szCs w:val="20"/>
          <w:color w:val="auto"/>
        </w:rPr>
      </w:pPr>
    </w:p>
    <w:p>
      <w:pPr>
        <w:ind w:right="20" w:firstLine="324"/>
        <w:spacing w:after="0" w:line="275" w:lineRule="auto"/>
        <w:rPr>
          <w:sz w:val="20"/>
          <w:szCs w:val="20"/>
          <w:color w:val="auto"/>
        </w:rPr>
      </w:pPr>
      <w:r>
        <w:rPr>
          <w:rFonts w:ascii="Arial" w:cs="Arial" w:eastAsia="Arial" w:hAnsi="Arial"/>
          <w:sz w:val="17"/>
          <w:szCs w:val="17"/>
          <w:color w:val="auto"/>
        </w:rPr>
        <w:t>Prior to this offering there has been no public market for any of our securities. The public offering price of the units and the terms of the warrants were negotiated between us and the underwriters. In determining the size of this offering, management held customary organizational meetings with the representative of the underwriters, both prior to our inception and thereafter, with respect to the state of capital markets, generally, and the amount the underwriters believed they reasonably could raise on our behalf. Factors considered in determining the size of this offering, prices and terms of the units, including the Class A ordinary shares and warrants underlying the units, include:</w:t>
      </w:r>
    </w:p>
    <w:p>
      <w:pPr>
        <w:spacing w:after="0" w:line="176" w:lineRule="exact"/>
        <w:rPr>
          <w:sz w:val="20"/>
          <w:szCs w:val="20"/>
          <w:color w:val="auto"/>
        </w:rPr>
      </w:pPr>
    </w:p>
    <w:p>
      <w:pPr>
        <w:ind w:left="5520" w:right="3160" w:hanging="5188"/>
        <w:spacing w:after="0" w:line="653" w:lineRule="auto"/>
        <w:tabs>
          <w:tab w:leader="none" w:pos="664"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history and prospects of companies whose principal business is the acquisition of other companies; 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13232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580" w:right="379" w:bottom="1440" w:gutter="0" w:footer="0" w:header="0"/>
        </w:sectPr>
      </w:pPr>
    </w:p>
    <w:bookmarkStart w:id="60" w:name="page61"/>
    <w:bookmarkEnd w:id="60"/>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prior offerings of those companies;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prospects for acquiring an operating business at attractive values;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review of debt to equity ratios in leveraged transactions;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capital structure;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 assessment of our management and their experience in identifying operating companies;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general conditions of the securities markets at the time of this offering;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other factors as were deemed relevant.</w:t>
      </w:r>
    </w:p>
    <w:p>
      <w:pPr>
        <w:spacing w:after="0" w:line="225" w:lineRule="exact"/>
        <w:rPr>
          <w:sz w:val="20"/>
          <w:szCs w:val="20"/>
          <w:color w:val="auto"/>
        </w:rPr>
      </w:pPr>
    </w:p>
    <w:p>
      <w:pPr>
        <w:ind w:right="600" w:firstLine="324"/>
        <w:spacing w:after="0" w:line="277" w:lineRule="auto"/>
        <w:rPr>
          <w:sz w:val="20"/>
          <w:szCs w:val="20"/>
          <w:color w:val="auto"/>
        </w:rPr>
      </w:pPr>
      <w:r>
        <w:rPr>
          <w:rFonts w:ascii="Arial" w:cs="Arial" w:eastAsia="Arial" w:hAnsi="Arial"/>
          <w:sz w:val="18"/>
          <w:szCs w:val="18"/>
          <w:color w:val="auto"/>
        </w:rPr>
        <w:t>Although these factors were considered, the determination of our offering size, price and terms of the units is more arbitrary than the pricing of securities of an operating company in a particular industry since we have no historical operations or financial results.</w:t>
      </w:r>
    </w:p>
    <w:p>
      <w:pPr>
        <w:spacing w:after="0" w:line="166"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Our initial shareholders paid an aggregate of $25,000, or approximately $0.003 per founder share and, accordingly, you will experience immediate and substantial dilution from the purchase of our Class A ordinary shares.</w:t>
      </w:r>
    </w:p>
    <w:p>
      <w:pPr>
        <w:spacing w:after="0" w:line="166"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The difference between the public offering price per share (allocating all of the unit purchase price to the Class A ordinary share and none to the warrant included in the unit) and the pro forma net tangible book value per Class A ordinary share after this offering constitutes the dilution to you and the other investors in this offering. Our initial shareholders acquired the founder shares at a nominal price, significantly contributing to this dilution. Upon closing of this offering, and assuming no value is ascribed to the warrants included in the units, you and the other public shareholders will incur an immediate and substantial dilution of approximately 93.4% (or $9.34 per share, assuming no exercise of the underwriters’ over-allotment option), the difference between the pro forma net tangible book value per share after this offering of $0.67 and the initial offering price of $10.00 per unit. This dilution would increase to the extent that the anti-dilution provisions of the founder shares result in the issuance of Class A ordinary shares on a greater than one-to-one basis upon conversion of the Class B ordinary shares at the time of our initial business combination. In addition, because of the anti-dilution protection in the founder shares, any equity or equity-linked securities issued in connection with our initial business combination would be disproportionately dilutive to our Class A ordinary shares.</w:t>
      </w:r>
    </w:p>
    <w:p>
      <w:pPr>
        <w:spacing w:after="0" w:line="190" w:lineRule="exact"/>
        <w:rPr>
          <w:sz w:val="20"/>
          <w:szCs w:val="20"/>
          <w:color w:val="auto"/>
        </w:rPr>
      </w:pPr>
    </w:p>
    <w:p>
      <w:pPr>
        <w:ind w:right="280"/>
        <w:spacing w:after="0" w:line="282" w:lineRule="auto"/>
        <w:rPr>
          <w:sz w:val="20"/>
          <w:szCs w:val="20"/>
          <w:color w:val="auto"/>
        </w:rPr>
      </w:pPr>
      <w:r>
        <w:rPr>
          <w:rFonts w:ascii="Arial" w:cs="Arial" w:eastAsia="Arial" w:hAnsi="Arial"/>
          <w:sz w:val="18"/>
          <w:szCs w:val="18"/>
          <w:b w:val="1"/>
          <w:bCs w:val="1"/>
          <w:color w:val="auto"/>
        </w:rPr>
        <w:t>There is currently no market for our securities and a market for our securities may not develop, which would adversely affect the liquidity and price of our securities.</w:t>
      </w:r>
    </w:p>
    <w:p>
      <w:pPr>
        <w:spacing w:after="0" w:line="166" w:lineRule="exact"/>
        <w:rPr>
          <w:sz w:val="20"/>
          <w:szCs w:val="20"/>
          <w:color w:val="auto"/>
        </w:rPr>
      </w:pPr>
    </w:p>
    <w:p>
      <w:pPr>
        <w:ind w:right="20" w:firstLine="324"/>
        <w:spacing w:after="0" w:line="275" w:lineRule="auto"/>
        <w:rPr>
          <w:sz w:val="20"/>
          <w:szCs w:val="20"/>
          <w:color w:val="auto"/>
        </w:rPr>
      </w:pPr>
      <w:r>
        <w:rPr>
          <w:rFonts w:ascii="Arial" w:cs="Arial" w:eastAsia="Arial" w:hAnsi="Arial"/>
          <w:sz w:val="17"/>
          <w:szCs w:val="17"/>
          <w:color w:val="auto"/>
        </w:rPr>
        <w:t>There is currently no market for our securities. Shareholders therefore have no access to information about prior market history on which to base their investment decision. Following this offering, the price of our securities may vary significantly due to one or more potential business combinations and general market or economic conditions, including as a result of the COVID-19 pandemic and other events (such as terrorist attacks, natural disasters or a significant outbreak of other infectious diseases). Furthermore, an active trading market for our securities may never develop or, if developed, it may not be sustained. You may be unable to sell your securities unless a market can be established and sustained.</w:t>
      </w:r>
    </w:p>
    <w:p>
      <w:pPr>
        <w:spacing w:after="0" w:line="172"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b w:val="1"/>
          <w:bCs w:val="1"/>
          <w:color w:val="auto"/>
        </w:rPr>
        <w:t>The NYSE may delist our securities from trading on its exchange, which could limit investors’ ability to make transactions in our securities and subject us to additional trading restrictions.</w:t>
      </w:r>
    </w:p>
    <w:p>
      <w:pPr>
        <w:spacing w:after="0" w:line="166"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We have applied to list our units on the NYSE. We expect that our units will be listed on the NYSE on or promptly after the date of this prospectus. On and following the date that the Class A ordinary shares and warrants are eligible to trade separately, we anticipate that the Class A ordinary shares and warrants will be separately listed on the NYSE. Although after giving effect to this offering we expect to meet, on a pro forma basis, the minimum initial listing standards set forth in the NYSE listing standards, we cannot assure you that our securities will be, or will continue to be, listed on the NYSE in the future or prior to our initial business combination. In order to continue listing our securities on the NYSE prior to our initial business combination, we must maintain certain financial, distribution and share price levels. Generally, following our initial public offering, we must maintain a minimum amount in Shareholders’ equity (generally $2,500,000) and a minimum number of holders of our securities</w:t>
      </w:r>
    </w:p>
    <w:p>
      <w:pPr>
        <w:spacing w:after="0" w:line="28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61" w:name="page62"/>
    <w:bookmarkEnd w:id="61"/>
    <w:p>
      <w:pPr>
        <w:ind w:right="20"/>
        <w:spacing w:after="0" w:line="273" w:lineRule="auto"/>
        <w:rPr>
          <w:sz w:val="20"/>
          <w:szCs w:val="20"/>
          <w:color w:val="auto"/>
        </w:rPr>
      </w:pPr>
      <w:r>
        <w:rPr>
          <w:rFonts w:ascii="Arial" w:cs="Arial" w:eastAsia="Arial" w:hAnsi="Arial"/>
          <w:sz w:val="17"/>
          <w:szCs w:val="17"/>
          <w:color w:val="auto"/>
        </w:rPr>
        <w:t>(generally 300 public holders). Additionally, in connection with our initial business combination, we will be required to demonstrate compliance with the NYSE’s initial listing requirements, which are more rigorous than the NYSE’s continued listing requirements, in order to continue to maintain the listing of our securities on the NYSE. For instance, in order for our Class A ordinary shares to be listed upon the consummation of our initial business combination, at such time, our share price would generally be required to be at least $4.00 per share, our global market capitalization would be required to be at least $200 million, the aggregate market value of publicly-held shares would be required to be at least $100 million and we would be required to have at least 400 round lot holders. We cannot assure you that we will be able to meet those initial listing requirements at that time.</w:t>
      </w:r>
    </w:p>
    <w:p>
      <w:pPr>
        <w:spacing w:after="0" w:line="178" w:lineRule="exact"/>
        <w:rPr>
          <w:sz w:val="20"/>
          <w:szCs w:val="20"/>
          <w:color w:val="auto"/>
        </w:rPr>
      </w:pPr>
    </w:p>
    <w:p>
      <w:pPr>
        <w:jc w:val="both"/>
        <w:ind w:right="640" w:firstLine="324"/>
        <w:spacing w:after="0" w:line="263" w:lineRule="auto"/>
        <w:rPr>
          <w:sz w:val="20"/>
          <w:szCs w:val="20"/>
          <w:color w:val="auto"/>
        </w:rPr>
      </w:pPr>
      <w:r>
        <w:rPr>
          <w:rFonts w:ascii="Arial" w:cs="Arial" w:eastAsia="Arial" w:hAnsi="Arial"/>
          <w:sz w:val="18"/>
          <w:szCs w:val="18"/>
          <w:color w:val="auto"/>
        </w:rPr>
        <w:t>If the NYSE delists any of our securities from trading on its exchange and we are not able to list such securities on another national securities exchange, we expect our securities could be quoted on an over-the-counter market. If this were to occur, we could face significant material adverse consequences, including:</w:t>
      </w:r>
    </w:p>
    <w:p>
      <w:pPr>
        <w:spacing w:after="0" w:line="184"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limited availability of market quotations for our securities;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reduced liquidity for our securities;</w:t>
      </w:r>
    </w:p>
    <w:p>
      <w:pPr>
        <w:spacing w:after="0" w:line="225"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a determination that our Class A ordinary shares are a “penny stock” which will require brokers trading in our Class A ordinary shares to adhere to more stringent rules and possibly result in a reduced level of trading activity in the secondary trading market for our securities;</w:t>
      </w:r>
    </w:p>
    <w:p>
      <w:pPr>
        <w:spacing w:after="0" w:line="146" w:lineRule="exact"/>
        <w:rPr>
          <w:rFonts w:ascii="Arial" w:cs="Arial" w:eastAsia="Arial" w:hAnsi="Arial"/>
          <w:sz w:val="17"/>
          <w:szCs w:val="17"/>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limited amount of news and analyst coverage;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decreased ability to issue additional securities or obtain additional financing in the future.</w:t>
      </w:r>
    </w:p>
    <w:p>
      <w:pPr>
        <w:spacing w:after="0" w:line="225" w:lineRule="exact"/>
        <w:rPr>
          <w:sz w:val="20"/>
          <w:szCs w:val="20"/>
          <w:color w:val="auto"/>
        </w:rPr>
      </w:pPr>
    </w:p>
    <w:p>
      <w:pPr>
        <w:ind w:right="80" w:firstLine="324"/>
        <w:spacing w:after="0" w:line="289" w:lineRule="auto"/>
        <w:rPr>
          <w:sz w:val="20"/>
          <w:szCs w:val="20"/>
          <w:color w:val="auto"/>
        </w:rPr>
      </w:pPr>
      <w:r>
        <w:rPr>
          <w:rFonts w:ascii="Arial" w:cs="Arial" w:eastAsia="Arial" w:hAnsi="Arial"/>
          <w:sz w:val="16"/>
          <w:szCs w:val="16"/>
          <w:color w:val="auto"/>
        </w:rPr>
        <w:t>The National Securities Markets Improvement Act of 1996, which is a federal statute, prevents or preempts the states from regulating the sale of certain securities, which are referred to as “covered securities.” Because we expect that our units and eventually our Class A ordinary shares and warrants will be listed on the NYSE, our units, Class A ordinary shares and warrants will qualify as covered securities under the statute. Although the states are preempted from regulating the sale of covered securities, the federal statute does allow the states to investigate companies if there is a suspicion of fraud, and, if there is a finding of fraudulent activity, then the states can regulate or bar the sale of covered securities in a particular case. While we are not aware of a state having used these powers to prohibit or restrict the sale of securities issued by blank check companies, other than the State of Idaho, certain state securities regulators view blank check companies unfavorably and might use these powers, or threaten to use these powers, to hinder the sale of securities of blank check companies in their states. Further, if we were no longer listed on the NYSE, our securities would not qualify as covered securities under the statute and we would be subject to regulation in each state in which we offer our securities.</w:t>
      </w:r>
    </w:p>
    <w:p>
      <w:pPr>
        <w:spacing w:after="0" w:line="162" w:lineRule="exact"/>
        <w:rPr>
          <w:sz w:val="20"/>
          <w:szCs w:val="20"/>
          <w:color w:val="auto"/>
        </w:rPr>
      </w:pPr>
    </w:p>
    <w:p>
      <w:pPr>
        <w:ind w:right="340"/>
        <w:spacing w:after="0" w:line="282" w:lineRule="auto"/>
        <w:rPr>
          <w:sz w:val="20"/>
          <w:szCs w:val="20"/>
          <w:color w:val="auto"/>
        </w:rPr>
      </w:pPr>
      <w:r>
        <w:rPr>
          <w:rFonts w:ascii="Arial" w:cs="Arial" w:eastAsia="Arial" w:hAnsi="Arial"/>
          <w:sz w:val="18"/>
          <w:szCs w:val="18"/>
          <w:b w:val="1"/>
          <w:bCs w:val="1"/>
          <w:color w:val="auto"/>
        </w:rPr>
        <w:t>Our initial shareholders control a substantial interest in us and thus may exert a substantial influence on actions requiring a shareholder vote, potentially in a manner that you do not support.</w:t>
      </w:r>
    </w:p>
    <w:p>
      <w:pPr>
        <w:spacing w:after="0" w:line="166"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Upon closing of this offering, our initial shareholders will own 20% of our issued and outstanding ordinary shares (assuming they do not purchase any units in this offering) and only holders of Class B ordinary shares will have the right to appoint or remove directors in any general meeting held prior to or in connection with the completion of our initial business combination. Accordingly, our initial shareholders may exert a substantial influence on actions requiring a shareholder vote, potentially in a manner that you do not support, including amendments to our amended and restated memorandum and articles of association. If our initial shareholders purchase any units in this offering or if our initial shareholders purchase any additional Class A ordinary shares in the aftermarket or in privately negotiated transactions, this would increase their control. Neither our initial shareholders nor, to our knowledge, any of our officers or directors, have any current intention to purchase additional securities, other than as disclosed in this prospectus. Factors that would be considered in making such additional purchases would include consideration of the current trading price of our Class A ordinary shares. In addition, our board of directors, whose members were appointed by our sponsor, is and will be divided into three classes, each of which will generally serve for a terms for three years with only one class of directors being appointed in each year. We may not hold an annual general meeting to appoint or remove new directors prior to the completion of our initial business combination, in which case all of the current directors will continue in office until at least the completion of the business combination. If there is an annual general meeting prior to our initial business combination, as a consequence of our “staggered” board of directors, only a minority of the board of directors will be considered for appointment and our initial shareholders, because of their ownership position, will control the outcome. In addition, we have agreed not to enter into a definitive agreement regarding an initial business combination without the prior written consent of the PIMCO private fund. Accordingly, our initial shareholders will continue to exert control at least until the completion of our initial business combination.</w:t>
      </w:r>
    </w:p>
    <w:p>
      <w:pPr>
        <w:spacing w:after="0" w:line="28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62" w:name="page63"/>
    <w:bookmarkEnd w:id="62"/>
    <w:p>
      <w:pPr>
        <w:ind w:right="160"/>
        <w:spacing w:after="0" w:line="282" w:lineRule="auto"/>
        <w:rPr>
          <w:sz w:val="20"/>
          <w:szCs w:val="20"/>
          <w:color w:val="auto"/>
        </w:rPr>
      </w:pPr>
      <w:r>
        <w:rPr>
          <w:rFonts w:ascii="Arial" w:cs="Arial" w:eastAsia="Arial" w:hAnsi="Arial"/>
          <w:sz w:val="18"/>
          <w:szCs w:val="18"/>
          <w:b w:val="1"/>
          <w:bCs w:val="1"/>
          <w:color w:val="auto"/>
        </w:rPr>
        <w:t>We may not hold an annual general meeting until after the consummation of our initial business combination, which could delay the opportunity for our shareholders to appoint directors.</w:t>
      </w:r>
    </w:p>
    <w:p>
      <w:pPr>
        <w:spacing w:after="0" w:line="166"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In accordance with NYSE corporate governance requirements, we are not required to hold an annual general meeting until one year after our first fiscal year end following our listing on the NYSE. There is no requirement under the Companies Act for us to hold annual or extraordinary general meetings to appoint directors. Until we hold an annual general meeting, public shareholders may not be afforded the opportunity to appoint directors and to discuss company affairs with management. Our board of directors is divided into three classes with only one class of directors being appointed in each year and each class (except for those directors appointed prior to our first general meeting) serving a three-year term. In addition, as holders of our Class A ordinary shares, our public shareholders will not have the right to vote on the appointment of directors until after the consummation of our initial business combination.</w:t>
      </w:r>
    </w:p>
    <w:p>
      <w:pPr>
        <w:spacing w:after="0" w:line="191" w:lineRule="exact"/>
        <w:rPr>
          <w:sz w:val="20"/>
          <w:szCs w:val="20"/>
          <w:color w:val="auto"/>
        </w:rPr>
      </w:pPr>
    </w:p>
    <w:p>
      <w:pPr>
        <w:ind w:right="700"/>
        <w:spacing w:after="0" w:line="312" w:lineRule="auto"/>
        <w:rPr>
          <w:sz w:val="20"/>
          <w:szCs w:val="20"/>
          <w:color w:val="auto"/>
        </w:rPr>
      </w:pPr>
      <w:r>
        <w:rPr>
          <w:rFonts w:ascii="Arial" w:cs="Arial" w:eastAsia="Arial" w:hAnsi="Arial"/>
          <w:sz w:val="17"/>
          <w:szCs w:val="17"/>
          <w:b w:val="1"/>
          <w:bCs w:val="1"/>
          <w:color w:val="auto"/>
        </w:rPr>
        <w:t>Provisions in our amended and restated memorandum and articles of association may inhibit a takeover of us, which could limit the price investors might be willing to pay in the future for our Class A ordinary shares and could entrench management.</w:t>
      </w:r>
    </w:p>
    <w:p>
      <w:pPr>
        <w:spacing w:after="0" w:line="144" w:lineRule="exact"/>
        <w:rPr>
          <w:sz w:val="20"/>
          <w:szCs w:val="20"/>
          <w:color w:val="auto"/>
        </w:rPr>
      </w:pPr>
    </w:p>
    <w:p>
      <w:pPr>
        <w:ind w:right="260" w:firstLine="324"/>
        <w:spacing w:after="0" w:line="279" w:lineRule="auto"/>
        <w:rPr>
          <w:sz w:val="20"/>
          <w:szCs w:val="20"/>
          <w:color w:val="auto"/>
        </w:rPr>
      </w:pPr>
      <w:r>
        <w:rPr>
          <w:rFonts w:ascii="Arial" w:cs="Arial" w:eastAsia="Arial" w:hAnsi="Arial"/>
          <w:sz w:val="17"/>
          <w:szCs w:val="17"/>
          <w:color w:val="auto"/>
        </w:rPr>
        <w:t>Our amended and restated memorandum and articles of association contain provisions that may discourage unsolicited takeover proposals that shareholders may consider to be in their best interests. These provisions include a staggered board of directors and the ability of the board of directors to designate the terms of and issue new series of preferred shares, which may make the removal of management more difficult and may discourage transactions that otherwise could involve payment of a premium over prevailing market prices for our securities.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letter agreement with our initial shareholders, sponsor, officers and directors may be amended without shareholder approval.</w:t>
      </w:r>
    </w:p>
    <w:p>
      <w:pPr>
        <w:spacing w:after="0" w:line="229" w:lineRule="exact"/>
        <w:rPr>
          <w:sz w:val="20"/>
          <w:szCs w:val="20"/>
          <w:color w:val="auto"/>
        </w:rPr>
      </w:pPr>
    </w:p>
    <w:p>
      <w:pPr>
        <w:ind w:right="80" w:firstLine="324"/>
        <w:spacing w:after="0" w:line="291" w:lineRule="auto"/>
        <w:rPr>
          <w:sz w:val="20"/>
          <w:szCs w:val="20"/>
          <w:color w:val="auto"/>
        </w:rPr>
      </w:pPr>
      <w:r>
        <w:rPr>
          <w:rFonts w:ascii="Arial" w:cs="Arial" w:eastAsia="Arial" w:hAnsi="Arial"/>
          <w:sz w:val="16"/>
          <w:szCs w:val="16"/>
          <w:color w:val="auto"/>
        </w:rPr>
        <w:t>Our letter agreement with our initial shareholders, sponsor, officers and directors contain provisions relating to transfer restrictions of our founder shares and private placement warrants, indemnification of the trust account, waiver of redemption rights and participation in liquidating distributions from the trust account. The letter agreement may be amended without shareholder approval (although releasing the parties from the restriction not to transfer the founder shares for 180 days following the date of this prospectus will require the prior written consent of the underwriters). While we do not expect our board to approve any amendment to the letter agreement prior to our initial business combination, it may be possible that our board, in exercising its business judgment and subject to its fiduciary duties, chooses to approve one or more amendments to the letter agreement. Any such amendments to the letter agreement would not require approval from our shareholders and may have an adverse effect on the value of an investment in our securities.</w:t>
      </w:r>
    </w:p>
    <w:p>
      <w:pPr>
        <w:spacing w:after="0" w:line="162"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b w:val="1"/>
          <w:bCs w:val="1"/>
          <w:color w:val="auto"/>
        </w:rPr>
        <w:t>You will not have any rights or interests in funds from the trust account, except under certain limited circumstances. Therefore, to liquidate your investment, you may be forced to sell your public shares or warrants, potentially at a loss.</w:t>
      </w:r>
    </w:p>
    <w:p>
      <w:pPr>
        <w:spacing w:after="0" w:line="166" w:lineRule="exact"/>
        <w:rPr>
          <w:sz w:val="20"/>
          <w:szCs w:val="20"/>
          <w:color w:val="auto"/>
        </w:rPr>
      </w:pPr>
    </w:p>
    <w:p>
      <w:pPr>
        <w:ind w:right="40" w:firstLine="324"/>
        <w:spacing w:after="0" w:line="288" w:lineRule="auto"/>
        <w:rPr>
          <w:sz w:val="20"/>
          <w:szCs w:val="20"/>
          <w:color w:val="auto"/>
        </w:rPr>
      </w:pPr>
      <w:r>
        <w:rPr>
          <w:rFonts w:ascii="Arial" w:cs="Arial" w:eastAsia="Arial" w:hAnsi="Arial"/>
          <w:sz w:val="16"/>
          <w:szCs w:val="16"/>
          <w:color w:val="auto"/>
        </w:rPr>
        <w:t>Our public shareholders will be entitled to receive funds from the trust account only upon the earliest to occur of: (i) our completion of an initial business combination, and then only in connection with those Class A ordinary shares that such shareholder properly elected to redeem, subject to the limitations and on the conditions described herein, (ii) the redemption of any public shares properly submitted in connection with a shareholder vote to amend our amended and restated memorandum and articles of association (A) to modify the substance or timing of our obligation to allow redemption in connection with our initial business combination or to redeem 100% of our public shares if we have not consummated an initial business combination within 24 months from the closing of this offering or (B) with respect to any other material provisions relating to shareholders’ rights or pre-initial business combination activity, and (iii) the redemption of our public shares if we have not completed an initial business combination within 24 months from the closing of this offering, subject to applicable law and as further described herein. In no other circumstances will a public shareholder have any right or interest of any kind in the trust account. Holders of warrants will not have any right to the funds held in the trust account with respect to the warrants. Accordingly, to liquidate your investment, you may be forced to sell your public shares or warrants, potentially at a loss.</w:t>
      </w:r>
    </w:p>
    <w:p>
      <w:pPr>
        <w:spacing w:after="0" w:line="27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63" w:name="page64"/>
    <w:bookmarkEnd w:id="63"/>
    <w:p>
      <w:pPr>
        <w:ind w:right="480"/>
        <w:spacing w:after="0" w:line="312" w:lineRule="auto"/>
        <w:rPr>
          <w:sz w:val="20"/>
          <w:szCs w:val="20"/>
          <w:color w:val="auto"/>
        </w:rPr>
      </w:pPr>
      <w:r>
        <w:rPr>
          <w:rFonts w:ascii="Arial" w:cs="Arial" w:eastAsia="Arial" w:hAnsi="Arial"/>
          <w:sz w:val="17"/>
          <w:szCs w:val="17"/>
          <w:b w:val="1"/>
          <w:bCs w:val="1"/>
          <w:color w:val="auto"/>
        </w:rPr>
        <w:t>If a shareholder fails to receive notice of our offer to redeem our public shares in connection with our initial business combination, or fails to comply with the procedures for submitting or tendering its shares, such shares may not be redeemed.</w:t>
      </w:r>
    </w:p>
    <w:p>
      <w:pPr>
        <w:spacing w:after="0" w:line="144"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We will comply with the proxy rules or tender offer rules, as applicable, when conducting redemptions in connection with our initial business combination. Despite our compliance with these rules, if a shareholder fails to receive our proxy materials or tender offer documents, as applicable, such shareholder may not become aware of the opportunity to redeem its shares. In addition, proxy materials or tender offer documents, as applicable, that we will furnish to holders of our public shares in connection with our initial business combination will describe the various procedures that must be complied with in order to validly tender or submit public shares for redemption. For example, we intend to require our public shareholders seeking to exercise their redemption rights, whether they are record holders or hold their shares in “street name,” to, at the holder’s option, either deliver their share certificates to our transfer agent, or to deliver their shares to our transfer agent electronically prior to the date set forth in the proxy materials or tender offer documents, as applicable. In the case of proxy materials, this date may be up to two business days prior to the scheduled vote on the proposal to approve the initial business combination. In addition, if we conduct redemptions in connection with a shareholder vote, we intend to require a public shareholder seeking redemption of its public shares to also submit a written request for redemption to our transfer agent two business days prior to the scheduled vote in which the name of the beneficial owner of such shares is included. In the event that a shareholder fails to comply with these or any other procedures disclosed in the proxy or tender offer materials, as applicable, its shares may not be redeemed. See the section of this prospectus entitled “Proposed Business— Delivering Share Certificates in Connection with the Exercise of Redemption Rights.”</w:t>
      </w:r>
    </w:p>
    <w:p>
      <w:pPr>
        <w:spacing w:after="0" w:line="170" w:lineRule="exact"/>
        <w:rPr>
          <w:sz w:val="20"/>
          <w:szCs w:val="20"/>
          <w:color w:val="auto"/>
        </w:rPr>
      </w:pPr>
    </w:p>
    <w:p>
      <w:pPr>
        <w:jc w:val="both"/>
        <w:ind w:right="160"/>
        <w:spacing w:after="0" w:line="266" w:lineRule="auto"/>
        <w:rPr>
          <w:sz w:val="20"/>
          <w:szCs w:val="20"/>
          <w:color w:val="auto"/>
        </w:rPr>
      </w:pPr>
      <w:r>
        <w:rPr>
          <w:rFonts w:ascii="Arial" w:cs="Arial" w:eastAsia="Arial" w:hAnsi="Arial"/>
          <w:sz w:val="18"/>
          <w:szCs w:val="18"/>
          <w:b w:val="1"/>
          <w:bCs w:val="1"/>
          <w:color w:val="auto"/>
        </w:rPr>
        <w:t>If we seek shareholder approval of our initial business combination and we do not conduct redemptions pursuant to the tender offer rules, and if you or a “group” of shareholders are deemed to hold in excess of 15% of our Class A ordinary shares, you will lose the ability to redeem all such shares in excess of 15% of our Class A ordinary shares.</w:t>
      </w:r>
    </w:p>
    <w:p>
      <w:pPr>
        <w:spacing w:after="0" w:line="180"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If we seek shareholder approval of our initial business combination and we do not conduct redemptions in connection with our initial business combination pursuant to the tender offer rules, our amended and restated memorandum and articles of association provide that a public shareholder, together with any affiliate of such shareholder or any other person with whom such shareholder is acting in concert or as a “group” (as defined under Section 13 of the Exchange Act), will be restricted from seeking redemption rights with respect to more than an aggregate of 15% of the shares sold in this offering, which we refer to as the “Excess Shares,” without our prior consent. However, we would not be restricting our shareholders’ ability to vote all of their shares (including Excess Shares) for or against our initial business combination. Your inability to redeem the Excess Shares will reduce your influence over our ability to complete our initial business combination and you could suffer a material loss on your investment in us if you sell Excess Shares in open market transactions. Additionally, you will not receive redemption distributions with respect to the Excess Shares if we complete our initial business combination. And as a result, you will continue to hold that number of shares exceeding 15% and, in order to dispose of such shares, would be required to sell your shares in open market transactions, potentially at a loss.</w:t>
      </w:r>
    </w:p>
    <w:p>
      <w:pPr>
        <w:spacing w:after="0" w:line="181" w:lineRule="exact"/>
        <w:rPr>
          <w:sz w:val="20"/>
          <w:szCs w:val="20"/>
          <w:color w:val="auto"/>
        </w:rPr>
      </w:pPr>
    </w:p>
    <w:p>
      <w:pPr>
        <w:ind w:right="300"/>
        <w:spacing w:after="0" w:line="282" w:lineRule="auto"/>
        <w:rPr>
          <w:sz w:val="20"/>
          <w:szCs w:val="20"/>
          <w:color w:val="auto"/>
        </w:rPr>
      </w:pPr>
      <w:r>
        <w:rPr>
          <w:rFonts w:ascii="Arial" w:cs="Arial" w:eastAsia="Arial" w:hAnsi="Arial"/>
          <w:sz w:val="18"/>
          <w:szCs w:val="18"/>
          <w:b w:val="1"/>
          <w:bCs w:val="1"/>
          <w:color w:val="auto"/>
        </w:rPr>
        <w:t>If we are unable to consummate our initial business combination within the allotted time period, our public shareholders may be forced to wait beyond such to 24 months before redemption from our trust account.</w:t>
      </w:r>
    </w:p>
    <w:p>
      <w:pPr>
        <w:spacing w:after="0" w:line="166" w:lineRule="exact"/>
        <w:rPr>
          <w:sz w:val="20"/>
          <w:szCs w:val="20"/>
          <w:color w:val="auto"/>
        </w:rPr>
      </w:pPr>
    </w:p>
    <w:p>
      <w:pPr>
        <w:ind w:right="60" w:firstLine="324"/>
        <w:spacing w:after="0" w:line="270" w:lineRule="auto"/>
        <w:rPr>
          <w:sz w:val="20"/>
          <w:szCs w:val="20"/>
          <w:color w:val="auto"/>
        </w:rPr>
      </w:pPr>
      <w:r>
        <w:rPr>
          <w:rFonts w:ascii="Arial" w:cs="Arial" w:eastAsia="Arial" w:hAnsi="Arial"/>
          <w:sz w:val="17"/>
          <w:szCs w:val="17"/>
          <w:color w:val="auto"/>
        </w:rPr>
        <w:t>If we are unable to consummate our initial business combination within the allotted time period, the funds then on deposit in the trust account, including interest earned on the funds held in the trust account (less taxes payable and up to $100,000 of interest income to pay dissolution expenses), will be used to fund the redemption of our public shares, as further described herein. Any redemption of public shareholders from the trust account will be effected automatically by function of our amended and restated memorandum and articles of association prior to any voluntary winding up. If we are required to wind-up, liquidate the trust account and distribute such amount therein, pro rata, to our public shareholders, as part of any liquidation process, such winding up, liquidation and distribution must comply with the applicable provisions of the Companies Act. In that case, investors may be forced to wait beyond the allotted time period before the redemption proceeds of our trust account become available to them, and they receive the return of their pro rata portion of the funds from our trust account. We have no obligation to return funds to investors prior to the date of our redemption or liquidation unless, prior thereto, we consummate our initial</w:t>
      </w:r>
    </w:p>
    <w:p>
      <w:pPr>
        <w:spacing w:after="0" w:line="28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64" w:name="page65"/>
    <w:bookmarkEnd w:id="64"/>
    <w:p>
      <w:pPr>
        <w:ind w:right="40"/>
        <w:spacing w:after="0" w:line="259" w:lineRule="auto"/>
        <w:rPr>
          <w:sz w:val="20"/>
          <w:szCs w:val="20"/>
          <w:color w:val="auto"/>
        </w:rPr>
      </w:pPr>
      <w:r>
        <w:rPr>
          <w:rFonts w:ascii="Arial" w:cs="Arial" w:eastAsia="Arial" w:hAnsi="Arial"/>
          <w:sz w:val="18"/>
          <w:szCs w:val="18"/>
          <w:color w:val="auto"/>
        </w:rPr>
        <w:t>business combination or amend certain provisions of our amended and restated memorandum and articles of association and only then in cases where investors have properly sought to redeem their Class A ordinary shares. Only upon our redemption or any liquidation will public shareholders be entitled to distributions if we are unable to complete our initial business combination within the required time period and do not amend certain provisions of our amended and restated memorandum and articles of association prior thereto.</w:t>
      </w:r>
    </w:p>
    <w:p>
      <w:pPr>
        <w:spacing w:after="0" w:line="183"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b w:val="1"/>
          <w:bCs w:val="1"/>
          <w:color w:val="auto"/>
        </w:rPr>
        <w:t>Our shareholders may be held liable for claims by third parties against us to the extent of distributions received by them upon redemption of their shares.</w:t>
      </w:r>
    </w:p>
    <w:p>
      <w:pPr>
        <w:spacing w:after="0" w:line="166" w:lineRule="exact"/>
        <w:rPr>
          <w:sz w:val="20"/>
          <w:szCs w:val="20"/>
          <w:color w:val="auto"/>
        </w:rPr>
      </w:pPr>
    </w:p>
    <w:p>
      <w:pPr>
        <w:ind w:right="80" w:firstLine="324"/>
        <w:spacing w:after="0" w:line="271" w:lineRule="auto"/>
        <w:rPr>
          <w:sz w:val="20"/>
          <w:szCs w:val="20"/>
          <w:color w:val="auto"/>
        </w:rPr>
      </w:pPr>
      <w:r>
        <w:rPr>
          <w:rFonts w:ascii="Arial" w:cs="Arial" w:eastAsia="Arial" w:hAnsi="Arial"/>
          <w:sz w:val="17"/>
          <w:szCs w:val="17"/>
          <w:color w:val="auto"/>
        </w:rPr>
        <w:t>If we are forced to enter into an insolvent liquidation, any distributions received by shareholders could be viewed as an unlawful payment if it was proved that immediately following the date on which the distribution was made, we were unable to pay our debts as they fall due in the ordinary course of business. As a result, a liquidator could seek to recover some or all amounts received by our shareholders. Furthermore, our directors may be viewed as having breached their fiduciary duties to us or our creditors and/or may have acted in bad faith, thereby exposing themselves and our company to claims, by paying public shareholders from the trust account prior to addressing the claims of creditors. We cannot assure you that claims will not be brought against us for these reasons. We and our directors and officers who knowingly and willfully authorized or permitted any distribution to be paid out of our share premium account while we were unable to pay our debts as they fall due in the ordinary course of business would be guilty of an offence and may be liable to a fine of $18,293 and to imprisonment for five years in the Cayman Islands.</w:t>
      </w:r>
    </w:p>
    <w:p>
      <w:pPr>
        <w:spacing w:after="0" w:line="174"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b w:val="1"/>
          <w:bCs w:val="1"/>
          <w:color w:val="auto"/>
        </w:rPr>
        <w:t>You will not be permitted to exercise your warrants unless we register and qualify the underlying Class A ordinary shares or certain exemptions are available.</w:t>
      </w:r>
    </w:p>
    <w:p>
      <w:pPr>
        <w:spacing w:after="0" w:line="166"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If the issuance of the Class A ordinary shares upon exercise of the warrants is not registered, qualified or exempt from registration or qualification under the Securities Act and applicable state securities laws, holders of warrants will not be entitled to exercise such warrants and such warrants may have no value and expire worthless. In such event, holders who acquired their warrants as part of a purchase of units will have paid the full unit purchase price solely for the Class A ordinary shares included in the units.</w:t>
      </w:r>
    </w:p>
    <w:p>
      <w:pPr>
        <w:spacing w:after="0" w:line="187"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We are not registering the Class A ordinary shares issuable upon exercise of the warrants under the Securities Act or any state securities laws at this time. However, under the terms of the warrant agreement, we have agreed that, as soon as practicable, but in no event later than 15 business days, after the closing of our initial business combination, we will use our commercially reasonable efforts to file with the SEC a registration statement covering the registration under the Securities Act of the issuance of the Class A ordinary shares issuable upon exercise of the warrants and thereafter will use our commercially reasonable efforts to cause the same to become effective within 60 business days following our initial business combination and to maintain a current prospectus relating to the Class A ordinary shares issuable upon exercise of the warrants until the expiration or redemption of the warrants in accordance with the provisions of the warrant agreement. We cannot assure you that we will be able to do so if, for example, any facts or events arise which represent a fundamental change in the information set forth in the registration statement or prospectus, the financial statements contained or incorporated by reference therein are not current, complete or correct or the SEC issues a stop order.</w:t>
      </w:r>
    </w:p>
    <w:p>
      <w:pPr>
        <w:spacing w:after="0" w:line="181" w:lineRule="exact"/>
        <w:rPr>
          <w:sz w:val="20"/>
          <w:szCs w:val="20"/>
          <w:color w:val="auto"/>
        </w:rPr>
      </w:pPr>
    </w:p>
    <w:p>
      <w:pPr>
        <w:ind w:right="440" w:firstLine="324"/>
        <w:spacing w:after="0" w:line="301" w:lineRule="auto"/>
        <w:rPr>
          <w:sz w:val="20"/>
          <w:szCs w:val="20"/>
          <w:color w:val="auto"/>
        </w:rPr>
      </w:pPr>
      <w:r>
        <w:rPr>
          <w:rFonts w:ascii="Arial" w:cs="Arial" w:eastAsia="Arial" w:hAnsi="Arial"/>
          <w:sz w:val="16"/>
          <w:szCs w:val="16"/>
          <w:color w:val="auto"/>
        </w:rPr>
        <w:t>If the Class A ordinary shares issuable upon exercise of the warrants are not registered under the Securities Act, under the terms of the warrant agreement, holders of warrants who seek to exercise their warrants will not be permitted to do so for cash and, instead, will be required to do so on a cashless basis, in which case the number of Class A ordinary shares that the holders of warrants will receive upon cashless exercise will be based on a formula subject to a maximum number of shares equal to 0.361 Class A ordinary shares per warrant (subject to adjustment).</w:t>
      </w:r>
    </w:p>
    <w:p>
      <w:pPr>
        <w:spacing w:after="0" w:line="157" w:lineRule="exact"/>
        <w:rPr>
          <w:sz w:val="20"/>
          <w:szCs w:val="20"/>
          <w:color w:val="auto"/>
        </w:rPr>
      </w:pPr>
    </w:p>
    <w:p>
      <w:pPr>
        <w:jc w:val="both"/>
        <w:ind w:right="140" w:firstLine="324"/>
        <w:spacing w:after="0" w:line="263" w:lineRule="auto"/>
        <w:rPr>
          <w:sz w:val="20"/>
          <w:szCs w:val="20"/>
          <w:color w:val="auto"/>
        </w:rPr>
      </w:pPr>
      <w:r>
        <w:rPr>
          <w:rFonts w:ascii="Arial" w:cs="Arial" w:eastAsia="Arial" w:hAnsi="Arial"/>
          <w:sz w:val="18"/>
          <w:szCs w:val="18"/>
          <w:color w:val="auto"/>
        </w:rPr>
        <w:t>In no event will warrants be exercisable for cash or on a cashless basis, and we will not be obligated to issue any shares to holders seeking to exercise their warrants, unless the issuance of the shares upon such exercise is registered or qualified under the securities laws of the state of the exercising holder, or an exemption from registration or qualification is available.</w:t>
      </w:r>
    </w:p>
    <w:p>
      <w:pPr>
        <w:spacing w:after="0" w:line="184" w:lineRule="exact"/>
        <w:rPr>
          <w:sz w:val="20"/>
          <w:szCs w:val="20"/>
          <w:color w:val="auto"/>
        </w:rPr>
      </w:pPr>
    </w:p>
    <w:p>
      <w:pPr>
        <w:ind w:right="160" w:firstLine="324"/>
        <w:spacing w:after="0" w:line="311" w:lineRule="auto"/>
        <w:rPr>
          <w:sz w:val="20"/>
          <w:szCs w:val="20"/>
          <w:color w:val="auto"/>
        </w:rPr>
      </w:pPr>
      <w:r>
        <w:rPr>
          <w:rFonts w:ascii="Arial" w:cs="Arial" w:eastAsia="Arial" w:hAnsi="Arial"/>
          <w:sz w:val="16"/>
          <w:szCs w:val="16"/>
          <w:color w:val="auto"/>
        </w:rPr>
        <w:t>If our Class A ordinary shares are at the time of any exercise of a warrant not listed on a national securities exchange such that they satisfy the definition of a “covered security” under Section 18(b)(1) of the Securities Act, we may, at our option, not permit holders of warrants who seek to exercise their warrants to do so for cash and, instead, require them to do so on a cashless basis in accordance with Section 3(a)(9) of the Securities Act; in the</w:t>
      </w:r>
    </w:p>
    <w:p>
      <w:pPr>
        <w:spacing w:after="0" w:line="25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65" w:name="page66"/>
    <w:bookmarkEnd w:id="65"/>
    <w:p>
      <w:pPr>
        <w:ind w:right="20"/>
        <w:spacing w:after="0" w:line="263" w:lineRule="auto"/>
        <w:rPr>
          <w:sz w:val="20"/>
          <w:szCs w:val="20"/>
          <w:color w:val="auto"/>
        </w:rPr>
      </w:pPr>
      <w:r>
        <w:rPr>
          <w:rFonts w:ascii="Arial" w:cs="Arial" w:eastAsia="Arial" w:hAnsi="Arial"/>
          <w:sz w:val="18"/>
          <w:szCs w:val="18"/>
          <w:color w:val="auto"/>
        </w:rPr>
        <w:t>event we so elect, we will not be required to file or maintain in effect a registration statement or register or qualify the shares underlying the warrants under applicable state securities laws, and in the event we do not so elect, we will use our commercially reasonable efforts to register or qualify the shares underlying the warrants under applicable state securities laws to the extent an exemption is not available.</w:t>
      </w:r>
    </w:p>
    <w:p>
      <w:pPr>
        <w:spacing w:after="0" w:line="184" w:lineRule="exact"/>
        <w:rPr>
          <w:sz w:val="20"/>
          <w:szCs w:val="20"/>
          <w:color w:val="auto"/>
        </w:rPr>
      </w:pPr>
    </w:p>
    <w:p>
      <w:pPr>
        <w:ind w:right="60" w:firstLine="324"/>
        <w:spacing w:after="0" w:line="263" w:lineRule="auto"/>
        <w:rPr>
          <w:sz w:val="20"/>
          <w:szCs w:val="20"/>
          <w:color w:val="auto"/>
        </w:rPr>
      </w:pPr>
      <w:r>
        <w:rPr>
          <w:rFonts w:ascii="Arial" w:cs="Arial" w:eastAsia="Arial" w:hAnsi="Arial"/>
          <w:sz w:val="18"/>
          <w:szCs w:val="18"/>
          <w:color w:val="auto"/>
        </w:rPr>
        <w:t>In no event will we be required to net cash settle any warrant, or issue securities (other than upon a cashless exercise as described above) or other compensation in exchange for the warrants in the event that we are unable to register or qualify the shares underlying the warrants under the Securities Act or applicable state securities laws.</w:t>
      </w:r>
    </w:p>
    <w:p>
      <w:pPr>
        <w:spacing w:after="0" w:line="180" w:lineRule="exact"/>
        <w:rPr>
          <w:sz w:val="20"/>
          <w:szCs w:val="20"/>
          <w:color w:val="auto"/>
        </w:rPr>
      </w:pPr>
    </w:p>
    <w:p>
      <w:pPr>
        <w:ind w:right="120"/>
        <w:spacing w:after="0" w:line="347" w:lineRule="auto"/>
        <w:rPr>
          <w:sz w:val="20"/>
          <w:szCs w:val="20"/>
          <w:color w:val="auto"/>
        </w:rPr>
      </w:pPr>
      <w:r>
        <w:rPr>
          <w:rFonts w:ascii="Arial" w:cs="Arial" w:eastAsia="Arial" w:hAnsi="Arial"/>
          <w:sz w:val="16"/>
          <w:szCs w:val="16"/>
          <w:b w:val="1"/>
          <w:bCs w:val="1"/>
          <w:color w:val="auto"/>
        </w:rPr>
        <w:t>The grant of registration rights to our initial shareholders and holders of our private placement warrants may make it more difficult to complete our initial business combination, and the future exercise of such rights may adversely affect the market price of our Class A ordinary shares.</w:t>
      </w:r>
    </w:p>
    <w:p>
      <w:pPr>
        <w:spacing w:after="0" w:line="120"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Pursuant to an agreement to be entered into on or prior to the closing of this offering, our initial shareholders and their permitted transferees can demand that we register the resale of the Class A ordinary shares into which founder shares are convertible, holders of our private placement warrants and their permitted transferees can demand that we register the resale of the private placement warrants and the Class A ordinary shares issuable upon exercise of the private placement warrants, and holders of warrants that may be issued upon conversion of working capital loans may demand that we register the resale of such warrants or the Class A ordinary shares issuable upon exercise of such warrants. We will bear the cost of registering these securities. The registration and availability of such a significant number of securities for trading in the public market may have an adverse effect on the market price of our Class A ordinary shares. In addition, the existence of the registration rights may make our initial business combination more costly or difficult to conclude. This is because the shareholders of the target business may increase the equity stake they seek in the combined entity or ask for more cash consideration to offset the negative impact on the market price of our Class A ordinary shares that is expected when the ordinary shares owned by our initial shareholders, holders of our private placement warrants or holders of our working capital loans or their respective permitted transferees are registered for resale.</w:t>
      </w:r>
    </w:p>
    <w:p>
      <w:pPr>
        <w:spacing w:after="0" w:line="164" w:lineRule="exact"/>
        <w:rPr>
          <w:sz w:val="20"/>
          <w:szCs w:val="20"/>
          <w:color w:val="auto"/>
        </w:rPr>
      </w:pPr>
    </w:p>
    <w:p>
      <w:pPr>
        <w:ind w:right="40"/>
        <w:spacing w:after="0" w:line="314" w:lineRule="auto"/>
        <w:rPr>
          <w:sz w:val="20"/>
          <w:szCs w:val="20"/>
          <w:color w:val="auto"/>
        </w:rPr>
      </w:pPr>
      <w:r>
        <w:rPr>
          <w:rFonts w:ascii="Arial" w:cs="Arial" w:eastAsia="Arial" w:hAnsi="Arial"/>
          <w:sz w:val="16"/>
          <w:szCs w:val="16"/>
          <w:b w:val="1"/>
          <w:bCs w:val="1"/>
          <w:color w:val="auto"/>
        </w:rPr>
        <w:t>We may amend the terms of the warrants in a manner that may be adverse to holders of public warrants with the approval by the holders of at least 65% of the then outstanding public warrants. As a result, the exercise price of your warrants could be increased, the exercise period could be shortened and the number of Class A ordinary shares purchasable upon exercise of a warrant could be decreased, all without your approval.</w:t>
      </w:r>
    </w:p>
    <w:p>
      <w:pPr>
        <w:spacing w:after="0" w:line="146"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Our warrants will be issued in registered form under a warrant agreement between Continental Stock Transfer &amp; Trust Company, as warrant agent, and us. The warrant agreement provides that the terms of the warrants may be amended without the consent of any holder to cure any ambiguity or correct any defective provision, but requires the approval by the holders of at least 65% of the then outstanding public warrants to make any change that adversely affects the interests of the registered holders of public warrants. Accordingly, we may amend the terms of the public warrants in a manner adverse to a holder of public warrants if holders of at least 65% of the then outstanding public</w:t>
      </w:r>
    </w:p>
    <w:p>
      <w:pPr>
        <w:spacing w:after="0" w:line="29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66" w:name="page67"/>
    <w:bookmarkEnd w:id="66"/>
    <w:p>
      <w:pPr>
        <w:ind w:right="40"/>
        <w:spacing w:after="0" w:line="259" w:lineRule="auto"/>
        <w:rPr>
          <w:sz w:val="20"/>
          <w:szCs w:val="20"/>
          <w:color w:val="auto"/>
        </w:rPr>
      </w:pPr>
      <w:r>
        <w:rPr>
          <w:rFonts w:ascii="Arial" w:cs="Arial" w:eastAsia="Arial" w:hAnsi="Arial"/>
          <w:sz w:val="18"/>
          <w:szCs w:val="18"/>
          <w:color w:val="auto"/>
        </w:rPr>
        <w:t>warrants approve of such amendment. Although our ability to amend the terms of the public warrants with the consent of at least 65% of the then outstanding public warrants is unlimited, examples of such amendments could be amendments to, among other things, increase the exercise price of the warrants, convert the warrants into cash or shares, shorten the exercise period or decrease the number of Class A ordinary shares purchasable upon exercise of a warrant.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provision of our warrant agreement may make it more difficult for us to consummate an initial business combination.</w:t>
      </w:r>
    </w:p>
    <w:p>
      <w:pPr>
        <w:spacing w:after="0" w:line="229" w:lineRule="exact"/>
        <w:rPr>
          <w:sz w:val="20"/>
          <w:szCs w:val="20"/>
          <w:color w:val="auto"/>
        </w:rPr>
      </w:pPr>
    </w:p>
    <w:p>
      <w:pPr>
        <w:ind w:right="160" w:firstLine="324"/>
        <w:spacing w:after="0" w:line="272" w:lineRule="auto"/>
        <w:rPr>
          <w:sz w:val="20"/>
          <w:szCs w:val="20"/>
          <w:color w:val="auto"/>
        </w:rPr>
      </w:pPr>
      <w:r>
        <w:rPr>
          <w:rFonts w:ascii="Arial" w:cs="Arial" w:eastAsia="Arial" w:hAnsi="Arial"/>
          <w:sz w:val="17"/>
          <w:szCs w:val="17"/>
          <w:color w:val="auto"/>
        </w:rPr>
        <w:t>If (i) we issue additional ordinary shares or equity-linked securities for capital raising purposes in connection with the closing of our initial business combination at a Newly Issued Price of less than $9.20 per Class A ordinary share, (ii) the aggregate gross proceeds from such issuances represent more than 60% of the total equity proceeds, and interest thereon, available for the funding of our initial business combination (net of redemptions), and (iii) the Market Value of our Class A ordinary shares is below $9.20 per share, then the exercise price of the warrants will be adjusted (to the nearest cent) to be equal to 115% of the higher of the Market Value and the Newly Issued Price, and the $10.00 and $18.00 per share redemption trigger prices will be adjusted (to the nearest cent) to be equal to 100% and 180% of the higher of the Market Value and the Newly Issued Price, respectively. This may make it more difficult for us to consummate an initial business combination with a target business.</w:t>
      </w:r>
    </w:p>
    <w:p>
      <w:pPr>
        <w:spacing w:after="0" w:line="173" w:lineRule="exact"/>
        <w:rPr>
          <w:sz w:val="20"/>
          <w:szCs w:val="20"/>
          <w:color w:val="auto"/>
        </w:rPr>
      </w:pPr>
    </w:p>
    <w:p>
      <w:pPr>
        <w:ind w:right="800"/>
        <w:spacing w:after="0" w:line="282" w:lineRule="auto"/>
        <w:rPr>
          <w:sz w:val="20"/>
          <w:szCs w:val="20"/>
          <w:color w:val="auto"/>
        </w:rPr>
      </w:pPr>
      <w:r>
        <w:rPr>
          <w:rFonts w:ascii="Arial" w:cs="Arial" w:eastAsia="Arial" w:hAnsi="Arial"/>
          <w:sz w:val="18"/>
          <w:szCs w:val="18"/>
          <w:b w:val="1"/>
          <w:bCs w:val="1"/>
          <w:color w:val="auto"/>
        </w:rPr>
        <w:t>We may redeem your unexpired warrants prior to their exercise at a time that is disadvantageous to you, thereby making your warrants worthless.</w:t>
      </w:r>
    </w:p>
    <w:p>
      <w:pPr>
        <w:spacing w:after="0" w:line="166"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We have the ability to redeem the outstanding warrants at any time after they become exercisable and prior to their expiration, at a price of $0.01 per warrant, if, among other things, the Reference Value equals or exceeds $18.00 per share (as adjusted). Please see “Description of Securities—Warrants— Public Shareholders’ Warrants—Redemption of Warrants When the Price per Class A Ordinary Share Equals or Exceeds $18.00.” If and when the warrants become redeemable by us, we may exercise our redemption right even if we are unable to register or qualify the underlying securities for sale under all applicable state securities laws. Redemption of the outstanding warrants as described above could force you to (i) exercise your warrants and pay the exercise price therefor at a time when it may be disadvantageous for you to do so, (ii) sell your warrants at the then-current market price when you might otherwise wish to hold your warrants or (iii) accept the nominal redemption price which, at the time the outstanding warrants are called for redemption, we expect would be substantially less than the Market Value of your warrants. None of the private placement warrants will be redeemable by us so long as they are held by our sponsors or their permitted transferees.</w:t>
      </w:r>
    </w:p>
    <w:p>
      <w:pPr>
        <w:spacing w:after="0" w:line="181"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In addition, we have the ability to redeem the outstanding warrants at any time after they become exercisable and prior to their expiration, at a price of $0.10 per warrant if, among other things, the Reference Value equals or exceeds $10.00 per share (as adjusted). In such a case, the holders will be able to exercise their warrants prior to redemption for a number of our Class A ordinary shares determined based on the redemption date and the fair market value of our Class A ordinary shares. Please see “Description of Securities—Warrants—Public Shareholders’ Warrants—Redemption of Warrants When the Price per Class A Ordinary Share Equals or Exceeds $10.00”. The value received upon exercise of the warrants (1) may be less than the value the holders would have received if they had exercised their warrants at a later time where the underlying share price is higher and (2) may not compensate the holders for the value of the warrants, including because the number of ordinary shares received is capped at 0.361 of our Class A ordinary shares per warrant (subject to adjustment) irrespective of the remaining life of the warrants.</w:t>
      </w:r>
    </w:p>
    <w:p>
      <w:pPr>
        <w:spacing w:after="0" w:line="174" w:lineRule="exact"/>
        <w:rPr>
          <w:sz w:val="20"/>
          <w:szCs w:val="20"/>
          <w:color w:val="auto"/>
        </w:rPr>
      </w:pPr>
    </w:p>
    <w:p>
      <w:pPr>
        <w:ind w:right="240"/>
        <w:spacing w:after="0" w:line="282" w:lineRule="auto"/>
        <w:rPr>
          <w:sz w:val="20"/>
          <w:szCs w:val="20"/>
          <w:color w:val="auto"/>
        </w:rPr>
      </w:pPr>
      <w:r>
        <w:rPr>
          <w:rFonts w:ascii="Arial" w:cs="Arial" w:eastAsia="Arial" w:hAnsi="Arial"/>
          <w:sz w:val="18"/>
          <w:szCs w:val="18"/>
          <w:b w:val="1"/>
          <w:bCs w:val="1"/>
          <w:color w:val="auto"/>
        </w:rPr>
        <w:t>Our warrants may have an adverse effect on the market price of our Class A ordinary shares and make it more difficult to effectuate our initial business combination.</w:t>
      </w:r>
    </w:p>
    <w:p>
      <w:pPr>
        <w:spacing w:after="0" w:line="166" w:lineRule="exact"/>
        <w:rPr>
          <w:sz w:val="20"/>
          <w:szCs w:val="20"/>
          <w:color w:val="auto"/>
        </w:rPr>
      </w:pPr>
    </w:p>
    <w:p>
      <w:pPr>
        <w:ind w:right="20" w:firstLine="324"/>
        <w:spacing w:after="0" w:line="293" w:lineRule="auto"/>
        <w:rPr>
          <w:sz w:val="20"/>
          <w:szCs w:val="20"/>
          <w:color w:val="auto"/>
        </w:rPr>
      </w:pPr>
      <w:r>
        <w:rPr>
          <w:rFonts w:ascii="Arial" w:cs="Arial" w:eastAsia="Arial" w:hAnsi="Arial"/>
          <w:sz w:val="16"/>
          <w:szCs w:val="16"/>
          <w:color w:val="auto"/>
        </w:rPr>
        <w:t>We will be issuing warrants to purchase 6,250,000 of our Class A ordinary shares (or up to 7,187,500 Class A ordinary shares if the underwriters’ over-allotment option is exercised in full) as part of the units offered by this prospectus and, simultaneously with the closing of this offering, we will be issuing in a private placement an aggregate of 5,000,000 private placement warrants (or 5,500,000 private placement warrants if the underwriters’ over-allotment option is exercised in full), at $1.50 per warrant. In addition, if the sponsor makes any working capital loans, it may convert those loans into up to an additional 1,333,333 private placement warrants, at the price of $1.50 per warrant. To the extent we issue ordinary shares to effectuate a business transaction, the potential for the issuance of a substantial number of additional Class A ordinary shares upon exercise of these warrants could make</w:t>
      </w:r>
    </w:p>
    <w:p>
      <w:pPr>
        <w:spacing w:after="0" w:line="27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67" w:name="page68"/>
    <w:bookmarkEnd w:id="67"/>
    <w:p>
      <w:pPr>
        <w:ind w:right="100"/>
        <w:spacing w:after="0" w:line="263" w:lineRule="auto"/>
        <w:rPr>
          <w:sz w:val="20"/>
          <w:szCs w:val="20"/>
          <w:color w:val="auto"/>
        </w:rPr>
      </w:pPr>
      <w:r>
        <w:rPr>
          <w:rFonts w:ascii="Arial" w:cs="Arial" w:eastAsia="Arial" w:hAnsi="Arial"/>
          <w:sz w:val="18"/>
          <w:szCs w:val="18"/>
          <w:color w:val="auto"/>
        </w:rPr>
        <w:t>us a less attractive acquisition vehicle to a target business. Such warrants, when exercised, will increase the number of issued and outstanding Class A ordinary shares and reduce the value of the Class A ordinary shares issued to complete the business transaction. Therefore, our warrants may make it more difficult to effectuate a business transaction or increase the cost of acquiring the target business.</w:t>
      </w:r>
    </w:p>
    <w:p>
      <w:pPr>
        <w:spacing w:after="0" w:line="180" w:lineRule="exact"/>
        <w:rPr>
          <w:sz w:val="20"/>
          <w:szCs w:val="20"/>
          <w:color w:val="auto"/>
        </w:rPr>
      </w:pPr>
    </w:p>
    <w:p>
      <w:pPr>
        <w:ind w:right="260"/>
        <w:spacing w:after="0" w:line="282" w:lineRule="auto"/>
        <w:rPr>
          <w:sz w:val="20"/>
          <w:szCs w:val="20"/>
          <w:color w:val="auto"/>
        </w:rPr>
      </w:pPr>
      <w:r>
        <w:rPr>
          <w:rFonts w:ascii="Arial" w:cs="Arial" w:eastAsia="Arial" w:hAnsi="Arial"/>
          <w:sz w:val="18"/>
          <w:szCs w:val="18"/>
          <w:b w:val="1"/>
          <w:bCs w:val="1"/>
          <w:color w:val="auto"/>
        </w:rPr>
        <w:t>Because each unit contains one-fourth of one redeemable warrant and only a whole warrant may be exercised, the units may be worth less than units of other special purpose acquisition companies.</w:t>
      </w:r>
    </w:p>
    <w:p>
      <w:pPr>
        <w:spacing w:after="0" w:line="166" w:lineRule="exact"/>
        <w:rPr>
          <w:sz w:val="20"/>
          <w:szCs w:val="20"/>
          <w:color w:val="auto"/>
        </w:rPr>
      </w:pPr>
    </w:p>
    <w:p>
      <w:pPr>
        <w:ind w:right="60" w:firstLine="324"/>
        <w:spacing w:after="0" w:line="271" w:lineRule="auto"/>
        <w:rPr>
          <w:sz w:val="20"/>
          <w:szCs w:val="20"/>
          <w:color w:val="auto"/>
        </w:rPr>
      </w:pPr>
      <w:r>
        <w:rPr>
          <w:rFonts w:ascii="Arial" w:cs="Arial" w:eastAsia="Arial" w:hAnsi="Arial"/>
          <w:sz w:val="17"/>
          <w:szCs w:val="17"/>
          <w:color w:val="auto"/>
        </w:rPr>
        <w:t>Each unit contains one-fourth of one redeemable warrant. Pursuant to the warrant agreement, no fractional warrants will be issued upon separation of the units, and only whole warrants will trade. If, upon exercise of the warrants, a holder would be entitled to receive a fractional interest in a share, we will, upon exercise, round down to the nearest whole number the number of Class A ordinary shares to be issued to the warrant holder. This is different from other offerings similar to ours whose units include one ordinary share and one whole warrant to purchase one whole share. We have established the components of the units in this way in order to reduce the dilutive effect of the warrants upon completion of a business combination since the warrants will be exercisable in the aggregate for one-fourth of the number of shares compared to units that each contain a whole warrant to purchase one share, thus making us, we believe, a more attractive business combination partner for target businesses. Nevertheless, this unit structure may cause our units to be worth less than if it included a warrant to purchase one whole share.</w:t>
      </w:r>
    </w:p>
    <w:p>
      <w:pPr>
        <w:spacing w:after="0" w:line="174" w:lineRule="exact"/>
        <w:rPr>
          <w:sz w:val="20"/>
          <w:szCs w:val="20"/>
          <w:color w:val="auto"/>
        </w:rPr>
      </w:pPr>
    </w:p>
    <w:p>
      <w:pPr>
        <w:ind w:right="260"/>
        <w:spacing w:after="0" w:line="314" w:lineRule="auto"/>
        <w:rPr>
          <w:sz w:val="20"/>
          <w:szCs w:val="20"/>
          <w:color w:val="auto"/>
        </w:rPr>
      </w:pPr>
      <w:r>
        <w:rPr>
          <w:rFonts w:ascii="Arial" w:cs="Arial" w:eastAsia="Arial" w:hAnsi="Arial"/>
          <w:sz w:val="16"/>
          <w:szCs w:val="16"/>
          <w:b w:val="1"/>
          <w:bCs w:val="1"/>
          <w:color w:val="auto"/>
        </w:rPr>
        <w:t>We are an emerging growth company and a smaller reporting company within the meaning of the Securities Act, and if we take advantage of certain exemptions from disclosure requirements available to emerging growth companies or smaller reporting companies, this could make our securities less attractive to investors and may make it more difficult to compare our performance with other public companies.</w:t>
      </w:r>
    </w:p>
    <w:p>
      <w:pPr>
        <w:spacing w:after="0" w:line="146"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We are an “emerging growth company” within the meaning of the Securities Act, as modified by the JOBS Act, and we may take advantage of certain exemptions from various reporting requirements that are applicable to other public companies that are not emerging growth companies, including, but not limited to, not being required to comply with the auditor internal controls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shareholder approval of any golden parachute payments not previously approved. As a result, our shareholders may not have access to certain information they may deem important. We could be an emerging growth company for up to five years, although circumstances could cause us to lose that status earlier, including if the market value of our Class A ordinary shares held by non-affiliates exceeds $700 million as of any June 30 before that time, in which case we would no longer be an emerging growth company as of the following December 31. We cannot predict whether investors will find our securities less attractive as a result of our reliance on these exemptions. If some investors find our securities less attractive as a result of our reliance on these exemptions, the trading prices of our securities may be lower than they otherwise would be, there may be a less active trading market for our securities and the trading prices of our securities may be more volatile.</w:t>
      </w:r>
    </w:p>
    <w:p>
      <w:pPr>
        <w:spacing w:after="0" w:line="172" w:lineRule="exact"/>
        <w:rPr>
          <w:sz w:val="20"/>
          <w:szCs w:val="20"/>
          <w:color w:val="auto"/>
        </w:rPr>
      </w:pPr>
    </w:p>
    <w:p>
      <w:pPr>
        <w:ind w:right="80" w:firstLine="324"/>
        <w:spacing w:after="0" w:line="289" w:lineRule="auto"/>
        <w:rPr>
          <w:sz w:val="20"/>
          <w:szCs w:val="20"/>
          <w:color w:val="auto"/>
        </w:rPr>
      </w:pPr>
      <w:r>
        <w:rPr>
          <w:rFonts w:ascii="Arial" w:cs="Arial" w:eastAsia="Arial" w:hAnsi="Arial"/>
          <w:sz w:val="16"/>
          <w:szCs w:val="16"/>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an election to opt out is irrevocable.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another public company which is neither an emerging growth company nor an emerging growth company that has opted out of using the extended transition period difficult or impossible because of the potential differences in accounting standards used.</w:t>
      </w:r>
    </w:p>
    <w:p>
      <w:pPr>
        <w:spacing w:after="0" w:line="166"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color w:val="auto"/>
        </w:rPr>
        <w:t>Additionally, we are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any fiscal year for so long as either (1) the market value of our ordinary shares held by non-affiliates did not exceed $250 million as of the prior June 30, or (2) our annual revenues did not exceed $100 million during such</w:t>
      </w:r>
    </w:p>
    <w:p>
      <w:pPr>
        <w:spacing w:after="0" w:line="27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68" w:name="page69"/>
    <w:bookmarkEnd w:id="68"/>
    <w:p>
      <w:pPr>
        <w:ind w:right="40"/>
        <w:spacing w:after="0" w:line="263" w:lineRule="auto"/>
        <w:rPr>
          <w:sz w:val="20"/>
          <w:szCs w:val="20"/>
          <w:color w:val="auto"/>
        </w:rPr>
      </w:pPr>
      <w:r>
        <w:rPr>
          <w:rFonts w:ascii="Arial" w:cs="Arial" w:eastAsia="Arial" w:hAnsi="Arial"/>
          <w:sz w:val="18"/>
          <w:szCs w:val="18"/>
          <w:color w:val="auto"/>
        </w:rPr>
        <w:t>completed fiscal year and the market value of our ordinary shares held by non-affiliates did not exceed $700 million as of the prior June 30. To the extent we take advantage of such reduced disclosure obligations, it may also make comparison of our financial statements with other public companies difficult or impossible.</w:t>
      </w:r>
    </w:p>
    <w:p>
      <w:pPr>
        <w:spacing w:after="0" w:line="180" w:lineRule="exact"/>
        <w:rPr>
          <w:sz w:val="20"/>
          <w:szCs w:val="20"/>
          <w:color w:val="auto"/>
        </w:rPr>
      </w:pPr>
    </w:p>
    <w:p>
      <w:pPr>
        <w:jc w:val="both"/>
        <w:ind w:right="300"/>
        <w:spacing w:after="0" w:line="289" w:lineRule="auto"/>
        <w:rPr>
          <w:sz w:val="20"/>
          <w:szCs w:val="20"/>
          <w:color w:val="auto"/>
        </w:rPr>
      </w:pPr>
      <w:r>
        <w:rPr>
          <w:rFonts w:ascii="Arial" w:cs="Arial" w:eastAsia="Arial" w:hAnsi="Arial"/>
          <w:sz w:val="17"/>
          <w:szCs w:val="17"/>
          <w:b w:val="1"/>
          <w:bCs w:val="1"/>
          <w:color w:val="auto"/>
        </w:rPr>
        <w:t>Our warrant agreement will designate the courts of the State of New York or the United States District Court for the Southern District of New York as the sole and exclusive forum for certain types of actions and proceedings that may be initiated by holders of our warrants, which could limit the ability of warrant holders to obtain a favorable judicial forum for disputes with our company.</w:t>
      </w:r>
    </w:p>
    <w:p>
      <w:pPr>
        <w:spacing w:after="0" w:line="162" w:lineRule="exact"/>
        <w:rPr>
          <w:sz w:val="20"/>
          <w:szCs w:val="20"/>
          <w:color w:val="auto"/>
        </w:rPr>
      </w:pPr>
    </w:p>
    <w:p>
      <w:pPr>
        <w:ind w:right="180" w:firstLine="324"/>
        <w:spacing w:after="0" w:line="257" w:lineRule="auto"/>
        <w:rPr>
          <w:sz w:val="20"/>
          <w:szCs w:val="20"/>
          <w:color w:val="auto"/>
        </w:rPr>
      </w:pPr>
      <w:r>
        <w:rPr>
          <w:rFonts w:ascii="Arial" w:cs="Arial" w:eastAsia="Arial" w:hAnsi="Arial"/>
          <w:sz w:val="18"/>
          <w:szCs w:val="18"/>
          <w:color w:val="auto"/>
        </w:rPr>
        <w:t>Our warrant agreement will provide that, subject to applicable law, (i) any action, proceeding or claim against us arising out of or relating in any way to the warrant agreement, including under the Securities Act, will be brought and enforced in the courts of the State of New York or the United States District Court for the Southern District of New York, and (ii) that we irrevocably submit to such jurisdiction, which jurisdiction shall be the exclusive forum for any such action, proceeding or claim. We will waive any objection to such exclusive jurisdiction and that such courts represent an inconvenient forum.</w:t>
      </w:r>
    </w:p>
    <w:p>
      <w:pPr>
        <w:spacing w:after="0" w:line="188"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Notwithstanding the foregoing, these provisions of the warrant agreement will not apply to suits brought to enforce any liability or duty created by the Exchange Act or any other claim for which the federal district courts of the United States of America are the sole and exclusive forum. Any person or entity purchasing or otherwise acquiring any interest in any of our warrants shall be deemed to have notice of and to have consented to the forum provisions in our warrant agreement. If any action, the subject matter of which is within the scope of the forum provisions of our warrant agreement, is filed in a court other than a court of the State of New York or the United States District Court for the Southern District of New York (a “foreign action”) in the name of any holder of our warrants, such holder shall be deemed to have consented to: (x) the personal jurisdiction of the state and federal courts located in the State of New York in connection with any action brought in any such court to enforce the forum provisions (an “enforcement action”), and (y) having service of process made upon such warrant holder in any such enforcement action by service upon such warrant holder’s counsel in the foreign action as agent for such warrant holder.</w:t>
      </w:r>
    </w:p>
    <w:p>
      <w:pPr>
        <w:spacing w:after="0" w:line="196"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This choice-of-forum provision may limit a warrant holder’s ability to bring a claim in a judicial forum that it finds favorable for disputes with our company, which may discourage such lawsuits. Alternatively, if a court were to find this provision of our warrant agreement inapplicable or unenforceable with respect to one or more of the specified types of actions or proceedings, we may incur additional costs associated with resolving such matters in other jurisdictions, which could materially and adversely affect our business, financial condition and results of operations and result in a diversion of the time and resources of our management and board of directors.</w:t>
      </w:r>
    </w:p>
    <w:p>
      <w:pPr>
        <w:spacing w:after="0" w:line="184" w:lineRule="exact"/>
        <w:rPr>
          <w:sz w:val="20"/>
          <w:szCs w:val="20"/>
          <w:color w:val="auto"/>
        </w:rPr>
      </w:pPr>
    </w:p>
    <w:p>
      <w:pPr>
        <w:ind w:right="480"/>
        <w:spacing w:after="0" w:line="282" w:lineRule="auto"/>
        <w:rPr>
          <w:sz w:val="20"/>
          <w:szCs w:val="20"/>
          <w:color w:val="auto"/>
        </w:rPr>
      </w:pPr>
      <w:r>
        <w:rPr>
          <w:rFonts w:ascii="Arial" w:cs="Arial" w:eastAsia="Arial" w:hAnsi="Arial"/>
          <w:sz w:val="18"/>
          <w:szCs w:val="18"/>
          <w:b w:val="1"/>
          <w:bCs w:val="1"/>
          <w:color w:val="auto"/>
        </w:rPr>
        <w:t>Because we are incorporated under the laws of the Cayman Islands, you may face difficulties in protecting your interests, and your ability to protect your rights through the U.S. Federal courts may be limited.</w:t>
      </w:r>
    </w:p>
    <w:p>
      <w:pPr>
        <w:spacing w:after="0" w:line="166" w:lineRule="exact"/>
        <w:rPr>
          <w:sz w:val="20"/>
          <w:szCs w:val="20"/>
          <w:color w:val="auto"/>
        </w:rPr>
      </w:pPr>
    </w:p>
    <w:p>
      <w:pPr>
        <w:ind w:right="200" w:firstLine="324"/>
        <w:spacing w:after="0" w:line="342" w:lineRule="auto"/>
        <w:rPr>
          <w:sz w:val="20"/>
          <w:szCs w:val="20"/>
          <w:color w:val="auto"/>
        </w:rPr>
      </w:pPr>
      <w:r>
        <w:rPr>
          <w:rFonts w:ascii="Arial" w:cs="Arial" w:eastAsia="Arial" w:hAnsi="Arial"/>
          <w:sz w:val="16"/>
          <w:szCs w:val="16"/>
          <w:color w:val="auto"/>
        </w:rPr>
        <w:t>We are an exempted company incorporated under the laws of the Cayman Islands. As a result, it may be difficult for investors to effect service of process within the United States upon our directors or officers, or enforce judgments obtained in the United States courts against our directors or officers.</w:t>
      </w:r>
    </w:p>
    <w:p>
      <w:pPr>
        <w:spacing w:after="0" w:line="124" w:lineRule="exact"/>
        <w:rPr>
          <w:sz w:val="20"/>
          <w:szCs w:val="20"/>
          <w:color w:val="auto"/>
        </w:rPr>
      </w:pPr>
    </w:p>
    <w:p>
      <w:pPr>
        <w:ind w:right="40" w:firstLine="324"/>
        <w:spacing w:after="0" w:line="269" w:lineRule="auto"/>
        <w:rPr>
          <w:sz w:val="20"/>
          <w:szCs w:val="20"/>
          <w:color w:val="auto"/>
        </w:rPr>
      </w:pPr>
      <w:r>
        <w:rPr>
          <w:rFonts w:ascii="Arial" w:cs="Arial" w:eastAsia="Arial" w:hAnsi="Arial"/>
          <w:sz w:val="17"/>
          <w:szCs w:val="17"/>
          <w:color w:val="auto"/>
        </w:rPr>
        <w:t>Our corporate affairs will be governed by our amended and restated memorandum and articles of association, the Companies Act (as the same may be supplemented or amended from time to time) and the common law of the Cayman Islands. We will also be subject to the federal securities laws of the United States. The rights of shareholders to take action against the directors, actions by minority shareholders and the fiduciary responsibilities of our directors to us under Cayman Islands law are to a large extent governed by the common law of the Cayman Islands. The common law of the Cayman Islands is derived in part from comparatively limited judicial precedent in the Cayman Islands as well as from English common law, the decisions of whose courts are of persuasive authority, but are not binding on a court in the Cayman Islands. The rights of our shareholders and the fiduciary responsibilities of our directors under Cayman Islands law are different from what they would be under statutes or judicial precedent in some jurisdictions in the United States. In particular, the Cayman Islands has a different body of securities laws as compared to the United States, and certain states, such as Delaware, may have more fully developed and judicially interpreted bodies of corporate law. In addition, Cayman Islands companies may not have standing to initiate a shareholders derivative action in a Federal court of the United States.</w:t>
      </w:r>
    </w:p>
    <w:p>
      <w:pPr>
        <w:spacing w:after="0" w:line="29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69" w:name="page70"/>
    <w:bookmarkEnd w:id="69"/>
    <w:p>
      <w:pPr>
        <w:ind w:right="20" w:firstLine="324"/>
        <w:spacing w:after="0" w:line="269" w:lineRule="auto"/>
        <w:rPr>
          <w:sz w:val="20"/>
          <w:szCs w:val="20"/>
          <w:color w:val="auto"/>
        </w:rPr>
      </w:pPr>
      <w:r>
        <w:rPr>
          <w:rFonts w:ascii="Arial" w:cs="Arial" w:eastAsia="Arial" w:hAnsi="Arial"/>
          <w:sz w:val="17"/>
          <w:szCs w:val="17"/>
          <w:color w:val="auto"/>
        </w:rPr>
        <w:t>We have been advised by Maples and Calder, our Cayman Islands legal counsel, that the courts of the Cayman Islands are unlikely (i) to recognize or enforce against us judgments of courts of the United States predicated upon the civil liability provisions of the federal securities laws of the United States or any state; and (ii) in original actions brought in the Cayman Islands, to impose liabilities against us predicated upon the civil liability provisions of the federal securities laws of the United States or any state, so far as the liabilities imposed by those provisions are penal in nature. In those circumstances, although there is no statutory enforcement in the Cayman Islands of judgments obtained in the United States, the courts of the Cayman Islands will recognize and enforce a foreign money judgment of a foreign court of competent jurisdiction without retrial on the merits based on the principle that a judgment of a competent foreign court imposes upon the judgment debtor an obligation to pay the sum for which judgment has been given provided certain conditions are met. For a foreign judgment to be enforced in the Cayman Islands, such judgment must be final and conclusive and for a liquidated sum, and must not be in respect of taxes or a fine or penalty, inconsistent with a Cayman Islands judgment in respect of the same matter, impeachable on the grounds of fraud or obtained in a manner, or be of a kind the enforcement of which is, contrary to natural justice or the public policy of the Cayman Islands (awards of punitive or multiple damages may well be held to be contrary to public policy). A Cayman Islands Court may stay enforcement proceedings if concurrent proceedings are being brought elsewhere.</w:t>
      </w:r>
    </w:p>
    <w:p>
      <w:pPr>
        <w:spacing w:after="0" w:line="179" w:lineRule="exact"/>
        <w:rPr>
          <w:sz w:val="20"/>
          <w:szCs w:val="20"/>
          <w:color w:val="auto"/>
        </w:rPr>
      </w:pPr>
    </w:p>
    <w:p>
      <w:pPr>
        <w:ind w:right="220" w:firstLine="324"/>
        <w:spacing w:after="0" w:line="308" w:lineRule="auto"/>
        <w:rPr>
          <w:sz w:val="20"/>
          <w:szCs w:val="20"/>
          <w:color w:val="auto"/>
        </w:rPr>
      </w:pPr>
      <w:r>
        <w:rPr>
          <w:rFonts w:ascii="Arial" w:cs="Arial" w:eastAsia="Arial" w:hAnsi="Arial"/>
          <w:sz w:val="17"/>
          <w:szCs w:val="17"/>
          <w:color w:val="auto"/>
        </w:rPr>
        <w:t>As a result of all of the above, public shareholders may have more difficulty in protecting their interests in the face of actions taken by management, members of the board of directors or controlling shareholders than they would as public shareholders of a United States company.</w:t>
      </w:r>
    </w:p>
    <w:p>
      <w:pPr>
        <w:spacing w:after="0" w:line="142" w:lineRule="exact"/>
        <w:rPr>
          <w:sz w:val="20"/>
          <w:szCs w:val="20"/>
          <w:color w:val="auto"/>
        </w:rPr>
      </w:pPr>
    </w:p>
    <w:p>
      <w:pPr>
        <w:jc w:val="both"/>
        <w:ind w:right="220"/>
        <w:spacing w:after="0" w:line="347" w:lineRule="auto"/>
        <w:rPr>
          <w:sz w:val="20"/>
          <w:szCs w:val="20"/>
          <w:color w:val="auto"/>
        </w:rPr>
      </w:pPr>
      <w:r>
        <w:rPr>
          <w:rFonts w:ascii="Arial" w:cs="Arial" w:eastAsia="Arial" w:hAnsi="Arial"/>
          <w:sz w:val="16"/>
          <w:szCs w:val="16"/>
          <w:b w:val="1"/>
          <w:bCs w:val="1"/>
          <w:color w:val="auto"/>
        </w:rPr>
        <w:t>After our initial business combination, it is possible that a majority of our directors and officers will live outside the United States and all of our assets will be located outside the United States; therefore, investors may not be able to enforce federal securities laws or their other legal rights.</w:t>
      </w:r>
    </w:p>
    <w:p>
      <w:pPr>
        <w:spacing w:after="0" w:line="120"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It is possible that after our initial business combination, a majority of our directors and officers will reside outside of the United States and all of our assets will be located outside of the United States. As a result, it may be difficult, or in some cases not possible, for investors in the United States to enforce their legal rights, to effect service of process upon all of our directors or officers or to enforce judgments of United States courts predicated upon civil liabilities and criminal penalties on our directors and officers under United States laws.</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Risks Associated with Conflicts of Interest</w:t>
      </w:r>
    </w:p>
    <w:p>
      <w:pPr>
        <w:spacing w:after="0" w:line="225" w:lineRule="exact"/>
        <w:rPr>
          <w:sz w:val="20"/>
          <w:szCs w:val="20"/>
          <w:color w:val="auto"/>
        </w:rPr>
      </w:pPr>
    </w:p>
    <w:p>
      <w:pPr>
        <w:ind w:right="460"/>
        <w:spacing w:after="0" w:line="312" w:lineRule="auto"/>
        <w:rPr>
          <w:sz w:val="20"/>
          <w:szCs w:val="20"/>
          <w:color w:val="auto"/>
        </w:rPr>
      </w:pPr>
      <w:r>
        <w:rPr>
          <w:rFonts w:ascii="Arial" w:cs="Arial" w:eastAsia="Arial" w:hAnsi="Arial"/>
          <w:sz w:val="17"/>
          <w:szCs w:val="17"/>
          <w:b w:val="1"/>
          <w:bCs w:val="1"/>
          <w:color w:val="auto"/>
        </w:rPr>
        <w:t>Certain members of our management team may be involved in and have a greater financial interest in the performance of other entities with which they are affiliated, and such activities may create conflicts of interest in making decisions on our behalf.</w:t>
      </w:r>
    </w:p>
    <w:p>
      <w:pPr>
        <w:spacing w:after="0" w:line="144" w:lineRule="exact"/>
        <w:rPr>
          <w:sz w:val="20"/>
          <w:szCs w:val="20"/>
          <w:color w:val="auto"/>
        </w:rPr>
      </w:pPr>
    </w:p>
    <w:p>
      <w:pPr>
        <w:ind w:right="120" w:firstLine="324"/>
        <w:spacing w:after="0" w:line="293" w:lineRule="auto"/>
        <w:rPr>
          <w:sz w:val="20"/>
          <w:szCs w:val="20"/>
          <w:color w:val="auto"/>
        </w:rPr>
      </w:pPr>
      <w:r>
        <w:rPr>
          <w:rFonts w:ascii="Arial" w:cs="Arial" w:eastAsia="Arial" w:hAnsi="Arial"/>
          <w:sz w:val="16"/>
          <w:szCs w:val="16"/>
          <w:color w:val="auto"/>
        </w:rPr>
        <w:t>Certain members of our management team may be subject to a variety of conflicts of interest relating to their responsibilities to our sponsor and other entities with which they are affiliated. Such individuals may serve as members of management or a board of directors (or in similar such capacity) to various other affiliated entities. Such positions may create a conflict between the advice and investment opportunities provided to such entities and the responsibilities owed to us. The other entities in which such individuals may become involved may have investment objectives that overlap with ours. Furthermore, certain of our principals and employees may have a greater financial interest in the performance of such other affiliated entities than our performance. Such involvement may create conflicts of interest in sourcing investment opportunities on our behalf and on behalf of such other entities.</w:t>
      </w:r>
    </w:p>
    <w:p>
      <w:pPr>
        <w:spacing w:after="0" w:line="164"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PIMCO and its affiliates, including the PIMCO private fund, have invested in diverse industries, including in the financial services sector. There could be overlap between companies that would be suitable for a business combination with us and companies that present an attractive investment opportunity for our sponsor, our directors or officers, and entities with which they currently are or may in the future be affiliated, or certain of PIMCO’s funds and/or other investment vehicles, including the PIMCO private fund. In addition, PIMCO and its affiliates engage in the business of originating, underwriting, syndicating, acquiring and trading loans and debt securities of corporate and other borrowers, and may provide or participate in any debt financing arrangement in connection with any acquisition of any target business that we may make. If PIMCO or any of its affiliates provides or participates in any such debt financing arrangement it may present a conflict of interest and will have to be approved under our related person transaction policy or by our independent directors.</w:t>
      </w:r>
    </w:p>
    <w:p>
      <w:pPr>
        <w:spacing w:after="0" w:line="188" w:lineRule="exact"/>
        <w:rPr>
          <w:sz w:val="20"/>
          <w:szCs w:val="20"/>
          <w:color w:val="auto"/>
        </w:rPr>
      </w:pPr>
    </w:p>
    <w:p>
      <w:pPr>
        <w:ind w:right="180"/>
        <w:spacing w:after="0" w:line="347" w:lineRule="auto"/>
        <w:rPr>
          <w:sz w:val="20"/>
          <w:szCs w:val="20"/>
          <w:color w:val="auto"/>
        </w:rPr>
      </w:pPr>
      <w:r>
        <w:rPr>
          <w:rFonts w:ascii="Arial" w:cs="Arial" w:eastAsia="Arial" w:hAnsi="Arial"/>
          <w:sz w:val="16"/>
          <w:szCs w:val="16"/>
          <w:b w:val="1"/>
          <w:bCs w:val="1"/>
          <w:color w:val="auto"/>
        </w:rPr>
        <w:t>Our officers and directors will allocate their time to other businesses, thereby causing conflicts of interest in their determination as to how much time to devote to our affairs. This conflict of interest could have a negative impact on our ability to complete our initial business combination.</w:t>
      </w:r>
    </w:p>
    <w:p>
      <w:pPr>
        <w:spacing w:after="0" w:line="120"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Our officers and directors are not required to, and will not, commit their full time to our affairs, which may result in a conflict of interest in allocating their time between our operations and our search for a business combination and their other businesses. Each of our officers is engaged in other business endeavors for which he may be entitled to, or otherwise expect to receive, substantial compensation or other economic benefit, and our officers are not obligated to contribute any specific number of hours per week to our affairs. Our independent directors also serve as officers and board members for other entities. If our officers’ and directors’ other business affairs require them to devote substantial amounts of time to such affairs in excess of their current commitment levels, it could limit their ability to devote time to our affairs, which may have a negative impact on our ability to complete our initial business combination. For a complete discussion of our officers’ and directors’ other business affairs, please see “Management—Officers and Directors.”</w:t>
      </w:r>
    </w:p>
    <w:p>
      <w:pPr>
        <w:spacing w:after="0" w:line="5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70" w:name="page71"/>
    <w:bookmarkEnd w:id="70"/>
    <w:p>
      <w:pPr>
        <w:ind w:right="60"/>
        <w:spacing w:after="0" w:line="347" w:lineRule="auto"/>
        <w:rPr>
          <w:sz w:val="20"/>
          <w:szCs w:val="20"/>
          <w:color w:val="auto"/>
        </w:rPr>
      </w:pPr>
      <w:r>
        <w:rPr>
          <w:rFonts w:ascii="Arial" w:cs="Arial" w:eastAsia="Arial" w:hAnsi="Arial"/>
          <w:sz w:val="16"/>
          <w:szCs w:val="16"/>
          <w:b w:val="1"/>
          <w:bCs w:val="1"/>
          <w:color w:val="auto"/>
        </w:rPr>
        <w:t>Our officers and directors presently have, and any of them in the future may have additional, fiduciary or contractual obligations to other entities and, accordingly, may have conflicts of interest in determining to which entity a particular business opportunity should be presented.</w:t>
      </w:r>
    </w:p>
    <w:p>
      <w:pPr>
        <w:spacing w:after="0" w:line="120"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Following the completion of this offering and until we consummate our initial business combination, we intend to engage in the business of identifying and combining with one or more businesses. Certain of our officers and directors presently have, and any of them in the future may have, additional fiduciary or contractual obligations to other entities, including the PIMCO private fund and other entities affiliated with PIMCO, pursuant to which such officer or director is or will be required to present a business combination opportunity to such entity. Accordingly, they may have conflicts of interest in determining to which entity a particular business opportunity should be presented. These conflicts may not be resolved in our favor and a potential target business may be presented to another entity prior to its presentation to us, subject to their fiduciary duties under Cayman Islands law. Our amended and restated memorandum and articles of association provide that, to the fullest extent permitted by applicable law: (i) no individual serving as a director or an officer shall have any duty, except and to the extent expressly assumed by contract, to refrain from engaging directly or indirectly in the same or similar business activities or lines of business as us; and (ii) we renounce any interest or expectancy in, or in being offered an opportunity to participate in, any potential transaction or matter which may be a corporate opportunity for any director or officer on the one hand, and us, on the other.</w:t>
      </w:r>
    </w:p>
    <w:p>
      <w:pPr>
        <w:spacing w:after="0" w:line="168" w:lineRule="exact"/>
        <w:rPr>
          <w:sz w:val="20"/>
          <w:szCs w:val="20"/>
          <w:color w:val="auto"/>
        </w:rPr>
      </w:pPr>
    </w:p>
    <w:p>
      <w:pPr>
        <w:ind w:right="300" w:firstLine="324"/>
        <w:spacing w:after="0" w:line="301" w:lineRule="auto"/>
        <w:rPr>
          <w:sz w:val="20"/>
          <w:szCs w:val="20"/>
          <w:color w:val="auto"/>
        </w:rPr>
      </w:pPr>
      <w:r>
        <w:rPr>
          <w:rFonts w:ascii="Arial" w:cs="Arial" w:eastAsia="Arial" w:hAnsi="Arial"/>
          <w:sz w:val="16"/>
          <w:szCs w:val="16"/>
          <w:color w:val="auto"/>
        </w:rPr>
        <w:t>In addition, our sponsor and our officers and directors may sponsor, form, invest in or otherwise become involved with other special purpose acquisition companies similar to ours or may pursue other business or investment ventures during the period in which we are seeking an initial business combination. Any such companies, businesses or investments may present additional conflicts of interest in pursuing an initial business combination. However, we do not believe that any such potential conflicts would materially affect our ability to complete our initial business combination.</w:t>
      </w:r>
    </w:p>
    <w:p>
      <w:pPr>
        <w:spacing w:after="0" w:line="157" w:lineRule="exact"/>
        <w:rPr>
          <w:sz w:val="20"/>
          <w:szCs w:val="20"/>
          <w:color w:val="auto"/>
        </w:rPr>
      </w:pPr>
    </w:p>
    <w:p>
      <w:pPr>
        <w:ind w:right="120" w:firstLine="324"/>
        <w:spacing w:after="0" w:line="342" w:lineRule="auto"/>
        <w:rPr>
          <w:sz w:val="20"/>
          <w:szCs w:val="20"/>
          <w:color w:val="auto"/>
        </w:rPr>
      </w:pPr>
      <w:r>
        <w:rPr>
          <w:rFonts w:ascii="Arial" w:cs="Arial" w:eastAsia="Arial" w:hAnsi="Arial"/>
          <w:sz w:val="16"/>
          <w:szCs w:val="16"/>
          <w:color w:val="auto"/>
        </w:rPr>
        <w:t>For a complete discussion of our officers’ and directors’ business affiliations and the potential conflicts of interest that you should be aware of, please see “Management—Officers and Directors,” “Management—Conflicts of Interest” and “Certain Relationships and Related Party Transactions.”</w:t>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officers, directors, security holders and their respective affiliates may have competitive pecuniary interests that conflict with our interests.</w:t>
      </w:r>
    </w:p>
    <w:p>
      <w:pPr>
        <w:spacing w:after="0" w:line="252" w:lineRule="exact"/>
        <w:rPr>
          <w:sz w:val="20"/>
          <w:szCs w:val="20"/>
          <w:color w:val="auto"/>
        </w:rPr>
      </w:pPr>
    </w:p>
    <w:p>
      <w:pPr>
        <w:ind w:right="40" w:firstLine="324"/>
        <w:spacing w:after="0" w:line="275" w:lineRule="auto"/>
        <w:rPr>
          <w:sz w:val="20"/>
          <w:szCs w:val="20"/>
          <w:color w:val="auto"/>
        </w:rPr>
      </w:pPr>
      <w:r>
        <w:rPr>
          <w:rFonts w:ascii="Arial" w:cs="Arial" w:eastAsia="Arial" w:hAnsi="Arial"/>
          <w:sz w:val="17"/>
          <w:szCs w:val="17"/>
          <w:color w:val="auto"/>
        </w:rPr>
        <w:t>We have not adopted a policy that expressly prohibits our directors, officers, security holders or affiliates from having a direct or indirect pecuniary or financial interest in any investment to be acquired or disposed of by us or in any transaction to which we are a party or have an interest. In fact, we may enter into a business combination with a target business that is affiliated with our sponsor, our directors or officers, although we do not intend to do so. Nor do we have a policy that expressly prohibits any such persons from engaging for their own account in business activities of the types conducted by us. Accordingly, such persons or entities may have a conflict between their interests and ours.</w:t>
      </w:r>
    </w:p>
    <w:p>
      <w:pPr>
        <w:spacing w:after="0" w:line="176"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The personal and financial interests of our directors and officers may influence their motivation in timely identifying and selecting a target business and completing a business combination. Consequently, our directors’ and officers’ discretion in identifying and selecting a suitable target business may result in a conflict of interest when determining whether the terms, conditions and timing of a particular business combination are appropriate and in our shareholders’ best interest. If this were the case, it would be a breach of their fiduciary duties to us as a matter of Cayman Islands law and we or our shareholders might have a claim against such individuals for infringing on our shareholders’ rights. See the section titled “Description of Securities— Certain Differences in Corporate Law—Shareholder Suits” for further information on the ability to bring such claims. However, we might not ultimately be successful in any claim we may make against them for such reason.</w:t>
      </w:r>
    </w:p>
    <w:p>
      <w:pPr>
        <w:spacing w:after="0" w:line="30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71" w:name="page72"/>
    <w:bookmarkEnd w:id="71"/>
    <w:p>
      <w:pPr>
        <w:ind w:right="120"/>
        <w:spacing w:after="0" w:line="282" w:lineRule="auto"/>
        <w:rPr>
          <w:sz w:val="20"/>
          <w:szCs w:val="20"/>
          <w:color w:val="auto"/>
        </w:rPr>
      </w:pPr>
      <w:r>
        <w:rPr>
          <w:rFonts w:ascii="Arial" w:cs="Arial" w:eastAsia="Arial" w:hAnsi="Arial"/>
          <w:sz w:val="18"/>
          <w:szCs w:val="18"/>
          <w:b w:val="1"/>
          <w:bCs w:val="1"/>
          <w:color w:val="auto"/>
        </w:rPr>
        <w:t>We may engage in a business combination with one or more target businesses that have relationships with entities that may be affiliated with our initial shareholders, officers or directors which may raise potential conflicts of interest.</w:t>
      </w:r>
    </w:p>
    <w:p>
      <w:pPr>
        <w:spacing w:after="0" w:line="166" w:lineRule="exact"/>
        <w:rPr>
          <w:sz w:val="20"/>
          <w:szCs w:val="20"/>
          <w:color w:val="auto"/>
        </w:rPr>
      </w:pPr>
    </w:p>
    <w:p>
      <w:pPr>
        <w:ind w:right="40" w:firstLine="324"/>
        <w:spacing w:after="0" w:line="287" w:lineRule="auto"/>
        <w:rPr>
          <w:sz w:val="20"/>
          <w:szCs w:val="20"/>
          <w:color w:val="auto"/>
        </w:rPr>
      </w:pPr>
      <w:r>
        <w:rPr>
          <w:rFonts w:ascii="Arial" w:cs="Arial" w:eastAsia="Arial" w:hAnsi="Arial"/>
          <w:sz w:val="16"/>
          <w:szCs w:val="16"/>
          <w:color w:val="auto"/>
        </w:rPr>
        <w:t>In light of the involvement of our sponsor, officers and directors with other entities, we may decide to acquire one or more businesses affiliated with our initial shareholders, officers or directors, including businesses affiliated with PIMCO. Our directors also serve as officers and board members for other entities, including, without limitation, those described under “Management—Conflicts of Interest.” Such entities may compete with us for business combination opportunities. Our sponsor, officers and directors are not currently aware of any specific opportunities for us to complete our initial business combination with any entities with which they are affiliated, and there have been no substantive discussions concerning a business combination with any such entity or entities. Although we will not be specifically focusing on, or targeting, any transaction with any affiliated entities, we would pursue such a transaction if we determined that such affiliated entity met our criteria and guidelines for a business combination as set forth in “Proposed Business— Effecting our Initial Business Combination—Sources of Target Businesses” and such transaction was approved by a majority of our independent and disinterested directors. Despite our agreement to obtain an opinion from an independent investment banking firm or a valuation or appraisal firm regarding the fairness to our company from a financial point of view of a business combination with one or more domestic or international businesses affiliated with our initial shareholders, officers or directors, potential conflicts of interest still may exist and, as a result, the terms of the business combination may not be as advantageous to our public shareholders as they would be absent any conflicts of interest.</w:t>
      </w:r>
    </w:p>
    <w:p>
      <w:pPr>
        <w:spacing w:after="0" w:line="168"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Moreover, we may, at our option, pursue an affiliated joint acquisition opportunity with one or more affiliates of the PIMCO private fund or with other entities to which an officer or director has a fiduciary, contractual or other obligation or duty. Any such parties may co-invest with us in the target business at the time of our initial business combination, or we could raise additional proceeds to complete the acquisition by issuing equity to any such parties, which may give rise to certain conflicts of interest.</w:t>
      </w:r>
    </w:p>
    <w:p>
      <w:pPr>
        <w:spacing w:after="0" w:line="183"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b w:val="1"/>
          <w:bCs w:val="1"/>
          <w:color w:val="auto"/>
        </w:rPr>
        <w:t>Since our sponsor, officers and directors will lose their entire investment in us if our initial business combination is not completed (other than with respect to public shares they may acquire during or after this offering), a conflict of interest may arise in determining whether a particular business combination target is appropriate for our initial business combination.</w:t>
      </w:r>
    </w:p>
    <w:p>
      <w:pPr>
        <w:spacing w:after="0" w:line="180"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On December 30, 2020, we issued to our sponsor an aggregate of 7,187,500 founder shares in exchange for a capital contribution of $25,000, or approximately $0.003 per share, to cover certain of our expenses. The purchase price of the founder shares was determined by dividing the amount of cash contributed to the company by the number of founder shares issued. The number of founder shares outstanding was determined based on the expectation that the total size of this offering would be a maximum of 28,750,000 units if the underwriters’ over-allotment option is exercised in full, and therefore that such founder shares would represent 20% of the outstanding shares after this offering. If we increase or decrease the size of this offering, we will effect a capitalization or share repurchase or redemption or other appropriate mechanism, as applicable, immediately prior to the consummation of this offering in such amount as to maintain the number of founder shares at 20% of our issued and outstanding ordinary shares upon the consummation of this offering. Up to 937,500 of the founder shares may be surrendered for no consideration depending on the extent to which the underwriters’ over-allotment is exercised. The founder shares will be worthless if we do not complete an initial business combination.</w:t>
      </w:r>
    </w:p>
    <w:p>
      <w:pPr>
        <w:spacing w:after="0" w:line="166" w:lineRule="exact"/>
        <w:rPr>
          <w:sz w:val="20"/>
          <w:szCs w:val="20"/>
          <w:color w:val="auto"/>
        </w:rPr>
      </w:pPr>
    </w:p>
    <w:p>
      <w:pPr>
        <w:ind w:right="20" w:firstLine="324"/>
        <w:spacing w:after="0" w:line="293" w:lineRule="auto"/>
        <w:rPr>
          <w:sz w:val="20"/>
          <w:szCs w:val="20"/>
          <w:color w:val="auto"/>
        </w:rPr>
      </w:pPr>
      <w:r>
        <w:rPr>
          <w:rFonts w:ascii="Arial" w:cs="Arial" w:eastAsia="Arial" w:hAnsi="Arial"/>
          <w:sz w:val="16"/>
          <w:szCs w:val="16"/>
          <w:color w:val="auto"/>
        </w:rPr>
        <w:t>In addition, our sponsor has committed to purchase an aggregate of 5,000,000 private placement warrants (or 5,500,000 private placement warrants if the underwriters’ over-allotment option is exercised in full) for an aggregate purchase price of $7,500,000 (or $8,250,000 if the underwriters’ over-allotment option is exercised in full), or $1.50 per warrant. The private placement warrants will also be worthless if we do not complete our initial business combination. The personal and financial interests of our officers and directors may influence their motivation in identifying and selecting a target business combination, completing an initial business combination and influencing the operation of the business following the initial business combination. This risk may become more acute as the deadline nears for our completion of an initial business combination.</w:t>
      </w:r>
    </w:p>
    <w:p>
      <w:pPr>
        <w:spacing w:after="0" w:line="16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Risks Associated with Tax Matters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may be a passive foreign investment company, or “PFIC,” which could result in adverse United States federal income tax consequences to U.S.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w:t>
      </w:r>
    </w:p>
    <w:p>
      <w:pPr>
        <w:spacing w:after="0" w:line="211" w:lineRule="exact"/>
        <w:rPr>
          <w:sz w:val="20"/>
          <w:szCs w:val="20"/>
          <w:color w:val="auto"/>
        </w:rPr>
      </w:pPr>
    </w:p>
    <w:p>
      <w:pPr>
        <w:ind w:right="60" w:firstLine="324"/>
        <w:spacing w:after="0" w:line="279" w:lineRule="auto"/>
        <w:rPr>
          <w:sz w:val="20"/>
          <w:szCs w:val="20"/>
          <w:color w:val="auto"/>
        </w:rPr>
      </w:pPr>
      <w:r>
        <w:rPr>
          <w:rFonts w:ascii="Arial" w:cs="Arial" w:eastAsia="Arial" w:hAnsi="Arial"/>
          <w:sz w:val="17"/>
          <w:szCs w:val="17"/>
          <w:color w:val="auto"/>
        </w:rPr>
        <w:t>If we are a PFIC for any taxable year (or portion thereof) that is included in the holding period of a U.S. Holder (as defined in the section of this prospectus captioned “Taxation—United States Federal Income Taxation—General”) of our Class A ordinary shares or warrants, the U.S. Holder may be subject to adverse United States federal income tax consequences and may be subject to additional reporting requirements. Our PFIC status for our current and subsequent taxable years may depend on whether we qualify for the PFIC start-up exception (see the</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580" w:right="379" w:bottom="1440" w:gutter="0" w:footer="0" w:header="0"/>
        </w:sectPr>
      </w:pPr>
    </w:p>
    <w:bookmarkStart w:id="72" w:name="page73"/>
    <w:bookmarkEnd w:id="72"/>
    <w:p>
      <w:pPr>
        <w:spacing w:after="0" w:line="288" w:lineRule="auto"/>
        <w:rPr>
          <w:sz w:val="20"/>
          <w:szCs w:val="20"/>
          <w:color w:val="auto"/>
        </w:rPr>
      </w:pPr>
      <w:r>
        <w:rPr>
          <w:rFonts w:ascii="Arial" w:cs="Arial" w:eastAsia="Arial" w:hAnsi="Arial"/>
          <w:sz w:val="16"/>
          <w:szCs w:val="16"/>
          <w:color w:val="auto"/>
        </w:rPr>
        <w:t>section of this prospectus captioned “Taxation—United States Federal Income Taxation—U.S. Holders—Passive Foreign Investment Company Rules”). Depending on the particular circumstances, the application of the start-up exception may be subject to uncertainty, and there cannot be any assurance that we will qualify for the start-up exception. Accordingly, there can be no assurances with respect to our status as a PFIC for our current taxable year or any subsequent taxable year. Our actual PFIC status for any taxable year, moreover, will not be determinable until after the end of such taxable year. If we determine we are a PFIC for any taxable year (of which there can be no assurance), we will endeavor to provide to a U.S. Holder such information as the Internal Revenue Service (“IRS”) may require, including a PFIC annual information statement, in order to enable the U.S. Holder to make and maintain a “qualified electing fund” election, but there can be no assurance that we will timely provide such required information, and such election would be unavailable with respect to our warrants in all cases. We urge U.S. investors to consult their own tax advisors regarding the possible application of the PFIC rules. For a more detailed explanation of the tax consequences of PFIC classification to U.S. Holders, see the section of this prospectus captioned “Taxation — United States Federal Income Taxation—U.S. Holders — Passive Foreign Investment Company Rules.”</w:t>
      </w:r>
    </w:p>
    <w:p>
      <w:pPr>
        <w:spacing w:after="0" w:line="164" w:lineRule="exact"/>
        <w:rPr>
          <w:sz w:val="20"/>
          <w:szCs w:val="20"/>
          <w:color w:val="auto"/>
        </w:rPr>
      </w:pPr>
    </w:p>
    <w:p>
      <w:pPr>
        <w:ind w:right="280"/>
        <w:spacing w:after="0" w:line="282" w:lineRule="auto"/>
        <w:rPr>
          <w:sz w:val="20"/>
          <w:szCs w:val="20"/>
          <w:color w:val="auto"/>
        </w:rPr>
      </w:pPr>
      <w:r>
        <w:rPr>
          <w:rFonts w:ascii="Arial" w:cs="Arial" w:eastAsia="Arial" w:hAnsi="Arial"/>
          <w:sz w:val="18"/>
          <w:szCs w:val="18"/>
          <w:b w:val="1"/>
          <w:bCs w:val="1"/>
          <w:color w:val="auto"/>
        </w:rPr>
        <w:t>We may reincorporate in another jurisdiction in connection with our initial business combination and such reincorporation may result in taxes imposed on shareholders or warrant holders.</w:t>
      </w:r>
    </w:p>
    <w:p>
      <w:pPr>
        <w:spacing w:after="0" w:line="166"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We may, in connection with our initial business combination and subject to requisite shareholder approval under the Companies Act, reincorporate in the jurisdiction in which the target company or business is located or in another jurisdiction. The transaction may require a shareholder or warrant holder to recognize taxable income in the jurisdiction in which the shareholder or warrant holder is a tax resident or in which its members are resident if it is a tax transparent entity (or may otherwise result in adverse tax consequences). We do not intend to make any cash distributions to shareholders or warrant holders to pay such taxes. Shareholders or warrant holders may be subject to withholding taxes or other taxes with respect to their ownership of us after the reincorporation.</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Associated with Acquiring and Operating a Business in Foreign Countries</w:t>
      </w:r>
    </w:p>
    <w:p>
      <w:pPr>
        <w:spacing w:after="0" w:line="225" w:lineRule="exact"/>
        <w:rPr>
          <w:sz w:val="20"/>
          <w:szCs w:val="20"/>
          <w:color w:val="auto"/>
        </w:rPr>
      </w:pPr>
    </w:p>
    <w:p>
      <w:pPr>
        <w:ind w:right="300"/>
        <w:spacing w:after="0" w:line="282" w:lineRule="auto"/>
        <w:rPr>
          <w:sz w:val="20"/>
          <w:szCs w:val="20"/>
          <w:color w:val="auto"/>
        </w:rPr>
      </w:pPr>
      <w:r>
        <w:rPr>
          <w:rFonts w:ascii="Arial" w:cs="Arial" w:eastAsia="Arial" w:hAnsi="Arial"/>
          <w:sz w:val="18"/>
          <w:szCs w:val="18"/>
          <w:b w:val="1"/>
          <w:bCs w:val="1"/>
          <w:color w:val="auto"/>
        </w:rPr>
        <w:t>If we effect our initial business combination with a company located outside of the United States, we would be subject to a variety of additional risks that may adversely affect us.</w:t>
      </w:r>
    </w:p>
    <w:p>
      <w:pPr>
        <w:spacing w:after="0" w:line="166" w:lineRule="exact"/>
        <w:rPr>
          <w:sz w:val="20"/>
          <w:szCs w:val="20"/>
          <w:color w:val="auto"/>
        </w:rPr>
      </w:pPr>
    </w:p>
    <w:p>
      <w:pPr>
        <w:ind w:right="320" w:firstLine="324"/>
        <w:spacing w:after="0" w:line="263" w:lineRule="auto"/>
        <w:rPr>
          <w:sz w:val="20"/>
          <w:szCs w:val="20"/>
          <w:color w:val="auto"/>
        </w:rPr>
      </w:pPr>
      <w:r>
        <w:rPr>
          <w:rFonts w:ascii="Arial" w:cs="Arial" w:eastAsia="Arial" w:hAnsi="Arial"/>
          <w:sz w:val="18"/>
          <w:szCs w:val="18"/>
          <w:color w:val="auto"/>
        </w:rPr>
        <w:t>If we pursue a target company with operations or opportunities outside of the United States for our initial business combination, we may face additional burdens in connection with investigating, agreeing to and completing such initial business combination, and if we effect such initial business combination, we would be subject to a variety of additional risks that may negatively impact our operations.</w:t>
      </w:r>
    </w:p>
    <w:p>
      <w:pPr>
        <w:spacing w:after="0" w:line="184" w:lineRule="exact"/>
        <w:rPr>
          <w:sz w:val="20"/>
          <w:szCs w:val="20"/>
          <w:color w:val="auto"/>
        </w:rPr>
      </w:pPr>
    </w:p>
    <w:p>
      <w:pPr>
        <w:ind w:right="180" w:firstLine="324"/>
        <w:spacing w:after="0" w:line="286" w:lineRule="auto"/>
        <w:rPr>
          <w:sz w:val="20"/>
          <w:szCs w:val="20"/>
          <w:color w:val="auto"/>
        </w:rPr>
      </w:pPr>
      <w:r>
        <w:rPr>
          <w:rFonts w:ascii="Arial" w:cs="Arial" w:eastAsia="Arial" w:hAnsi="Arial"/>
          <w:sz w:val="17"/>
          <w:szCs w:val="17"/>
          <w:color w:val="auto"/>
        </w:rPr>
        <w:t>In addition, we would be subject to risks associated with cross-border business combinations, including in connection with investigating, agreeing to and completing our initial business combination, conducting due diligence in a foreign jurisdiction, having such transaction approved by any local governments, regulators or agencies and changes in the purchase price based on fluctuations in foreign exchange rates.</w:t>
      </w:r>
    </w:p>
    <w:p>
      <w:pPr>
        <w:spacing w:after="0" w:line="165" w:lineRule="exact"/>
        <w:rPr>
          <w:sz w:val="20"/>
          <w:szCs w:val="20"/>
          <w:color w:val="auto"/>
        </w:rPr>
      </w:pPr>
    </w:p>
    <w:p>
      <w:pPr>
        <w:ind w:right="740" w:firstLine="324"/>
        <w:spacing w:after="0" w:line="277" w:lineRule="auto"/>
        <w:rPr>
          <w:sz w:val="20"/>
          <w:szCs w:val="20"/>
          <w:color w:val="auto"/>
        </w:rPr>
      </w:pPr>
      <w:r>
        <w:rPr>
          <w:rFonts w:ascii="Arial" w:cs="Arial" w:eastAsia="Arial" w:hAnsi="Arial"/>
          <w:sz w:val="18"/>
          <w:szCs w:val="18"/>
          <w:color w:val="auto"/>
        </w:rPr>
        <w:t>If we effect our initial business combination with such a company, we would be subject to any special considerations or risks associated with companies operating in an international setting, including any of the following:</w:t>
      </w:r>
    </w:p>
    <w:p>
      <w:pPr>
        <w:spacing w:after="0" w:line="170"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costs and difficulties inherent in managing cross-border business operations;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rules and regulations regarding currency redemption;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complex corporate withholding taxes on individuals;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laws governing the manner in which future business combinations may be effected;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exchange listing and/or delisting requirements;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tariffs and trade barriers;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regulations related to customs and import/export matters;</w:t>
      </w:r>
    </w:p>
    <w:p>
      <w:pPr>
        <w:spacing w:after="0" w:line="33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73" w:name="page74"/>
    <w:bookmarkEnd w:id="73"/>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local or regional economic policies and market conditions;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unexpected changes in regulatory requirements;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challenges in managing and staffing international operations;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longer payment cycles;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tax issues, such as tax law changes and variations in tax laws as compared to the United States;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currency fluctuations and exchange controls;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rates of inflation;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challenges in collecting accounts receivable;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cultural and language differences;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employment regulations;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underdeveloped or unpredictable legal or regulatory systems;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corruption;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protection of intellectual property;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social unrest, crime, strikes, riots and civil disturbances;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regime changes and political upheaval;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terrorist attacks and wars;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deterioration of political relations with the United States.</w:t>
      </w:r>
    </w:p>
    <w:p>
      <w:pPr>
        <w:spacing w:after="0" w:line="225" w:lineRule="exact"/>
        <w:rPr>
          <w:sz w:val="20"/>
          <w:szCs w:val="20"/>
          <w:color w:val="auto"/>
        </w:rPr>
      </w:pPr>
    </w:p>
    <w:p>
      <w:pPr>
        <w:ind w:right="540" w:firstLine="324"/>
        <w:spacing w:after="0" w:line="263" w:lineRule="auto"/>
        <w:rPr>
          <w:sz w:val="20"/>
          <w:szCs w:val="20"/>
          <w:color w:val="auto"/>
        </w:rPr>
      </w:pPr>
      <w:r>
        <w:rPr>
          <w:rFonts w:ascii="Arial" w:cs="Arial" w:eastAsia="Arial" w:hAnsi="Arial"/>
          <w:sz w:val="18"/>
          <w:szCs w:val="18"/>
          <w:color w:val="auto"/>
        </w:rPr>
        <w:t>We may not be able to adequately address these additional risks. If we were unable to do so, we may be unable to complete such initial business combination, or, if we complete such initial business combination, our operations might suffer, either of which may adversely impact our business, financial condition and results of operations.</w:t>
      </w:r>
    </w:p>
    <w:p>
      <w:pPr>
        <w:spacing w:after="0" w:line="180" w:lineRule="exact"/>
        <w:rPr>
          <w:sz w:val="20"/>
          <w:szCs w:val="20"/>
          <w:color w:val="auto"/>
        </w:rPr>
      </w:pPr>
    </w:p>
    <w:p>
      <w:pPr>
        <w:ind w:right="160"/>
        <w:spacing w:after="0" w:line="282" w:lineRule="auto"/>
        <w:rPr>
          <w:sz w:val="20"/>
          <w:szCs w:val="20"/>
          <w:color w:val="auto"/>
        </w:rPr>
      </w:pPr>
      <w:r>
        <w:rPr>
          <w:rFonts w:ascii="Arial" w:cs="Arial" w:eastAsia="Arial" w:hAnsi="Arial"/>
          <w:sz w:val="18"/>
          <w:szCs w:val="18"/>
          <w:b w:val="1"/>
          <w:bCs w:val="1"/>
          <w:color w:val="auto"/>
        </w:rPr>
        <w:t>If our management following our initial business combination is unfamiliar with United States securities laws, they may have to expend time and resources becoming familiar with such laws, which could lead to various regulatory issues.</w:t>
      </w:r>
    </w:p>
    <w:p>
      <w:pPr>
        <w:spacing w:after="0" w:line="166"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Following our initial business combination, our management may resign from their positions as officers or directors of the company and the management of the target business at the time of the business combination will remain in place. Management of the target business may not be familiar with United States securities laws. If new management is unfamiliar with United States securities laws, they may have to expend time and resources becoming familiar with such laws. This could be expensive and time-consuming and could lead to various regulatory issues which may adversely affect our operations.</w:t>
      </w:r>
    </w:p>
    <w:p>
      <w:pPr>
        <w:spacing w:after="0" w:line="184" w:lineRule="exact"/>
        <w:rPr>
          <w:sz w:val="20"/>
          <w:szCs w:val="20"/>
          <w:color w:val="auto"/>
        </w:rPr>
      </w:pPr>
    </w:p>
    <w:p>
      <w:pPr>
        <w:spacing w:after="0" w:line="314" w:lineRule="auto"/>
        <w:rPr>
          <w:sz w:val="20"/>
          <w:szCs w:val="20"/>
          <w:color w:val="auto"/>
        </w:rPr>
      </w:pPr>
      <w:r>
        <w:rPr>
          <w:rFonts w:ascii="Arial" w:cs="Arial" w:eastAsia="Arial" w:hAnsi="Arial"/>
          <w:sz w:val="16"/>
          <w:szCs w:val="16"/>
          <w:b w:val="1"/>
          <w:bCs w:val="1"/>
          <w:color w:val="auto"/>
        </w:rPr>
        <w:t>After our initial business combination, substantially all of our assets may be located in foreign countries and substantially all of our revenue will be derived from our operations in such countries. Accordingly, our results of operations and prospects will be subject, to a significant extent, to the economic, political and social conditions and government policies, developments and conditions in the countries in which we operate.</w:t>
      </w:r>
    </w:p>
    <w:p>
      <w:pPr>
        <w:spacing w:after="0" w:line="146"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The economic, political and social conditions, as well as government policies, of the countries in which our operations are located could affect our business. Economic growth could be uneven, both geographically and among various sectors of the economy and such growth may not be sustained in the future. If in the future such countries’ economies experience a downturn or grow at a slower rate than expected, there may be less demand for spending in certain industries. A decrease in demand for spending in certain industries could materially and adversely affect our ability to find an attractive target business with which to consummate our initial business combination and, if we effect our initial business combination, the ability of that target business to become profitable.</w:t>
      </w:r>
    </w:p>
    <w:p>
      <w:pPr>
        <w:spacing w:after="0" w:line="30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74" w:name="page75"/>
    <w:bookmarkEnd w:id="74"/>
    <w:p>
      <w:pPr>
        <w:spacing w:after="0"/>
        <w:rPr>
          <w:sz w:val="20"/>
          <w:szCs w:val="20"/>
          <w:color w:val="auto"/>
        </w:rPr>
      </w:pPr>
      <w:r>
        <w:rPr>
          <w:rFonts w:ascii="Arial" w:cs="Arial" w:eastAsia="Arial" w:hAnsi="Arial"/>
          <w:sz w:val="16"/>
          <w:szCs w:val="16"/>
          <w:b w:val="1"/>
          <w:bCs w:val="1"/>
          <w:color w:val="auto"/>
        </w:rPr>
        <w:t>Exchange rate fluctuations and currency policies may cause a target business’s ability to succeed in the international markets to be diminished.</w:t>
      </w:r>
    </w:p>
    <w:p>
      <w:pPr>
        <w:spacing w:after="0" w:line="252"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In the event we acquire a non-U.S. target, all revenues and income would likely be received in a foreign currency or several foreign currencies, and the dollar equivalent of our net assets and distributions, if any, could be adversely affected by reductions in the value of such foreign currencies. The value of the currencies in our target regions fluctuate and are affected by, among other things, changes in political and economic conditions. Any change in the relative value of such currencies against our reporting currency may affect the attractiveness of any target business or, following consummation of our initial business combination, our financial condition and results of operations. Additionally, if a currency appreciates in value against the dollar prior to the consummation of our initial business combination, the cost of a target business as measured in dollars will increase, which may make it less likely that we are able to consummate such transaction.</w:t>
      </w:r>
    </w:p>
    <w:p>
      <w:pPr>
        <w:spacing w:after="0" w:line="191" w:lineRule="exact"/>
        <w:rPr>
          <w:sz w:val="20"/>
          <w:szCs w:val="20"/>
          <w:color w:val="auto"/>
        </w:rPr>
      </w:pPr>
    </w:p>
    <w:p>
      <w:pPr>
        <w:ind w:right="240"/>
        <w:spacing w:after="0" w:line="282" w:lineRule="auto"/>
        <w:rPr>
          <w:sz w:val="20"/>
          <w:szCs w:val="20"/>
          <w:color w:val="auto"/>
        </w:rPr>
      </w:pPr>
      <w:r>
        <w:rPr>
          <w:rFonts w:ascii="Arial" w:cs="Arial" w:eastAsia="Arial" w:hAnsi="Arial"/>
          <w:sz w:val="18"/>
          <w:szCs w:val="18"/>
          <w:b w:val="1"/>
          <w:bCs w:val="1"/>
          <w:color w:val="auto"/>
        </w:rPr>
        <w:t>We may reincorporate in another jurisdiction in connection with our initial business combination, and the laws of such jurisdiction may govern some or all of our future material agreements and we may not be able to enforce our legal rights.</w:t>
      </w:r>
    </w:p>
    <w:p>
      <w:pPr>
        <w:spacing w:after="0" w:line="166" w:lineRule="exact"/>
        <w:rPr>
          <w:sz w:val="20"/>
          <w:szCs w:val="20"/>
          <w:color w:val="auto"/>
        </w:rPr>
      </w:pPr>
    </w:p>
    <w:p>
      <w:pPr>
        <w:ind w:right="20" w:firstLine="324"/>
        <w:spacing w:after="0" w:line="301" w:lineRule="auto"/>
        <w:rPr>
          <w:sz w:val="20"/>
          <w:szCs w:val="20"/>
          <w:color w:val="auto"/>
        </w:rPr>
      </w:pPr>
      <w:r>
        <w:rPr>
          <w:rFonts w:ascii="Arial" w:cs="Arial" w:eastAsia="Arial" w:hAnsi="Arial"/>
          <w:sz w:val="16"/>
          <w:szCs w:val="16"/>
          <w:color w:val="auto"/>
        </w:rPr>
        <w:t>In connection with our initial business combination, we may relocate the home jurisdiction of our business from the Cayman Islands to another jurisdiction. If we determine to do this, the laws of such jurisdiction may govern some or all of our future material agreements. The system of laws and the enforcement of existing laws in such jurisdiction may not be as certain in implementation and interpretation as in the United States. The inability to enforce or obtain a remedy under any of our future agreements could result in a significant loss of business, business opportunities or capital.</w:t>
      </w:r>
    </w:p>
    <w:p>
      <w:pPr>
        <w:spacing w:after="0" w:line="153" w:lineRule="exact"/>
        <w:rPr>
          <w:sz w:val="20"/>
          <w:szCs w:val="20"/>
          <w:color w:val="auto"/>
        </w:rPr>
      </w:pPr>
    </w:p>
    <w:p>
      <w:pPr>
        <w:ind w:right="260"/>
        <w:spacing w:after="0" w:line="282" w:lineRule="auto"/>
        <w:rPr>
          <w:sz w:val="20"/>
          <w:szCs w:val="20"/>
          <w:color w:val="auto"/>
        </w:rPr>
      </w:pPr>
      <w:r>
        <w:rPr>
          <w:rFonts w:ascii="Arial" w:cs="Arial" w:eastAsia="Arial" w:hAnsi="Arial"/>
          <w:sz w:val="18"/>
          <w:szCs w:val="18"/>
          <w:b w:val="1"/>
          <w:bCs w:val="1"/>
          <w:color w:val="auto"/>
        </w:rPr>
        <w:t>We are subject to changing laws and regulations regarding regulatory matters, corporate governance and public disclosure that have increased both our costs and the risk of non-compliance.</w:t>
      </w:r>
    </w:p>
    <w:p>
      <w:pPr>
        <w:spacing w:after="0" w:line="166" w:lineRule="exact"/>
        <w:rPr>
          <w:sz w:val="20"/>
          <w:szCs w:val="20"/>
          <w:color w:val="auto"/>
        </w:rPr>
      </w:pPr>
    </w:p>
    <w:p>
      <w:pPr>
        <w:ind w:right="80" w:firstLine="324"/>
        <w:spacing w:after="0" w:line="301" w:lineRule="auto"/>
        <w:rPr>
          <w:sz w:val="20"/>
          <w:szCs w:val="20"/>
          <w:color w:val="auto"/>
        </w:rPr>
      </w:pPr>
      <w:r>
        <w:rPr>
          <w:rFonts w:ascii="Arial" w:cs="Arial" w:eastAsia="Arial" w:hAnsi="Arial"/>
          <w:sz w:val="16"/>
          <w:szCs w:val="16"/>
          <w:color w:val="auto"/>
        </w:rPr>
        <w:t>We are subject to rules and regulations by various governing bodies, including, for example, the Securities and Exchange Commission, which are charged with the protection of investors and the oversight of companies whose securities are publicly traded, and to new and evolving regulatory measures under applicable law. Our efforts to comply with new and changing laws and regulations have resulted in and are likely to continue to result in, increased general and administrative expenses and a diversion of management time and attention from revenue-generating activities to compliance activities.</w:t>
      </w:r>
    </w:p>
    <w:p>
      <w:pPr>
        <w:spacing w:after="0" w:line="157"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Moreover, because these laws, regulations and standards are subject to varying interpretations, their application in practice may evolve over time as new guidance becomes available. This evolution may result in continuing uncertainty regarding compliance matters and additional costs necessitated by ongoing revisions to our disclosure and governance practices. If we fail to address and comply with these regulations and any subsequent changes, we may be subject to penalty and our business may be harmed.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employ a mail forwarding service, which may delay or disrupt our ability to receive mail in a timely manner.</w:t>
      </w:r>
    </w:p>
    <w:p>
      <w:pPr>
        <w:spacing w:after="0" w:line="229"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Mail addressed to the Company and received at its registered office will be forwarded unopened to the forwarding address supplied by Company to be dealt with. None of the Company, its directors, officers, advisors or service providers (including the organization which provides registered office services in the Cayman Islands) will bear any responsibility for any delay howsoever caused in mail reaching the forwarding address, which may impair your ability to communicate with us.</w:t>
      </w:r>
    </w:p>
    <w:p>
      <w:pPr>
        <w:spacing w:after="0" w:line="29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75" w:name="page76"/>
    <w:bookmarkEnd w:id="75"/>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We are offering 25,000,000 units at an offering price of $10.00 per unit. We estimate that the net proceeds of this offering together with the funds we will receive from the sale of the private placement warrants will be used as set forth in the following table.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4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w w:val="99"/>
              </w:rPr>
              <w:t>Without Over-</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Arial" w:cs="Arial" w:eastAsia="Arial" w:hAnsi="Arial"/>
                <w:sz w:val="18"/>
                <w:szCs w:val="18"/>
                <w:b w:val="1"/>
                <w:bCs w:val="1"/>
                <w:color w:val="auto"/>
                <w:w w:val="92"/>
              </w:rPr>
              <w:t>Over-allotment</w:t>
            </w:r>
          </w:p>
        </w:tc>
        <w:tc>
          <w:tcPr>
            <w:tcW w:w="0" w:type="dxa"/>
            <w:vAlign w:val="bottom"/>
          </w:tcPr>
          <w:p>
            <w:pPr>
              <w:spacing w:after="0"/>
              <w:rPr>
                <w:sz w:val="1"/>
                <w:szCs w:val="1"/>
                <w:color w:val="auto"/>
              </w:rPr>
            </w:pPr>
          </w:p>
        </w:tc>
      </w:tr>
      <w:tr>
        <w:trPr>
          <w:trHeight w:val="234"/>
        </w:trPr>
        <w:tc>
          <w:tcPr>
            <w:tcW w:w="8360" w:type="dxa"/>
            <w:vAlign w:val="bottom"/>
            <w:vMerge w:val="restart"/>
          </w:tcPr>
          <w:p>
            <w:pPr>
              <w:spacing w:after="0"/>
              <w:rPr>
                <w:sz w:val="20"/>
                <w:szCs w:val="20"/>
                <w:color w:val="auto"/>
              </w:rPr>
            </w:pPr>
            <w:r>
              <w:rPr>
                <w:rFonts w:ascii="Arial" w:cs="Arial" w:eastAsia="Arial" w:hAnsi="Arial"/>
                <w:sz w:val="18"/>
                <w:szCs w:val="18"/>
                <w:i w:val="1"/>
                <w:iCs w:val="1"/>
                <w:color w:val="auto"/>
              </w:rPr>
              <w:t>Gross proceeds</w:t>
            </w: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92"/>
              </w:rPr>
              <w:t>allotment Option</w:t>
            </w:r>
          </w:p>
        </w:tc>
        <w:tc>
          <w:tcPr>
            <w:tcW w:w="100" w:type="dxa"/>
            <w:vAlign w:val="bottom"/>
          </w:tcPr>
          <w:p>
            <w:pPr>
              <w:spacing w:after="0"/>
              <w:rPr>
                <w:sz w:val="20"/>
                <w:szCs w:val="20"/>
                <w:color w:val="auto"/>
              </w:rPr>
            </w:pPr>
          </w:p>
        </w:tc>
        <w:tc>
          <w:tcPr>
            <w:tcW w:w="14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0"/>
              </w:rPr>
              <w:t>Option Exercised</w:t>
            </w:r>
          </w:p>
        </w:tc>
        <w:tc>
          <w:tcPr>
            <w:tcW w:w="0" w:type="dxa"/>
            <w:vAlign w:val="bottom"/>
          </w:tcPr>
          <w:p>
            <w:pPr>
              <w:spacing w:after="0"/>
              <w:rPr>
                <w:sz w:val="1"/>
                <w:szCs w:val="1"/>
                <w:color w:val="auto"/>
              </w:rPr>
            </w:pPr>
          </w:p>
        </w:tc>
      </w:tr>
      <w:tr>
        <w:trPr>
          <w:trHeight w:val="210"/>
        </w:trPr>
        <w:tc>
          <w:tcPr>
            <w:tcW w:w="836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8360" w:type="dxa"/>
            <w:vAlign w:val="bottom"/>
            <w:shd w:val="clear" w:color="auto" w:fill="D5EAEA"/>
          </w:tcPr>
          <w:p>
            <w:pPr>
              <w:spacing w:after="0" w:line="256" w:lineRule="exact"/>
              <w:rPr>
                <w:sz w:val="20"/>
                <w:szCs w:val="20"/>
                <w:color w:val="auto"/>
              </w:rPr>
            </w:pPr>
            <w:r>
              <w:rPr>
                <w:rFonts w:ascii="Arial" w:cs="Arial" w:eastAsia="Arial" w:hAnsi="Arial"/>
                <w:sz w:val="18"/>
                <w:szCs w:val="18"/>
                <w:color w:val="auto"/>
              </w:rPr>
              <w:t>Gross proceeds from units offered to public</w:t>
            </w:r>
            <w:r>
              <w:rPr>
                <w:rFonts w:ascii="Arial" w:cs="Arial" w:eastAsia="Arial" w:hAnsi="Arial"/>
                <w:sz w:val="29"/>
                <w:szCs w:val="29"/>
                <w:color w:val="auto"/>
                <w:vertAlign w:val="superscript"/>
              </w:rPr>
              <w:t>(1)</w:t>
            </w:r>
          </w:p>
        </w:tc>
        <w:tc>
          <w:tcPr>
            <w:tcW w:w="280" w:type="dxa"/>
            <w:vAlign w:val="bottom"/>
            <w:gridSpan w:val="2"/>
            <w:shd w:val="clear" w:color="auto" w:fill="D5EAEA"/>
          </w:tcPr>
          <w:p>
            <w:pPr>
              <w:jc w:val="right"/>
              <w:ind w:right="110"/>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D5EAEA"/>
          </w:tcPr>
          <w:p>
            <w:pPr>
              <w:jc w:val="right"/>
              <w:ind w:right="70"/>
              <w:spacing w:after="0"/>
              <w:rPr>
                <w:sz w:val="20"/>
                <w:szCs w:val="20"/>
                <w:color w:val="auto"/>
              </w:rPr>
            </w:pPr>
            <w:r>
              <w:rPr>
                <w:rFonts w:ascii="Arial" w:cs="Arial" w:eastAsia="Arial" w:hAnsi="Arial"/>
                <w:sz w:val="18"/>
                <w:szCs w:val="18"/>
                <w:color w:val="auto"/>
                <w:w w:val="91"/>
              </w:rPr>
              <w:t>250,000,000</w:t>
            </w:r>
          </w:p>
        </w:tc>
        <w:tc>
          <w:tcPr>
            <w:tcW w:w="200" w:type="dxa"/>
            <w:vAlign w:val="bottom"/>
            <w:gridSpan w:val="2"/>
            <w:shd w:val="clear" w:color="auto" w:fill="D5EAEA"/>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D5EAEA"/>
          </w:tcPr>
          <w:p>
            <w:pPr>
              <w:jc w:val="right"/>
              <w:ind w:right="70"/>
              <w:spacing w:after="0"/>
              <w:rPr>
                <w:sz w:val="20"/>
                <w:szCs w:val="20"/>
                <w:color w:val="auto"/>
              </w:rPr>
            </w:pPr>
            <w:r>
              <w:rPr>
                <w:rFonts w:ascii="Arial" w:cs="Arial" w:eastAsia="Arial" w:hAnsi="Arial"/>
                <w:sz w:val="18"/>
                <w:szCs w:val="18"/>
                <w:color w:val="auto"/>
              </w:rPr>
              <w:t>287,500,000</w:t>
            </w:r>
          </w:p>
        </w:tc>
        <w:tc>
          <w:tcPr>
            <w:tcW w:w="0" w:type="dxa"/>
            <w:vAlign w:val="bottom"/>
          </w:tcPr>
          <w:p>
            <w:pPr>
              <w:spacing w:after="0"/>
              <w:rPr>
                <w:sz w:val="1"/>
                <w:szCs w:val="1"/>
                <w:color w:val="auto"/>
              </w:rPr>
            </w:pP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Gross proceeds from private placement warrants offered in the private placement</w:t>
            </w:r>
          </w:p>
        </w:tc>
        <w:tc>
          <w:tcPr>
            <w:tcW w:w="280" w:type="dxa"/>
            <w:vAlign w:val="bottom"/>
            <w:gridSpan w:val="2"/>
          </w:tcPr>
          <w:p>
            <w:pPr>
              <w:jc w:val="right"/>
              <w:ind w:right="110"/>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7,500,000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8,250,000</w:t>
            </w:r>
          </w:p>
        </w:tc>
        <w:tc>
          <w:tcPr>
            <w:tcW w:w="0" w:type="dxa"/>
            <w:vAlign w:val="bottom"/>
          </w:tcPr>
          <w:p>
            <w:pPr>
              <w:spacing w:after="0"/>
              <w:rPr>
                <w:sz w:val="1"/>
                <w:szCs w:val="1"/>
                <w:color w:val="auto"/>
              </w:rPr>
            </w:pPr>
          </w:p>
        </w:tc>
      </w:tr>
      <w:tr>
        <w:trPr>
          <w:trHeight w:val="209"/>
        </w:trPr>
        <w:tc>
          <w:tcPr>
            <w:tcW w:w="8360" w:type="dxa"/>
            <w:vAlign w:val="bottom"/>
            <w:tcBorders>
              <w:top w:val="single" w:sz="8" w:color="D5EAEA"/>
              <w:bottom w:val="single" w:sz="8" w:color="D5EAEA"/>
            </w:tcBorders>
            <w:shd w:val="clear" w:color="auto" w:fill="D5EAEA"/>
          </w:tcPr>
          <w:p>
            <w:pPr>
              <w:spacing w:after="0"/>
              <w:rPr>
                <w:sz w:val="20"/>
                <w:szCs w:val="20"/>
                <w:color w:val="auto"/>
              </w:rPr>
            </w:pPr>
            <w:r>
              <w:rPr>
                <w:rFonts w:ascii="Arial" w:cs="Arial" w:eastAsia="Arial" w:hAnsi="Arial"/>
                <w:sz w:val="18"/>
                <w:szCs w:val="18"/>
                <w:color w:val="auto"/>
              </w:rPr>
              <w:t>Total gross proceeds</w:t>
            </w:r>
          </w:p>
        </w:tc>
        <w:tc>
          <w:tcPr>
            <w:tcW w:w="280" w:type="dxa"/>
            <w:vAlign w:val="bottom"/>
            <w:tcBorders>
              <w:top w:val="single" w:sz="8" w:color="auto"/>
              <w:bottom w:val="single" w:sz="8" w:color="auto"/>
            </w:tcBorders>
            <w:gridSpan w:val="2"/>
            <w:shd w:val="clear" w:color="auto" w:fill="D5EAEA"/>
          </w:tcPr>
          <w:p>
            <w:pPr>
              <w:jc w:val="right"/>
              <w:ind w:right="110"/>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D5EAEA"/>
          </w:tcPr>
          <w:p>
            <w:pPr>
              <w:jc w:val="right"/>
              <w:ind w:right="70"/>
              <w:spacing w:after="0"/>
              <w:rPr>
                <w:sz w:val="20"/>
                <w:szCs w:val="20"/>
                <w:color w:val="auto"/>
              </w:rPr>
            </w:pPr>
            <w:r>
              <w:rPr>
                <w:rFonts w:ascii="Arial" w:cs="Arial" w:eastAsia="Arial" w:hAnsi="Arial"/>
                <w:sz w:val="18"/>
                <w:szCs w:val="18"/>
                <w:color w:val="auto"/>
                <w:w w:val="91"/>
              </w:rPr>
              <w:t>257,500,000</w:t>
            </w:r>
          </w:p>
        </w:tc>
        <w:tc>
          <w:tcPr>
            <w:tcW w:w="100" w:type="dxa"/>
            <w:vAlign w:val="bottom"/>
            <w:tcBorders>
              <w:top w:val="single" w:sz="8" w:color="D5EAEA"/>
              <w:bottom w:val="single" w:sz="8" w:color="D5EAEA"/>
            </w:tcBorders>
            <w:shd w:val="clear" w:color="auto" w:fill="D5EAEA"/>
          </w:tcPr>
          <w:p>
            <w:pPr>
              <w:spacing w:after="0"/>
              <w:rPr>
                <w:sz w:val="18"/>
                <w:szCs w:val="18"/>
                <w:color w:val="auto"/>
              </w:rPr>
            </w:pPr>
          </w:p>
        </w:tc>
        <w:tc>
          <w:tcPr>
            <w:tcW w:w="10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shd w:val="clear" w:color="auto" w:fill="D5EAEA"/>
          </w:tcPr>
          <w:p>
            <w:pPr>
              <w:jc w:val="right"/>
              <w:ind w:right="70"/>
              <w:spacing w:after="0"/>
              <w:rPr>
                <w:sz w:val="20"/>
                <w:szCs w:val="20"/>
                <w:color w:val="auto"/>
              </w:rPr>
            </w:pPr>
            <w:r>
              <w:rPr>
                <w:rFonts w:ascii="Arial" w:cs="Arial" w:eastAsia="Arial" w:hAnsi="Arial"/>
                <w:sz w:val="18"/>
                <w:szCs w:val="18"/>
                <w:color w:val="auto"/>
              </w:rPr>
              <w:t>295,750,000</w:t>
            </w:r>
          </w:p>
        </w:tc>
        <w:tc>
          <w:tcPr>
            <w:tcW w:w="0" w:type="dxa"/>
            <w:vAlign w:val="bottom"/>
          </w:tcPr>
          <w:p>
            <w:pPr>
              <w:spacing w:after="0"/>
              <w:rPr>
                <w:sz w:val="1"/>
                <w:szCs w:val="1"/>
                <w:color w:val="auto"/>
              </w:rPr>
            </w:pPr>
          </w:p>
        </w:tc>
      </w:tr>
      <w:tr>
        <w:trPr>
          <w:trHeight w:val="20"/>
        </w:trPr>
        <w:tc>
          <w:tcPr>
            <w:tcW w:w="8360" w:type="dxa"/>
            <w:vAlign w:val="bottom"/>
            <w:vMerge w:val="restart"/>
          </w:tcPr>
          <w:p>
            <w:pPr>
              <w:spacing w:after="0" w:line="250" w:lineRule="exact"/>
              <w:rPr>
                <w:sz w:val="20"/>
                <w:szCs w:val="20"/>
                <w:color w:val="auto"/>
              </w:rPr>
            </w:pPr>
            <w:r>
              <w:rPr>
                <w:rFonts w:ascii="Arial" w:cs="Arial" w:eastAsia="Arial" w:hAnsi="Arial"/>
                <w:sz w:val="17"/>
                <w:szCs w:val="17"/>
                <w:i w:val="1"/>
                <w:iCs w:val="1"/>
                <w:color w:val="auto"/>
              </w:rPr>
              <w:t>Estimated offering expenses</w:t>
            </w:r>
            <w:r>
              <w:rPr>
                <w:rFonts w:ascii="Arial" w:cs="Arial" w:eastAsia="Arial" w:hAnsi="Arial"/>
                <w:sz w:val="28"/>
                <w:szCs w:val="28"/>
                <w:i w:val="1"/>
                <w:iCs w:val="1"/>
                <w:color w:val="auto"/>
                <w:vertAlign w:val="superscript"/>
              </w:rPr>
              <w:t>(2)</w:t>
            </w: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36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8360" w:type="dxa"/>
            <w:vAlign w:val="bottom"/>
            <w:shd w:val="clear" w:color="auto" w:fill="D5EAEA"/>
          </w:tcPr>
          <w:p>
            <w:pPr>
              <w:spacing w:after="0" w:line="256" w:lineRule="exact"/>
              <w:rPr>
                <w:sz w:val="20"/>
                <w:szCs w:val="20"/>
                <w:color w:val="auto"/>
              </w:rPr>
            </w:pPr>
            <w:r>
              <w:rPr>
                <w:rFonts w:ascii="Arial" w:cs="Arial" w:eastAsia="Arial" w:hAnsi="Arial"/>
                <w:sz w:val="18"/>
                <w:szCs w:val="18"/>
                <w:color w:val="auto"/>
                <w:w w:val="92"/>
              </w:rPr>
              <w:t>Underwriting commissions (2.0% of gross proceeds from units offered to public, excluding deferred portion)</w:t>
            </w:r>
            <w:r>
              <w:rPr>
                <w:rFonts w:ascii="Arial" w:cs="Arial" w:eastAsia="Arial" w:hAnsi="Arial"/>
                <w:sz w:val="29"/>
                <w:szCs w:val="29"/>
                <w:color w:val="auto"/>
                <w:w w:val="92"/>
                <w:vertAlign w:val="superscript"/>
              </w:rPr>
              <w:t>(3)(4)</w:t>
            </w:r>
          </w:p>
        </w:tc>
        <w:tc>
          <w:tcPr>
            <w:tcW w:w="280" w:type="dxa"/>
            <w:vAlign w:val="bottom"/>
            <w:gridSpan w:val="2"/>
            <w:shd w:val="clear" w:color="auto" w:fill="D5EAEA"/>
          </w:tcPr>
          <w:p>
            <w:pPr>
              <w:jc w:val="right"/>
              <w:ind w:right="110"/>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D5EAEA"/>
          </w:tcPr>
          <w:p>
            <w:pPr>
              <w:jc w:val="right"/>
              <w:ind w:right="70"/>
              <w:spacing w:after="0"/>
              <w:rPr>
                <w:sz w:val="20"/>
                <w:szCs w:val="20"/>
                <w:color w:val="auto"/>
              </w:rPr>
            </w:pPr>
            <w:r>
              <w:rPr>
                <w:rFonts w:ascii="Arial" w:cs="Arial" w:eastAsia="Arial" w:hAnsi="Arial"/>
                <w:sz w:val="18"/>
                <w:szCs w:val="18"/>
                <w:color w:val="auto"/>
              </w:rPr>
              <w:t>4,505,000</w:t>
            </w:r>
          </w:p>
        </w:tc>
        <w:tc>
          <w:tcPr>
            <w:tcW w:w="200" w:type="dxa"/>
            <w:vAlign w:val="bottom"/>
            <w:gridSpan w:val="2"/>
            <w:shd w:val="clear" w:color="auto" w:fill="D5EAEA"/>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D5EAEA"/>
          </w:tcPr>
          <w:p>
            <w:pPr>
              <w:jc w:val="right"/>
              <w:ind w:right="70"/>
              <w:spacing w:after="0"/>
              <w:rPr>
                <w:sz w:val="20"/>
                <w:szCs w:val="20"/>
                <w:color w:val="auto"/>
              </w:rPr>
            </w:pPr>
            <w:r>
              <w:rPr>
                <w:rFonts w:ascii="Arial" w:cs="Arial" w:eastAsia="Arial" w:hAnsi="Arial"/>
                <w:sz w:val="18"/>
                <w:szCs w:val="18"/>
                <w:color w:val="auto"/>
              </w:rPr>
              <w:t>5,255,000</w:t>
            </w:r>
          </w:p>
        </w:tc>
        <w:tc>
          <w:tcPr>
            <w:tcW w:w="0" w:type="dxa"/>
            <w:vAlign w:val="bottom"/>
          </w:tcPr>
          <w:p>
            <w:pPr>
              <w:spacing w:after="0"/>
              <w:rPr>
                <w:sz w:val="1"/>
                <w:szCs w:val="1"/>
                <w:color w:val="auto"/>
              </w:rPr>
            </w:pP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Legal fees and expenses</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325,000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325,000</w:t>
            </w:r>
          </w:p>
        </w:tc>
        <w:tc>
          <w:tcPr>
            <w:tcW w:w="0" w:type="dxa"/>
            <w:vAlign w:val="bottom"/>
          </w:tcPr>
          <w:p>
            <w:pPr>
              <w:spacing w:after="0"/>
              <w:rPr>
                <w:sz w:val="1"/>
                <w:szCs w:val="1"/>
                <w:color w:val="auto"/>
              </w:rPr>
            </w:pPr>
          </w:p>
        </w:tc>
      </w:tr>
      <w:tr>
        <w:trPr>
          <w:trHeight w:val="216"/>
        </w:trPr>
        <w:tc>
          <w:tcPr>
            <w:tcW w:w="8360" w:type="dxa"/>
            <w:vAlign w:val="bottom"/>
            <w:shd w:val="clear" w:color="auto" w:fill="D5EAEA"/>
          </w:tcPr>
          <w:p>
            <w:pPr>
              <w:spacing w:after="0"/>
              <w:rPr>
                <w:sz w:val="20"/>
                <w:szCs w:val="20"/>
                <w:color w:val="auto"/>
              </w:rPr>
            </w:pPr>
            <w:r>
              <w:rPr>
                <w:rFonts w:ascii="Arial" w:cs="Arial" w:eastAsia="Arial" w:hAnsi="Arial"/>
                <w:sz w:val="18"/>
                <w:szCs w:val="18"/>
                <w:color w:val="auto"/>
              </w:rPr>
              <w:t>Printing and engraving expenses</w:t>
            </w:r>
          </w:p>
        </w:tc>
        <w:tc>
          <w:tcPr>
            <w:tcW w:w="40" w:type="dxa"/>
            <w:vAlign w:val="bottom"/>
            <w:shd w:val="clear" w:color="auto" w:fill="D5EAEA"/>
          </w:tcPr>
          <w:p>
            <w:pPr>
              <w:spacing w:after="0"/>
              <w:rPr>
                <w:sz w:val="18"/>
                <w:szCs w:val="18"/>
                <w:color w:val="auto"/>
              </w:rPr>
            </w:pPr>
          </w:p>
        </w:tc>
        <w:tc>
          <w:tcPr>
            <w:tcW w:w="240" w:type="dxa"/>
            <w:vAlign w:val="bottom"/>
            <w:shd w:val="clear" w:color="auto" w:fill="D5EAEA"/>
          </w:tcPr>
          <w:p>
            <w:pPr>
              <w:spacing w:after="0"/>
              <w:rPr>
                <w:sz w:val="18"/>
                <w:szCs w:val="18"/>
                <w:color w:val="auto"/>
              </w:rPr>
            </w:pPr>
          </w:p>
        </w:tc>
        <w:tc>
          <w:tcPr>
            <w:tcW w:w="1100" w:type="dxa"/>
            <w:vAlign w:val="bottom"/>
            <w:shd w:val="clear" w:color="auto" w:fill="D5EAEA"/>
          </w:tcPr>
          <w:p>
            <w:pPr>
              <w:jc w:val="right"/>
              <w:ind w:right="70"/>
              <w:spacing w:after="0"/>
              <w:rPr>
                <w:sz w:val="20"/>
                <w:szCs w:val="20"/>
                <w:color w:val="auto"/>
              </w:rPr>
            </w:pPr>
            <w:r>
              <w:rPr>
                <w:rFonts w:ascii="Arial" w:cs="Arial" w:eastAsia="Arial" w:hAnsi="Arial"/>
                <w:sz w:val="18"/>
                <w:szCs w:val="18"/>
                <w:color w:val="auto"/>
              </w:rPr>
              <w:t>30,000</w:t>
            </w:r>
          </w:p>
        </w:tc>
        <w:tc>
          <w:tcPr>
            <w:tcW w:w="10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300" w:type="dxa"/>
            <w:vAlign w:val="bottom"/>
            <w:shd w:val="clear" w:color="auto" w:fill="D5EAEA"/>
          </w:tcPr>
          <w:p>
            <w:pPr>
              <w:jc w:val="right"/>
              <w:ind w:right="70"/>
              <w:spacing w:after="0"/>
              <w:rPr>
                <w:sz w:val="20"/>
                <w:szCs w:val="20"/>
                <w:color w:val="auto"/>
              </w:rPr>
            </w:pPr>
            <w:r>
              <w:rPr>
                <w:rFonts w:ascii="Arial" w:cs="Arial" w:eastAsia="Arial" w:hAnsi="Arial"/>
                <w:sz w:val="18"/>
                <w:szCs w:val="18"/>
                <w:color w:val="auto"/>
              </w:rPr>
              <w:t>30,000</w:t>
            </w:r>
          </w:p>
        </w:tc>
        <w:tc>
          <w:tcPr>
            <w:tcW w:w="0" w:type="dxa"/>
            <w:vAlign w:val="bottom"/>
          </w:tcPr>
          <w:p>
            <w:pPr>
              <w:spacing w:after="0"/>
              <w:rPr>
                <w:sz w:val="1"/>
                <w:szCs w:val="1"/>
                <w:color w:val="auto"/>
              </w:rPr>
            </w:pP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Accounting fees and expenses</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44,500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44,500</w:t>
            </w:r>
          </w:p>
        </w:tc>
        <w:tc>
          <w:tcPr>
            <w:tcW w:w="0" w:type="dxa"/>
            <w:vAlign w:val="bottom"/>
          </w:tcPr>
          <w:p>
            <w:pPr>
              <w:spacing w:after="0"/>
              <w:rPr>
                <w:sz w:val="1"/>
                <w:szCs w:val="1"/>
                <w:color w:val="auto"/>
              </w:rPr>
            </w:pPr>
          </w:p>
        </w:tc>
      </w:tr>
      <w:tr>
        <w:trPr>
          <w:trHeight w:val="216"/>
        </w:trPr>
        <w:tc>
          <w:tcPr>
            <w:tcW w:w="8360" w:type="dxa"/>
            <w:vAlign w:val="bottom"/>
            <w:shd w:val="clear" w:color="auto" w:fill="D5EAEA"/>
          </w:tcPr>
          <w:p>
            <w:pPr>
              <w:spacing w:after="0"/>
              <w:rPr>
                <w:sz w:val="20"/>
                <w:szCs w:val="20"/>
                <w:color w:val="auto"/>
              </w:rPr>
            </w:pPr>
            <w:r>
              <w:rPr>
                <w:rFonts w:ascii="Arial" w:cs="Arial" w:eastAsia="Arial" w:hAnsi="Arial"/>
                <w:sz w:val="18"/>
                <w:szCs w:val="18"/>
                <w:color w:val="auto"/>
              </w:rPr>
              <w:t>SEC/FINRA Expenses</w:t>
            </w:r>
          </w:p>
        </w:tc>
        <w:tc>
          <w:tcPr>
            <w:tcW w:w="40" w:type="dxa"/>
            <w:vAlign w:val="bottom"/>
            <w:shd w:val="clear" w:color="auto" w:fill="D5EAEA"/>
          </w:tcPr>
          <w:p>
            <w:pPr>
              <w:spacing w:after="0"/>
              <w:rPr>
                <w:sz w:val="18"/>
                <w:szCs w:val="18"/>
                <w:color w:val="auto"/>
              </w:rPr>
            </w:pPr>
          </w:p>
        </w:tc>
        <w:tc>
          <w:tcPr>
            <w:tcW w:w="240" w:type="dxa"/>
            <w:vAlign w:val="bottom"/>
            <w:shd w:val="clear" w:color="auto" w:fill="D5EAEA"/>
          </w:tcPr>
          <w:p>
            <w:pPr>
              <w:spacing w:after="0"/>
              <w:rPr>
                <w:sz w:val="18"/>
                <w:szCs w:val="18"/>
                <w:color w:val="auto"/>
              </w:rPr>
            </w:pPr>
          </w:p>
        </w:tc>
        <w:tc>
          <w:tcPr>
            <w:tcW w:w="1100" w:type="dxa"/>
            <w:vAlign w:val="bottom"/>
            <w:shd w:val="clear" w:color="auto" w:fill="D5EAEA"/>
          </w:tcPr>
          <w:p>
            <w:pPr>
              <w:jc w:val="right"/>
              <w:ind w:right="70"/>
              <w:spacing w:after="0"/>
              <w:rPr>
                <w:sz w:val="20"/>
                <w:szCs w:val="20"/>
                <w:color w:val="auto"/>
              </w:rPr>
            </w:pPr>
            <w:r>
              <w:rPr>
                <w:rFonts w:ascii="Arial" w:cs="Arial" w:eastAsia="Arial" w:hAnsi="Arial"/>
                <w:sz w:val="18"/>
                <w:szCs w:val="18"/>
                <w:color w:val="auto"/>
              </w:rPr>
              <w:t>74,991</w:t>
            </w:r>
          </w:p>
        </w:tc>
        <w:tc>
          <w:tcPr>
            <w:tcW w:w="10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300" w:type="dxa"/>
            <w:vAlign w:val="bottom"/>
            <w:shd w:val="clear" w:color="auto" w:fill="D5EAEA"/>
          </w:tcPr>
          <w:p>
            <w:pPr>
              <w:jc w:val="right"/>
              <w:ind w:right="70"/>
              <w:spacing w:after="0"/>
              <w:rPr>
                <w:sz w:val="20"/>
                <w:szCs w:val="20"/>
                <w:color w:val="auto"/>
              </w:rPr>
            </w:pPr>
            <w:r>
              <w:rPr>
                <w:rFonts w:ascii="Arial" w:cs="Arial" w:eastAsia="Arial" w:hAnsi="Arial"/>
                <w:sz w:val="18"/>
                <w:szCs w:val="18"/>
                <w:color w:val="auto"/>
              </w:rPr>
              <w:t>74,991</w:t>
            </w:r>
          </w:p>
        </w:tc>
        <w:tc>
          <w:tcPr>
            <w:tcW w:w="0" w:type="dxa"/>
            <w:vAlign w:val="bottom"/>
          </w:tcPr>
          <w:p>
            <w:pPr>
              <w:spacing w:after="0"/>
              <w:rPr>
                <w:sz w:val="1"/>
                <w:szCs w:val="1"/>
                <w:color w:val="auto"/>
              </w:rPr>
            </w:pP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NYSE listing and filing fees</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85,000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85,000</w:t>
            </w:r>
          </w:p>
        </w:tc>
        <w:tc>
          <w:tcPr>
            <w:tcW w:w="0" w:type="dxa"/>
            <w:vAlign w:val="bottom"/>
          </w:tcPr>
          <w:p>
            <w:pPr>
              <w:spacing w:after="0"/>
              <w:rPr>
                <w:sz w:val="1"/>
                <w:szCs w:val="1"/>
                <w:color w:val="auto"/>
              </w:rPr>
            </w:pPr>
          </w:p>
        </w:tc>
      </w:tr>
      <w:tr>
        <w:trPr>
          <w:trHeight w:val="216"/>
        </w:trPr>
        <w:tc>
          <w:tcPr>
            <w:tcW w:w="8360" w:type="dxa"/>
            <w:vAlign w:val="bottom"/>
            <w:shd w:val="clear" w:color="auto" w:fill="D5EAEA"/>
          </w:tcPr>
          <w:p>
            <w:pPr>
              <w:spacing w:after="0"/>
              <w:rPr>
                <w:sz w:val="20"/>
                <w:szCs w:val="20"/>
                <w:color w:val="auto"/>
              </w:rPr>
            </w:pPr>
            <w:r>
              <w:rPr>
                <w:rFonts w:ascii="Arial" w:cs="Arial" w:eastAsia="Arial" w:hAnsi="Arial"/>
                <w:sz w:val="18"/>
                <w:szCs w:val="18"/>
                <w:color w:val="auto"/>
              </w:rPr>
              <w:t>Directors and officers insurance</w:t>
            </w:r>
          </w:p>
        </w:tc>
        <w:tc>
          <w:tcPr>
            <w:tcW w:w="40" w:type="dxa"/>
            <w:vAlign w:val="bottom"/>
            <w:shd w:val="clear" w:color="auto" w:fill="D5EAEA"/>
          </w:tcPr>
          <w:p>
            <w:pPr>
              <w:spacing w:after="0"/>
              <w:rPr>
                <w:sz w:val="18"/>
                <w:szCs w:val="18"/>
                <w:color w:val="auto"/>
              </w:rPr>
            </w:pPr>
          </w:p>
        </w:tc>
        <w:tc>
          <w:tcPr>
            <w:tcW w:w="240" w:type="dxa"/>
            <w:vAlign w:val="bottom"/>
            <w:shd w:val="clear" w:color="auto" w:fill="D5EAEA"/>
          </w:tcPr>
          <w:p>
            <w:pPr>
              <w:spacing w:after="0"/>
              <w:rPr>
                <w:sz w:val="18"/>
                <w:szCs w:val="18"/>
                <w:color w:val="auto"/>
              </w:rPr>
            </w:pPr>
          </w:p>
        </w:tc>
        <w:tc>
          <w:tcPr>
            <w:tcW w:w="1100" w:type="dxa"/>
            <w:vAlign w:val="bottom"/>
            <w:shd w:val="clear" w:color="auto" w:fill="D5EAEA"/>
          </w:tcPr>
          <w:p>
            <w:pPr>
              <w:jc w:val="right"/>
              <w:ind w:right="70"/>
              <w:spacing w:after="0"/>
              <w:rPr>
                <w:sz w:val="20"/>
                <w:szCs w:val="20"/>
                <w:color w:val="auto"/>
              </w:rPr>
            </w:pPr>
            <w:r>
              <w:rPr>
                <w:rFonts w:ascii="Arial" w:cs="Arial" w:eastAsia="Arial" w:hAnsi="Arial"/>
                <w:sz w:val="18"/>
                <w:szCs w:val="18"/>
                <w:color w:val="auto"/>
              </w:rPr>
              <w:t>400,000</w:t>
            </w:r>
          </w:p>
        </w:tc>
        <w:tc>
          <w:tcPr>
            <w:tcW w:w="10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300" w:type="dxa"/>
            <w:vAlign w:val="bottom"/>
            <w:shd w:val="clear" w:color="auto" w:fill="D5EAEA"/>
          </w:tcPr>
          <w:p>
            <w:pPr>
              <w:jc w:val="right"/>
              <w:ind w:right="70"/>
              <w:spacing w:after="0"/>
              <w:rPr>
                <w:sz w:val="20"/>
                <w:szCs w:val="20"/>
                <w:color w:val="auto"/>
              </w:rPr>
            </w:pPr>
            <w:r>
              <w:rPr>
                <w:rFonts w:ascii="Arial" w:cs="Arial" w:eastAsia="Arial" w:hAnsi="Arial"/>
                <w:sz w:val="18"/>
                <w:szCs w:val="18"/>
                <w:color w:val="auto"/>
              </w:rPr>
              <w:t>400,000</w:t>
            </w:r>
          </w:p>
        </w:tc>
        <w:tc>
          <w:tcPr>
            <w:tcW w:w="0" w:type="dxa"/>
            <w:vAlign w:val="bottom"/>
          </w:tcPr>
          <w:p>
            <w:pPr>
              <w:spacing w:after="0"/>
              <w:rPr>
                <w:sz w:val="1"/>
                <w:szCs w:val="1"/>
                <w:color w:val="auto"/>
              </w:rPr>
            </w:pPr>
          </w:p>
        </w:tc>
      </w:tr>
      <w:tr>
        <w:trPr>
          <w:trHeight w:val="216"/>
        </w:trPr>
        <w:tc>
          <w:tcPr>
            <w:tcW w:w="8360" w:type="dxa"/>
            <w:vAlign w:val="bottom"/>
            <w:tcBorders>
              <w:bottom w:val="single" w:sz="8" w:color="D5EAEA"/>
            </w:tcBorders>
          </w:tcPr>
          <w:p>
            <w:pPr>
              <w:spacing w:after="0"/>
              <w:rPr>
                <w:sz w:val="20"/>
                <w:szCs w:val="20"/>
                <w:color w:val="auto"/>
              </w:rPr>
            </w:pPr>
            <w:r>
              <w:rPr>
                <w:rFonts w:ascii="Arial" w:cs="Arial" w:eastAsia="Arial" w:hAnsi="Arial"/>
                <w:sz w:val="18"/>
                <w:szCs w:val="18"/>
                <w:color w:val="auto"/>
              </w:rPr>
              <w:t>Miscellaneous</w:t>
            </w:r>
          </w:p>
        </w:tc>
        <w:tc>
          <w:tcPr>
            <w:tcW w:w="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40,509</w:t>
            </w:r>
          </w:p>
        </w:tc>
        <w:tc>
          <w:tcPr>
            <w:tcW w:w="100" w:type="dxa"/>
            <w:vAlign w:val="bottom"/>
            <w:tcBorders>
              <w:bottom w:val="single" w:sz="8" w:color="D5EAEA"/>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40,509</w:t>
            </w:r>
          </w:p>
        </w:tc>
        <w:tc>
          <w:tcPr>
            <w:tcW w:w="0" w:type="dxa"/>
            <w:vAlign w:val="bottom"/>
          </w:tcPr>
          <w:p>
            <w:pPr>
              <w:spacing w:after="0"/>
              <w:rPr>
                <w:sz w:val="1"/>
                <w:szCs w:val="1"/>
                <w:color w:val="auto"/>
              </w:rPr>
            </w:pPr>
          </w:p>
        </w:tc>
      </w:tr>
      <w:tr>
        <w:trPr>
          <w:trHeight w:val="209"/>
        </w:trPr>
        <w:tc>
          <w:tcPr>
            <w:tcW w:w="8360" w:type="dxa"/>
            <w:vAlign w:val="bottom"/>
            <w:shd w:val="clear" w:color="auto" w:fill="D5EAEA"/>
          </w:tcPr>
          <w:p>
            <w:pPr>
              <w:spacing w:after="0"/>
              <w:rPr>
                <w:sz w:val="20"/>
                <w:szCs w:val="20"/>
                <w:color w:val="auto"/>
              </w:rPr>
            </w:pPr>
            <w:r>
              <w:rPr>
                <w:rFonts w:ascii="Arial" w:cs="Arial" w:eastAsia="Arial" w:hAnsi="Arial"/>
                <w:sz w:val="18"/>
                <w:szCs w:val="18"/>
                <w:color w:val="auto"/>
              </w:rPr>
              <w:t>Total estimated offering expenses (other than underwriting commissions)</w:t>
            </w:r>
          </w:p>
        </w:tc>
        <w:tc>
          <w:tcPr>
            <w:tcW w:w="280" w:type="dxa"/>
            <w:vAlign w:val="bottom"/>
            <w:gridSpan w:val="2"/>
            <w:shd w:val="clear" w:color="auto" w:fill="D5EAEA"/>
          </w:tcPr>
          <w:p>
            <w:pPr>
              <w:jc w:val="right"/>
              <w:ind w:right="110"/>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D5EAEA"/>
          </w:tcPr>
          <w:p>
            <w:pPr>
              <w:jc w:val="right"/>
              <w:ind w:right="70"/>
              <w:spacing w:after="0"/>
              <w:rPr>
                <w:sz w:val="20"/>
                <w:szCs w:val="20"/>
                <w:color w:val="auto"/>
              </w:rPr>
            </w:pPr>
            <w:r>
              <w:rPr>
                <w:rFonts w:ascii="Arial" w:cs="Arial" w:eastAsia="Arial" w:hAnsi="Arial"/>
                <w:sz w:val="18"/>
                <w:szCs w:val="18"/>
                <w:color w:val="auto"/>
              </w:rPr>
              <w:t>1,000,000</w:t>
            </w:r>
          </w:p>
        </w:tc>
        <w:tc>
          <w:tcPr>
            <w:tcW w:w="100" w:type="dxa"/>
            <w:vAlign w:val="bottom"/>
            <w:shd w:val="clear" w:color="auto" w:fill="D5EAEA"/>
          </w:tcPr>
          <w:p>
            <w:pPr>
              <w:spacing w:after="0"/>
              <w:rPr>
                <w:sz w:val="18"/>
                <w:szCs w:val="18"/>
                <w:color w:val="auto"/>
              </w:rPr>
            </w:pPr>
          </w:p>
        </w:tc>
        <w:tc>
          <w:tcPr>
            <w:tcW w:w="100" w:type="dxa"/>
            <w:vAlign w:val="bottom"/>
            <w:shd w:val="clear" w:color="auto" w:fill="D5EAEA"/>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D5EAEA"/>
          </w:tcPr>
          <w:p>
            <w:pPr>
              <w:jc w:val="right"/>
              <w:ind w:right="70"/>
              <w:spacing w:after="0"/>
              <w:rPr>
                <w:sz w:val="20"/>
                <w:szCs w:val="20"/>
                <w:color w:val="auto"/>
              </w:rPr>
            </w:pPr>
            <w:r>
              <w:rPr>
                <w:rFonts w:ascii="Arial" w:cs="Arial" w:eastAsia="Arial" w:hAnsi="Arial"/>
                <w:sz w:val="18"/>
                <w:szCs w:val="18"/>
                <w:color w:val="auto"/>
              </w:rPr>
              <w:t>1,000,000</w:t>
            </w:r>
          </w:p>
        </w:tc>
        <w:tc>
          <w:tcPr>
            <w:tcW w:w="0" w:type="dxa"/>
            <w:vAlign w:val="bottom"/>
          </w:tcPr>
          <w:p>
            <w:pPr>
              <w:spacing w:after="0"/>
              <w:rPr>
                <w:sz w:val="1"/>
                <w:szCs w:val="1"/>
                <w:color w:val="auto"/>
              </w:rPr>
            </w:pPr>
          </w:p>
        </w:tc>
      </w:tr>
      <w:tr>
        <w:trPr>
          <w:trHeight w:val="256"/>
        </w:trPr>
        <w:tc>
          <w:tcPr>
            <w:tcW w:w="8360" w:type="dxa"/>
            <w:vAlign w:val="bottom"/>
          </w:tcPr>
          <w:p>
            <w:pPr>
              <w:spacing w:after="0"/>
              <w:rPr>
                <w:sz w:val="20"/>
                <w:szCs w:val="20"/>
                <w:color w:val="auto"/>
              </w:rPr>
            </w:pPr>
            <w:r>
              <w:rPr>
                <w:rFonts w:ascii="Arial" w:cs="Arial" w:eastAsia="Arial" w:hAnsi="Arial"/>
                <w:sz w:val="18"/>
                <w:szCs w:val="18"/>
                <w:color w:val="auto"/>
              </w:rPr>
              <w:t>Proceeds after estimated offering expenses</w:t>
            </w:r>
          </w:p>
        </w:tc>
        <w:tc>
          <w:tcPr>
            <w:tcW w:w="280" w:type="dxa"/>
            <w:vAlign w:val="bottom"/>
            <w:gridSpan w:val="2"/>
          </w:tcPr>
          <w:p>
            <w:pPr>
              <w:jc w:val="right"/>
              <w:ind w:right="110"/>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ind w:right="70"/>
              <w:spacing w:after="0"/>
              <w:rPr>
                <w:sz w:val="20"/>
                <w:szCs w:val="20"/>
                <w:color w:val="auto"/>
              </w:rPr>
            </w:pPr>
            <w:r>
              <w:rPr>
                <w:rFonts w:ascii="Arial" w:cs="Arial" w:eastAsia="Arial" w:hAnsi="Arial"/>
                <w:sz w:val="18"/>
                <w:szCs w:val="18"/>
                <w:color w:val="auto"/>
                <w:w w:val="91"/>
              </w:rPr>
              <w:t>251,995,000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289,495,000</w:t>
            </w:r>
          </w:p>
        </w:tc>
        <w:tc>
          <w:tcPr>
            <w:tcW w:w="0" w:type="dxa"/>
            <w:vAlign w:val="bottom"/>
          </w:tcPr>
          <w:p>
            <w:pPr>
              <w:spacing w:after="0"/>
              <w:rPr>
                <w:sz w:val="1"/>
                <w:szCs w:val="1"/>
                <w:color w:val="auto"/>
              </w:rPr>
            </w:pPr>
          </w:p>
        </w:tc>
      </w:tr>
      <w:tr>
        <w:trPr>
          <w:trHeight w:val="210"/>
        </w:trPr>
        <w:tc>
          <w:tcPr>
            <w:tcW w:w="8360" w:type="dxa"/>
            <w:vAlign w:val="bottom"/>
            <w:tcBorders>
              <w:top w:val="single" w:sz="8" w:color="D5EAEA"/>
            </w:tcBorders>
            <w:shd w:val="clear" w:color="auto" w:fill="D5EAEA"/>
          </w:tcPr>
          <w:p>
            <w:pPr>
              <w:spacing w:after="0" w:line="210" w:lineRule="exact"/>
              <w:rPr>
                <w:sz w:val="20"/>
                <w:szCs w:val="20"/>
                <w:color w:val="auto"/>
              </w:rPr>
            </w:pPr>
            <w:r>
              <w:rPr>
                <w:rFonts w:ascii="Arial" w:cs="Arial" w:eastAsia="Arial" w:hAnsi="Arial"/>
                <w:sz w:val="15"/>
                <w:szCs w:val="15"/>
                <w:color w:val="auto"/>
              </w:rPr>
              <w:t>Held in trust account</w:t>
            </w:r>
            <w:r>
              <w:rPr>
                <w:rFonts w:ascii="Arial" w:cs="Arial" w:eastAsia="Arial" w:hAnsi="Arial"/>
                <w:sz w:val="24"/>
                <w:szCs w:val="24"/>
                <w:color w:val="auto"/>
                <w:vertAlign w:val="superscript"/>
              </w:rPr>
              <w:t>(3)</w:t>
            </w:r>
          </w:p>
        </w:tc>
        <w:tc>
          <w:tcPr>
            <w:tcW w:w="40" w:type="dxa"/>
            <w:vAlign w:val="bottom"/>
            <w:tcBorders>
              <w:top w:val="single" w:sz="8" w:color="auto"/>
            </w:tcBorders>
            <w:shd w:val="clear" w:color="auto" w:fill="D5EAEA"/>
          </w:tcPr>
          <w:p>
            <w:pPr>
              <w:spacing w:after="0"/>
              <w:rPr>
                <w:sz w:val="18"/>
                <w:szCs w:val="18"/>
                <w:color w:val="auto"/>
              </w:rPr>
            </w:pPr>
          </w:p>
        </w:tc>
        <w:tc>
          <w:tcPr>
            <w:tcW w:w="240" w:type="dxa"/>
            <w:vAlign w:val="bottom"/>
            <w:tcBorders>
              <w:top w:val="single" w:sz="8" w:color="auto"/>
            </w:tcBorders>
            <w:shd w:val="clear" w:color="auto" w:fill="D5EAEA"/>
          </w:tcPr>
          <w:p>
            <w:pPr>
              <w:spacing w:after="0"/>
              <w:rPr>
                <w:sz w:val="18"/>
                <w:szCs w:val="18"/>
                <w:color w:val="auto"/>
              </w:rPr>
            </w:pPr>
          </w:p>
        </w:tc>
        <w:tc>
          <w:tcPr>
            <w:tcW w:w="1100" w:type="dxa"/>
            <w:vAlign w:val="bottom"/>
            <w:tcBorders>
              <w:top w:val="single" w:sz="8" w:color="auto"/>
            </w:tcBorders>
            <w:shd w:val="clear" w:color="auto" w:fill="D5EAEA"/>
          </w:tcPr>
          <w:p>
            <w:pPr>
              <w:jc w:val="right"/>
              <w:ind w:right="70"/>
              <w:spacing w:after="0"/>
              <w:rPr>
                <w:sz w:val="20"/>
                <w:szCs w:val="20"/>
                <w:color w:val="auto"/>
              </w:rPr>
            </w:pPr>
            <w:r>
              <w:rPr>
                <w:rFonts w:ascii="Arial" w:cs="Arial" w:eastAsia="Arial" w:hAnsi="Arial"/>
                <w:sz w:val="18"/>
                <w:szCs w:val="18"/>
                <w:color w:val="auto"/>
                <w:w w:val="91"/>
              </w:rPr>
              <w:t>250,000,000</w:t>
            </w:r>
          </w:p>
        </w:tc>
        <w:tc>
          <w:tcPr>
            <w:tcW w:w="100" w:type="dxa"/>
            <w:vAlign w:val="bottom"/>
            <w:tcBorders>
              <w:top w:val="single" w:sz="8" w:color="D5EAEA"/>
            </w:tcBorders>
            <w:shd w:val="clear" w:color="auto" w:fill="D5EAEA"/>
          </w:tcPr>
          <w:p>
            <w:pPr>
              <w:spacing w:after="0"/>
              <w:rPr>
                <w:sz w:val="18"/>
                <w:szCs w:val="18"/>
                <w:color w:val="auto"/>
              </w:rPr>
            </w:pPr>
          </w:p>
        </w:tc>
        <w:tc>
          <w:tcPr>
            <w:tcW w:w="100" w:type="dxa"/>
            <w:vAlign w:val="bottom"/>
            <w:tcBorders>
              <w:top w:val="single" w:sz="8" w:color="auto"/>
            </w:tcBorders>
            <w:shd w:val="clear" w:color="auto" w:fill="D5EAEA"/>
          </w:tcPr>
          <w:p>
            <w:pPr>
              <w:spacing w:after="0"/>
              <w:rPr>
                <w:sz w:val="18"/>
                <w:szCs w:val="18"/>
                <w:color w:val="auto"/>
              </w:rPr>
            </w:pPr>
          </w:p>
        </w:tc>
        <w:tc>
          <w:tcPr>
            <w:tcW w:w="1300" w:type="dxa"/>
            <w:vAlign w:val="bottom"/>
            <w:tcBorders>
              <w:top w:val="single" w:sz="8" w:color="auto"/>
            </w:tcBorders>
            <w:shd w:val="clear" w:color="auto" w:fill="D5EAEA"/>
          </w:tcPr>
          <w:p>
            <w:pPr>
              <w:jc w:val="right"/>
              <w:ind w:right="70"/>
              <w:spacing w:after="0"/>
              <w:rPr>
                <w:sz w:val="20"/>
                <w:szCs w:val="20"/>
                <w:color w:val="auto"/>
              </w:rPr>
            </w:pPr>
            <w:r>
              <w:rPr>
                <w:rFonts w:ascii="Arial" w:cs="Arial" w:eastAsia="Arial" w:hAnsi="Arial"/>
                <w:sz w:val="18"/>
                <w:szCs w:val="18"/>
                <w:color w:val="auto"/>
              </w:rPr>
              <w:t>287,500,000</w:t>
            </w:r>
          </w:p>
        </w:tc>
        <w:tc>
          <w:tcPr>
            <w:tcW w:w="0" w:type="dxa"/>
            <w:vAlign w:val="bottom"/>
          </w:tcPr>
          <w:p>
            <w:pPr>
              <w:spacing w:after="0"/>
              <w:rPr>
                <w:sz w:val="1"/>
                <w:szCs w:val="1"/>
                <w:color w:val="auto"/>
              </w:rPr>
            </w:pP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 of public offering size</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8360" w:type="dxa"/>
            <w:vAlign w:val="bottom"/>
            <w:tcBorders>
              <w:bottom w:val="single" w:sz="8" w:color="D5EAEA"/>
            </w:tcBorders>
            <w:shd w:val="clear" w:color="auto" w:fill="D5EAEA"/>
          </w:tcPr>
          <w:p>
            <w:pPr>
              <w:spacing w:after="0"/>
              <w:rPr>
                <w:sz w:val="20"/>
                <w:szCs w:val="20"/>
                <w:color w:val="auto"/>
              </w:rPr>
            </w:pPr>
            <w:r>
              <w:rPr>
                <w:rFonts w:ascii="Arial" w:cs="Arial" w:eastAsia="Arial" w:hAnsi="Arial"/>
                <w:sz w:val="18"/>
                <w:szCs w:val="18"/>
                <w:color w:val="auto"/>
              </w:rPr>
              <w:t>Not held in trust account</w:t>
            </w:r>
          </w:p>
        </w:tc>
        <w:tc>
          <w:tcPr>
            <w:tcW w:w="280" w:type="dxa"/>
            <w:vAlign w:val="bottom"/>
            <w:tcBorders>
              <w:bottom w:val="single" w:sz="8" w:color="auto"/>
            </w:tcBorders>
            <w:gridSpan w:val="2"/>
            <w:shd w:val="clear" w:color="auto" w:fill="D5EAEA"/>
          </w:tcPr>
          <w:p>
            <w:pPr>
              <w:jc w:val="right"/>
              <w:ind w:right="110"/>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D5EAEA"/>
          </w:tcPr>
          <w:p>
            <w:pPr>
              <w:jc w:val="right"/>
              <w:ind w:right="70"/>
              <w:spacing w:after="0"/>
              <w:rPr>
                <w:sz w:val="20"/>
                <w:szCs w:val="20"/>
                <w:color w:val="auto"/>
              </w:rPr>
            </w:pPr>
            <w:r>
              <w:rPr>
                <w:rFonts w:ascii="Arial" w:cs="Arial" w:eastAsia="Arial" w:hAnsi="Arial"/>
                <w:sz w:val="18"/>
                <w:szCs w:val="18"/>
                <w:color w:val="auto"/>
              </w:rPr>
              <w:t>1,995,000</w:t>
            </w:r>
          </w:p>
        </w:tc>
        <w:tc>
          <w:tcPr>
            <w:tcW w:w="100" w:type="dxa"/>
            <w:vAlign w:val="bottom"/>
            <w:tcBorders>
              <w:bottom w:val="single" w:sz="8" w:color="D5EAEA"/>
            </w:tcBorders>
            <w:shd w:val="clear" w:color="auto" w:fill="D5EAEA"/>
          </w:tcPr>
          <w:p>
            <w:pPr>
              <w:spacing w:after="0"/>
              <w:rPr>
                <w:sz w:val="18"/>
                <w:szCs w:val="18"/>
                <w:color w:val="auto"/>
              </w:rPr>
            </w:pPr>
          </w:p>
        </w:tc>
        <w:tc>
          <w:tcPr>
            <w:tcW w:w="10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D5EAEA"/>
          </w:tcPr>
          <w:p>
            <w:pPr>
              <w:jc w:val="right"/>
              <w:ind w:right="70"/>
              <w:spacing w:after="0"/>
              <w:rPr>
                <w:sz w:val="20"/>
                <w:szCs w:val="20"/>
                <w:color w:val="auto"/>
              </w:rPr>
            </w:pPr>
            <w:r>
              <w:rPr>
                <w:rFonts w:ascii="Arial" w:cs="Arial" w:eastAsia="Arial" w:hAnsi="Arial"/>
                <w:sz w:val="18"/>
                <w:szCs w:val="18"/>
                <w:color w:val="auto"/>
              </w:rPr>
              <w:t>1,995,000</w:t>
            </w: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6"/>
        </w:trPr>
        <w:tc>
          <w:tcPr>
            <w:tcW w:w="8640" w:type="dxa"/>
            <w:vAlign w:val="bottom"/>
            <w:gridSpan w:val="3"/>
          </w:tcPr>
          <w:p>
            <w:pPr>
              <w:ind w:left="340"/>
              <w:spacing w:after="0"/>
              <w:rPr>
                <w:sz w:val="20"/>
                <w:szCs w:val="20"/>
                <w:color w:val="auto"/>
              </w:rPr>
            </w:pPr>
            <w:r>
              <w:rPr>
                <w:rFonts w:ascii="Arial" w:cs="Arial" w:eastAsia="Arial" w:hAnsi="Arial"/>
                <w:sz w:val="18"/>
                <w:szCs w:val="18"/>
                <w:color w:val="auto"/>
                <w:w w:val="90"/>
              </w:rPr>
              <w:t>The following table shows the use of the approximately $1,995,000 of net proceeds not held in the trust account:</w:t>
            </w:r>
            <w:r>
              <w:rPr>
                <w:rFonts w:ascii="Arial" w:cs="Arial" w:eastAsia="Arial" w:hAnsi="Arial"/>
                <w:sz w:val="29"/>
                <w:szCs w:val="29"/>
                <w:color w:val="auto"/>
                <w:w w:val="90"/>
                <w:vertAlign w:val="superscript"/>
              </w:rPr>
              <w:t>(5)</w:t>
            </w: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8360" w:type="dxa"/>
            <w:vAlign w:val="bottom"/>
            <w:tcBorders>
              <w:bottom w:val="single" w:sz="8" w:color="D5EAEA"/>
            </w:tcBorders>
          </w:tcPr>
          <w:p>
            <w:pPr>
              <w:spacing w:after="0"/>
              <w:rPr>
                <w:sz w:val="24"/>
                <w:szCs w:val="24"/>
                <w:color w:val="auto"/>
              </w:rPr>
            </w:pPr>
          </w:p>
        </w:tc>
        <w:tc>
          <w:tcPr>
            <w:tcW w:w="40" w:type="dxa"/>
            <w:vAlign w:val="bottom"/>
            <w:tcBorders>
              <w:bottom w:val="single" w:sz="8" w:color="D5EAEA"/>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Amount</w:t>
            </w:r>
          </w:p>
        </w:tc>
        <w:tc>
          <w:tcPr>
            <w:tcW w:w="100" w:type="dxa"/>
            <w:vAlign w:val="bottom"/>
            <w:tcBorders>
              <w:bottom w:val="single" w:sz="8" w:color="D5EAEA"/>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 of Total</w:t>
            </w:r>
          </w:p>
        </w:tc>
        <w:tc>
          <w:tcPr>
            <w:tcW w:w="0" w:type="dxa"/>
            <w:vAlign w:val="bottom"/>
          </w:tcPr>
          <w:p>
            <w:pPr>
              <w:spacing w:after="0"/>
              <w:rPr>
                <w:sz w:val="1"/>
                <w:szCs w:val="1"/>
                <w:color w:val="auto"/>
              </w:rPr>
            </w:pPr>
          </w:p>
        </w:tc>
      </w:tr>
      <w:tr>
        <w:trPr>
          <w:trHeight w:val="236"/>
        </w:trPr>
        <w:tc>
          <w:tcPr>
            <w:tcW w:w="8360" w:type="dxa"/>
            <w:vAlign w:val="bottom"/>
            <w:shd w:val="clear" w:color="auto" w:fill="D5EAEA"/>
          </w:tcPr>
          <w:p>
            <w:pPr>
              <w:spacing w:after="0" w:line="236" w:lineRule="exact"/>
              <w:rPr>
                <w:sz w:val="20"/>
                <w:szCs w:val="20"/>
                <w:color w:val="auto"/>
              </w:rPr>
            </w:pPr>
            <w:r>
              <w:rPr>
                <w:rFonts w:ascii="Arial" w:cs="Arial" w:eastAsia="Arial" w:hAnsi="Arial"/>
                <w:sz w:val="17"/>
                <w:szCs w:val="17"/>
                <w:color w:val="auto"/>
              </w:rPr>
              <w:t>Legal, accounting, due diligence, travel, and other expenses in connection with any business combination</w:t>
            </w:r>
            <w:r>
              <w:rPr>
                <w:rFonts w:ascii="Arial" w:cs="Arial" w:eastAsia="Arial" w:hAnsi="Arial"/>
                <w:sz w:val="27"/>
                <w:szCs w:val="27"/>
                <w:color w:val="auto"/>
                <w:vertAlign w:val="superscript"/>
              </w:rPr>
              <w:t>(6)</w:t>
            </w:r>
          </w:p>
        </w:tc>
        <w:tc>
          <w:tcPr>
            <w:tcW w:w="40" w:type="dxa"/>
            <w:vAlign w:val="bottom"/>
            <w:shd w:val="clear" w:color="auto" w:fill="D5EAEA"/>
          </w:tcPr>
          <w:p>
            <w:pPr>
              <w:spacing w:after="0"/>
              <w:rPr>
                <w:sz w:val="20"/>
                <w:szCs w:val="20"/>
                <w:color w:val="auto"/>
              </w:rPr>
            </w:pPr>
          </w:p>
        </w:tc>
        <w:tc>
          <w:tcPr>
            <w:tcW w:w="240" w:type="dxa"/>
            <w:vAlign w:val="bottom"/>
            <w:shd w:val="clear" w:color="auto" w:fill="D5EAEA"/>
          </w:tcPr>
          <w:p>
            <w:pPr>
              <w:spacing w:after="0"/>
              <w:rPr>
                <w:sz w:val="20"/>
                <w:szCs w:val="20"/>
                <w:color w:val="auto"/>
              </w:rPr>
            </w:pPr>
          </w:p>
        </w:tc>
        <w:tc>
          <w:tcPr>
            <w:tcW w:w="110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600,000</w:t>
            </w:r>
          </w:p>
        </w:tc>
        <w:tc>
          <w:tcPr>
            <w:tcW w:w="100" w:type="dxa"/>
            <w:vAlign w:val="bottom"/>
            <w:shd w:val="clear" w:color="auto" w:fill="D5EAEA"/>
          </w:tcPr>
          <w:p>
            <w:pPr>
              <w:spacing w:after="0"/>
              <w:rPr>
                <w:sz w:val="20"/>
                <w:szCs w:val="20"/>
                <w:color w:val="auto"/>
              </w:rPr>
            </w:pPr>
          </w:p>
        </w:tc>
        <w:tc>
          <w:tcPr>
            <w:tcW w:w="100" w:type="dxa"/>
            <w:vAlign w:val="bottom"/>
            <w:shd w:val="clear" w:color="auto" w:fill="D5EAEA"/>
          </w:tcPr>
          <w:p>
            <w:pPr>
              <w:spacing w:after="0"/>
              <w:rPr>
                <w:sz w:val="20"/>
                <w:szCs w:val="20"/>
                <w:color w:val="auto"/>
              </w:rPr>
            </w:pPr>
          </w:p>
        </w:tc>
        <w:tc>
          <w:tcPr>
            <w:tcW w:w="1300" w:type="dxa"/>
            <w:vAlign w:val="bottom"/>
            <w:shd w:val="clear" w:color="auto" w:fill="D5EAEA"/>
          </w:tcPr>
          <w:p>
            <w:pPr>
              <w:jc w:val="right"/>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Legal and accounting fees related to regulatory reporting obligations</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100,000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8360" w:type="dxa"/>
            <w:vAlign w:val="bottom"/>
            <w:shd w:val="clear" w:color="auto" w:fill="D5EAEA"/>
          </w:tcPr>
          <w:p>
            <w:pPr>
              <w:spacing w:after="0"/>
              <w:rPr>
                <w:sz w:val="20"/>
                <w:szCs w:val="20"/>
                <w:color w:val="auto"/>
              </w:rPr>
            </w:pPr>
            <w:r>
              <w:rPr>
                <w:rFonts w:ascii="Arial" w:cs="Arial" w:eastAsia="Arial" w:hAnsi="Arial"/>
                <w:sz w:val="18"/>
                <w:szCs w:val="18"/>
                <w:color w:val="auto"/>
              </w:rPr>
              <w:t>NYSE and other regulatory fees</w:t>
            </w:r>
          </w:p>
        </w:tc>
        <w:tc>
          <w:tcPr>
            <w:tcW w:w="40" w:type="dxa"/>
            <w:vAlign w:val="bottom"/>
            <w:shd w:val="clear" w:color="auto" w:fill="D5EAEA"/>
          </w:tcPr>
          <w:p>
            <w:pPr>
              <w:spacing w:after="0"/>
              <w:rPr>
                <w:sz w:val="18"/>
                <w:szCs w:val="18"/>
                <w:color w:val="auto"/>
              </w:rPr>
            </w:pPr>
          </w:p>
        </w:tc>
        <w:tc>
          <w:tcPr>
            <w:tcW w:w="240" w:type="dxa"/>
            <w:vAlign w:val="bottom"/>
            <w:shd w:val="clear" w:color="auto" w:fill="D5EAEA"/>
          </w:tcPr>
          <w:p>
            <w:pPr>
              <w:spacing w:after="0"/>
              <w:rPr>
                <w:sz w:val="18"/>
                <w:szCs w:val="18"/>
                <w:color w:val="auto"/>
              </w:rPr>
            </w:pPr>
          </w:p>
        </w:tc>
        <w:tc>
          <w:tcPr>
            <w:tcW w:w="110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85,000</w:t>
            </w:r>
          </w:p>
        </w:tc>
        <w:tc>
          <w:tcPr>
            <w:tcW w:w="10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300" w:type="dxa"/>
            <w:vAlign w:val="bottom"/>
            <w:shd w:val="clear" w:color="auto" w:fill="D5EAEA"/>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Payment for office space, utilities, secretarial and administrative support services</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240,000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57"/>
        </w:trPr>
        <w:tc>
          <w:tcPr>
            <w:tcW w:w="8360" w:type="dxa"/>
            <w:vAlign w:val="bottom"/>
            <w:shd w:val="clear" w:color="auto" w:fill="D5EAEA"/>
          </w:tcPr>
          <w:p>
            <w:pPr>
              <w:spacing w:after="0" w:line="256" w:lineRule="exact"/>
              <w:rPr>
                <w:sz w:val="20"/>
                <w:szCs w:val="20"/>
                <w:color w:val="auto"/>
              </w:rPr>
            </w:pPr>
            <w:r>
              <w:rPr>
                <w:rFonts w:ascii="Arial" w:cs="Arial" w:eastAsia="Arial" w:hAnsi="Arial"/>
                <w:sz w:val="18"/>
                <w:szCs w:val="18"/>
                <w:color w:val="auto"/>
              </w:rPr>
              <w:t>Employee salaries</w:t>
            </w:r>
            <w:r>
              <w:rPr>
                <w:rFonts w:ascii="Arial" w:cs="Arial" w:eastAsia="Arial" w:hAnsi="Arial"/>
                <w:sz w:val="29"/>
                <w:szCs w:val="29"/>
                <w:color w:val="auto"/>
                <w:vertAlign w:val="superscript"/>
              </w:rPr>
              <w:t>(7)</w:t>
            </w:r>
          </w:p>
        </w:tc>
        <w:tc>
          <w:tcPr>
            <w:tcW w:w="40" w:type="dxa"/>
            <w:vAlign w:val="bottom"/>
            <w:shd w:val="clear" w:color="auto" w:fill="D5EAEA"/>
          </w:tcPr>
          <w:p>
            <w:pPr>
              <w:spacing w:after="0"/>
              <w:rPr>
                <w:sz w:val="22"/>
                <w:szCs w:val="22"/>
                <w:color w:val="auto"/>
              </w:rPr>
            </w:pPr>
          </w:p>
        </w:tc>
        <w:tc>
          <w:tcPr>
            <w:tcW w:w="240" w:type="dxa"/>
            <w:vAlign w:val="bottom"/>
            <w:shd w:val="clear" w:color="auto" w:fill="D5EAEA"/>
          </w:tcPr>
          <w:p>
            <w:pPr>
              <w:spacing w:after="0"/>
              <w:rPr>
                <w:sz w:val="22"/>
                <w:szCs w:val="22"/>
                <w:color w:val="auto"/>
              </w:rPr>
            </w:pPr>
          </w:p>
        </w:tc>
        <w:tc>
          <w:tcPr>
            <w:tcW w:w="110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825,000</w:t>
            </w:r>
          </w:p>
        </w:tc>
        <w:tc>
          <w:tcPr>
            <w:tcW w:w="100" w:type="dxa"/>
            <w:vAlign w:val="bottom"/>
            <w:shd w:val="clear" w:color="auto" w:fill="D5EAEA"/>
          </w:tcPr>
          <w:p>
            <w:pPr>
              <w:spacing w:after="0"/>
              <w:rPr>
                <w:sz w:val="22"/>
                <w:szCs w:val="22"/>
                <w:color w:val="auto"/>
              </w:rPr>
            </w:pPr>
          </w:p>
        </w:tc>
        <w:tc>
          <w:tcPr>
            <w:tcW w:w="100" w:type="dxa"/>
            <w:vAlign w:val="bottom"/>
            <w:shd w:val="clear" w:color="auto" w:fill="D5EAEA"/>
          </w:tcPr>
          <w:p>
            <w:pPr>
              <w:spacing w:after="0"/>
              <w:rPr>
                <w:sz w:val="22"/>
                <w:szCs w:val="22"/>
                <w:color w:val="auto"/>
              </w:rPr>
            </w:pPr>
          </w:p>
        </w:tc>
        <w:tc>
          <w:tcPr>
            <w:tcW w:w="1300" w:type="dxa"/>
            <w:vAlign w:val="bottom"/>
            <w:shd w:val="clear" w:color="auto" w:fill="D5EAEA"/>
          </w:tcPr>
          <w:p>
            <w:pPr>
              <w:jc w:val="right"/>
              <w:spacing w:after="0"/>
              <w:rPr>
                <w:sz w:val="20"/>
                <w:szCs w:val="20"/>
                <w:color w:val="auto"/>
              </w:rPr>
            </w:pPr>
            <w:r>
              <w:rPr>
                <w:rFonts w:ascii="Arial" w:cs="Arial" w:eastAsia="Arial" w:hAnsi="Arial"/>
                <w:sz w:val="18"/>
                <w:szCs w:val="18"/>
                <w:color w:val="auto"/>
              </w:rPr>
              <w:t>41.4%</w:t>
            </w:r>
          </w:p>
        </w:tc>
        <w:tc>
          <w:tcPr>
            <w:tcW w:w="0" w:type="dxa"/>
            <w:vAlign w:val="bottom"/>
          </w:tcPr>
          <w:p>
            <w:pPr>
              <w:spacing w:after="0"/>
              <w:rPr>
                <w:sz w:val="1"/>
                <w:szCs w:val="1"/>
                <w:color w:val="auto"/>
              </w:rPr>
            </w:pP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Consulting and miscellaneous expenses incurred during search for initial business combination target</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100,000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8360" w:type="dxa"/>
            <w:vAlign w:val="bottom"/>
            <w:shd w:val="clear" w:color="auto" w:fill="D5EAEA"/>
          </w:tcPr>
          <w:p>
            <w:pPr>
              <w:spacing w:after="0"/>
              <w:rPr>
                <w:sz w:val="20"/>
                <w:szCs w:val="20"/>
                <w:color w:val="auto"/>
              </w:rPr>
            </w:pPr>
            <w:r>
              <w:rPr>
                <w:rFonts w:ascii="Arial" w:cs="Arial" w:eastAsia="Arial" w:hAnsi="Arial"/>
                <w:sz w:val="18"/>
                <w:szCs w:val="18"/>
                <w:color w:val="auto"/>
              </w:rPr>
              <w:t>Working capital to cover miscellaneous expenses</w:t>
            </w:r>
          </w:p>
        </w:tc>
        <w:tc>
          <w:tcPr>
            <w:tcW w:w="40" w:type="dxa"/>
            <w:vAlign w:val="bottom"/>
            <w:shd w:val="clear" w:color="auto" w:fill="D5EAEA"/>
          </w:tcPr>
          <w:p>
            <w:pPr>
              <w:spacing w:after="0"/>
              <w:rPr>
                <w:sz w:val="18"/>
                <w:szCs w:val="18"/>
                <w:color w:val="auto"/>
              </w:rPr>
            </w:pPr>
          </w:p>
        </w:tc>
        <w:tc>
          <w:tcPr>
            <w:tcW w:w="240" w:type="dxa"/>
            <w:vAlign w:val="bottom"/>
            <w:shd w:val="clear" w:color="auto" w:fill="D5EAEA"/>
          </w:tcPr>
          <w:p>
            <w:pPr>
              <w:spacing w:after="0"/>
              <w:rPr>
                <w:sz w:val="18"/>
                <w:szCs w:val="18"/>
                <w:color w:val="auto"/>
              </w:rPr>
            </w:pPr>
          </w:p>
        </w:tc>
        <w:tc>
          <w:tcPr>
            <w:tcW w:w="110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45,000</w:t>
            </w:r>
          </w:p>
        </w:tc>
        <w:tc>
          <w:tcPr>
            <w:tcW w:w="10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300" w:type="dxa"/>
            <w:vAlign w:val="bottom"/>
            <w:shd w:val="clear" w:color="auto" w:fill="D5EAEA"/>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30"/>
        </w:trPr>
        <w:tc>
          <w:tcPr>
            <w:tcW w:w="8360" w:type="dxa"/>
            <w:vAlign w:val="bottom"/>
          </w:tcPr>
          <w:p>
            <w:pPr>
              <w:spacing w:after="0"/>
              <w:rPr>
                <w:sz w:val="20"/>
                <w:szCs w:val="20"/>
                <w:color w:val="auto"/>
              </w:rPr>
            </w:pPr>
            <w:r>
              <w:rPr>
                <w:rFonts w:ascii="Arial" w:cs="Arial" w:eastAsia="Arial" w:hAnsi="Arial"/>
                <w:sz w:val="18"/>
                <w:szCs w:val="18"/>
                <w:color w:val="auto"/>
              </w:rPr>
              <w:t>Total</w:t>
            </w:r>
          </w:p>
        </w:tc>
        <w:tc>
          <w:tcPr>
            <w:tcW w:w="2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1,995,000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17830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86" w:lineRule="exact"/>
        <w:rPr>
          <w:sz w:val="20"/>
          <w:szCs w:val="20"/>
          <w:color w:val="auto"/>
        </w:rPr>
      </w:pPr>
    </w:p>
    <w:p>
      <w:pPr>
        <w:ind w:left="340" w:right="40" w:hanging="332"/>
        <w:spacing w:after="0" w:line="277" w:lineRule="auto"/>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Includes amounts payable to public shareholders who properly redeem their shares in connection with our successful completion of our initial business combination.</w:t>
      </w:r>
    </w:p>
    <w:p>
      <w:pPr>
        <w:spacing w:after="0" w:line="170" w:lineRule="exact"/>
        <w:rPr>
          <w:rFonts w:ascii="Arial" w:cs="Arial" w:eastAsia="Arial" w:hAnsi="Arial"/>
          <w:sz w:val="18"/>
          <w:szCs w:val="18"/>
          <w:color w:val="auto"/>
        </w:rPr>
      </w:pPr>
    </w:p>
    <w:p>
      <w:pPr>
        <w:ind w:left="340" w:right="180" w:hanging="332"/>
        <w:spacing w:after="0" w:line="257" w:lineRule="auto"/>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portion of the offering expenses have been paid from the proceeds of a loan from our sponsor of up to $300,000 as described in this prospectus. These loans will be repaid upon completion of this offering out of the $1,000,000 of offering proceeds that has been allocated for the payment of offering expenses other than underwriting commissions. In the event that offering expenses are less than set forth in this table, any such amounts will be used for post-closing working capital expenses. In the event that the offering expenses are greater than as set forth in this table, we may fund such excess with funds not held in the trust account.</w:t>
      </w:r>
    </w:p>
    <w:p>
      <w:pPr>
        <w:spacing w:after="0" w:line="187" w:lineRule="exact"/>
        <w:rPr>
          <w:rFonts w:ascii="Arial" w:cs="Arial" w:eastAsia="Arial" w:hAnsi="Arial"/>
          <w:sz w:val="18"/>
          <w:szCs w:val="18"/>
          <w:color w:val="auto"/>
        </w:rPr>
      </w:pPr>
    </w:p>
    <w:p>
      <w:pPr>
        <w:ind w:left="340" w:right="160" w:hanging="332"/>
        <w:spacing w:after="0" w:line="291" w:lineRule="auto"/>
        <w:tabs>
          <w:tab w:leader="none" w:pos="3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underwriters have agreed to defer underwriting commissions of 3.5% of the gross proceeds of this offering. Upon and concurrently with the completion of our initial business combination, $8,750,000, which constitutes the underwriters’ deferred commissions (or up to $10,062,500 if the underwriters’ over-allotment option is exercised in full) will be paid to the underwriters from the funds held in the trust account. See “Underwriting”. The remaining funds, less amounts used to pay redeeming shareholders, will be released to us and can be used to pay all or a portion of the purchase price of the business or businesses with which our initial business combination occurs or for general corporate purposes, including payment of principal or interest on indebtedness incurred in connection with our initial business combination, to fund the purchases of other companies or for working capital. The underwriters will not be entitled to any interest accrued on the deferred underwriting discounts and commissions.</w:t>
      </w:r>
    </w:p>
    <w:p>
      <w:pPr>
        <w:spacing w:after="0" w:line="166" w:lineRule="exact"/>
        <w:rPr>
          <w:rFonts w:ascii="Arial" w:cs="Arial" w:eastAsia="Arial" w:hAnsi="Arial"/>
          <w:sz w:val="16"/>
          <w:szCs w:val="16"/>
          <w:color w:val="auto"/>
        </w:rPr>
      </w:pPr>
    </w:p>
    <w:p>
      <w:pPr>
        <w:ind w:left="340" w:right="180" w:hanging="332"/>
        <w:spacing w:after="0" w:line="273" w:lineRule="auto"/>
        <w:tabs>
          <w:tab w:leader="none" w:pos="3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Total assumes the PIMCO private fund or its affiliates purchase 2,475,000 units in this offering. The PIMCO private fund has expressed an intent to purchase, or to have one or more of its affiliates purchase, up to an aggregate of 2,475,000 units in this offering at the public offering price. Because this indication of interest is not a binding agreement or a commitment to purchase, such entities may elect to purchase fewer or no units in this offering, or the underwriters may elect to sell fewer or no units in this offering to such entities. The underwriters will not receive any upfront underwriting discount or commissions on any such units purchased by the PIMCO private fund or its affiliates but will receive deferred underwriting commissions with respect to such units in an amount of $0.35 per unit.</w:t>
      </w:r>
    </w:p>
    <w:p>
      <w:pPr>
        <w:spacing w:after="0" w:line="28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76" w:name="page77"/>
    <w:bookmarkEnd w:id="76"/>
    <w:p>
      <w:pPr>
        <w:ind w:left="340" w:right="40" w:hanging="332"/>
        <w:spacing w:after="0" w:line="271" w:lineRule="auto"/>
        <w:tabs>
          <w:tab w:leader="none" w:pos="3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These expenses are estimates only. Our actual expenditures for some or all of these items may differ from the estimates set forth herein. For example, we may incur greater legal and accounting expenses than our current estimates in connection with negotiating and structuring our initial business combination based upon the level of complexity of such business combination. In the event we identify a business combination target in a specific industry subject to specific regulations, we may incur additional expenses associated with legal due diligence and the engagement of special legal counsel. In addition, our staffing needs may vary and as a result, we may engage a number of consultants to assist with legal and financial due diligence. We do not anticipate any change in our intended use of proceeds, other than fluctuations among the current categories of allocated expenses, which fluctuations, to the extent they exceed current estimates for any specific category of expenses, would not be available for our expenses. The amount in the table above does not include interest available to us from the trust account.</w:t>
      </w:r>
    </w:p>
    <w:p>
      <w:pPr>
        <w:spacing w:after="0" w:line="178" w:lineRule="exact"/>
        <w:rPr>
          <w:rFonts w:ascii="Arial" w:cs="Arial" w:eastAsia="Arial" w:hAnsi="Arial"/>
          <w:sz w:val="17"/>
          <w:szCs w:val="17"/>
          <w:color w:val="auto"/>
        </w:rPr>
      </w:pPr>
    </w:p>
    <w:p>
      <w:pPr>
        <w:ind w:left="340" w:right="120" w:hanging="332"/>
        <w:spacing w:after="0" w:line="277" w:lineRule="auto"/>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Includes estimated amounts that may also be used in connection with our initial business combination to fund a “no shop” provision and commitment fees for financing.</w:t>
      </w:r>
    </w:p>
    <w:p>
      <w:pPr>
        <w:spacing w:after="0" w:line="170" w:lineRule="exact"/>
        <w:rPr>
          <w:rFonts w:ascii="Arial" w:cs="Arial" w:eastAsia="Arial" w:hAnsi="Arial"/>
          <w:sz w:val="18"/>
          <w:szCs w:val="18"/>
          <w:color w:val="auto"/>
        </w:rPr>
      </w:pPr>
    </w:p>
    <w:p>
      <w:pPr>
        <w:ind w:left="340" w:right="180" w:hanging="332"/>
        <w:spacing w:after="0" w:line="263" w:lineRule="auto"/>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expect to hire up to three employees prior to or shortly after the consummation of this offering. We expect any such employees will be entitled to receive an aggregate of up to approximately $412,500 in annual salaries for their services prior to the consummation of our initial business combination.</w:t>
      </w:r>
    </w:p>
    <w:p>
      <w:pPr>
        <w:spacing w:after="0" w:line="184" w:lineRule="exact"/>
        <w:rPr>
          <w:sz w:val="20"/>
          <w:szCs w:val="20"/>
          <w:color w:val="auto"/>
        </w:rPr>
      </w:pPr>
    </w:p>
    <w:p>
      <w:pPr>
        <w:ind w:firstLine="324"/>
        <w:spacing w:after="0" w:line="267" w:lineRule="auto"/>
        <w:rPr>
          <w:sz w:val="20"/>
          <w:szCs w:val="20"/>
          <w:color w:val="auto"/>
        </w:rPr>
      </w:pPr>
      <w:r>
        <w:rPr>
          <w:rFonts w:ascii="Arial" w:cs="Arial" w:eastAsia="Arial" w:hAnsi="Arial"/>
          <w:sz w:val="17"/>
          <w:szCs w:val="17"/>
          <w:color w:val="auto"/>
        </w:rPr>
        <w:t>NYSE rules provide that at least 90% of the gross proceeds from this offering and the sale of the private placement warrants be deposited in a trust account. Of the $257,500,000 in gross proceeds we receive from this offering and the sale of the private placement warrants described in this prospectus, or $295,750,000 if the underwriters’ over-allotment option is exercised in full, $250,000,000 ($10.00 per unit), or $287,500,000 if the underwriters’ over-allotment option is exercised in full ($10.00 per unit), will be deposited into a trust account with Continental Stock Transfer &amp; Trust Company acting as trustee, after deducting $4,505,000 in underwriting discounts and commissions payable upon the closing of this offering (or $5,255,000 if the underwriters’ over-allotment option is exercised in full) and an aggregate of $2,995,000 to pay fees and expenses in connection with the closing of this offering and for working capital following the closing of this offering. The proceeds held in the trust account will be invested only in U.S. government treasury bills with a maturity of 185 days or less or in money market funds meeting certain conditions under Rule 2a-7 under the Investment Company Act which invest only in direct U.S. government treasury obligations. We estimate the interest earned on the trust account will be approximately $250,000 per year, assuming an interest rate of 0.1% per year; however, we can provide no assurances regarding this amount. We expect that the interest earned on the trust account will be sufficient to pay income taxes. We will not be permitted to withdraw any of the principal or interest held in the trust account, except for the withdrawal of interest income to pay our taxes and up to $100,000 to pay dissolution expenses, as applicable, if any, until the earliest of (i) the completion of our initial business combination, (ii) the redemption of our public shares if we have not completed our initial business combination within 24 months from the closing of this offering, subject to applicable law and (iii) the redemption of our public shares properly submitted in connection with a shareholder vote to amend our amended and restated memorandum and articles of association (A) to modify the substance or timing of our obligation to allow redemption in connection with our initial business combination or to redeem 100% of our public shares if we have not consummated an initial business combination within 24 months from the closing of this offering or (B) with respect to any other material provisions relating to shareholders’ rights or pre-initial business combination activity.</w:t>
      </w:r>
    </w:p>
    <w:p>
      <w:pPr>
        <w:spacing w:after="0" w:line="190"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The net proceeds released to us from the trust account upon the closing of our initial business combination may be used as consideration to pay the sellers of a target business with which we complete our initial business combination. If our initial business combination is paid for using equity or debt, or not all of the funds released from the trust account are used for payment of the consideration in connection with our initial business combination or used for redemptions of our Class A ordinary shares, we may use the balance of the cash released to us from the trust account following the closing for general corporate purposes, including for maintenance or expansion of operations of the post-transaction company, the payment of principal or interest due on indebtedness incurred in completing our initial business combination, to fund the purchase of other companies or for working capital. There is no limitation on our ability to raise funds through the issuance of equity or equity-linked securities or through loans, advances or other indebtedness in connection with our initial business combination, including pursuant to forward purchase agreements or backstop arrangements we may enter into following consummation of this offering.</w:t>
      </w:r>
    </w:p>
    <w:p>
      <w:pPr>
        <w:spacing w:after="0" w:line="28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800" w:right="359" w:bottom="1440" w:gutter="0" w:footer="0" w:header="0"/>
        </w:sectPr>
      </w:pPr>
    </w:p>
    <w:bookmarkStart w:id="77" w:name="page78"/>
    <w:bookmarkEnd w:id="77"/>
    <w:p>
      <w:pPr>
        <w:spacing w:after="0" w:line="263" w:lineRule="auto"/>
        <w:rPr>
          <w:sz w:val="20"/>
          <w:szCs w:val="20"/>
          <w:color w:val="auto"/>
        </w:rPr>
      </w:pPr>
      <w:r>
        <w:rPr>
          <w:rFonts w:ascii="Arial" w:cs="Arial" w:eastAsia="Arial" w:hAnsi="Arial"/>
          <w:sz w:val="18"/>
          <w:szCs w:val="18"/>
          <w:color w:val="auto"/>
        </w:rPr>
        <w:t>However, our amended and restated memorandum and articles of association provide that, following this offering and prior to the consummation of our initial business combination, we will be prohibited from issuing additional securities that would entitle the holders thereof to (i) receive funds from the trust account or (ii) vote on any initial business combination.</w:t>
      </w:r>
    </w:p>
    <w:p>
      <w:pPr>
        <w:spacing w:after="0" w:line="184" w:lineRule="exact"/>
        <w:rPr>
          <w:sz w:val="20"/>
          <w:szCs w:val="20"/>
          <w:color w:val="auto"/>
        </w:rPr>
      </w:pPr>
    </w:p>
    <w:p>
      <w:pPr>
        <w:ind w:right="40" w:firstLine="324"/>
        <w:spacing w:after="0" w:line="271" w:lineRule="auto"/>
        <w:rPr>
          <w:sz w:val="20"/>
          <w:szCs w:val="20"/>
          <w:color w:val="auto"/>
        </w:rPr>
      </w:pPr>
      <w:r>
        <w:rPr>
          <w:rFonts w:ascii="Arial" w:cs="Arial" w:eastAsia="Arial" w:hAnsi="Arial"/>
          <w:sz w:val="17"/>
          <w:szCs w:val="17"/>
          <w:color w:val="auto"/>
        </w:rPr>
        <w:t>We believe that amounts not held in trust will be sufficient to pay the costs and expenses to which such proceeds are allocated. This belief is based on the fact that while we may begin preliminary due diligence of a target business in connection with an indication of interest, we intend to undertake in-depth due diligence, depending on the circumstances of the relevant prospective business combination, only after we have negotiated and signed a letter of intent or other preliminary agreement that addresses the terms of a business combination. However, if our estimate of the costs of undertaking in-depth due diligence and negotiating a business combination is less than the actual amount necessary to do so, we may be required to raise additional capital, the amount, availability and cost of which is currently unascertainable. If we are required to seek additional capital, we could seek such additional capital through loans or additional investments from our sponsor, members of our management team or any of their affiliates, but such persons are not under any obligation to advance funds to, or invest in, us.</w:t>
      </w:r>
    </w:p>
    <w:p>
      <w:pPr>
        <w:spacing w:after="0" w:line="178" w:lineRule="exact"/>
        <w:rPr>
          <w:sz w:val="20"/>
          <w:szCs w:val="20"/>
          <w:color w:val="auto"/>
        </w:rPr>
      </w:pPr>
    </w:p>
    <w:p>
      <w:pPr>
        <w:ind w:right="120" w:firstLine="324"/>
        <w:spacing w:after="0" w:line="263" w:lineRule="auto"/>
        <w:rPr>
          <w:sz w:val="20"/>
          <w:szCs w:val="20"/>
          <w:color w:val="auto"/>
        </w:rPr>
      </w:pPr>
      <w:r>
        <w:rPr>
          <w:rFonts w:ascii="Arial" w:cs="Arial" w:eastAsia="Arial" w:hAnsi="Arial"/>
          <w:sz w:val="18"/>
          <w:szCs w:val="18"/>
          <w:color w:val="auto"/>
        </w:rPr>
        <w:t>We will pay our sponsor or an affiliate thereof up to $10,000 per month for office space, utilities, secretarial and administrative support services provided to members of our management team and other expenses and obligations of our sponsor. Upon completion of our initial business combination or our liquidation, we will cease paying these monthly fees.</w:t>
      </w:r>
    </w:p>
    <w:p>
      <w:pPr>
        <w:spacing w:after="0" w:line="184" w:lineRule="exact"/>
        <w:rPr>
          <w:sz w:val="20"/>
          <w:szCs w:val="20"/>
          <w:color w:val="auto"/>
        </w:rPr>
      </w:pPr>
    </w:p>
    <w:p>
      <w:pPr>
        <w:ind w:right="180" w:firstLine="324"/>
        <w:spacing w:after="0" w:line="342" w:lineRule="auto"/>
        <w:rPr>
          <w:sz w:val="20"/>
          <w:szCs w:val="20"/>
          <w:color w:val="auto"/>
        </w:rPr>
      </w:pPr>
      <w:r>
        <w:rPr>
          <w:rFonts w:ascii="Arial" w:cs="Arial" w:eastAsia="Arial" w:hAnsi="Arial"/>
          <w:sz w:val="16"/>
          <w:szCs w:val="16"/>
          <w:color w:val="auto"/>
        </w:rPr>
        <w:t>We expect to hire up to three employees prior to or shortly after the consummation of this offering. We expect any such employees will be entitled to receive an aggregate of up to approximately $412,500 in annual salaries for their services prior to the consummation of our initial business combination.</w:t>
      </w:r>
    </w:p>
    <w:p>
      <w:pPr>
        <w:spacing w:after="0" w:line="124" w:lineRule="exact"/>
        <w:rPr>
          <w:sz w:val="20"/>
          <w:szCs w:val="20"/>
          <w:color w:val="auto"/>
        </w:rPr>
      </w:pPr>
    </w:p>
    <w:p>
      <w:pPr>
        <w:ind w:right="100" w:firstLine="324"/>
        <w:spacing w:after="0" w:line="286" w:lineRule="auto"/>
        <w:rPr>
          <w:sz w:val="20"/>
          <w:szCs w:val="20"/>
          <w:color w:val="auto"/>
        </w:rPr>
      </w:pPr>
      <w:r>
        <w:rPr>
          <w:rFonts w:ascii="Arial" w:cs="Arial" w:eastAsia="Arial" w:hAnsi="Arial"/>
          <w:sz w:val="17"/>
          <w:szCs w:val="17"/>
          <w:color w:val="auto"/>
        </w:rPr>
        <w:t>Prior to the closing of this offering, our sponsor has agreed to loan us up to $300,000 to be used for a portion of the expenses of this offering. These loans are non-interest bearing, unsecured and are due at the earlier of December 31, 2021 and the closing of this offering. The loan will be repaid upon the closing of this offering out of the $1,000,000 of offering proceeds that has been allocated to the payment of offering expenses.</w:t>
      </w:r>
    </w:p>
    <w:p>
      <w:pPr>
        <w:spacing w:after="0" w:line="165" w:lineRule="exact"/>
        <w:rPr>
          <w:sz w:val="20"/>
          <w:szCs w:val="20"/>
          <w:color w:val="auto"/>
        </w:rPr>
      </w:pPr>
    </w:p>
    <w:p>
      <w:pPr>
        <w:ind w:right="40" w:firstLine="324"/>
        <w:spacing w:after="0" w:line="289" w:lineRule="auto"/>
        <w:rPr>
          <w:sz w:val="20"/>
          <w:szCs w:val="20"/>
          <w:color w:val="auto"/>
        </w:rPr>
      </w:pPr>
      <w:r>
        <w:rPr>
          <w:rFonts w:ascii="Arial" w:cs="Arial" w:eastAsia="Arial" w:hAnsi="Arial"/>
          <w:sz w:val="16"/>
          <w:szCs w:val="16"/>
          <w:color w:val="auto"/>
        </w:rPr>
        <w:t>In addition, in order to fund working capital deficiencies or finance transaction costs in connection with an intended initial business combination, our sponsor or an affiliate of our sponsor or certain of our officers and directors may, but are not obligated to, loan us funds as may be required. If we complete our initial business combination, we would repay such loaned amounts. In the event that our initial business combination does not close, we may use a portion of the working capital held outside the trust account to repay such loaned amounts but no proceeds from our trust account would be used to repay such loaned amounts. Up to $2,000,000 of such loans may be convertible into private placement warrants of the post business combination entity at a price of $1.50 per warrant at the option of the lender. Such warrants would be identical to the private placement warrants. Except as set forth above, the terms of such loans, if any, have not been determined and no written agreements exist with respect to such loans. Prior to the completion of our initial business combination, we do not expect to seek loans from parties other than our sponsor or an affiliate of our sponsor as we do not believe third parties will be willing to loan such funds and provide a waiver against any and all rights to seek access to funds in our trust account.</w:t>
      </w:r>
    </w:p>
    <w:p>
      <w:pPr>
        <w:spacing w:after="0" w:line="27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78" w:name="page79"/>
    <w:bookmarkEnd w:id="78"/>
    <w:p>
      <w:pPr>
        <w:jc w:val="center"/>
        <w:ind w:right="-59"/>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We have not paid any cash dividends on our ordinary shares to date and do not intend to pay cash dividends prior to the completion of our initial business combination. The payment of cash dividends in the future will be dependent upon our revenues and earnings, if any, capital requirements and general financial condition subsequent to completion of our initial business combination. The payment of any cash dividends subsequent to our initial business combination will be within the discretion of our board of directors at such time. If we incur any indebtedness, our ability to declare dividends may be limited by restrictive covenants we may agree to in connection therewith.</w:t>
      </w: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580" w:right="399" w:bottom="1440" w:gutter="0" w:footer="0" w:header="0"/>
        </w:sectPr>
      </w:pPr>
    </w:p>
    <w:bookmarkStart w:id="79" w:name="page80"/>
    <w:bookmarkEnd w:id="79"/>
    <w:p>
      <w:pPr>
        <w:jc w:val="center"/>
        <w:spacing w:after="0"/>
        <w:rPr>
          <w:sz w:val="20"/>
          <w:szCs w:val="20"/>
          <w:color w:val="auto"/>
        </w:rPr>
      </w:pPr>
      <w:r>
        <w:rPr>
          <w:rFonts w:ascii="Arial" w:cs="Arial" w:eastAsia="Arial" w:hAnsi="Arial"/>
          <w:sz w:val="18"/>
          <w:szCs w:val="18"/>
          <w:b w:val="1"/>
          <w:bCs w:val="1"/>
          <w:color w:val="auto"/>
        </w:rPr>
        <w:t>DILUTION</w:t>
      </w:r>
    </w:p>
    <w:p>
      <w:pPr>
        <w:spacing w:after="0" w:line="229" w:lineRule="exact"/>
        <w:rPr>
          <w:sz w:val="20"/>
          <w:szCs w:val="20"/>
          <w:color w:val="auto"/>
        </w:rPr>
      </w:pPr>
    </w:p>
    <w:p>
      <w:pPr>
        <w:ind w:right="60" w:firstLine="324"/>
        <w:spacing w:after="0" w:line="293" w:lineRule="auto"/>
        <w:rPr>
          <w:sz w:val="20"/>
          <w:szCs w:val="20"/>
          <w:color w:val="auto"/>
        </w:rPr>
      </w:pPr>
      <w:r>
        <w:rPr>
          <w:rFonts w:ascii="Arial" w:cs="Arial" w:eastAsia="Arial" w:hAnsi="Arial"/>
          <w:sz w:val="16"/>
          <w:szCs w:val="16"/>
          <w:color w:val="auto"/>
        </w:rPr>
        <w:t>The difference between the public offering price per Class A ordinary share, assuming no value is attributed to the warrants included in the units we are offering pursuant to this prospectus or the private placement warrants, and the pro forma net tangible book value per Class A ordinary share after this offering constitutes the dilution to investors in this offering. Such calculation does not reflect any dilution associated with the sale and exercise of warrants, including the private placement warrants, which would cause the actual dilution to the public shareholders to be higher, particularly where a cashless exercise is utilized. Net tangible book value per share is determined by dividing our net tangible book value, which is our total tangible assets less total liabilities (including the value of Class A ordinary shares which may be redeemed for cash), by the number of outstanding ordinary shares.</w:t>
      </w:r>
    </w:p>
    <w:p>
      <w:pPr>
        <w:spacing w:after="0" w:line="164"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At December 31, 2020, our net tangible book deficit was $108,185, or approximately ($0.02) per ordinary share. After giving effect to the sale of 25,000,000 Class A ordinary shares included in the units we are offering by this prospectus (or 28,750,000 Class A ordinary shares if the underwriters’ over-allotment option is exercised in full), the sale of the private placement warrants and the deduction of underwriting commissions and estimated expenses of this offering, our pro forma net tangible book value at December 31, 2020 would have been $5,000,006 or $0.67 per share ($0.59 per share if the underwriters’ over-allotment option is exercised in full), representing an immediate increase in net tangible book value (as decreased by the value of the 23,826,450 Class A ordinary shares that may be redeemed for cash, or 27,445,200 Class A ordinary shares if the underwriters’ over-allotment option is exercised in full) of $0.69 per share (or $0.61 if the underwriters’ over-allotment option is exercised in full) to our initial shareholders as of the date of this prospectus. Total dilution to public shareholders from this offering will be $9.33 per share (or $9.41 if the underwriters’ over-allotment option is exercised in full).</w:t>
      </w:r>
    </w:p>
    <w:p>
      <w:pPr>
        <w:spacing w:after="0" w:line="196"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The following table illustrates the dilution to the public shareholders on a per-share basis, assuming no value is attributed to the warrants included in the units or the private placement warrants: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center"/>
              <w:ind w:right="10"/>
              <w:spacing w:after="0"/>
              <w:rPr>
                <w:sz w:val="20"/>
                <w:szCs w:val="20"/>
                <w:color w:val="auto"/>
              </w:rPr>
            </w:pPr>
            <w:r>
              <w:rPr>
                <w:rFonts w:ascii="Arial" w:cs="Arial" w:eastAsia="Arial" w:hAnsi="Arial"/>
                <w:sz w:val="18"/>
                <w:szCs w:val="18"/>
                <w:b w:val="1"/>
                <w:bCs w:val="1"/>
                <w:color w:val="auto"/>
                <w:w w:val="86"/>
              </w:rPr>
              <w:t>No exercise of</w:t>
            </w:r>
          </w:p>
        </w:tc>
        <w:tc>
          <w:tcPr>
            <w:tcW w:w="100" w:type="dxa"/>
            <w:vAlign w:val="bottom"/>
          </w:tcPr>
          <w:p>
            <w:pPr>
              <w:spacing w:after="0"/>
              <w:rPr>
                <w:sz w:val="18"/>
                <w:szCs w:val="18"/>
                <w:color w:val="auto"/>
              </w:rPr>
            </w:pPr>
          </w:p>
        </w:tc>
        <w:tc>
          <w:tcPr>
            <w:tcW w:w="140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Exercise of over-</w:t>
            </w:r>
          </w:p>
        </w:tc>
      </w:tr>
      <w:tr>
        <w:trPr>
          <w:trHeight w:val="216"/>
        </w:trPr>
        <w:tc>
          <w:tcPr>
            <w:tcW w:w="8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over-allotment</w:t>
            </w:r>
          </w:p>
        </w:tc>
        <w:tc>
          <w:tcPr>
            <w:tcW w:w="100" w:type="dxa"/>
            <w:vAlign w:val="bottom"/>
          </w:tcPr>
          <w:p>
            <w:pPr>
              <w:spacing w:after="0"/>
              <w:rPr>
                <w:sz w:val="18"/>
                <w:szCs w:val="18"/>
                <w:color w:val="auto"/>
              </w:rPr>
            </w:pPr>
          </w:p>
        </w:tc>
        <w:tc>
          <w:tcPr>
            <w:tcW w:w="140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allotment option</w:t>
            </w:r>
          </w:p>
        </w:tc>
      </w:tr>
      <w:tr>
        <w:trPr>
          <w:trHeight w:val="234"/>
        </w:trPr>
        <w:tc>
          <w:tcPr>
            <w:tcW w:w="8360" w:type="dxa"/>
            <w:vAlign w:val="bottom"/>
            <w:tcBorders>
              <w:bottom w:val="single" w:sz="8" w:color="D5EAEA"/>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0"/>
              </w:rPr>
              <w:t>option</w:t>
            </w:r>
          </w:p>
        </w:tc>
        <w:tc>
          <w:tcPr>
            <w:tcW w:w="100" w:type="dxa"/>
            <w:vAlign w:val="bottom"/>
            <w:tcBorders>
              <w:bottom w:val="single" w:sz="8" w:color="D5EAEA"/>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95"/>
              </w:rPr>
              <w:t>in full</w:t>
            </w:r>
          </w:p>
        </w:tc>
      </w:tr>
      <w:tr>
        <w:trPr>
          <w:trHeight w:val="209"/>
        </w:trPr>
        <w:tc>
          <w:tcPr>
            <w:tcW w:w="8360" w:type="dxa"/>
            <w:vAlign w:val="bottom"/>
            <w:shd w:val="clear" w:color="auto" w:fill="D5EAEA"/>
          </w:tcPr>
          <w:p>
            <w:pPr>
              <w:spacing w:after="0"/>
              <w:rPr>
                <w:sz w:val="20"/>
                <w:szCs w:val="20"/>
                <w:color w:val="auto"/>
              </w:rPr>
            </w:pPr>
            <w:r>
              <w:rPr>
                <w:rFonts w:ascii="Arial" w:cs="Arial" w:eastAsia="Arial" w:hAnsi="Arial"/>
                <w:sz w:val="18"/>
                <w:szCs w:val="18"/>
                <w:color w:val="auto"/>
              </w:rPr>
              <w:t>Public offering price</w:t>
            </w:r>
          </w:p>
        </w:tc>
        <w:tc>
          <w:tcPr>
            <w:tcW w:w="100" w:type="dxa"/>
            <w:vAlign w:val="bottom"/>
            <w:shd w:val="clear" w:color="auto" w:fill="D5EAEA"/>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D5EAEA"/>
          </w:tcPr>
          <w:p>
            <w:pPr>
              <w:jc w:val="right"/>
              <w:ind w:right="70"/>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D5EAEA"/>
          </w:tcPr>
          <w:p>
            <w:pPr>
              <w:spacing w:after="0"/>
              <w:rPr>
                <w:sz w:val="18"/>
                <w:szCs w:val="18"/>
                <w:color w:val="auto"/>
              </w:rPr>
            </w:pPr>
          </w:p>
        </w:tc>
        <w:tc>
          <w:tcPr>
            <w:tcW w:w="280" w:type="dxa"/>
            <w:vAlign w:val="bottom"/>
            <w:shd w:val="clear" w:color="auto" w:fill="D5EAEA"/>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D5EAEA"/>
          </w:tcPr>
          <w:p>
            <w:pPr>
              <w:jc w:val="right"/>
              <w:ind w:right="70"/>
              <w:spacing w:after="0"/>
              <w:rPr>
                <w:sz w:val="20"/>
                <w:szCs w:val="20"/>
                <w:color w:val="auto"/>
              </w:rPr>
            </w:pPr>
            <w:r>
              <w:rPr>
                <w:rFonts w:ascii="Arial" w:cs="Arial" w:eastAsia="Arial" w:hAnsi="Arial"/>
                <w:sz w:val="18"/>
                <w:szCs w:val="18"/>
                <w:color w:val="auto"/>
              </w:rPr>
              <w:t>10.00</w:t>
            </w: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Net tangible book value before this offering</w:t>
            </w:r>
          </w:p>
        </w:tc>
        <w:tc>
          <w:tcPr>
            <w:tcW w:w="100" w:type="dxa"/>
            <w:vAlign w:val="bottom"/>
          </w:tcPr>
          <w:p>
            <w:pPr>
              <w:spacing w:after="0"/>
              <w:rPr>
                <w:sz w:val="18"/>
                <w:szCs w:val="18"/>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(0.02)</w:t>
            </w:r>
          </w:p>
        </w:tc>
      </w:tr>
      <w:tr>
        <w:trPr>
          <w:trHeight w:val="216"/>
        </w:trPr>
        <w:tc>
          <w:tcPr>
            <w:tcW w:w="8360" w:type="dxa"/>
            <w:vAlign w:val="bottom"/>
            <w:shd w:val="clear" w:color="auto" w:fill="D5EAEA"/>
          </w:tcPr>
          <w:p>
            <w:pPr>
              <w:spacing w:after="0"/>
              <w:rPr>
                <w:sz w:val="20"/>
                <w:szCs w:val="20"/>
                <w:color w:val="auto"/>
              </w:rPr>
            </w:pPr>
            <w:r>
              <w:rPr>
                <w:rFonts w:ascii="Arial" w:cs="Arial" w:eastAsia="Arial" w:hAnsi="Arial"/>
                <w:sz w:val="18"/>
                <w:szCs w:val="18"/>
                <w:color w:val="auto"/>
              </w:rPr>
              <w:t>Increase attributable to public shareholders</w:t>
            </w:r>
          </w:p>
        </w:tc>
        <w:tc>
          <w:tcPr>
            <w:tcW w:w="100" w:type="dxa"/>
            <w:vAlign w:val="bottom"/>
            <w:shd w:val="clear" w:color="auto" w:fill="D5EAEA"/>
          </w:tcPr>
          <w:p>
            <w:pPr>
              <w:spacing w:after="0"/>
              <w:rPr>
                <w:sz w:val="18"/>
                <w:szCs w:val="18"/>
                <w:color w:val="auto"/>
              </w:rPr>
            </w:pPr>
          </w:p>
        </w:tc>
        <w:tc>
          <w:tcPr>
            <w:tcW w:w="1280" w:type="dxa"/>
            <w:vAlign w:val="bottom"/>
            <w:shd w:val="clear" w:color="auto" w:fill="D5EAEA"/>
          </w:tcPr>
          <w:p>
            <w:pPr>
              <w:jc w:val="right"/>
              <w:ind w:right="70"/>
              <w:spacing w:after="0"/>
              <w:rPr>
                <w:sz w:val="20"/>
                <w:szCs w:val="20"/>
                <w:color w:val="auto"/>
              </w:rPr>
            </w:pPr>
            <w:r>
              <w:rPr>
                <w:rFonts w:ascii="Arial" w:cs="Arial" w:eastAsia="Arial" w:hAnsi="Arial"/>
                <w:sz w:val="18"/>
                <w:szCs w:val="18"/>
                <w:color w:val="auto"/>
              </w:rPr>
              <w:t>0.69</w:t>
            </w:r>
          </w:p>
        </w:tc>
        <w:tc>
          <w:tcPr>
            <w:tcW w:w="100" w:type="dxa"/>
            <w:vAlign w:val="bottom"/>
            <w:shd w:val="clear" w:color="auto" w:fill="D5EAEA"/>
          </w:tcPr>
          <w:p>
            <w:pPr>
              <w:spacing w:after="0"/>
              <w:rPr>
                <w:sz w:val="18"/>
                <w:szCs w:val="18"/>
                <w:color w:val="auto"/>
              </w:rPr>
            </w:pPr>
          </w:p>
        </w:tc>
        <w:tc>
          <w:tcPr>
            <w:tcW w:w="280" w:type="dxa"/>
            <w:vAlign w:val="bottom"/>
            <w:shd w:val="clear" w:color="auto" w:fill="D5EAEA"/>
          </w:tcPr>
          <w:p>
            <w:pPr>
              <w:spacing w:after="0"/>
              <w:rPr>
                <w:sz w:val="18"/>
                <w:szCs w:val="18"/>
                <w:color w:val="auto"/>
              </w:rPr>
            </w:pPr>
          </w:p>
        </w:tc>
        <w:tc>
          <w:tcPr>
            <w:tcW w:w="1120" w:type="dxa"/>
            <w:vAlign w:val="bottom"/>
            <w:shd w:val="clear" w:color="auto" w:fill="D5EAEA"/>
          </w:tcPr>
          <w:p>
            <w:pPr>
              <w:jc w:val="right"/>
              <w:ind w:right="70"/>
              <w:spacing w:after="0"/>
              <w:rPr>
                <w:sz w:val="20"/>
                <w:szCs w:val="20"/>
                <w:color w:val="auto"/>
              </w:rPr>
            </w:pPr>
            <w:r>
              <w:rPr>
                <w:rFonts w:ascii="Arial" w:cs="Arial" w:eastAsia="Arial" w:hAnsi="Arial"/>
                <w:sz w:val="18"/>
                <w:szCs w:val="18"/>
                <w:color w:val="auto"/>
              </w:rPr>
              <w:t>0.61</w:t>
            </w: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Pro forma net tangible book value after this offering and the sale of the private placement warrants</w:t>
            </w:r>
          </w:p>
        </w:tc>
        <w:tc>
          <w:tcPr>
            <w:tcW w:w="100" w:type="dxa"/>
            <w:vAlign w:val="bottom"/>
          </w:tcPr>
          <w:p>
            <w:pPr>
              <w:spacing w:after="0"/>
              <w:rPr>
                <w:sz w:val="18"/>
                <w:szCs w:val="18"/>
                <w:color w:val="auto"/>
              </w:rPr>
            </w:pPr>
          </w:p>
        </w:tc>
        <w:tc>
          <w:tcPr>
            <w:tcW w:w="1280" w:type="dxa"/>
            <w:vAlign w:val="bottom"/>
          </w:tcPr>
          <w:p>
            <w:pPr>
              <w:jc w:val="right"/>
              <w:ind w:right="70"/>
              <w:spacing w:after="0"/>
              <w:rPr>
                <w:sz w:val="20"/>
                <w:szCs w:val="20"/>
                <w:color w:val="auto"/>
              </w:rPr>
            </w:pPr>
            <w:r>
              <w:rPr>
                <w:rFonts w:ascii="Arial" w:cs="Arial" w:eastAsia="Arial" w:hAnsi="Arial"/>
                <w:sz w:val="18"/>
                <w:szCs w:val="18"/>
                <w:color w:val="auto"/>
              </w:rPr>
              <w:t>0.67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0.59</w:t>
            </w:r>
          </w:p>
        </w:tc>
      </w:tr>
      <w:tr>
        <w:trPr>
          <w:trHeight w:val="216"/>
        </w:trPr>
        <w:tc>
          <w:tcPr>
            <w:tcW w:w="8360" w:type="dxa"/>
            <w:vAlign w:val="bottom"/>
            <w:shd w:val="clear" w:color="auto" w:fill="D5EAEA"/>
          </w:tcPr>
          <w:p>
            <w:pPr>
              <w:spacing w:after="0"/>
              <w:rPr>
                <w:sz w:val="20"/>
                <w:szCs w:val="20"/>
                <w:color w:val="auto"/>
              </w:rPr>
            </w:pPr>
            <w:r>
              <w:rPr>
                <w:rFonts w:ascii="Arial" w:cs="Arial" w:eastAsia="Arial" w:hAnsi="Arial"/>
                <w:sz w:val="18"/>
                <w:szCs w:val="18"/>
                <w:color w:val="auto"/>
              </w:rPr>
              <w:t>Dilution to public shareholders</w:t>
            </w:r>
          </w:p>
        </w:tc>
        <w:tc>
          <w:tcPr>
            <w:tcW w:w="100" w:type="dxa"/>
            <w:vAlign w:val="bottom"/>
            <w:shd w:val="clear" w:color="auto" w:fill="D5EAEA"/>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D5EAEA"/>
          </w:tcPr>
          <w:p>
            <w:pPr>
              <w:jc w:val="right"/>
              <w:ind w:right="70"/>
              <w:spacing w:after="0"/>
              <w:rPr>
                <w:sz w:val="20"/>
                <w:szCs w:val="20"/>
                <w:color w:val="auto"/>
              </w:rPr>
            </w:pPr>
            <w:r>
              <w:rPr>
                <w:rFonts w:ascii="Arial" w:cs="Arial" w:eastAsia="Arial" w:hAnsi="Arial"/>
                <w:sz w:val="18"/>
                <w:szCs w:val="18"/>
                <w:color w:val="auto"/>
              </w:rPr>
              <w:t>9.33</w:t>
            </w:r>
          </w:p>
        </w:tc>
        <w:tc>
          <w:tcPr>
            <w:tcW w:w="380" w:type="dxa"/>
            <w:vAlign w:val="bottom"/>
            <w:gridSpan w:val="2"/>
            <w:shd w:val="clear" w:color="auto" w:fill="D5EAEA"/>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shd w:val="clear" w:color="auto" w:fill="D5EAEA"/>
          </w:tcPr>
          <w:p>
            <w:pPr>
              <w:jc w:val="right"/>
              <w:ind w:right="70"/>
              <w:spacing w:after="0"/>
              <w:rPr>
                <w:sz w:val="20"/>
                <w:szCs w:val="20"/>
                <w:color w:val="auto"/>
              </w:rPr>
            </w:pPr>
            <w:r>
              <w:rPr>
                <w:rFonts w:ascii="Arial" w:cs="Arial" w:eastAsia="Arial" w:hAnsi="Arial"/>
                <w:sz w:val="18"/>
                <w:szCs w:val="18"/>
                <w:color w:val="auto"/>
              </w:rPr>
              <w:t>9.41</w:t>
            </w:r>
          </w:p>
        </w:tc>
      </w:tr>
      <w:tr>
        <w:trPr>
          <w:trHeight w:val="230"/>
        </w:trPr>
        <w:tc>
          <w:tcPr>
            <w:tcW w:w="8360" w:type="dxa"/>
            <w:vAlign w:val="bottom"/>
          </w:tcPr>
          <w:p>
            <w:pPr>
              <w:spacing w:after="0"/>
              <w:rPr>
                <w:sz w:val="20"/>
                <w:szCs w:val="20"/>
                <w:color w:val="auto"/>
              </w:rPr>
            </w:pPr>
            <w:r>
              <w:rPr>
                <w:rFonts w:ascii="Arial" w:cs="Arial" w:eastAsia="Arial" w:hAnsi="Arial"/>
                <w:sz w:val="18"/>
                <w:szCs w:val="18"/>
                <w:color w:val="auto"/>
              </w:rPr>
              <w:t>Percentage of dilution to public shareholders</w:t>
            </w:r>
          </w:p>
        </w:tc>
        <w:tc>
          <w:tcPr>
            <w:tcW w:w="1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93.3%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94.1%</w:t>
            </w:r>
          </w:p>
        </w:tc>
      </w:tr>
    </w:tbl>
    <w:p>
      <w:pPr>
        <w:spacing w:after="0" w:line="187" w:lineRule="exact"/>
        <w:rPr>
          <w:sz w:val="20"/>
          <w:szCs w:val="20"/>
          <w:color w:val="auto"/>
        </w:rPr>
      </w:pPr>
    </w:p>
    <w:p>
      <w:pPr>
        <w:ind w:right="100" w:firstLine="324"/>
        <w:spacing w:after="0" w:line="275" w:lineRule="auto"/>
        <w:rPr>
          <w:sz w:val="20"/>
          <w:szCs w:val="20"/>
          <w:color w:val="auto"/>
        </w:rPr>
      </w:pPr>
      <w:r>
        <w:rPr>
          <w:rFonts w:ascii="Arial" w:cs="Arial" w:eastAsia="Arial" w:hAnsi="Arial"/>
          <w:sz w:val="17"/>
          <w:szCs w:val="17"/>
          <w:color w:val="auto"/>
        </w:rPr>
        <w:t>For purposes of presentation, we have reduced our pro forma net tangible book value after this offering (assuming no exercise of the underwriters’ over-allotment option) by $238,264,500 because holders of up to approximately 95.3% of our public shares may redeem their shares for a pro rata share of the aggregate amount then on deposit in the trust account at a per share redemption price equal to the amount in the trust account, calculated as of two business days prior to the commencement of our initial business combination, including interest earned on the funds held in the trust account and not previously released to us to pay our taxes), divided by the number of Class A ordinary shares sold in this offering.</w:t>
      </w:r>
    </w:p>
    <w:p>
      <w:pPr>
        <w:spacing w:after="0" w:line="17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information with respect to our initial shareholders and the public shareholders: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center"/>
              <w:ind w:right="30"/>
              <w:spacing w:after="0"/>
              <w:rPr>
                <w:sz w:val="20"/>
                <w:szCs w:val="20"/>
                <w:color w:val="auto"/>
              </w:rPr>
            </w:pPr>
            <w:r>
              <w:rPr>
                <w:rFonts w:ascii="Arial" w:cs="Arial" w:eastAsia="Arial" w:hAnsi="Arial"/>
                <w:sz w:val="18"/>
                <w:szCs w:val="18"/>
                <w:b w:val="1"/>
                <w:bCs w:val="1"/>
                <w:color w:val="auto"/>
                <w:w w:val="88"/>
              </w:rPr>
              <w:t>Average Price</w:t>
            </w:r>
          </w:p>
        </w:tc>
      </w:tr>
      <w:tr>
        <w:trPr>
          <w:trHeight w:val="234"/>
        </w:trPr>
        <w:tc>
          <w:tcPr>
            <w:tcW w:w="28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840" w:type="dxa"/>
            <w:vAlign w:val="bottom"/>
            <w:tcBorders>
              <w:bottom w:val="single" w:sz="8" w:color="auto"/>
            </w:tcBorders>
            <w:gridSpan w:val="3"/>
          </w:tcPr>
          <w:p>
            <w:pPr>
              <w:jc w:val="right"/>
              <w:ind w:right="930"/>
              <w:spacing w:after="0"/>
              <w:rPr>
                <w:sz w:val="20"/>
                <w:szCs w:val="20"/>
                <w:color w:val="auto"/>
              </w:rPr>
            </w:pPr>
            <w:r>
              <w:rPr>
                <w:rFonts w:ascii="Arial" w:cs="Arial" w:eastAsia="Arial" w:hAnsi="Arial"/>
                <w:sz w:val="18"/>
                <w:szCs w:val="18"/>
                <w:b w:val="1"/>
                <w:bCs w:val="1"/>
                <w:color w:val="auto"/>
              </w:rPr>
              <w:t>Purchased</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gridSpan w:val="3"/>
          </w:tcPr>
          <w:p>
            <w:pPr>
              <w:jc w:val="right"/>
              <w:ind w:right="570"/>
              <w:spacing w:after="0"/>
              <w:rPr>
                <w:sz w:val="20"/>
                <w:szCs w:val="20"/>
                <w:color w:val="auto"/>
              </w:rPr>
            </w:pPr>
            <w:r>
              <w:rPr>
                <w:rFonts w:ascii="Arial" w:cs="Arial" w:eastAsia="Arial" w:hAnsi="Arial"/>
                <w:sz w:val="18"/>
                <w:szCs w:val="18"/>
                <w:b w:val="1"/>
                <w:bCs w:val="1"/>
                <w:color w:val="auto"/>
              </w:rPr>
              <w:t>Total Consideration</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Per</w:t>
            </w:r>
          </w:p>
        </w:tc>
      </w:tr>
      <w:tr>
        <w:trPr>
          <w:trHeight w:val="223"/>
        </w:trPr>
        <w:tc>
          <w:tcPr>
            <w:tcW w:w="2820" w:type="dxa"/>
            <w:vAlign w:val="bottom"/>
            <w:tcBorders>
              <w:bottom w:val="single" w:sz="8" w:color="D5EAEA"/>
            </w:tcBorders>
          </w:tcPr>
          <w:p>
            <w:pPr>
              <w:spacing w:after="0"/>
              <w:rPr>
                <w:sz w:val="19"/>
                <w:szCs w:val="19"/>
                <w:color w:val="auto"/>
              </w:rPr>
            </w:pPr>
          </w:p>
        </w:tc>
        <w:tc>
          <w:tcPr>
            <w:tcW w:w="1200" w:type="dxa"/>
            <w:vAlign w:val="bottom"/>
            <w:tcBorders>
              <w:bottom w:val="single" w:sz="8" w:color="D5EAEA"/>
            </w:tcBorders>
          </w:tcPr>
          <w:p>
            <w:pPr>
              <w:spacing w:after="0"/>
              <w:rPr>
                <w:sz w:val="19"/>
                <w:szCs w:val="19"/>
                <w:color w:val="auto"/>
              </w:rPr>
            </w:pPr>
          </w:p>
        </w:tc>
        <w:tc>
          <w:tcPr>
            <w:tcW w:w="13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Number</w:t>
            </w:r>
          </w:p>
        </w:tc>
        <w:tc>
          <w:tcPr>
            <w:tcW w:w="100" w:type="dxa"/>
            <w:vAlign w:val="bottom"/>
            <w:tcBorders>
              <w:bottom w:val="single" w:sz="8" w:color="D5EAEA"/>
            </w:tcBorders>
          </w:tcPr>
          <w:p>
            <w:pPr>
              <w:spacing w:after="0"/>
              <w:rPr>
                <w:sz w:val="19"/>
                <w:szCs w:val="19"/>
                <w:color w:val="auto"/>
              </w:rPr>
            </w:pPr>
          </w:p>
        </w:tc>
        <w:tc>
          <w:tcPr>
            <w:tcW w:w="1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Percentage</w:t>
            </w:r>
          </w:p>
        </w:tc>
        <w:tc>
          <w:tcPr>
            <w:tcW w:w="100" w:type="dxa"/>
            <w:vAlign w:val="bottom"/>
            <w:tcBorders>
              <w:bottom w:val="single" w:sz="8" w:color="D5EAEA"/>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Amount</w:t>
            </w:r>
          </w:p>
        </w:tc>
        <w:tc>
          <w:tcPr>
            <w:tcW w:w="100" w:type="dxa"/>
            <w:vAlign w:val="bottom"/>
            <w:tcBorders>
              <w:bottom w:val="single" w:sz="8" w:color="D5EAEA"/>
            </w:tcBorders>
          </w:tcPr>
          <w:p>
            <w:pPr>
              <w:spacing w:after="0"/>
              <w:rPr>
                <w:sz w:val="19"/>
                <w:szCs w:val="19"/>
                <w:color w:val="auto"/>
              </w:rPr>
            </w:pPr>
          </w:p>
        </w:tc>
        <w:tc>
          <w:tcPr>
            <w:tcW w:w="1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Percentage</w:t>
            </w:r>
          </w:p>
        </w:tc>
        <w:tc>
          <w:tcPr>
            <w:tcW w:w="100" w:type="dxa"/>
            <w:vAlign w:val="bottom"/>
            <w:tcBorders>
              <w:bottom w:val="single" w:sz="8" w:color="D5EAEA"/>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1"/>
              </w:rPr>
              <w:t>Share</w:t>
            </w:r>
          </w:p>
        </w:tc>
      </w:tr>
      <w:tr>
        <w:trPr>
          <w:trHeight w:val="250"/>
        </w:trPr>
        <w:tc>
          <w:tcPr>
            <w:tcW w:w="4020" w:type="dxa"/>
            <w:vAlign w:val="bottom"/>
            <w:gridSpan w:val="2"/>
            <w:shd w:val="clear" w:color="auto" w:fill="D5EAEA"/>
          </w:tcPr>
          <w:p>
            <w:pPr>
              <w:spacing w:after="0" w:line="250" w:lineRule="exact"/>
              <w:rPr>
                <w:sz w:val="20"/>
                <w:szCs w:val="20"/>
                <w:color w:val="auto"/>
              </w:rPr>
            </w:pPr>
            <w:r>
              <w:rPr>
                <w:rFonts w:ascii="Arial" w:cs="Arial" w:eastAsia="Arial" w:hAnsi="Arial"/>
                <w:sz w:val="17"/>
                <w:szCs w:val="17"/>
                <w:color w:val="auto"/>
              </w:rPr>
              <w:t>Initial Shareholders</w:t>
            </w:r>
            <w:r>
              <w:rPr>
                <w:rFonts w:ascii="Arial" w:cs="Arial" w:eastAsia="Arial" w:hAnsi="Arial"/>
                <w:sz w:val="28"/>
                <w:szCs w:val="28"/>
                <w:color w:val="auto"/>
                <w:vertAlign w:val="superscript"/>
              </w:rPr>
              <w:t>(1)</w:t>
            </w:r>
          </w:p>
        </w:tc>
        <w:tc>
          <w:tcPr>
            <w:tcW w:w="134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6,250,000</w:t>
            </w:r>
          </w:p>
        </w:tc>
        <w:tc>
          <w:tcPr>
            <w:tcW w:w="100" w:type="dxa"/>
            <w:vAlign w:val="bottom"/>
            <w:shd w:val="clear" w:color="auto" w:fill="D5EAEA"/>
          </w:tcPr>
          <w:p>
            <w:pPr>
              <w:spacing w:after="0"/>
              <w:rPr>
                <w:sz w:val="21"/>
                <w:szCs w:val="21"/>
                <w:color w:val="auto"/>
              </w:rPr>
            </w:pPr>
          </w:p>
        </w:tc>
        <w:tc>
          <w:tcPr>
            <w:tcW w:w="1400" w:type="dxa"/>
            <w:vAlign w:val="bottom"/>
            <w:shd w:val="clear" w:color="auto" w:fill="D5EAEA"/>
          </w:tcPr>
          <w:p>
            <w:pPr>
              <w:jc w:val="right"/>
              <w:spacing w:after="0"/>
              <w:rPr>
                <w:sz w:val="20"/>
                <w:szCs w:val="20"/>
                <w:color w:val="auto"/>
              </w:rPr>
            </w:pPr>
            <w:r>
              <w:rPr>
                <w:rFonts w:ascii="Arial" w:cs="Arial" w:eastAsia="Arial" w:hAnsi="Arial"/>
                <w:sz w:val="18"/>
                <w:szCs w:val="18"/>
                <w:color w:val="auto"/>
              </w:rPr>
              <w:t>20%</w:t>
            </w:r>
          </w:p>
        </w:tc>
        <w:tc>
          <w:tcPr>
            <w:tcW w:w="300" w:type="dxa"/>
            <w:vAlign w:val="bottom"/>
            <w:gridSpan w:val="2"/>
            <w:shd w:val="clear" w:color="auto" w:fill="D5EAEA"/>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25,000</w:t>
            </w:r>
          </w:p>
        </w:tc>
        <w:tc>
          <w:tcPr>
            <w:tcW w:w="100" w:type="dxa"/>
            <w:vAlign w:val="bottom"/>
            <w:shd w:val="clear" w:color="auto" w:fill="D5EAEA"/>
          </w:tcPr>
          <w:p>
            <w:pPr>
              <w:spacing w:after="0"/>
              <w:rPr>
                <w:sz w:val="21"/>
                <w:szCs w:val="21"/>
                <w:color w:val="auto"/>
              </w:rPr>
            </w:pPr>
          </w:p>
        </w:tc>
        <w:tc>
          <w:tcPr>
            <w:tcW w:w="1400" w:type="dxa"/>
            <w:vAlign w:val="bottom"/>
            <w:shd w:val="clear" w:color="auto" w:fill="D5EAEA"/>
          </w:tcPr>
          <w:p>
            <w:pPr>
              <w:jc w:val="right"/>
              <w:spacing w:after="0"/>
              <w:rPr>
                <w:sz w:val="20"/>
                <w:szCs w:val="20"/>
                <w:color w:val="auto"/>
              </w:rPr>
            </w:pPr>
            <w:r>
              <w:rPr>
                <w:rFonts w:ascii="Arial" w:cs="Arial" w:eastAsia="Arial" w:hAnsi="Arial"/>
                <w:sz w:val="18"/>
                <w:szCs w:val="18"/>
                <w:color w:val="auto"/>
              </w:rPr>
              <w:t>0.01%</w:t>
            </w:r>
          </w:p>
        </w:tc>
        <w:tc>
          <w:tcPr>
            <w:tcW w:w="220" w:type="dxa"/>
            <w:vAlign w:val="bottom"/>
            <w:gridSpan w:val="2"/>
            <w:shd w:val="clear" w:color="auto" w:fill="D5EAEA"/>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0.004</w:t>
            </w:r>
          </w:p>
        </w:tc>
      </w:tr>
      <w:tr>
        <w:trPr>
          <w:trHeight w:val="210"/>
        </w:trPr>
        <w:tc>
          <w:tcPr>
            <w:tcW w:w="4020" w:type="dxa"/>
            <w:vAlign w:val="bottom"/>
            <w:tcBorders>
              <w:bottom w:val="single" w:sz="8" w:color="D5EAEA"/>
            </w:tcBorders>
            <w:gridSpan w:val="2"/>
          </w:tcPr>
          <w:p>
            <w:pPr>
              <w:spacing w:after="0"/>
              <w:rPr>
                <w:sz w:val="20"/>
                <w:szCs w:val="20"/>
                <w:color w:val="auto"/>
              </w:rPr>
            </w:pPr>
            <w:r>
              <w:rPr>
                <w:rFonts w:ascii="Arial" w:cs="Arial" w:eastAsia="Arial" w:hAnsi="Arial"/>
                <w:sz w:val="18"/>
                <w:szCs w:val="18"/>
                <w:color w:val="auto"/>
              </w:rPr>
              <w:t>Public Shareholders</w:t>
            </w:r>
          </w:p>
        </w:tc>
        <w:tc>
          <w:tcPr>
            <w:tcW w:w="13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25,000,000</w:t>
            </w:r>
          </w:p>
        </w:tc>
        <w:tc>
          <w:tcPr>
            <w:tcW w:w="100" w:type="dxa"/>
            <w:vAlign w:val="bottom"/>
            <w:tcBorders>
              <w:bottom w:val="single" w:sz="8" w:color="D5EAEA"/>
            </w:tcBorders>
          </w:tcPr>
          <w:p>
            <w:pPr>
              <w:spacing w:after="0"/>
              <w:rPr>
                <w:sz w:val="18"/>
                <w:szCs w:val="18"/>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100" w:type="dxa"/>
            <w:vAlign w:val="bottom"/>
            <w:tcBorders>
              <w:bottom w:val="single" w:sz="8" w:color="D5EAEA"/>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250,000,000</w:t>
            </w:r>
          </w:p>
        </w:tc>
        <w:tc>
          <w:tcPr>
            <w:tcW w:w="100" w:type="dxa"/>
            <w:vAlign w:val="bottom"/>
            <w:tcBorders>
              <w:bottom w:val="single" w:sz="8" w:color="D5EAEA"/>
            </w:tcBorders>
          </w:tcPr>
          <w:p>
            <w:pPr>
              <w:spacing w:after="0"/>
              <w:rPr>
                <w:sz w:val="18"/>
                <w:szCs w:val="18"/>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99.99%</w:t>
            </w:r>
          </w:p>
        </w:tc>
        <w:tc>
          <w:tcPr>
            <w:tcW w:w="100" w:type="dxa"/>
            <w:vAlign w:val="bottom"/>
            <w:tcBorders>
              <w:bottom w:val="single" w:sz="8" w:color="D5EAEA"/>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10.00</w:t>
            </w:r>
          </w:p>
        </w:tc>
      </w:tr>
      <w:tr>
        <w:trPr>
          <w:trHeight w:val="210"/>
        </w:trPr>
        <w:tc>
          <w:tcPr>
            <w:tcW w:w="2820" w:type="dxa"/>
            <w:vAlign w:val="bottom"/>
            <w:shd w:val="clear" w:color="auto" w:fill="D5EAEA"/>
          </w:tcPr>
          <w:p>
            <w:pPr>
              <w:spacing w:after="0"/>
              <w:rPr>
                <w:sz w:val="18"/>
                <w:szCs w:val="18"/>
                <w:color w:val="auto"/>
              </w:rPr>
            </w:pPr>
          </w:p>
        </w:tc>
        <w:tc>
          <w:tcPr>
            <w:tcW w:w="1200" w:type="dxa"/>
            <w:vAlign w:val="bottom"/>
            <w:shd w:val="clear" w:color="auto" w:fill="D5EAEA"/>
          </w:tcPr>
          <w:p>
            <w:pPr>
              <w:spacing w:after="0"/>
              <w:rPr>
                <w:sz w:val="18"/>
                <w:szCs w:val="18"/>
                <w:color w:val="auto"/>
              </w:rPr>
            </w:pPr>
          </w:p>
        </w:tc>
        <w:tc>
          <w:tcPr>
            <w:tcW w:w="1340" w:type="dxa"/>
            <w:vAlign w:val="bottom"/>
            <w:tcBorders>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31,250,000</w:t>
            </w:r>
          </w:p>
        </w:tc>
        <w:tc>
          <w:tcPr>
            <w:tcW w:w="100" w:type="dxa"/>
            <w:vAlign w:val="bottom"/>
            <w:shd w:val="clear" w:color="auto" w:fill="D5EAEA"/>
          </w:tcPr>
          <w:p>
            <w:pPr>
              <w:spacing w:after="0"/>
              <w:rPr>
                <w:sz w:val="18"/>
                <w:szCs w:val="18"/>
                <w:color w:val="auto"/>
              </w:rPr>
            </w:pPr>
          </w:p>
        </w:tc>
        <w:tc>
          <w:tcPr>
            <w:tcW w:w="140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D5EAEA"/>
          </w:tcPr>
          <w:p>
            <w:pPr>
              <w:spacing w:after="0"/>
              <w:rPr>
                <w:sz w:val="18"/>
                <w:szCs w:val="18"/>
                <w:color w:val="auto"/>
              </w:rPr>
            </w:pPr>
          </w:p>
        </w:tc>
        <w:tc>
          <w:tcPr>
            <w:tcW w:w="20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w w:val="99"/>
              </w:rPr>
              <w:t>250,025,000</w:t>
            </w:r>
          </w:p>
        </w:tc>
        <w:tc>
          <w:tcPr>
            <w:tcW w:w="100" w:type="dxa"/>
            <w:vAlign w:val="bottom"/>
            <w:shd w:val="clear" w:color="auto" w:fill="D5EAEA"/>
          </w:tcPr>
          <w:p>
            <w:pPr>
              <w:spacing w:after="0"/>
              <w:rPr>
                <w:sz w:val="18"/>
                <w:szCs w:val="18"/>
                <w:color w:val="auto"/>
              </w:rPr>
            </w:pPr>
          </w:p>
        </w:tc>
        <w:tc>
          <w:tcPr>
            <w:tcW w:w="140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D5EAEA"/>
          </w:tcPr>
          <w:p>
            <w:pPr>
              <w:spacing w:after="0"/>
              <w:rPr>
                <w:sz w:val="18"/>
                <w:szCs w:val="18"/>
                <w:color w:val="auto"/>
              </w:rPr>
            </w:pPr>
          </w:p>
        </w:tc>
        <w:tc>
          <w:tcPr>
            <w:tcW w:w="120" w:type="dxa"/>
            <w:vAlign w:val="bottom"/>
            <w:tcBorders>
              <w:bottom w:val="single" w:sz="8" w:color="auto"/>
            </w:tcBorders>
            <w:shd w:val="clear" w:color="auto" w:fill="D5EAEA"/>
          </w:tcPr>
          <w:p>
            <w:pPr>
              <w:spacing w:after="0"/>
              <w:rPr>
                <w:sz w:val="18"/>
                <w:szCs w:val="18"/>
                <w:color w:val="auto"/>
              </w:rPr>
            </w:pPr>
          </w:p>
        </w:tc>
        <w:tc>
          <w:tcPr>
            <w:tcW w:w="1220" w:type="dxa"/>
            <w:vAlign w:val="bottom"/>
            <w:tcBorders>
              <w:bottom w:val="single" w:sz="8" w:color="auto"/>
            </w:tcBorders>
            <w:shd w:val="clear" w:color="auto" w:fill="D5EAEA"/>
          </w:tcPr>
          <w:p>
            <w:pPr>
              <w:spacing w:after="0"/>
              <w:rPr>
                <w:sz w:val="18"/>
                <w:szCs w:val="18"/>
                <w:color w:val="auto"/>
              </w:rPr>
            </w:pPr>
          </w:p>
        </w:tc>
      </w:tr>
      <w:tr>
        <w:trPr>
          <w:trHeight w:val="48"/>
        </w:trPr>
        <w:tc>
          <w:tcPr>
            <w:tcW w:w="2820" w:type="dxa"/>
            <w:vAlign w:val="bottom"/>
            <w:tcBorders>
              <w:bottom w:val="single" w:sz="8" w:color="auto"/>
            </w:tcBorders>
          </w:tcPr>
          <w:p>
            <w:pPr>
              <w:spacing w:after="0"/>
              <w:rPr>
                <w:sz w:val="4"/>
                <w:szCs w:val="4"/>
                <w:color w:val="auto"/>
              </w:rPr>
            </w:pPr>
          </w:p>
        </w:tc>
        <w:tc>
          <w:tcPr>
            <w:tcW w:w="120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20" w:type="dxa"/>
            <w:vAlign w:val="bottom"/>
          </w:tcPr>
          <w:p>
            <w:pPr>
              <w:spacing w:after="0"/>
              <w:rPr>
                <w:sz w:val="4"/>
                <w:szCs w:val="4"/>
                <w:color w:val="auto"/>
              </w:rPr>
            </w:pPr>
          </w:p>
        </w:tc>
      </w:tr>
    </w:tbl>
    <w:p>
      <w:pPr>
        <w:spacing w:after="0" w:line="53" w:lineRule="exact"/>
        <w:rPr>
          <w:sz w:val="20"/>
          <w:szCs w:val="20"/>
          <w:color w:val="auto"/>
        </w:rPr>
      </w:pPr>
    </w:p>
    <w:p>
      <w:pPr>
        <w:ind w:left="340" w:right="240" w:hanging="332"/>
        <w:spacing w:after="0" w:line="277" w:lineRule="auto"/>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Assumes that 937,500 founder shares are surrendered to us for no consideration after the closing of this offering in the event the underwriters do not exercise their over-allotment option.</w:t>
      </w:r>
    </w:p>
    <w:p>
      <w:pPr>
        <w:spacing w:after="0" w:line="27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80" w:name="page81"/>
    <w:bookmarkEnd w:id="80"/>
    <w:p>
      <w:pPr>
        <w:ind w:right="520" w:firstLine="324"/>
        <w:spacing w:after="0" w:line="277" w:lineRule="auto"/>
        <w:rPr>
          <w:sz w:val="20"/>
          <w:szCs w:val="20"/>
          <w:color w:val="auto"/>
        </w:rPr>
      </w:pPr>
      <w:r>
        <w:rPr>
          <w:rFonts w:ascii="Arial" w:cs="Arial" w:eastAsia="Arial" w:hAnsi="Arial"/>
          <w:sz w:val="18"/>
          <w:szCs w:val="18"/>
          <w:color w:val="auto"/>
        </w:rPr>
        <w:t>The pro forma net tangible book value per share after the offering (assuming that the underwriters do not exercise their over-allotment option) is calculated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20" w:type="dxa"/>
            <w:vAlign w:val="bottom"/>
          </w:tcPr>
          <w:p>
            <w:pPr>
              <w:spacing w:after="0"/>
              <w:rPr>
                <w:sz w:val="18"/>
                <w:szCs w:val="18"/>
                <w:color w:val="auto"/>
              </w:rPr>
            </w:pPr>
          </w:p>
        </w:tc>
        <w:tc>
          <w:tcPr>
            <w:tcW w:w="5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b w:val="1"/>
                <w:bCs w:val="1"/>
                <w:color w:val="auto"/>
                <w:w w:val="94"/>
              </w:rPr>
              <w:t>Without Over-</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ind w:right="150"/>
              <w:spacing w:after="0"/>
              <w:rPr>
                <w:sz w:val="20"/>
                <w:szCs w:val="20"/>
                <w:color w:val="auto"/>
              </w:rPr>
            </w:pPr>
            <w:r>
              <w:rPr>
                <w:rFonts w:ascii="Arial" w:cs="Arial" w:eastAsia="Arial" w:hAnsi="Arial"/>
                <w:sz w:val="18"/>
                <w:szCs w:val="18"/>
                <w:b w:val="1"/>
                <w:bCs w:val="1"/>
                <w:color w:val="auto"/>
              </w:rPr>
              <w:t>With Over-</w:t>
            </w:r>
          </w:p>
        </w:tc>
        <w:tc>
          <w:tcPr>
            <w:tcW w:w="0" w:type="dxa"/>
            <w:vAlign w:val="bottom"/>
          </w:tcPr>
          <w:p>
            <w:pPr>
              <w:spacing w:after="0"/>
              <w:rPr>
                <w:sz w:val="1"/>
                <w:szCs w:val="1"/>
                <w:color w:val="auto"/>
              </w:rPr>
            </w:pPr>
          </w:p>
        </w:tc>
      </w:tr>
      <w:tr>
        <w:trPr>
          <w:trHeight w:val="234"/>
        </w:trPr>
        <w:tc>
          <w:tcPr>
            <w:tcW w:w="8440" w:type="dxa"/>
            <w:vAlign w:val="bottom"/>
            <w:gridSpan w:val="2"/>
            <w:vMerge w:val="restart"/>
          </w:tcPr>
          <w:p>
            <w:pPr>
              <w:spacing w:after="0"/>
              <w:rPr>
                <w:sz w:val="20"/>
                <w:szCs w:val="20"/>
                <w:color w:val="auto"/>
              </w:rPr>
            </w:pPr>
            <w:r>
              <w:rPr>
                <w:rFonts w:ascii="Arial" w:cs="Arial" w:eastAsia="Arial" w:hAnsi="Arial"/>
                <w:sz w:val="18"/>
                <w:szCs w:val="18"/>
                <w:color w:val="auto"/>
              </w:rPr>
              <w:t>Numerator:</w:t>
            </w:r>
          </w:p>
        </w:tc>
        <w:tc>
          <w:tcPr>
            <w:tcW w:w="1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allotment</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allotment</w:t>
            </w:r>
          </w:p>
        </w:tc>
        <w:tc>
          <w:tcPr>
            <w:tcW w:w="0" w:type="dxa"/>
            <w:vAlign w:val="bottom"/>
          </w:tcPr>
          <w:p>
            <w:pPr>
              <w:spacing w:after="0"/>
              <w:rPr>
                <w:sz w:val="1"/>
                <w:szCs w:val="1"/>
                <w:color w:val="auto"/>
              </w:rPr>
            </w:pPr>
          </w:p>
        </w:tc>
      </w:tr>
      <w:tr>
        <w:trPr>
          <w:trHeight w:val="210"/>
        </w:trPr>
        <w:tc>
          <w:tcPr>
            <w:tcW w:w="84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40" w:type="dxa"/>
            <w:vAlign w:val="bottom"/>
            <w:gridSpan w:val="3"/>
            <w:shd w:val="clear" w:color="auto" w:fill="D5EAEA"/>
          </w:tcPr>
          <w:p>
            <w:pPr>
              <w:spacing w:after="0"/>
              <w:rPr>
                <w:sz w:val="20"/>
                <w:szCs w:val="20"/>
                <w:color w:val="auto"/>
              </w:rPr>
            </w:pPr>
            <w:r>
              <w:rPr>
                <w:rFonts w:ascii="Arial" w:cs="Arial" w:eastAsia="Arial" w:hAnsi="Arial"/>
                <w:sz w:val="18"/>
                <w:szCs w:val="18"/>
                <w:color w:val="auto"/>
              </w:rPr>
              <w:t>Net tangible book deficit before this offering</w:t>
            </w:r>
          </w:p>
        </w:tc>
        <w:tc>
          <w:tcPr>
            <w:tcW w:w="1260" w:type="dxa"/>
            <w:vAlign w:val="bottom"/>
            <w:shd w:val="clear" w:color="auto" w:fill="D5EAEA"/>
          </w:tcPr>
          <w:p>
            <w:pPr>
              <w:jc w:val="right"/>
              <w:spacing w:after="0"/>
              <w:rPr>
                <w:sz w:val="20"/>
                <w:szCs w:val="20"/>
                <w:color w:val="auto"/>
              </w:rPr>
            </w:pPr>
            <w:r>
              <w:rPr>
                <w:rFonts w:ascii="Arial" w:cs="Arial" w:eastAsia="Arial" w:hAnsi="Arial"/>
                <w:sz w:val="18"/>
                <w:szCs w:val="18"/>
                <w:color w:val="auto"/>
              </w:rPr>
              <w:t>(108,185)</w:t>
            </w:r>
          </w:p>
        </w:tc>
        <w:tc>
          <w:tcPr>
            <w:tcW w:w="100" w:type="dxa"/>
            <w:vAlign w:val="bottom"/>
            <w:shd w:val="clear" w:color="auto" w:fill="D5EAEA"/>
          </w:tcPr>
          <w:p>
            <w:pPr>
              <w:spacing w:after="0"/>
              <w:rPr>
                <w:sz w:val="18"/>
                <w:szCs w:val="18"/>
                <w:color w:val="auto"/>
              </w:rPr>
            </w:pPr>
          </w:p>
        </w:tc>
        <w:tc>
          <w:tcPr>
            <w:tcW w:w="160" w:type="dxa"/>
            <w:vAlign w:val="bottom"/>
            <w:shd w:val="clear" w:color="auto" w:fill="D5EAEA"/>
          </w:tcPr>
          <w:p>
            <w:pPr>
              <w:spacing w:after="0"/>
              <w:rPr>
                <w:sz w:val="18"/>
                <w:szCs w:val="18"/>
                <w:color w:val="auto"/>
              </w:rPr>
            </w:pPr>
          </w:p>
        </w:tc>
        <w:tc>
          <w:tcPr>
            <w:tcW w:w="1180" w:type="dxa"/>
            <w:vAlign w:val="bottom"/>
            <w:shd w:val="clear" w:color="auto" w:fill="D5EAEA"/>
          </w:tcPr>
          <w:p>
            <w:pPr>
              <w:jc w:val="right"/>
              <w:spacing w:after="0"/>
              <w:rPr>
                <w:sz w:val="20"/>
                <w:szCs w:val="20"/>
                <w:color w:val="auto"/>
              </w:rPr>
            </w:pPr>
            <w:r>
              <w:rPr>
                <w:rFonts w:ascii="Arial" w:cs="Arial" w:eastAsia="Arial" w:hAnsi="Arial"/>
                <w:sz w:val="18"/>
                <w:szCs w:val="18"/>
                <w:color w:val="auto"/>
              </w:rPr>
              <w:t>(108,185)</w:t>
            </w:r>
          </w:p>
        </w:tc>
        <w:tc>
          <w:tcPr>
            <w:tcW w:w="0" w:type="dxa"/>
            <w:vAlign w:val="bottom"/>
          </w:tcPr>
          <w:p>
            <w:pPr>
              <w:spacing w:after="0"/>
              <w:rPr>
                <w:sz w:val="1"/>
                <w:szCs w:val="1"/>
                <w:color w:val="auto"/>
              </w:rPr>
            </w:pPr>
          </w:p>
        </w:tc>
      </w:tr>
      <w:tr>
        <w:trPr>
          <w:trHeight w:val="257"/>
        </w:trPr>
        <w:tc>
          <w:tcPr>
            <w:tcW w:w="8540" w:type="dxa"/>
            <w:vAlign w:val="bottom"/>
            <w:gridSpan w:val="3"/>
          </w:tcPr>
          <w:p>
            <w:pPr>
              <w:spacing w:after="0" w:line="256" w:lineRule="exact"/>
              <w:rPr>
                <w:sz w:val="20"/>
                <w:szCs w:val="20"/>
                <w:color w:val="auto"/>
              </w:rPr>
            </w:pPr>
            <w:r>
              <w:rPr>
                <w:rFonts w:ascii="Arial" w:cs="Arial" w:eastAsia="Arial" w:hAnsi="Arial"/>
                <w:sz w:val="18"/>
                <w:szCs w:val="18"/>
                <w:color w:val="auto"/>
              </w:rPr>
              <w:t>Net proceeds from this offering and sale of the private placement warrants</w:t>
            </w:r>
            <w:r>
              <w:rPr>
                <w:rFonts w:ascii="Arial" w:cs="Arial" w:eastAsia="Arial" w:hAnsi="Arial"/>
                <w:sz w:val="29"/>
                <w:szCs w:val="29"/>
                <w:color w:val="auto"/>
                <w:vertAlign w:val="superscript"/>
              </w:rPr>
              <w:t>(1)</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251,995,000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289,495,000</w:t>
            </w:r>
          </w:p>
        </w:tc>
        <w:tc>
          <w:tcPr>
            <w:tcW w:w="0" w:type="dxa"/>
            <w:vAlign w:val="bottom"/>
          </w:tcPr>
          <w:p>
            <w:pPr>
              <w:spacing w:after="0"/>
              <w:rPr>
                <w:sz w:val="1"/>
                <w:szCs w:val="1"/>
                <w:color w:val="auto"/>
              </w:rPr>
            </w:pPr>
          </w:p>
        </w:tc>
      </w:tr>
      <w:tr>
        <w:trPr>
          <w:trHeight w:val="216"/>
        </w:trPr>
        <w:tc>
          <w:tcPr>
            <w:tcW w:w="8540" w:type="dxa"/>
            <w:vAlign w:val="bottom"/>
            <w:gridSpan w:val="3"/>
            <w:shd w:val="clear" w:color="auto" w:fill="D5EAEA"/>
          </w:tcPr>
          <w:p>
            <w:pPr>
              <w:spacing w:after="0"/>
              <w:rPr>
                <w:sz w:val="20"/>
                <w:szCs w:val="20"/>
                <w:color w:val="auto"/>
              </w:rPr>
            </w:pPr>
            <w:r>
              <w:rPr>
                <w:rFonts w:ascii="Arial" w:cs="Arial" w:eastAsia="Arial" w:hAnsi="Arial"/>
                <w:sz w:val="18"/>
                <w:szCs w:val="18"/>
                <w:color w:val="auto"/>
              </w:rPr>
              <w:t>Plus: Offering costs paid in advance, excluded from tangible book value</w:t>
            </w:r>
          </w:p>
        </w:tc>
        <w:tc>
          <w:tcPr>
            <w:tcW w:w="126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127,691</w:t>
            </w:r>
          </w:p>
        </w:tc>
        <w:tc>
          <w:tcPr>
            <w:tcW w:w="100" w:type="dxa"/>
            <w:vAlign w:val="bottom"/>
            <w:shd w:val="clear" w:color="auto" w:fill="D5EAEA"/>
          </w:tcPr>
          <w:p>
            <w:pPr>
              <w:spacing w:after="0"/>
              <w:rPr>
                <w:sz w:val="18"/>
                <w:szCs w:val="18"/>
                <w:color w:val="auto"/>
              </w:rPr>
            </w:pPr>
          </w:p>
        </w:tc>
        <w:tc>
          <w:tcPr>
            <w:tcW w:w="160" w:type="dxa"/>
            <w:vAlign w:val="bottom"/>
            <w:shd w:val="clear" w:color="auto" w:fill="D5EAEA"/>
          </w:tcPr>
          <w:p>
            <w:pPr>
              <w:spacing w:after="0"/>
              <w:rPr>
                <w:sz w:val="18"/>
                <w:szCs w:val="18"/>
                <w:color w:val="auto"/>
              </w:rPr>
            </w:pPr>
          </w:p>
        </w:tc>
        <w:tc>
          <w:tcPr>
            <w:tcW w:w="118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127,691</w:t>
            </w:r>
          </w:p>
        </w:tc>
        <w:tc>
          <w:tcPr>
            <w:tcW w:w="0" w:type="dxa"/>
            <w:vAlign w:val="bottom"/>
          </w:tcPr>
          <w:p>
            <w:pPr>
              <w:spacing w:after="0"/>
              <w:rPr>
                <w:sz w:val="1"/>
                <w:szCs w:val="1"/>
                <w:color w:val="auto"/>
              </w:rPr>
            </w:pPr>
          </w:p>
        </w:tc>
      </w:tr>
      <w:tr>
        <w:trPr>
          <w:trHeight w:val="216"/>
        </w:trPr>
        <w:tc>
          <w:tcPr>
            <w:tcW w:w="8540" w:type="dxa"/>
            <w:vAlign w:val="bottom"/>
            <w:gridSpan w:val="3"/>
          </w:tcPr>
          <w:p>
            <w:pPr>
              <w:spacing w:after="0"/>
              <w:rPr>
                <w:sz w:val="20"/>
                <w:szCs w:val="20"/>
                <w:color w:val="auto"/>
              </w:rPr>
            </w:pPr>
            <w:r>
              <w:rPr>
                <w:rFonts w:ascii="Arial" w:cs="Arial" w:eastAsia="Arial" w:hAnsi="Arial"/>
                <w:sz w:val="18"/>
                <w:szCs w:val="18"/>
                <w:color w:val="auto"/>
              </w:rPr>
              <w:t>Less: Deferred underwriting commissions</w:t>
            </w:r>
          </w:p>
        </w:tc>
        <w:tc>
          <w:tcPr>
            <w:tcW w:w="1260" w:type="dxa"/>
            <w:vAlign w:val="bottom"/>
          </w:tcPr>
          <w:p>
            <w:pPr>
              <w:jc w:val="right"/>
              <w:spacing w:after="0"/>
              <w:rPr>
                <w:sz w:val="20"/>
                <w:szCs w:val="20"/>
                <w:color w:val="auto"/>
              </w:rPr>
            </w:pPr>
            <w:r>
              <w:rPr>
                <w:rFonts w:ascii="Arial" w:cs="Arial" w:eastAsia="Arial" w:hAnsi="Arial"/>
                <w:sz w:val="18"/>
                <w:szCs w:val="18"/>
                <w:color w:val="auto"/>
              </w:rPr>
              <w:t>(8,750,000)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(10,062,500)</w:t>
            </w:r>
          </w:p>
        </w:tc>
        <w:tc>
          <w:tcPr>
            <w:tcW w:w="0" w:type="dxa"/>
            <w:vAlign w:val="bottom"/>
          </w:tcPr>
          <w:p>
            <w:pPr>
              <w:spacing w:after="0"/>
              <w:rPr>
                <w:sz w:val="1"/>
                <w:szCs w:val="1"/>
                <w:color w:val="auto"/>
              </w:rPr>
            </w:pPr>
          </w:p>
        </w:tc>
      </w:tr>
      <w:tr>
        <w:trPr>
          <w:trHeight w:val="257"/>
        </w:trPr>
        <w:tc>
          <w:tcPr>
            <w:tcW w:w="8540" w:type="dxa"/>
            <w:vAlign w:val="bottom"/>
            <w:gridSpan w:val="3"/>
            <w:shd w:val="clear" w:color="auto" w:fill="D5EAEA"/>
          </w:tcPr>
          <w:p>
            <w:pPr>
              <w:spacing w:after="0" w:line="256" w:lineRule="exact"/>
              <w:rPr>
                <w:sz w:val="20"/>
                <w:szCs w:val="20"/>
                <w:color w:val="auto"/>
              </w:rPr>
            </w:pPr>
            <w:r>
              <w:rPr>
                <w:rFonts w:ascii="Arial" w:cs="Arial" w:eastAsia="Arial" w:hAnsi="Arial"/>
                <w:sz w:val="18"/>
                <w:szCs w:val="18"/>
                <w:color w:val="auto"/>
              </w:rPr>
              <w:t>Less: Proceeds held in trust subject to redemption</w:t>
            </w:r>
            <w:r>
              <w:rPr>
                <w:rFonts w:ascii="Arial" w:cs="Arial" w:eastAsia="Arial" w:hAnsi="Arial"/>
                <w:sz w:val="29"/>
                <w:szCs w:val="29"/>
                <w:color w:val="auto"/>
                <w:vertAlign w:val="superscript"/>
              </w:rPr>
              <w:t>(2)</w:t>
            </w:r>
          </w:p>
        </w:tc>
        <w:tc>
          <w:tcPr>
            <w:tcW w:w="1260" w:type="dxa"/>
            <w:vAlign w:val="bottom"/>
            <w:shd w:val="clear" w:color="auto" w:fill="D5EAEA"/>
          </w:tcPr>
          <w:p>
            <w:pPr>
              <w:jc w:val="right"/>
              <w:spacing w:after="0"/>
              <w:rPr>
                <w:sz w:val="20"/>
                <w:szCs w:val="20"/>
                <w:color w:val="auto"/>
              </w:rPr>
            </w:pPr>
            <w:r>
              <w:rPr>
                <w:rFonts w:ascii="Arial" w:cs="Arial" w:eastAsia="Arial" w:hAnsi="Arial"/>
                <w:sz w:val="18"/>
                <w:szCs w:val="18"/>
                <w:color w:val="auto"/>
              </w:rPr>
              <w:t>(238,264,500)</w:t>
            </w:r>
          </w:p>
        </w:tc>
        <w:tc>
          <w:tcPr>
            <w:tcW w:w="100" w:type="dxa"/>
            <w:vAlign w:val="bottom"/>
            <w:shd w:val="clear" w:color="auto" w:fill="D5EAEA"/>
          </w:tcPr>
          <w:p>
            <w:pPr>
              <w:spacing w:after="0"/>
              <w:rPr>
                <w:sz w:val="22"/>
                <w:szCs w:val="22"/>
                <w:color w:val="auto"/>
              </w:rPr>
            </w:pPr>
          </w:p>
        </w:tc>
        <w:tc>
          <w:tcPr>
            <w:tcW w:w="160" w:type="dxa"/>
            <w:vAlign w:val="bottom"/>
            <w:shd w:val="clear" w:color="auto" w:fill="D5EAEA"/>
          </w:tcPr>
          <w:p>
            <w:pPr>
              <w:spacing w:after="0"/>
              <w:rPr>
                <w:sz w:val="22"/>
                <w:szCs w:val="22"/>
                <w:color w:val="auto"/>
              </w:rPr>
            </w:pPr>
          </w:p>
        </w:tc>
        <w:tc>
          <w:tcPr>
            <w:tcW w:w="1180" w:type="dxa"/>
            <w:vAlign w:val="bottom"/>
            <w:shd w:val="clear" w:color="auto" w:fill="D5EAEA"/>
          </w:tcPr>
          <w:p>
            <w:pPr>
              <w:jc w:val="right"/>
              <w:spacing w:after="0"/>
              <w:rPr>
                <w:sz w:val="20"/>
                <w:szCs w:val="20"/>
                <w:color w:val="auto"/>
              </w:rPr>
            </w:pPr>
            <w:r>
              <w:rPr>
                <w:rFonts w:ascii="Arial" w:cs="Arial" w:eastAsia="Arial" w:hAnsi="Arial"/>
                <w:sz w:val="18"/>
                <w:szCs w:val="18"/>
                <w:color w:val="auto"/>
                <w:w w:val="99"/>
              </w:rPr>
              <w:t>(274,452,000)</w:t>
            </w:r>
          </w:p>
        </w:tc>
        <w:tc>
          <w:tcPr>
            <w:tcW w:w="0" w:type="dxa"/>
            <w:vAlign w:val="bottom"/>
          </w:tcPr>
          <w:p>
            <w:pPr>
              <w:spacing w:after="0"/>
              <w:rPr>
                <w:sz w:val="1"/>
                <w:szCs w:val="1"/>
                <w:color w:val="auto"/>
              </w:rPr>
            </w:pPr>
          </w:p>
        </w:tc>
      </w:tr>
      <w:tr>
        <w:trPr>
          <w:trHeight w:val="209"/>
        </w:trPr>
        <w:tc>
          <w:tcPr>
            <w:tcW w:w="2820" w:type="dxa"/>
            <w:vAlign w:val="bottom"/>
            <w:tcBorders>
              <w:bottom w:val="single" w:sz="8" w:color="D5EAEA"/>
            </w:tcBorders>
          </w:tcPr>
          <w:p>
            <w:pPr>
              <w:spacing w:after="0"/>
              <w:rPr>
                <w:sz w:val="18"/>
                <w:szCs w:val="18"/>
                <w:color w:val="auto"/>
              </w:rPr>
            </w:pPr>
          </w:p>
        </w:tc>
        <w:tc>
          <w:tcPr>
            <w:tcW w:w="5620" w:type="dxa"/>
            <w:vAlign w:val="bottom"/>
            <w:tcBorders>
              <w:bottom w:val="single" w:sz="8" w:color="D5EAEA"/>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5,000,006</w:t>
            </w:r>
          </w:p>
        </w:tc>
        <w:tc>
          <w:tcPr>
            <w:tcW w:w="100" w:type="dxa"/>
            <w:vAlign w:val="bottom"/>
            <w:tcBorders>
              <w:bottom w:val="single" w:sz="8" w:color="D5EAEA"/>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5,000,006</w:t>
            </w:r>
          </w:p>
        </w:tc>
        <w:tc>
          <w:tcPr>
            <w:tcW w:w="0" w:type="dxa"/>
            <w:vAlign w:val="bottom"/>
          </w:tcPr>
          <w:p>
            <w:pPr>
              <w:spacing w:after="0"/>
              <w:rPr>
                <w:sz w:val="1"/>
                <w:szCs w:val="1"/>
                <w:color w:val="auto"/>
              </w:rPr>
            </w:pPr>
          </w:p>
        </w:tc>
      </w:tr>
      <w:tr>
        <w:trPr>
          <w:trHeight w:val="209"/>
        </w:trPr>
        <w:tc>
          <w:tcPr>
            <w:tcW w:w="844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Denominator:</w:t>
            </w:r>
          </w:p>
        </w:tc>
        <w:tc>
          <w:tcPr>
            <w:tcW w:w="100" w:type="dxa"/>
            <w:vAlign w:val="bottom"/>
            <w:shd w:val="clear" w:color="auto" w:fill="D5EAEA"/>
          </w:tcPr>
          <w:p>
            <w:pPr>
              <w:spacing w:after="0"/>
              <w:rPr>
                <w:sz w:val="18"/>
                <w:szCs w:val="18"/>
                <w:color w:val="auto"/>
              </w:rPr>
            </w:pPr>
          </w:p>
        </w:tc>
        <w:tc>
          <w:tcPr>
            <w:tcW w:w="126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60" w:type="dxa"/>
            <w:vAlign w:val="bottom"/>
            <w:shd w:val="clear" w:color="auto" w:fill="D5EAEA"/>
          </w:tcPr>
          <w:p>
            <w:pPr>
              <w:spacing w:after="0"/>
              <w:rPr>
                <w:sz w:val="18"/>
                <w:szCs w:val="18"/>
                <w:color w:val="auto"/>
              </w:rPr>
            </w:pPr>
          </w:p>
        </w:tc>
        <w:tc>
          <w:tcPr>
            <w:tcW w:w="1180" w:type="dxa"/>
            <w:vAlign w:val="bottom"/>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40" w:type="dxa"/>
            <w:vAlign w:val="bottom"/>
            <w:gridSpan w:val="3"/>
          </w:tcPr>
          <w:p>
            <w:pPr>
              <w:spacing w:after="0"/>
              <w:rPr>
                <w:sz w:val="20"/>
                <w:szCs w:val="20"/>
                <w:color w:val="auto"/>
              </w:rPr>
            </w:pPr>
            <w:r>
              <w:rPr>
                <w:rFonts w:ascii="Arial" w:cs="Arial" w:eastAsia="Arial" w:hAnsi="Arial"/>
                <w:sz w:val="18"/>
                <w:szCs w:val="18"/>
                <w:color w:val="auto"/>
              </w:rPr>
              <w:t>Class B ordinary shares outstanding prior to this offering</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7,187,500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7,187,500</w:t>
            </w:r>
          </w:p>
        </w:tc>
        <w:tc>
          <w:tcPr>
            <w:tcW w:w="0" w:type="dxa"/>
            <w:vAlign w:val="bottom"/>
          </w:tcPr>
          <w:p>
            <w:pPr>
              <w:spacing w:after="0"/>
              <w:rPr>
                <w:sz w:val="1"/>
                <w:szCs w:val="1"/>
                <w:color w:val="auto"/>
              </w:rPr>
            </w:pPr>
          </w:p>
        </w:tc>
      </w:tr>
      <w:tr>
        <w:trPr>
          <w:trHeight w:val="256"/>
        </w:trPr>
        <w:tc>
          <w:tcPr>
            <w:tcW w:w="8540" w:type="dxa"/>
            <w:vAlign w:val="bottom"/>
            <w:gridSpan w:val="3"/>
            <w:shd w:val="clear" w:color="auto" w:fill="D5EAEA"/>
          </w:tcPr>
          <w:p>
            <w:pPr>
              <w:spacing w:after="0" w:line="256" w:lineRule="exact"/>
              <w:rPr>
                <w:sz w:val="20"/>
                <w:szCs w:val="20"/>
                <w:color w:val="auto"/>
              </w:rPr>
            </w:pPr>
            <w:r>
              <w:rPr>
                <w:rFonts w:ascii="Arial" w:cs="Arial" w:eastAsia="Arial" w:hAnsi="Arial"/>
                <w:sz w:val="18"/>
                <w:szCs w:val="18"/>
                <w:color w:val="auto"/>
              </w:rPr>
              <w:t>Class B ordinary shares forfeited if over-allotment is not exercised</w:t>
            </w:r>
            <w:r>
              <w:rPr>
                <w:rFonts w:ascii="Arial" w:cs="Arial" w:eastAsia="Arial" w:hAnsi="Arial"/>
                <w:sz w:val="29"/>
                <w:szCs w:val="29"/>
                <w:color w:val="auto"/>
                <w:vertAlign w:val="superscript"/>
              </w:rPr>
              <w:t>(3)</w:t>
            </w:r>
          </w:p>
        </w:tc>
        <w:tc>
          <w:tcPr>
            <w:tcW w:w="1260" w:type="dxa"/>
            <w:vAlign w:val="bottom"/>
            <w:shd w:val="clear" w:color="auto" w:fill="D5EAEA"/>
          </w:tcPr>
          <w:p>
            <w:pPr>
              <w:jc w:val="right"/>
              <w:spacing w:after="0"/>
              <w:rPr>
                <w:sz w:val="20"/>
                <w:szCs w:val="20"/>
                <w:color w:val="auto"/>
              </w:rPr>
            </w:pPr>
            <w:r>
              <w:rPr>
                <w:rFonts w:ascii="Arial" w:cs="Arial" w:eastAsia="Arial" w:hAnsi="Arial"/>
                <w:sz w:val="18"/>
                <w:szCs w:val="18"/>
                <w:color w:val="auto"/>
              </w:rPr>
              <w:t>(937,500)</w:t>
            </w:r>
          </w:p>
        </w:tc>
        <w:tc>
          <w:tcPr>
            <w:tcW w:w="100" w:type="dxa"/>
            <w:vAlign w:val="bottom"/>
            <w:shd w:val="clear" w:color="auto" w:fill="D5EAEA"/>
          </w:tcPr>
          <w:p>
            <w:pPr>
              <w:spacing w:after="0"/>
              <w:rPr>
                <w:sz w:val="22"/>
                <w:szCs w:val="22"/>
                <w:color w:val="auto"/>
              </w:rPr>
            </w:pPr>
          </w:p>
        </w:tc>
        <w:tc>
          <w:tcPr>
            <w:tcW w:w="160" w:type="dxa"/>
            <w:vAlign w:val="bottom"/>
            <w:shd w:val="clear" w:color="auto" w:fill="D5EAEA"/>
          </w:tcPr>
          <w:p>
            <w:pPr>
              <w:spacing w:after="0"/>
              <w:rPr>
                <w:sz w:val="22"/>
                <w:szCs w:val="22"/>
                <w:color w:val="auto"/>
              </w:rPr>
            </w:pPr>
          </w:p>
        </w:tc>
        <w:tc>
          <w:tcPr>
            <w:tcW w:w="118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540" w:type="dxa"/>
            <w:vAlign w:val="bottom"/>
            <w:gridSpan w:val="3"/>
          </w:tcPr>
          <w:p>
            <w:pPr>
              <w:spacing w:after="0"/>
              <w:rPr>
                <w:sz w:val="20"/>
                <w:szCs w:val="20"/>
                <w:color w:val="auto"/>
              </w:rPr>
            </w:pPr>
            <w:r>
              <w:rPr>
                <w:rFonts w:ascii="Arial" w:cs="Arial" w:eastAsia="Arial" w:hAnsi="Arial"/>
                <w:sz w:val="18"/>
                <w:szCs w:val="18"/>
                <w:color w:val="auto"/>
              </w:rPr>
              <w:t>Class A ordinary shares included in the units offered</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25,000,000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28,750,000</w:t>
            </w:r>
          </w:p>
        </w:tc>
        <w:tc>
          <w:tcPr>
            <w:tcW w:w="0" w:type="dxa"/>
            <w:vAlign w:val="bottom"/>
          </w:tcPr>
          <w:p>
            <w:pPr>
              <w:spacing w:after="0"/>
              <w:rPr>
                <w:sz w:val="1"/>
                <w:szCs w:val="1"/>
                <w:color w:val="auto"/>
              </w:rPr>
            </w:pPr>
          </w:p>
        </w:tc>
      </w:tr>
      <w:tr>
        <w:trPr>
          <w:trHeight w:val="216"/>
        </w:trPr>
        <w:tc>
          <w:tcPr>
            <w:tcW w:w="8540" w:type="dxa"/>
            <w:vAlign w:val="bottom"/>
            <w:gridSpan w:val="3"/>
            <w:shd w:val="clear" w:color="auto" w:fill="D5EAEA"/>
          </w:tcPr>
          <w:p>
            <w:pPr>
              <w:spacing w:after="0"/>
              <w:rPr>
                <w:sz w:val="20"/>
                <w:szCs w:val="20"/>
                <w:color w:val="auto"/>
              </w:rPr>
            </w:pPr>
            <w:r>
              <w:rPr>
                <w:rFonts w:ascii="Arial" w:cs="Arial" w:eastAsia="Arial" w:hAnsi="Arial"/>
                <w:sz w:val="18"/>
                <w:szCs w:val="18"/>
                <w:color w:val="auto"/>
              </w:rPr>
              <w:t>Less: Class A ordinary shares subject to redemption</w:t>
            </w:r>
          </w:p>
        </w:tc>
        <w:tc>
          <w:tcPr>
            <w:tcW w:w="1260" w:type="dxa"/>
            <w:vAlign w:val="bottom"/>
            <w:shd w:val="clear" w:color="auto" w:fill="D5EAEA"/>
          </w:tcPr>
          <w:p>
            <w:pPr>
              <w:jc w:val="right"/>
              <w:spacing w:after="0"/>
              <w:rPr>
                <w:sz w:val="20"/>
                <w:szCs w:val="20"/>
                <w:color w:val="auto"/>
              </w:rPr>
            </w:pPr>
            <w:r>
              <w:rPr>
                <w:rFonts w:ascii="Arial" w:cs="Arial" w:eastAsia="Arial" w:hAnsi="Arial"/>
                <w:sz w:val="18"/>
                <w:szCs w:val="18"/>
                <w:color w:val="auto"/>
              </w:rPr>
              <w:t>(23,826,450)</w:t>
            </w:r>
          </w:p>
        </w:tc>
        <w:tc>
          <w:tcPr>
            <w:tcW w:w="100" w:type="dxa"/>
            <w:vAlign w:val="bottom"/>
            <w:shd w:val="clear" w:color="auto" w:fill="D5EAEA"/>
          </w:tcPr>
          <w:p>
            <w:pPr>
              <w:spacing w:after="0"/>
              <w:rPr>
                <w:sz w:val="18"/>
                <w:szCs w:val="18"/>
                <w:color w:val="auto"/>
              </w:rPr>
            </w:pPr>
          </w:p>
        </w:tc>
        <w:tc>
          <w:tcPr>
            <w:tcW w:w="160" w:type="dxa"/>
            <w:vAlign w:val="bottom"/>
            <w:shd w:val="clear" w:color="auto" w:fill="D5EAEA"/>
          </w:tcPr>
          <w:p>
            <w:pPr>
              <w:spacing w:after="0"/>
              <w:rPr>
                <w:sz w:val="18"/>
                <w:szCs w:val="18"/>
                <w:color w:val="auto"/>
              </w:rPr>
            </w:pPr>
          </w:p>
        </w:tc>
        <w:tc>
          <w:tcPr>
            <w:tcW w:w="1180" w:type="dxa"/>
            <w:vAlign w:val="bottom"/>
            <w:shd w:val="clear" w:color="auto" w:fill="D5EAEA"/>
          </w:tcPr>
          <w:p>
            <w:pPr>
              <w:jc w:val="right"/>
              <w:spacing w:after="0"/>
              <w:rPr>
                <w:sz w:val="20"/>
                <w:szCs w:val="20"/>
                <w:color w:val="auto"/>
              </w:rPr>
            </w:pPr>
            <w:r>
              <w:rPr>
                <w:rFonts w:ascii="Arial" w:cs="Arial" w:eastAsia="Arial" w:hAnsi="Arial"/>
                <w:sz w:val="18"/>
                <w:szCs w:val="18"/>
                <w:color w:val="auto"/>
              </w:rPr>
              <w:t>(27,445,200)</w:t>
            </w:r>
          </w:p>
        </w:tc>
        <w:tc>
          <w:tcPr>
            <w:tcW w:w="0" w:type="dxa"/>
            <w:vAlign w:val="bottom"/>
          </w:tcPr>
          <w:p>
            <w:pPr>
              <w:spacing w:after="0"/>
              <w:rPr>
                <w:sz w:val="1"/>
                <w:szCs w:val="1"/>
                <w:color w:val="auto"/>
              </w:rPr>
            </w:pPr>
          </w:p>
        </w:tc>
      </w:tr>
      <w:tr>
        <w:trPr>
          <w:trHeight w:val="209"/>
        </w:trPr>
        <w:tc>
          <w:tcPr>
            <w:tcW w:w="2820" w:type="dxa"/>
            <w:vAlign w:val="bottom"/>
          </w:tcPr>
          <w:p>
            <w:pPr>
              <w:spacing w:after="0"/>
              <w:rPr>
                <w:sz w:val="18"/>
                <w:szCs w:val="18"/>
                <w:color w:val="auto"/>
              </w:rPr>
            </w:pPr>
          </w:p>
        </w:tc>
        <w:tc>
          <w:tcPr>
            <w:tcW w:w="56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7,423,550</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8,492,300</w:t>
            </w:r>
          </w:p>
        </w:tc>
        <w:tc>
          <w:tcPr>
            <w:tcW w:w="0" w:type="dxa"/>
            <w:vAlign w:val="bottom"/>
          </w:tcPr>
          <w:p>
            <w:pPr>
              <w:spacing w:after="0"/>
              <w:rPr>
                <w:sz w:val="1"/>
                <w:szCs w:val="1"/>
                <w:color w:val="auto"/>
              </w:rPr>
            </w:pPr>
          </w:p>
        </w:tc>
      </w:tr>
      <w:tr>
        <w:trPr>
          <w:trHeight w:val="48"/>
        </w:trPr>
        <w:tc>
          <w:tcPr>
            <w:tcW w:w="2820" w:type="dxa"/>
            <w:vAlign w:val="bottom"/>
            <w:tcBorders>
              <w:bottom w:val="single" w:sz="8" w:color="auto"/>
            </w:tcBorders>
          </w:tcPr>
          <w:p>
            <w:pPr>
              <w:spacing w:after="0"/>
              <w:rPr>
                <w:sz w:val="4"/>
                <w:szCs w:val="4"/>
                <w:color w:val="auto"/>
              </w:rPr>
            </w:pPr>
          </w:p>
        </w:tc>
        <w:tc>
          <w:tcPr>
            <w:tcW w:w="5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340" w:right="220" w:hanging="332"/>
        <w:spacing w:after="0" w:line="277" w:lineRule="auto"/>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Expenses applied against gross proceeds include offering expenses of $1,000,000 and underwriting commissions of $4,505,000, or $5,255,000 if the underwriters’ over-allotment option is exercised (excluding deferred underwriting fees). See “Use of Proceeds.”</w:t>
      </w:r>
    </w:p>
    <w:p>
      <w:pPr>
        <w:spacing w:after="0" w:line="345" w:lineRule="exact"/>
        <w:rPr>
          <w:rFonts w:ascii="Arial" w:cs="Arial" w:eastAsia="Arial" w:hAnsi="Arial"/>
          <w:sz w:val="18"/>
          <w:szCs w:val="18"/>
          <w:color w:val="auto"/>
        </w:rPr>
      </w:pPr>
    </w:p>
    <w:p>
      <w:pPr>
        <w:ind w:left="340" w:right="60" w:hanging="332"/>
        <w:spacing w:after="0" w:line="273" w:lineRule="auto"/>
        <w:tabs>
          <w:tab w:leader="none" w:pos="3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If we seek shareholder approval of our initial business combination and we do not conduct redemptions in connection with our initial business combination pursuant to the tender offer rules, our initial shareholders, directors, officers, advisors or their affiliates may purchase public shares or warrants in privately negotiated transactions or in the open market either prior to or following the completion of our initial business combination. In the event of any such purchases of our shares prior to the completion of our initial business combination, the number of Class A ordinary shares subject to redemption will be reduced by the amount of any such purchases, increasing the pro forma net tangible book value per share. See “Proposed Business—Effecting Our Initial Business Combination—Permitted Purchases of Our Securities.”</w:t>
      </w:r>
    </w:p>
    <w:p>
      <w:pPr>
        <w:spacing w:after="0" w:line="177" w:lineRule="exact"/>
        <w:rPr>
          <w:rFonts w:ascii="Arial" w:cs="Arial" w:eastAsia="Arial" w:hAnsi="Arial"/>
          <w:sz w:val="17"/>
          <w:szCs w:val="17"/>
          <w:color w:val="auto"/>
        </w:rPr>
      </w:pPr>
    </w:p>
    <w:p>
      <w:pPr>
        <w:ind w:left="340" w:hanging="332"/>
        <w:spacing w:after="0"/>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Assumes that 937,500 founder shares are surrendered to us for no consideration, if the over-allotment is not exercised.</w:t>
      </w:r>
    </w:p>
    <w:p>
      <w:pPr>
        <w:spacing w:after="0" w:line="33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81" w:name="page82"/>
    <w:bookmarkEnd w:id="81"/>
    <w:p>
      <w:pPr>
        <w:jc w:val="center"/>
        <w:spacing w:after="0"/>
        <w:rPr>
          <w:sz w:val="20"/>
          <w:szCs w:val="20"/>
          <w:color w:val="auto"/>
        </w:rPr>
      </w:pPr>
      <w:r>
        <w:rPr>
          <w:rFonts w:ascii="Arial" w:cs="Arial" w:eastAsia="Arial" w:hAnsi="Arial"/>
          <w:sz w:val="18"/>
          <w:szCs w:val="18"/>
          <w:b w:val="1"/>
          <w:bCs w:val="1"/>
          <w:color w:val="auto"/>
        </w:rPr>
        <w:t>CAPITALIZATION</w:t>
      </w:r>
    </w:p>
    <w:p>
      <w:pPr>
        <w:spacing w:after="0" w:line="229"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The following table sets forth our capitalization at December 31, 2020, and as adjusted to give effect to the sale of our units in this offering and the sale of the private placement warrants and the application of the estimated net proceeds derived from the sale of such securities, assuming no exercise by the underwriters of their over-allotment option:</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4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gridSpan w:val="5"/>
          </w:tcPr>
          <w:p>
            <w:pPr>
              <w:jc w:val="right"/>
              <w:ind w:right="590"/>
              <w:spacing w:after="0"/>
              <w:rPr>
                <w:sz w:val="20"/>
                <w:szCs w:val="20"/>
                <w:color w:val="auto"/>
              </w:rPr>
            </w:pPr>
            <w:r>
              <w:rPr>
                <w:rFonts w:ascii="Arial" w:cs="Arial" w:eastAsia="Arial" w:hAnsi="Arial"/>
                <w:sz w:val="18"/>
                <w:szCs w:val="18"/>
                <w:b w:val="1"/>
                <w:bCs w:val="1"/>
                <w:color w:val="auto"/>
              </w:rPr>
              <w:t>December 31, 2020</w:t>
            </w:r>
          </w:p>
        </w:tc>
      </w:tr>
      <w:tr>
        <w:trPr>
          <w:trHeight w:val="209"/>
        </w:trPr>
        <w:tc>
          <w:tcPr>
            <w:tcW w:w="2820" w:type="dxa"/>
            <w:vAlign w:val="bottom"/>
            <w:tcBorders>
              <w:bottom w:val="single" w:sz="8" w:color="D5EAEA"/>
            </w:tcBorders>
          </w:tcPr>
          <w:p>
            <w:pPr>
              <w:spacing w:after="0"/>
              <w:rPr>
                <w:sz w:val="18"/>
                <w:szCs w:val="18"/>
                <w:color w:val="auto"/>
              </w:rPr>
            </w:pPr>
          </w:p>
        </w:tc>
        <w:tc>
          <w:tcPr>
            <w:tcW w:w="1300" w:type="dxa"/>
            <w:vAlign w:val="bottom"/>
            <w:tcBorders>
              <w:bottom w:val="single" w:sz="8" w:color="D5EAEA"/>
            </w:tcBorders>
          </w:tcPr>
          <w:p>
            <w:pPr>
              <w:spacing w:after="0"/>
              <w:rPr>
                <w:sz w:val="18"/>
                <w:szCs w:val="18"/>
                <w:color w:val="auto"/>
              </w:rPr>
            </w:pPr>
          </w:p>
        </w:tc>
        <w:tc>
          <w:tcPr>
            <w:tcW w:w="4180" w:type="dxa"/>
            <w:vAlign w:val="bottom"/>
            <w:tcBorders>
              <w:bottom w:val="single" w:sz="8" w:color="D5EAEA"/>
            </w:tcBorders>
          </w:tcPr>
          <w:p>
            <w:pPr>
              <w:spacing w:after="0"/>
              <w:rPr>
                <w:sz w:val="18"/>
                <w:szCs w:val="18"/>
                <w:color w:val="auto"/>
              </w:rPr>
            </w:pPr>
          </w:p>
        </w:tc>
        <w:tc>
          <w:tcPr>
            <w:tcW w:w="140" w:type="dxa"/>
            <w:vAlign w:val="bottom"/>
            <w:tcBorders>
              <w:bottom w:val="single" w:sz="8" w:color="D5EAEA"/>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Actual</w:t>
            </w:r>
          </w:p>
        </w:tc>
        <w:tc>
          <w:tcPr>
            <w:tcW w:w="100" w:type="dxa"/>
            <w:vAlign w:val="bottom"/>
            <w:tcBorders>
              <w:bottom w:val="single" w:sz="8" w:color="D5EAEA"/>
            </w:tcBorders>
          </w:tcPr>
          <w:p>
            <w:pPr>
              <w:spacing w:after="0"/>
              <w:rPr>
                <w:sz w:val="18"/>
                <w:szCs w:val="18"/>
                <w:color w:val="auto"/>
              </w:rPr>
            </w:pPr>
          </w:p>
        </w:tc>
        <w:tc>
          <w:tcPr>
            <w:tcW w:w="20" w:type="dxa"/>
            <w:vAlign w:val="bottom"/>
            <w:tcBorders>
              <w:bottom w:val="single" w:sz="8" w:color="D5EAEA"/>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3"/>
              </w:rPr>
              <w:t>As Adjusted</w:t>
            </w:r>
          </w:p>
        </w:tc>
      </w:tr>
      <w:tr>
        <w:trPr>
          <w:trHeight w:val="237"/>
        </w:trPr>
        <w:tc>
          <w:tcPr>
            <w:tcW w:w="8300" w:type="dxa"/>
            <w:vAlign w:val="bottom"/>
            <w:gridSpan w:val="3"/>
            <w:shd w:val="clear" w:color="auto" w:fill="D5EAEA"/>
          </w:tcPr>
          <w:p>
            <w:pPr>
              <w:spacing w:after="0" w:line="236" w:lineRule="exact"/>
              <w:rPr>
                <w:sz w:val="20"/>
                <w:szCs w:val="20"/>
                <w:color w:val="auto"/>
              </w:rPr>
            </w:pPr>
            <w:r>
              <w:rPr>
                <w:rFonts w:ascii="Arial" w:cs="Arial" w:eastAsia="Arial" w:hAnsi="Arial"/>
                <w:sz w:val="17"/>
                <w:szCs w:val="17"/>
                <w:color w:val="auto"/>
              </w:rPr>
              <w:t>Notes payable and due to related party</w:t>
            </w:r>
            <w:r>
              <w:rPr>
                <w:rFonts w:ascii="Arial" w:cs="Arial" w:eastAsia="Arial" w:hAnsi="Arial"/>
                <w:sz w:val="27"/>
                <w:szCs w:val="27"/>
                <w:color w:val="auto"/>
                <w:vertAlign w:val="superscript"/>
              </w:rPr>
              <w:t>(1)</w:t>
            </w:r>
          </w:p>
        </w:tc>
        <w:tc>
          <w:tcPr>
            <w:tcW w:w="400" w:type="dxa"/>
            <w:vAlign w:val="bottom"/>
            <w:gridSpan w:val="2"/>
            <w:shd w:val="clear" w:color="auto" w:fill="D5EAEA"/>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D5EAEA"/>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gridSpan w:val="2"/>
            <w:shd w:val="clear" w:color="auto" w:fill="D5EAEA"/>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8300" w:type="dxa"/>
            <w:vAlign w:val="bottom"/>
            <w:gridSpan w:val="3"/>
          </w:tcPr>
          <w:p>
            <w:pPr>
              <w:spacing w:after="0"/>
              <w:rPr>
                <w:sz w:val="20"/>
                <w:szCs w:val="20"/>
                <w:color w:val="auto"/>
              </w:rPr>
            </w:pPr>
            <w:r>
              <w:rPr>
                <w:rFonts w:ascii="Arial" w:cs="Arial" w:eastAsia="Arial" w:hAnsi="Arial"/>
                <w:sz w:val="18"/>
                <w:szCs w:val="18"/>
                <w:color w:val="auto"/>
              </w:rPr>
              <w:t>Deferred underwriting commissions</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8,750,000</w:t>
            </w:r>
          </w:p>
        </w:tc>
      </w:tr>
      <w:tr>
        <w:trPr>
          <w:trHeight w:val="205"/>
        </w:trPr>
        <w:tc>
          <w:tcPr>
            <w:tcW w:w="8300" w:type="dxa"/>
            <w:vAlign w:val="bottom"/>
            <w:gridSpan w:val="3"/>
            <w:shd w:val="clear" w:color="auto" w:fill="D5EAEA"/>
          </w:tcPr>
          <w:p>
            <w:pPr>
              <w:spacing w:after="0" w:line="206" w:lineRule="exact"/>
              <w:rPr>
                <w:sz w:val="20"/>
                <w:szCs w:val="20"/>
                <w:color w:val="auto"/>
              </w:rPr>
            </w:pPr>
            <w:r>
              <w:rPr>
                <w:rFonts w:ascii="Arial" w:cs="Arial" w:eastAsia="Arial" w:hAnsi="Arial"/>
                <w:sz w:val="18"/>
                <w:szCs w:val="18"/>
                <w:color w:val="auto"/>
                <w:w w:val="90"/>
              </w:rPr>
              <w:t>Class A ordinary shares, $0.0001 par value, 200,000,000 shares authorized; -0- and 23,826,450 shares are subject</w:t>
            </w:r>
          </w:p>
        </w:tc>
        <w:tc>
          <w:tcPr>
            <w:tcW w:w="140" w:type="dxa"/>
            <w:vAlign w:val="bottom"/>
            <w:shd w:val="clear" w:color="auto" w:fill="D5EAEA"/>
          </w:tcPr>
          <w:p>
            <w:pPr>
              <w:spacing w:after="0"/>
              <w:rPr>
                <w:sz w:val="17"/>
                <w:szCs w:val="17"/>
                <w:color w:val="auto"/>
              </w:rPr>
            </w:pPr>
          </w:p>
        </w:tc>
        <w:tc>
          <w:tcPr>
            <w:tcW w:w="260" w:type="dxa"/>
            <w:vAlign w:val="bottom"/>
            <w:shd w:val="clear" w:color="auto" w:fill="D5EAEA"/>
          </w:tcPr>
          <w:p>
            <w:pPr>
              <w:spacing w:after="0"/>
              <w:rPr>
                <w:sz w:val="17"/>
                <w:szCs w:val="17"/>
                <w:color w:val="auto"/>
              </w:rPr>
            </w:pPr>
          </w:p>
        </w:tc>
        <w:tc>
          <w:tcPr>
            <w:tcW w:w="1100" w:type="dxa"/>
            <w:vAlign w:val="bottom"/>
            <w:shd w:val="clear" w:color="auto" w:fill="D5EAEA"/>
          </w:tcPr>
          <w:p>
            <w:pPr>
              <w:spacing w:after="0"/>
              <w:rPr>
                <w:sz w:val="17"/>
                <w:szCs w:val="17"/>
                <w:color w:val="auto"/>
              </w:rPr>
            </w:pPr>
          </w:p>
        </w:tc>
        <w:tc>
          <w:tcPr>
            <w:tcW w:w="100" w:type="dxa"/>
            <w:vAlign w:val="bottom"/>
            <w:shd w:val="clear" w:color="auto" w:fill="D5EAEA"/>
          </w:tcPr>
          <w:p>
            <w:pPr>
              <w:spacing w:after="0"/>
              <w:rPr>
                <w:sz w:val="17"/>
                <w:szCs w:val="17"/>
                <w:color w:val="auto"/>
              </w:rPr>
            </w:pPr>
          </w:p>
        </w:tc>
        <w:tc>
          <w:tcPr>
            <w:tcW w:w="20" w:type="dxa"/>
            <w:vAlign w:val="bottom"/>
            <w:shd w:val="clear" w:color="auto" w:fill="D5EAEA"/>
          </w:tcPr>
          <w:p>
            <w:pPr>
              <w:spacing w:after="0"/>
              <w:rPr>
                <w:sz w:val="17"/>
                <w:szCs w:val="17"/>
                <w:color w:val="auto"/>
              </w:rPr>
            </w:pPr>
          </w:p>
        </w:tc>
        <w:tc>
          <w:tcPr>
            <w:tcW w:w="120" w:type="dxa"/>
            <w:vAlign w:val="bottom"/>
            <w:shd w:val="clear" w:color="auto" w:fill="D5EAEA"/>
          </w:tcPr>
          <w:p>
            <w:pPr>
              <w:spacing w:after="0"/>
              <w:rPr>
                <w:sz w:val="17"/>
                <w:szCs w:val="17"/>
                <w:color w:val="auto"/>
              </w:rPr>
            </w:pPr>
          </w:p>
        </w:tc>
        <w:tc>
          <w:tcPr>
            <w:tcW w:w="1200" w:type="dxa"/>
            <w:vAlign w:val="bottom"/>
            <w:shd w:val="clear" w:color="auto" w:fill="D5EAEA"/>
          </w:tcPr>
          <w:p>
            <w:pPr>
              <w:spacing w:after="0"/>
              <w:rPr>
                <w:sz w:val="17"/>
                <w:szCs w:val="17"/>
                <w:color w:val="auto"/>
              </w:rPr>
            </w:pPr>
          </w:p>
        </w:tc>
      </w:tr>
      <w:tr>
        <w:trPr>
          <w:trHeight w:val="267"/>
        </w:trPr>
        <w:tc>
          <w:tcPr>
            <w:tcW w:w="8300" w:type="dxa"/>
            <w:vAlign w:val="bottom"/>
            <w:gridSpan w:val="3"/>
            <w:shd w:val="clear" w:color="auto" w:fill="D5EAEA"/>
          </w:tcPr>
          <w:p>
            <w:pPr>
              <w:spacing w:after="0" w:line="267" w:lineRule="exact"/>
              <w:rPr>
                <w:sz w:val="20"/>
                <w:szCs w:val="20"/>
                <w:color w:val="auto"/>
              </w:rPr>
            </w:pPr>
            <w:r>
              <w:rPr>
                <w:rFonts w:ascii="Arial" w:cs="Arial" w:eastAsia="Arial" w:hAnsi="Arial"/>
                <w:sz w:val="18"/>
                <w:szCs w:val="18"/>
                <w:color w:val="auto"/>
              </w:rPr>
              <w:t>to possible redemption, actual and as adjusted, respectively</w:t>
            </w:r>
            <w:r>
              <w:rPr>
                <w:rFonts w:ascii="Arial" w:cs="Arial" w:eastAsia="Arial" w:hAnsi="Arial"/>
                <w:sz w:val="29"/>
                <w:szCs w:val="29"/>
                <w:color w:val="auto"/>
                <w:vertAlign w:val="superscript"/>
              </w:rPr>
              <w:t>(2)</w:t>
            </w:r>
          </w:p>
        </w:tc>
        <w:tc>
          <w:tcPr>
            <w:tcW w:w="140" w:type="dxa"/>
            <w:vAlign w:val="bottom"/>
            <w:shd w:val="clear" w:color="auto" w:fill="D5EAEA"/>
          </w:tcPr>
          <w:p>
            <w:pPr>
              <w:spacing w:after="0"/>
              <w:rPr>
                <w:sz w:val="23"/>
                <w:szCs w:val="23"/>
                <w:color w:val="auto"/>
              </w:rPr>
            </w:pPr>
          </w:p>
        </w:tc>
        <w:tc>
          <w:tcPr>
            <w:tcW w:w="260" w:type="dxa"/>
            <w:vAlign w:val="bottom"/>
            <w:shd w:val="clear" w:color="auto" w:fill="D5EAEA"/>
          </w:tcPr>
          <w:p>
            <w:pPr>
              <w:spacing w:after="0"/>
              <w:rPr>
                <w:sz w:val="23"/>
                <w:szCs w:val="23"/>
                <w:color w:val="auto"/>
              </w:rPr>
            </w:pPr>
          </w:p>
        </w:tc>
        <w:tc>
          <w:tcPr>
            <w:tcW w:w="1200" w:type="dxa"/>
            <w:vAlign w:val="bottom"/>
            <w:gridSpan w:val="2"/>
            <w:shd w:val="clear" w:color="auto" w:fill="D5EAEA"/>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D5EAEA"/>
          </w:tcPr>
          <w:p>
            <w:pPr>
              <w:spacing w:after="0"/>
              <w:rPr>
                <w:sz w:val="23"/>
                <w:szCs w:val="23"/>
                <w:color w:val="auto"/>
              </w:rPr>
            </w:pPr>
          </w:p>
        </w:tc>
        <w:tc>
          <w:tcPr>
            <w:tcW w:w="120" w:type="dxa"/>
            <w:vAlign w:val="bottom"/>
            <w:shd w:val="clear" w:color="auto" w:fill="D5EAEA"/>
          </w:tcPr>
          <w:p>
            <w:pPr>
              <w:spacing w:after="0"/>
              <w:rPr>
                <w:sz w:val="23"/>
                <w:szCs w:val="23"/>
                <w:color w:val="auto"/>
              </w:rPr>
            </w:pPr>
          </w:p>
        </w:tc>
        <w:tc>
          <w:tcPr>
            <w:tcW w:w="120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238,264,500</w:t>
            </w:r>
          </w:p>
        </w:tc>
      </w:tr>
      <w:tr>
        <w:trPr>
          <w:trHeight w:val="202"/>
        </w:trPr>
        <w:tc>
          <w:tcPr>
            <w:tcW w:w="8300" w:type="dxa"/>
            <w:vAlign w:val="bottom"/>
            <w:gridSpan w:val="3"/>
          </w:tcPr>
          <w:p>
            <w:pPr>
              <w:spacing w:after="0" w:line="201" w:lineRule="exact"/>
              <w:rPr>
                <w:sz w:val="20"/>
                <w:szCs w:val="20"/>
                <w:color w:val="auto"/>
              </w:rPr>
            </w:pPr>
            <w:r>
              <w:rPr>
                <w:rFonts w:ascii="Arial" w:cs="Arial" w:eastAsia="Arial" w:hAnsi="Arial"/>
                <w:sz w:val="18"/>
                <w:szCs w:val="18"/>
                <w:color w:val="auto"/>
                <w:w w:val="92"/>
              </w:rPr>
              <w:t>Preference shares, $0.0001 par value; 1,000,000 shares authorized; none issued and outstanding, actual and as</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30"/>
        </w:trPr>
        <w:tc>
          <w:tcPr>
            <w:tcW w:w="8300" w:type="dxa"/>
            <w:vAlign w:val="bottom"/>
            <w:gridSpan w:val="3"/>
          </w:tcPr>
          <w:p>
            <w:pPr>
              <w:spacing w:after="0"/>
              <w:rPr>
                <w:sz w:val="20"/>
                <w:szCs w:val="20"/>
                <w:color w:val="auto"/>
              </w:rPr>
            </w:pPr>
            <w:r>
              <w:rPr>
                <w:rFonts w:ascii="Arial" w:cs="Arial" w:eastAsia="Arial" w:hAnsi="Arial"/>
                <w:sz w:val="18"/>
                <w:szCs w:val="18"/>
                <w:color w:val="auto"/>
              </w:rPr>
              <w:t>adjusted</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02"/>
        </w:trPr>
        <w:tc>
          <w:tcPr>
            <w:tcW w:w="8300" w:type="dxa"/>
            <w:vAlign w:val="bottom"/>
            <w:gridSpan w:val="3"/>
            <w:shd w:val="clear" w:color="auto" w:fill="D5EAEA"/>
          </w:tcPr>
          <w:p>
            <w:pPr>
              <w:spacing w:after="0" w:line="201" w:lineRule="exact"/>
              <w:rPr>
                <w:sz w:val="20"/>
                <w:szCs w:val="20"/>
                <w:color w:val="auto"/>
              </w:rPr>
            </w:pPr>
            <w:r>
              <w:rPr>
                <w:rFonts w:ascii="Arial" w:cs="Arial" w:eastAsia="Arial" w:hAnsi="Arial"/>
                <w:sz w:val="18"/>
                <w:szCs w:val="18"/>
                <w:color w:val="auto"/>
                <w:w w:val="91"/>
              </w:rPr>
              <w:t>Class A ordinary shares, $0.0001 par value, 200,000,000 shares authorized; -0- and 1,173,550 shares issued and</w:t>
            </w:r>
          </w:p>
        </w:tc>
        <w:tc>
          <w:tcPr>
            <w:tcW w:w="140" w:type="dxa"/>
            <w:vAlign w:val="bottom"/>
            <w:shd w:val="clear" w:color="auto" w:fill="D5EAEA"/>
          </w:tcPr>
          <w:p>
            <w:pPr>
              <w:spacing w:after="0"/>
              <w:rPr>
                <w:sz w:val="17"/>
                <w:szCs w:val="17"/>
                <w:color w:val="auto"/>
              </w:rPr>
            </w:pPr>
          </w:p>
        </w:tc>
        <w:tc>
          <w:tcPr>
            <w:tcW w:w="260" w:type="dxa"/>
            <w:vAlign w:val="bottom"/>
            <w:shd w:val="clear" w:color="auto" w:fill="D5EAEA"/>
          </w:tcPr>
          <w:p>
            <w:pPr>
              <w:spacing w:after="0"/>
              <w:rPr>
                <w:sz w:val="17"/>
                <w:szCs w:val="17"/>
                <w:color w:val="auto"/>
              </w:rPr>
            </w:pPr>
          </w:p>
        </w:tc>
        <w:tc>
          <w:tcPr>
            <w:tcW w:w="1100" w:type="dxa"/>
            <w:vAlign w:val="bottom"/>
            <w:shd w:val="clear" w:color="auto" w:fill="D5EAEA"/>
          </w:tcPr>
          <w:p>
            <w:pPr>
              <w:spacing w:after="0"/>
              <w:rPr>
                <w:sz w:val="17"/>
                <w:szCs w:val="17"/>
                <w:color w:val="auto"/>
              </w:rPr>
            </w:pPr>
          </w:p>
        </w:tc>
        <w:tc>
          <w:tcPr>
            <w:tcW w:w="100" w:type="dxa"/>
            <w:vAlign w:val="bottom"/>
            <w:shd w:val="clear" w:color="auto" w:fill="D5EAEA"/>
          </w:tcPr>
          <w:p>
            <w:pPr>
              <w:spacing w:after="0"/>
              <w:rPr>
                <w:sz w:val="17"/>
                <w:szCs w:val="17"/>
                <w:color w:val="auto"/>
              </w:rPr>
            </w:pPr>
          </w:p>
        </w:tc>
        <w:tc>
          <w:tcPr>
            <w:tcW w:w="20" w:type="dxa"/>
            <w:vAlign w:val="bottom"/>
            <w:shd w:val="clear" w:color="auto" w:fill="D5EAEA"/>
          </w:tcPr>
          <w:p>
            <w:pPr>
              <w:spacing w:after="0"/>
              <w:rPr>
                <w:sz w:val="17"/>
                <w:szCs w:val="17"/>
                <w:color w:val="auto"/>
              </w:rPr>
            </w:pPr>
          </w:p>
        </w:tc>
        <w:tc>
          <w:tcPr>
            <w:tcW w:w="120" w:type="dxa"/>
            <w:vAlign w:val="bottom"/>
            <w:shd w:val="clear" w:color="auto" w:fill="D5EAEA"/>
          </w:tcPr>
          <w:p>
            <w:pPr>
              <w:spacing w:after="0"/>
              <w:rPr>
                <w:sz w:val="17"/>
                <w:szCs w:val="17"/>
                <w:color w:val="auto"/>
              </w:rPr>
            </w:pPr>
          </w:p>
        </w:tc>
        <w:tc>
          <w:tcPr>
            <w:tcW w:w="1200" w:type="dxa"/>
            <w:vAlign w:val="bottom"/>
            <w:shd w:val="clear" w:color="auto" w:fill="D5EAEA"/>
          </w:tcPr>
          <w:p>
            <w:pPr>
              <w:spacing w:after="0"/>
              <w:rPr>
                <w:sz w:val="17"/>
                <w:szCs w:val="17"/>
                <w:color w:val="auto"/>
              </w:rPr>
            </w:pPr>
          </w:p>
        </w:tc>
      </w:tr>
      <w:tr>
        <w:trPr>
          <w:trHeight w:val="230"/>
        </w:trPr>
        <w:tc>
          <w:tcPr>
            <w:tcW w:w="8300" w:type="dxa"/>
            <w:vAlign w:val="bottom"/>
            <w:gridSpan w:val="3"/>
            <w:shd w:val="clear" w:color="auto" w:fill="D5EAEA"/>
          </w:tcPr>
          <w:p>
            <w:pPr>
              <w:spacing w:after="0"/>
              <w:rPr>
                <w:sz w:val="20"/>
                <w:szCs w:val="20"/>
                <w:color w:val="auto"/>
              </w:rPr>
            </w:pPr>
            <w:r>
              <w:rPr>
                <w:rFonts w:ascii="Arial" w:cs="Arial" w:eastAsia="Arial" w:hAnsi="Arial"/>
                <w:sz w:val="18"/>
                <w:szCs w:val="18"/>
                <w:color w:val="auto"/>
              </w:rPr>
              <w:t>outstanding, actual and as adjusted, respectively</w:t>
            </w:r>
          </w:p>
        </w:tc>
        <w:tc>
          <w:tcPr>
            <w:tcW w:w="140" w:type="dxa"/>
            <w:vAlign w:val="bottom"/>
            <w:shd w:val="clear" w:color="auto" w:fill="D5EAEA"/>
          </w:tcPr>
          <w:p>
            <w:pPr>
              <w:spacing w:after="0"/>
              <w:rPr>
                <w:sz w:val="20"/>
                <w:szCs w:val="20"/>
                <w:color w:val="auto"/>
              </w:rPr>
            </w:pPr>
          </w:p>
        </w:tc>
        <w:tc>
          <w:tcPr>
            <w:tcW w:w="260" w:type="dxa"/>
            <w:vAlign w:val="bottom"/>
            <w:shd w:val="clear" w:color="auto" w:fill="D5EAEA"/>
          </w:tcPr>
          <w:p>
            <w:pPr>
              <w:spacing w:after="0"/>
              <w:rPr>
                <w:sz w:val="20"/>
                <w:szCs w:val="20"/>
                <w:color w:val="auto"/>
              </w:rPr>
            </w:pPr>
          </w:p>
        </w:tc>
        <w:tc>
          <w:tcPr>
            <w:tcW w:w="1200" w:type="dxa"/>
            <w:vAlign w:val="bottom"/>
            <w:gridSpan w:val="2"/>
            <w:shd w:val="clear" w:color="auto" w:fill="D5EAEA"/>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D5EAEA"/>
          </w:tcPr>
          <w:p>
            <w:pPr>
              <w:spacing w:after="0"/>
              <w:rPr>
                <w:sz w:val="20"/>
                <w:szCs w:val="20"/>
                <w:color w:val="auto"/>
              </w:rPr>
            </w:pPr>
          </w:p>
        </w:tc>
        <w:tc>
          <w:tcPr>
            <w:tcW w:w="120" w:type="dxa"/>
            <w:vAlign w:val="bottom"/>
            <w:shd w:val="clear" w:color="auto" w:fill="D5EAEA"/>
          </w:tcPr>
          <w:p>
            <w:pPr>
              <w:spacing w:after="0"/>
              <w:rPr>
                <w:sz w:val="20"/>
                <w:szCs w:val="20"/>
                <w:color w:val="auto"/>
              </w:rPr>
            </w:pPr>
          </w:p>
        </w:tc>
        <w:tc>
          <w:tcPr>
            <w:tcW w:w="120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117</w:t>
            </w:r>
          </w:p>
        </w:tc>
      </w:tr>
      <w:tr>
        <w:trPr>
          <w:trHeight w:val="205"/>
        </w:trPr>
        <w:tc>
          <w:tcPr>
            <w:tcW w:w="8300" w:type="dxa"/>
            <w:vAlign w:val="bottom"/>
            <w:gridSpan w:val="3"/>
          </w:tcPr>
          <w:p>
            <w:pPr>
              <w:spacing w:after="0" w:line="206" w:lineRule="exact"/>
              <w:rPr>
                <w:sz w:val="20"/>
                <w:szCs w:val="20"/>
                <w:color w:val="auto"/>
              </w:rPr>
            </w:pPr>
            <w:r>
              <w:rPr>
                <w:rFonts w:ascii="Arial" w:cs="Arial" w:eastAsia="Arial" w:hAnsi="Arial"/>
                <w:sz w:val="18"/>
                <w:szCs w:val="18"/>
                <w:color w:val="auto"/>
                <w:w w:val="90"/>
              </w:rPr>
              <w:t>Class B ordinary shares, $0.0001 par value, 20,000,000 shares authorized, 7,187,500 and 6,250,000 shares issued</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67"/>
        </w:trPr>
        <w:tc>
          <w:tcPr>
            <w:tcW w:w="8300" w:type="dxa"/>
            <w:vAlign w:val="bottom"/>
            <w:gridSpan w:val="3"/>
          </w:tcPr>
          <w:p>
            <w:pPr>
              <w:spacing w:after="0" w:line="267" w:lineRule="exact"/>
              <w:rPr>
                <w:sz w:val="20"/>
                <w:szCs w:val="20"/>
                <w:color w:val="auto"/>
              </w:rPr>
            </w:pPr>
            <w:r>
              <w:rPr>
                <w:rFonts w:ascii="Arial" w:cs="Arial" w:eastAsia="Arial" w:hAnsi="Arial"/>
                <w:sz w:val="18"/>
                <w:szCs w:val="18"/>
                <w:color w:val="auto"/>
              </w:rPr>
              <w:t>and outstanding, actual and as adjusted, respectively</w:t>
            </w:r>
            <w:r>
              <w:rPr>
                <w:rFonts w:ascii="Arial" w:cs="Arial" w:eastAsia="Arial" w:hAnsi="Arial"/>
                <w:sz w:val="29"/>
                <w:szCs w:val="29"/>
                <w:color w:val="auto"/>
                <w:vertAlign w:val="superscript"/>
              </w:rPr>
              <w:t>(3)</w:t>
            </w:r>
          </w:p>
        </w:tc>
        <w:tc>
          <w:tcPr>
            <w:tcW w:w="1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719</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625</w:t>
            </w:r>
          </w:p>
        </w:tc>
      </w:tr>
      <w:tr>
        <w:trPr>
          <w:trHeight w:val="216"/>
        </w:trPr>
        <w:tc>
          <w:tcPr>
            <w:tcW w:w="8300" w:type="dxa"/>
            <w:vAlign w:val="bottom"/>
            <w:gridSpan w:val="3"/>
            <w:shd w:val="clear" w:color="auto" w:fill="D5EAEA"/>
          </w:tcPr>
          <w:p>
            <w:pPr>
              <w:spacing w:after="0"/>
              <w:rPr>
                <w:sz w:val="20"/>
                <w:szCs w:val="20"/>
                <w:color w:val="auto"/>
              </w:rPr>
            </w:pPr>
            <w:r>
              <w:rPr>
                <w:rFonts w:ascii="Arial" w:cs="Arial" w:eastAsia="Arial" w:hAnsi="Arial"/>
                <w:sz w:val="18"/>
                <w:szCs w:val="18"/>
                <w:color w:val="auto"/>
              </w:rPr>
              <w:t>Additional paid-in capital</w:t>
            </w:r>
          </w:p>
        </w:tc>
        <w:tc>
          <w:tcPr>
            <w:tcW w:w="140" w:type="dxa"/>
            <w:vAlign w:val="bottom"/>
            <w:shd w:val="clear" w:color="auto" w:fill="D5EAEA"/>
          </w:tcPr>
          <w:p>
            <w:pPr>
              <w:spacing w:after="0"/>
              <w:rPr>
                <w:sz w:val="18"/>
                <w:szCs w:val="18"/>
                <w:color w:val="auto"/>
              </w:rPr>
            </w:pPr>
          </w:p>
        </w:tc>
        <w:tc>
          <w:tcPr>
            <w:tcW w:w="260" w:type="dxa"/>
            <w:vAlign w:val="bottom"/>
            <w:shd w:val="clear" w:color="auto" w:fill="D5EAEA"/>
          </w:tcPr>
          <w:p>
            <w:pPr>
              <w:spacing w:after="0"/>
              <w:rPr>
                <w:sz w:val="18"/>
                <w:szCs w:val="18"/>
                <w:color w:val="auto"/>
              </w:rPr>
            </w:pPr>
          </w:p>
        </w:tc>
        <w:tc>
          <w:tcPr>
            <w:tcW w:w="110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24,281</w:t>
            </w:r>
          </w:p>
        </w:tc>
        <w:tc>
          <w:tcPr>
            <w:tcW w:w="100" w:type="dxa"/>
            <w:vAlign w:val="bottom"/>
            <w:shd w:val="clear" w:color="auto" w:fill="D5EAEA"/>
          </w:tcPr>
          <w:p>
            <w:pPr>
              <w:spacing w:after="0"/>
              <w:rPr>
                <w:sz w:val="18"/>
                <w:szCs w:val="18"/>
                <w:color w:val="auto"/>
              </w:rPr>
            </w:pPr>
          </w:p>
        </w:tc>
        <w:tc>
          <w:tcPr>
            <w:tcW w:w="2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20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5,004,758</w:t>
            </w:r>
          </w:p>
        </w:tc>
      </w:tr>
      <w:tr>
        <w:trPr>
          <w:trHeight w:val="216"/>
        </w:trPr>
        <w:tc>
          <w:tcPr>
            <w:tcW w:w="8300" w:type="dxa"/>
            <w:vAlign w:val="bottom"/>
            <w:tcBorders>
              <w:bottom w:val="single" w:sz="8" w:color="D5EAEA"/>
            </w:tcBorders>
            <w:gridSpan w:val="3"/>
          </w:tcPr>
          <w:p>
            <w:pPr>
              <w:spacing w:after="0"/>
              <w:rPr>
                <w:sz w:val="20"/>
                <w:szCs w:val="20"/>
                <w:color w:val="auto"/>
              </w:rPr>
            </w:pPr>
            <w:r>
              <w:rPr>
                <w:rFonts w:ascii="Arial" w:cs="Arial" w:eastAsia="Arial" w:hAnsi="Arial"/>
                <w:sz w:val="18"/>
                <w:szCs w:val="18"/>
                <w:color w:val="auto"/>
              </w:rPr>
              <w:t>Accumulated deficit</w:t>
            </w:r>
          </w:p>
        </w:tc>
        <w:tc>
          <w:tcPr>
            <w:tcW w:w="140" w:type="dxa"/>
            <w:vAlign w:val="bottom"/>
            <w:tcBorders>
              <w:bottom w:val="single" w:sz="8" w:color="D5EAEA"/>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(5,494)</w:t>
            </w:r>
          </w:p>
        </w:tc>
        <w:tc>
          <w:tcPr>
            <w:tcW w:w="100" w:type="dxa"/>
            <w:vAlign w:val="bottom"/>
            <w:tcBorders>
              <w:bottom w:val="single" w:sz="8" w:color="D5EAEA"/>
            </w:tcBorders>
          </w:tcPr>
          <w:p>
            <w:pPr>
              <w:spacing w:after="0"/>
              <w:rPr>
                <w:sz w:val="18"/>
                <w:szCs w:val="18"/>
                <w:color w:val="auto"/>
              </w:rPr>
            </w:pPr>
          </w:p>
        </w:tc>
        <w:tc>
          <w:tcPr>
            <w:tcW w:w="20" w:type="dxa"/>
            <w:vAlign w:val="bottom"/>
            <w:tcBorders>
              <w:bottom w:val="single" w:sz="8" w:color="D5EAEA"/>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(5,494)</w:t>
            </w:r>
          </w:p>
        </w:tc>
      </w:tr>
      <w:tr>
        <w:trPr>
          <w:trHeight w:val="209"/>
        </w:trPr>
        <w:tc>
          <w:tcPr>
            <w:tcW w:w="8300" w:type="dxa"/>
            <w:vAlign w:val="bottom"/>
            <w:gridSpan w:val="3"/>
            <w:shd w:val="clear" w:color="auto" w:fill="D5EAEA"/>
          </w:tcPr>
          <w:p>
            <w:pPr>
              <w:spacing w:after="0"/>
              <w:rPr>
                <w:sz w:val="20"/>
                <w:szCs w:val="20"/>
                <w:color w:val="auto"/>
              </w:rPr>
            </w:pPr>
            <w:r>
              <w:rPr>
                <w:rFonts w:ascii="Arial" w:cs="Arial" w:eastAsia="Arial" w:hAnsi="Arial"/>
                <w:sz w:val="18"/>
                <w:szCs w:val="18"/>
                <w:color w:val="auto"/>
              </w:rPr>
              <w:t>Total shareholders’ equity</w:t>
            </w:r>
          </w:p>
        </w:tc>
        <w:tc>
          <w:tcPr>
            <w:tcW w:w="140" w:type="dxa"/>
            <w:vAlign w:val="bottom"/>
            <w:shd w:val="clear" w:color="auto" w:fill="D5EAEA"/>
          </w:tcPr>
          <w:p>
            <w:pPr>
              <w:spacing w:after="0"/>
              <w:rPr>
                <w:sz w:val="18"/>
                <w:szCs w:val="18"/>
                <w:color w:val="auto"/>
              </w:rPr>
            </w:pPr>
          </w:p>
        </w:tc>
        <w:tc>
          <w:tcPr>
            <w:tcW w:w="260" w:type="dxa"/>
            <w:vAlign w:val="bottom"/>
            <w:tcBorders>
              <w:bottom w:val="single" w:sz="8" w:color="auto"/>
            </w:tcBorders>
            <w:shd w:val="clear" w:color="auto" w:fill="D5EAEA"/>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19,506</w:t>
            </w:r>
          </w:p>
        </w:tc>
        <w:tc>
          <w:tcPr>
            <w:tcW w:w="100" w:type="dxa"/>
            <w:vAlign w:val="bottom"/>
            <w:shd w:val="clear" w:color="auto" w:fill="D5EAEA"/>
          </w:tcPr>
          <w:p>
            <w:pPr>
              <w:spacing w:after="0"/>
              <w:rPr>
                <w:sz w:val="18"/>
                <w:szCs w:val="18"/>
                <w:color w:val="auto"/>
              </w:rPr>
            </w:pPr>
          </w:p>
        </w:tc>
        <w:tc>
          <w:tcPr>
            <w:tcW w:w="20" w:type="dxa"/>
            <w:vAlign w:val="bottom"/>
            <w:shd w:val="clear" w:color="auto" w:fill="D5EAEA"/>
          </w:tcPr>
          <w:p>
            <w:pPr>
              <w:spacing w:after="0"/>
              <w:rPr>
                <w:sz w:val="18"/>
                <w:szCs w:val="18"/>
                <w:color w:val="auto"/>
              </w:rPr>
            </w:pPr>
          </w:p>
        </w:tc>
        <w:tc>
          <w:tcPr>
            <w:tcW w:w="12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5,000,006</w:t>
            </w:r>
          </w:p>
        </w:tc>
      </w:tr>
      <w:tr>
        <w:trPr>
          <w:trHeight w:val="210"/>
        </w:trPr>
        <w:tc>
          <w:tcPr>
            <w:tcW w:w="8300" w:type="dxa"/>
            <w:vAlign w:val="bottom"/>
            <w:gridSpan w:val="3"/>
          </w:tcPr>
          <w:p>
            <w:pPr>
              <w:spacing w:after="0"/>
              <w:rPr>
                <w:sz w:val="20"/>
                <w:szCs w:val="20"/>
                <w:color w:val="auto"/>
              </w:rPr>
            </w:pPr>
            <w:r>
              <w:rPr>
                <w:rFonts w:ascii="Arial" w:cs="Arial" w:eastAsia="Arial" w:hAnsi="Arial"/>
                <w:sz w:val="18"/>
                <w:szCs w:val="18"/>
                <w:color w:val="auto"/>
              </w:rPr>
              <w:t>Total capitalization</w:t>
            </w:r>
          </w:p>
        </w:tc>
        <w:tc>
          <w:tcPr>
            <w:tcW w:w="140" w:type="dxa"/>
            <w:vAlign w:val="bottom"/>
          </w:tcPr>
          <w:p>
            <w:pPr>
              <w:spacing w:after="0"/>
              <w:rPr>
                <w:sz w:val="18"/>
                <w:szCs w:val="18"/>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19,506</w:t>
            </w:r>
          </w:p>
        </w:tc>
        <w:tc>
          <w:tcPr>
            <w:tcW w:w="1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252,014,506</w:t>
            </w:r>
          </w:p>
        </w:tc>
      </w:tr>
      <w:tr>
        <w:trPr>
          <w:trHeight w:val="20"/>
        </w:trPr>
        <w:tc>
          <w:tcPr>
            <w:tcW w:w="28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34"/>
        </w:trPr>
        <w:tc>
          <w:tcPr>
            <w:tcW w:w="2820" w:type="dxa"/>
            <w:vAlign w:val="bottom"/>
            <w:tcBorders>
              <w:bottom w:val="single" w:sz="8" w:color="auto"/>
            </w:tcBorders>
          </w:tcPr>
          <w:p>
            <w:pPr>
              <w:spacing w:after="0"/>
              <w:rPr>
                <w:sz w:val="3"/>
                <w:szCs w:val="3"/>
                <w:color w:val="auto"/>
              </w:rPr>
            </w:pPr>
          </w:p>
        </w:tc>
        <w:tc>
          <w:tcPr>
            <w:tcW w:w="1300" w:type="dxa"/>
            <w:vAlign w:val="bottom"/>
          </w:tcPr>
          <w:p>
            <w:pPr>
              <w:spacing w:after="0"/>
              <w:rPr>
                <w:sz w:val="3"/>
                <w:szCs w:val="3"/>
                <w:color w:val="auto"/>
              </w:rPr>
            </w:pPr>
          </w:p>
        </w:tc>
        <w:tc>
          <w:tcPr>
            <w:tcW w:w="4180" w:type="dxa"/>
            <w:vAlign w:val="bottom"/>
          </w:tcPr>
          <w:p>
            <w:pPr>
              <w:spacing w:after="0"/>
              <w:rPr>
                <w:sz w:val="3"/>
                <w:szCs w:val="3"/>
                <w:color w:val="auto"/>
              </w:rPr>
            </w:pPr>
          </w:p>
        </w:tc>
        <w:tc>
          <w:tcPr>
            <w:tcW w:w="1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0" w:type="dxa"/>
            <w:vAlign w:val="bottom"/>
          </w:tcPr>
          <w:p>
            <w:pPr>
              <w:spacing w:after="0"/>
              <w:rPr>
                <w:sz w:val="3"/>
                <w:szCs w:val="3"/>
                <w:color w:val="auto"/>
              </w:rPr>
            </w:pPr>
          </w:p>
        </w:tc>
      </w:tr>
    </w:tbl>
    <w:p>
      <w:pPr>
        <w:spacing w:after="0" w:line="53" w:lineRule="exact"/>
        <w:rPr>
          <w:sz w:val="20"/>
          <w:szCs w:val="20"/>
          <w:color w:val="auto"/>
        </w:rPr>
      </w:pPr>
    </w:p>
    <w:p>
      <w:pPr>
        <w:ind w:left="340" w:right="40" w:hanging="332"/>
        <w:spacing w:after="0" w:line="263" w:lineRule="auto"/>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sponsor has agreed to loan us up to $300,000 under an unsecured promissory note to be used for a portion of the expenses of this offering. The “as adjusted” information gives effect to the repayment of any loans received from our sponsor out of the proceeds from this offering and the sale of the private placement warrants.</w:t>
      </w:r>
    </w:p>
    <w:p>
      <w:pPr>
        <w:spacing w:after="0" w:line="183" w:lineRule="exact"/>
        <w:rPr>
          <w:rFonts w:ascii="Arial" w:cs="Arial" w:eastAsia="Arial" w:hAnsi="Arial"/>
          <w:sz w:val="18"/>
          <w:szCs w:val="18"/>
          <w:color w:val="auto"/>
        </w:rPr>
      </w:pPr>
    </w:p>
    <w:p>
      <w:pPr>
        <w:ind w:left="340" w:hanging="332"/>
        <w:spacing w:after="0" w:line="255" w:lineRule="auto"/>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Upon the completion of our initial business combination, we will provide our public shareholders with the opportunity to redeem their public shares for cash at a per-share price equal to the aggregate amount then on deposit in the trust account calculated as of two business days prior to the consummation of our initial business combination, including interest earned on the funds held in the trust account and not previously released to us to pay our taxes, divided by the number of then outstanding public shares, subject to the limitations and on the conditions described herein whereby redemptions cannot cause our net tangible assets to be less than $5,000,001 and any limitations (including, but not limited to, cash requirements) created by the terms of the proposed business combination.</w:t>
      </w:r>
    </w:p>
    <w:p>
      <w:pPr>
        <w:spacing w:after="0" w:line="192" w:lineRule="exact"/>
        <w:rPr>
          <w:rFonts w:ascii="Arial" w:cs="Arial" w:eastAsia="Arial" w:hAnsi="Arial"/>
          <w:sz w:val="18"/>
          <w:szCs w:val="18"/>
          <w:color w:val="auto"/>
        </w:rPr>
      </w:pPr>
    </w:p>
    <w:p>
      <w:pPr>
        <w:ind w:left="340" w:right="60" w:hanging="332"/>
        <w:spacing w:after="0" w:line="277" w:lineRule="auto"/>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Actual share amount is prior to any forfeiture of founder shares and as adjusted amount assumes no exercise of the underwriters’ over-allotment option and forfeiture of an aggregate of 937,500 founder shares.</w:t>
      </w:r>
    </w:p>
    <w:p>
      <w:pPr>
        <w:spacing w:after="0" w:line="27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82" w:name="page83"/>
    <w:bookmarkEnd w:id="82"/>
    <w:p>
      <w:pPr>
        <w:jc w:val="center"/>
        <w:ind w:right="-39"/>
        <w:spacing w:after="0"/>
        <w:rPr>
          <w:sz w:val="20"/>
          <w:szCs w:val="20"/>
          <w:color w:val="auto"/>
        </w:rPr>
      </w:pPr>
      <w:r>
        <w:rPr>
          <w:rFonts w:ascii="Arial" w:cs="Arial" w:eastAsia="Arial" w:hAnsi="Arial"/>
          <w:sz w:val="18"/>
          <w:szCs w:val="18"/>
          <w:b w:val="1"/>
          <w:bCs w:val="1"/>
          <w:color w:val="auto"/>
        </w:rPr>
        <w:t>MANAGEMENT’S DISCUSSION AND ANALYSIS OF FINANCIAL CONDITION AND</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RESULTS OF OPERATIONS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60" w:firstLine="324"/>
        <w:spacing w:after="0" w:line="290" w:lineRule="auto"/>
        <w:rPr>
          <w:sz w:val="20"/>
          <w:szCs w:val="20"/>
          <w:color w:val="auto"/>
        </w:rPr>
      </w:pPr>
      <w:r>
        <w:rPr>
          <w:rFonts w:ascii="Arial" w:cs="Arial" w:eastAsia="Arial" w:hAnsi="Arial"/>
          <w:sz w:val="16"/>
          <w:szCs w:val="16"/>
          <w:color w:val="auto"/>
        </w:rPr>
        <w:t>We are a blank check company incorporated on December 23, 2020 as a Cayman Islands exempted company for the purpose of effecting a merger, share exchange, asset acquisition, share purchase, reorganization or similar business combination with one or more businesses. We have not selected any specific business combination target and we have not, nor has anyone on our behalf, engaged in any substantive discussions directly or indirectly, with any business combination target with respect to an initial business combination with us. While we may pursue an initial business combination target in any industry, we intend to focus our search on companies in the financial services sector. We intend to effectuate our initial business combination using cash from the proceeds of this offering and the sale of the private placement warrants, the proceeds of the sale of our shares in connection with our initial business combination (pursuant to forward purchase agreements or backstop agreements we may enter into following the consummation of this offering or otherwise), shares issued to the owners of the target, debt issued to bank or other lenders or the owners of the target, or a combination of the foregoing.</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issuance of additional shares in connection with a business combination to the owners of the target or other investors may:</w:t>
      </w:r>
    </w:p>
    <w:p>
      <w:pPr>
        <w:spacing w:after="0" w:line="225" w:lineRule="exact"/>
        <w:rPr>
          <w:sz w:val="20"/>
          <w:szCs w:val="20"/>
          <w:color w:val="auto"/>
        </w:rPr>
      </w:pPr>
    </w:p>
    <w:p>
      <w:pPr>
        <w:jc w:val="both"/>
        <w:ind w:left="660" w:right="340" w:hanging="328"/>
        <w:spacing w:after="0" w:line="263"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significantly dilute the equity interest of investors in this offering, which dilution would increase if the anti-dilution provisions in the Class B ordinary shares resulted in the issuance of Class A ordinary shares on a greater than one-to-one basis upon conversion of the Class B ordinary shares;</w:t>
      </w:r>
    </w:p>
    <w:p>
      <w:pPr>
        <w:spacing w:after="0" w:line="183" w:lineRule="exact"/>
        <w:rPr>
          <w:rFonts w:ascii="Arial" w:cs="Arial" w:eastAsia="Arial" w:hAnsi="Arial"/>
          <w:sz w:val="18"/>
          <w:szCs w:val="18"/>
          <w:color w:val="auto"/>
        </w:rPr>
      </w:pPr>
    </w:p>
    <w:p>
      <w:pPr>
        <w:ind w:left="660" w:right="40" w:hanging="328"/>
        <w:spacing w:after="0" w:line="277"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subordinate the rights of holders of Class A ordinary shares if preferred shares are issued with rights senior to those afforded our Class A ordinary shares;</w:t>
      </w:r>
    </w:p>
    <w:p>
      <w:pPr>
        <w:spacing w:after="0" w:line="170" w:lineRule="exact"/>
        <w:rPr>
          <w:rFonts w:ascii="Arial" w:cs="Arial" w:eastAsia="Arial" w:hAnsi="Arial"/>
          <w:sz w:val="18"/>
          <w:szCs w:val="18"/>
          <w:color w:val="auto"/>
        </w:rPr>
      </w:pPr>
    </w:p>
    <w:p>
      <w:pPr>
        <w:ind w:left="660" w:right="200" w:hanging="328"/>
        <w:spacing w:after="0" w:line="342" w:lineRule="auto"/>
        <w:tabs>
          <w:tab w:leader="none" w:pos="6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cause a change in control if a substantial number of our Class A ordinary shares are issued, which may affect, among other things, our ability to use our net operating loss carry forwards, if any, and could result in the resignation or removal of our present officers and directors;</w:t>
      </w:r>
    </w:p>
    <w:p>
      <w:pPr>
        <w:spacing w:after="0" w:line="123" w:lineRule="exact"/>
        <w:rPr>
          <w:rFonts w:ascii="Arial" w:cs="Arial" w:eastAsia="Arial" w:hAnsi="Arial"/>
          <w:sz w:val="16"/>
          <w:szCs w:val="16"/>
          <w:color w:val="auto"/>
        </w:rPr>
      </w:pPr>
    </w:p>
    <w:p>
      <w:pPr>
        <w:ind w:left="660" w:right="200" w:hanging="328"/>
        <w:spacing w:after="0" w:line="277"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have the effect of delaying or preventing a change of control of us by diluting the share ownership or voting rights of a person seeking to obtain control of us;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adversely affect prevailing market prices for our units, Class A ordinary shares and/or warrants;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not result in adjustment to the exercise price of our warrants.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Similarly, if we issue debt securities or otherwise incur significant debt to bank or other lenders or the owners of a target, it could result in:</w:t>
      </w:r>
    </w:p>
    <w:p>
      <w:pPr>
        <w:spacing w:after="0" w:line="237" w:lineRule="exact"/>
        <w:rPr>
          <w:sz w:val="20"/>
          <w:szCs w:val="20"/>
          <w:color w:val="auto"/>
        </w:rPr>
      </w:pPr>
    </w:p>
    <w:p>
      <w:pPr>
        <w:ind w:left="660" w:hanging="328"/>
        <w:spacing w:after="0"/>
        <w:tabs>
          <w:tab w:leader="none" w:pos="6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default and foreclosure on our assets if our operating revenues after an initial business combination are insufficient to repay our debt obligations;</w:t>
      </w:r>
    </w:p>
    <w:p>
      <w:pPr>
        <w:spacing w:after="0" w:line="248" w:lineRule="exact"/>
        <w:rPr>
          <w:rFonts w:ascii="Arial" w:cs="Arial" w:eastAsia="Arial" w:hAnsi="Arial"/>
          <w:sz w:val="16"/>
          <w:szCs w:val="16"/>
          <w:color w:val="auto"/>
        </w:rPr>
      </w:pPr>
    </w:p>
    <w:p>
      <w:pPr>
        <w:ind w:left="660" w:right="520" w:hanging="328"/>
        <w:spacing w:after="0" w:line="342" w:lineRule="auto"/>
        <w:tabs>
          <w:tab w:leader="none" w:pos="6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acceleration of our obligations to repay the indebtedness even if we make all principal and interest payments when due if we breach certain covenants that require the maintenance of certain financial ratios or reserves without a waiver or renegotiation of that covenant;</w:t>
      </w:r>
    </w:p>
    <w:p>
      <w:pPr>
        <w:spacing w:after="0" w:line="123" w:lineRule="exact"/>
        <w:rPr>
          <w:rFonts w:ascii="Arial" w:cs="Arial" w:eastAsia="Arial" w:hAnsi="Arial"/>
          <w:sz w:val="16"/>
          <w:szCs w:val="16"/>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immediate payment of all principal and accrued interest, if any, if the debt is payable on demand;</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inability to obtain necessary additional financing if the debt contains covenants restricting our ability to obtain such financing while the debt is outstanding;</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inability to pay dividends on our Class A ordinary shares;</w:t>
      </w:r>
    </w:p>
    <w:p>
      <w:pPr>
        <w:spacing w:after="0" w:line="225" w:lineRule="exact"/>
        <w:rPr>
          <w:rFonts w:ascii="Arial" w:cs="Arial" w:eastAsia="Arial" w:hAnsi="Arial"/>
          <w:sz w:val="18"/>
          <w:szCs w:val="18"/>
          <w:color w:val="auto"/>
        </w:rPr>
      </w:pPr>
    </w:p>
    <w:p>
      <w:pPr>
        <w:ind w:left="660" w:right="220" w:hanging="328"/>
        <w:spacing w:after="0" w:line="308" w:lineRule="auto"/>
        <w:tabs>
          <w:tab w:leader="none" w:pos="6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using a substantial portion of our cash flow to pay principal and interest on our debt, which will reduce the funds available for dividends on our Class A ordinary shares if declared, expenses, capital expenditures, acquisitions and other general corporate purposes;</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580" w:right="379" w:bottom="1440" w:gutter="0" w:footer="0" w:header="0"/>
        </w:sectPr>
      </w:pPr>
    </w:p>
    <w:bookmarkStart w:id="83" w:name="page84"/>
    <w:bookmarkEnd w:id="83"/>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limitations on our flexibility in planning for and reacting to changes in our business and in the industry in which we operate;</w:t>
      </w:r>
    </w:p>
    <w:p>
      <w:pPr>
        <w:spacing w:after="0" w:line="225" w:lineRule="exact"/>
        <w:rPr>
          <w:rFonts w:ascii="Arial" w:cs="Arial" w:eastAsia="Arial" w:hAnsi="Arial"/>
          <w:sz w:val="18"/>
          <w:szCs w:val="18"/>
          <w:color w:val="auto"/>
        </w:rPr>
      </w:pPr>
    </w:p>
    <w:p>
      <w:pPr>
        <w:ind w:left="660" w:right="740" w:hanging="328"/>
        <w:spacing w:after="0" w:line="277"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increased vulnerability to adverse changes in general economic, industry and competitive conditions and adverse changes in government regulation; and</w:t>
      </w:r>
    </w:p>
    <w:p>
      <w:pPr>
        <w:spacing w:after="0" w:line="170" w:lineRule="exact"/>
        <w:rPr>
          <w:rFonts w:ascii="Arial" w:cs="Arial" w:eastAsia="Arial" w:hAnsi="Arial"/>
          <w:sz w:val="18"/>
          <w:szCs w:val="18"/>
          <w:color w:val="auto"/>
        </w:rPr>
      </w:pPr>
    </w:p>
    <w:p>
      <w:pPr>
        <w:ind w:left="660" w:right="280" w:hanging="328"/>
        <w:spacing w:after="0" w:line="277"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limitations on our ability to borrow additional amounts for expenses, capital expenditures, acquisitions, debt service requirements, execution of our strategy and other purposes and other disadvantages compared to our competitors who have less debt.</w:t>
      </w:r>
    </w:p>
    <w:p>
      <w:pPr>
        <w:spacing w:after="0" w:line="170" w:lineRule="exact"/>
        <w:rPr>
          <w:sz w:val="20"/>
          <w:szCs w:val="20"/>
          <w:color w:val="auto"/>
        </w:rPr>
      </w:pPr>
    </w:p>
    <w:p>
      <w:pPr>
        <w:jc w:val="both"/>
        <w:ind w:right="260" w:firstLine="324"/>
        <w:spacing w:after="0" w:line="263" w:lineRule="auto"/>
        <w:rPr>
          <w:sz w:val="20"/>
          <w:szCs w:val="20"/>
          <w:color w:val="auto"/>
        </w:rPr>
      </w:pPr>
      <w:r>
        <w:rPr>
          <w:rFonts w:ascii="Arial" w:cs="Arial" w:eastAsia="Arial" w:hAnsi="Arial"/>
          <w:sz w:val="18"/>
          <w:szCs w:val="18"/>
          <w:color w:val="auto"/>
        </w:rPr>
        <w:t>As indicated in the accompanying financial statements, at December 31, 2020, we had no cash and deferred offering costs of $127,691. Further, we expect to incur significant costs in the pursuit of our initial business combination. We cannot assure you that our plans to raise capital or to complete our initial business combination will be successful.</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and Known Trends or Future Events</w:t>
      </w:r>
    </w:p>
    <w:p>
      <w:pPr>
        <w:spacing w:after="0" w:line="229" w:lineRule="exact"/>
        <w:rPr>
          <w:sz w:val="20"/>
          <w:szCs w:val="20"/>
          <w:color w:val="auto"/>
        </w:rPr>
      </w:pPr>
    </w:p>
    <w:p>
      <w:pPr>
        <w:ind w:right="180" w:firstLine="324"/>
        <w:spacing w:after="0" w:line="293" w:lineRule="auto"/>
        <w:rPr>
          <w:sz w:val="20"/>
          <w:szCs w:val="20"/>
          <w:color w:val="auto"/>
        </w:rPr>
      </w:pPr>
      <w:r>
        <w:rPr>
          <w:rFonts w:ascii="Arial" w:cs="Arial" w:eastAsia="Arial" w:hAnsi="Arial"/>
          <w:sz w:val="16"/>
          <w:szCs w:val="16"/>
          <w:color w:val="auto"/>
        </w:rPr>
        <w:t>We have neither engaged in any operations nor generated any revenues to date. Our only activities since inception have been organizational activities and those necessary to prepare for this offering. Following this offering, we will not generate any operating revenues until after completion of our initial business combination. We will generate non-operating income in the form of interest income on cash and cash equivalents after this offering. There has been no significant change in our financial or trading position and no material adverse change has occurred since the date of our audited financial statements. After this offering, we expect to incur increased expenses as a result of being a public company (for legal, financial reporting, accounting and auditing compliance), as well as for due diligence expenses. We expect our expenses to increase substantially after the closing of this offering.</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Our liquidity needs have been satisfied prior to the completion of this offering through receipt of a $25,000 capital contribution from our sponsor in exchange for the issuance of the founder shares to our sponsor and $300,000 in loans from our sponsor.</w:t>
      </w:r>
    </w:p>
    <w:p>
      <w:pPr>
        <w:spacing w:after="0" w:line="170" w:lineRule="exact"/>
        <w:rPr>
          <w:sz w:val="20"/>
          <w:szCs w:val="20"/>
          <w:color w:val="auto"/>
        </w:rPr>
      </w:pPr>
    </w:p>
    <w:p>
      <w:pPr>
        <w:ind w:right="80" w:firstLine="324"/>
        <w:spacing w:after="0" w:line="269" w:lineRule="auto"/>
        <w:rPr>
          <w:sz w:val="20"/>
          <w:szCs w:val="20"/>
          <w:color w:val="auto"/>
        </w:rPr>
      </w:pPr>
      <w:r>
        <w:rPr>
          <w:rFonts w:ascii="Arial" w:cs="Arial" w:eastAsia="Arial" w:hAnsi="Arial"/>
          <w:sz w:val="17"/>
          <w:szCs w:val="17"/>
          <w:color w:val="auto"/>
        </w:rPr>
        <w:t>We estimate that the net proceeds from the sale of the units in this offering and the sale of the private placement warrants for an aggregate purchase price of $257,500,000 (or $295,750,000 if the underwriters’ over-allotment option is exercised in full), after deducting offering expenses of approximately $1,000,000 and underwriting commissions of $4,505,000 (or $5,255,000 if the underwriters’ over-allotment option is exercised in full) (excluding deferred underwriting commissions of $8,750,000, or $10,062,500 if the underwriters’ over-allotment option is exercised in full), will be $251,995,000 (or $289,495,000 if the underwriters’ over-allotment option is exercised in full). $250,000,000 (or $287,500,000 if the underwriters’ over-allotment option is exercised in full) will be held in the trust account, which includes the deferred underwriting commissions described above. The proceeds held in the trust account will be invested only in U.S. government treasury obligations with a maturity of 185 days or less or in money market funds meeting certain conditions under Rule 2a-7 under the Investment Company Act which invest only in direct U.S. government treasury obligations. The remaining approximately $1,995,000 will not be held in the trust account. In the event that our offering expenses exceed our estimate of $1,000,000, we may fund such excess with funds not to be held in the trust account. In such case, the amount of funds we intend to be held outside the trust account would decrease by a corresponding amount. Conversely, in the event that the offering expenses are less than our estimate of $1,000,000, the amount of funds we intend to be held outside the trust account would increase by a corresponding amount.</w:t>
      </w:r>
    </w:p>
    <w:p>
      <w:pPr>
        <w:spacing w:after="0" w:line="179"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We intend to use substantially all of the funds held in the trust account, including any amounts representing interest earned on the funds held in the trust account and not previously released to us to pay our taxes (excluding deferred underwriting commissions) to complete our initial business combination. We may withdraw interest income to pay our taxes, if any. Our annual income tax obligations will depend on the amount of interest and other income earned on the amounts held in the trust account. We expect the interest earned on the amount in the trust account will be sufficient to pay our income taxes. If our initial business combination is paid for using equity or debt, or not all of the funds released from the trust account are used for payment of the consideration in connection with our initial business combination or used for redemptions of our Class A ordinary shares, we may use the balance of the cash released to us from the trust account following the closing for general corporate purposes,</w:t>
      </w:r>
    </w:p>
    <w:p>
      <w:pPr>
        <w:spacing w:after="0" w:line="28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84" w:name="page85"/>
    <w:bookmarkEnd w:id="84"/>
    <w:p>
      <w:pPr>
        <w:ind w:right="60"/>
        <w:spacing w:after="0" w:line="277" w:lineRule="auto"/>
        <w:rPr>
          <w:sz w:val="20"/>
          <w:szCs w:val="20"/>
          <w:color w:val="auto"/>
        </w:rPr>
      </w:pPr>
      <w:r>
        <w:rPr>
          <w:rFonts w:ascii="Arial" w:cs="Arial" w:eastAsia="Arial" w:hAnsi="Arial"/>
          <w:sz w:val="18"/>
          <w:szCs w:val="18"/>
          <w:color w:val="auto"/>
        </w:rPr>
        <w:t>including for maintenance or expansion of operations of the post-transaction company, the payment of principal or interest due on indebtedness incurred in completing our initial business combination, to fund the purchase of other companies or for working capital.</w:t>
      </w:r>
    </w:p>
    <w:p>
      <w:pPr>
        <w:spacing w:after="0" w:line="170" w:lineRule="exact"/>
        <w:rPr>
          <w:sz w:val="20"/>
          <w:szCs w:val="20"/>
          <w:color w:val="auto"/>
        </w:rPr>
      </w:pPr>
    </w:p>
    <w:p>
      <w:pPr>
        <w:ind w:right="60" w:firstLine="324"/>
        <w:spacing w:after="0" w:line="279" w:lineRule="auto"/>
        <w:rPr>
          <w:sz w:val="20"/>
          <w:szCs w:val="20"/>
          <w:color w:val="auto"/>
        </w:rPr>
      </w:pPr>
      <w:r>
        <w:rPr>
          <w:rFonts w:ascii="Arial" w:cs="Arial" w:eastAsia="Arial" w:hAnsi="Arial"/>
          <w:sz w:val="17"/>
          <w:szCs w:val="17"/>
          <w:color w:val="auto"/>
        </w:rPr>
        <w:t>Prior to the completion of our initial business combination, we will have available to us the approximately $1,995,000 of proceeds held outside the trust account. We will use these funds to primarily identify and evaluate target businesses, perform business due diligence on prospective target businesses, travel to and from the offices, plants or similar locations of prospective target businesses or their representatives or owners, review corporate documents and material agreements of prospective target businesses, and structure, negotiate and complete a business combination.</w:t>
      </w:r>
    </w:p>
    <w:p>
      <w:pPr>
        <w:spacing w:after="0" w:line="171"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We do not believe we will need to raise additional funds following this offering in order to meet the expenditures required for operating our business prior to our initial business combination. However, if our estimates of the costs of identifying a target business, undertaking in-depth due diligence and negotiating an initial business combination are less than the actual amount necessary to do so, we may have insufficient funds available to operate our business prior to our initial business combination. In order to fund working capital deficiencies or finance transaction costs in connection with an intended initial business combination, our sponsor or an affiliate of our sponsor or certain of our officers and directors may, but are not obligated to, loan us funds as may be required. If we complete our initial business combination, we would repay such loaned amounts. In the event that our initial business combination does not close, we may use a portion of the working capital held outside the trust account to repay such loaned amounts but no proceeds from our trust account would be used for such repayment. Up to $2,000,000 of such loans may be convertible into private placement warrants of the post business combination entity at a price of $1.50 per warrant at the option of the lender. Such warrants would be identical to the private placement warrants. The terms of such loans, if any, have not been determined and no written agreements exist with respect to such loans. Prior to the completion of our initial business combination, we do not expect to seek loans from parties other than our sponsor or an affiliate of our sponsor as we do not believe third parties will be willing to loan such funds and provide a waiver against any and all rights to seek access to funds in our trust account.</w:t>
      </w:r>
    </w:p>
    <w:p>
      <w:pPr>
        <w:spacing w:after="0" w:line="168"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We expect our primary liquidity requirements during that period to include approximately $600,000 for legal, accounting, due diligence, travel and other expenses associated with structuring, negotiating and documenting successful business combinations; $100,000 for legal and accounting fees related to regulatory reporting requirements; $85,000 for listing and other regulatory fees; $100,000 for consulting and miscellaneous expenses incurred during the search for a business combination target; up to $825,000 for payment of salaries to certain employees that we expect to hire prior to or shortly after the consummation of this offering; and approximately $45,000 for general working capital that will be used for miscellaneous expenses and reserves. We will also pay our sponsor or an affiliate thereof up to $10,000 per month for office space, utilities, secretarial and administrative services provided to members of our management team and other expenses and obligations of our sponsor.</w:t>
      </w:r>
    </w:p>
    <w:p>
      <w:pPr>
        <w:spacing w:after="0" w:line="177" w:lineRule="exact"/>
        <w:rPr>
          <w:sz w:val="20"/>
          <w:szCs w:val="20"/>
          <w:color w:val="auto"/>
        </w:rPr>
      </w:pPr>
    </w:p>
    <w:p>
      <w:pPr>
        <w:ind w:right="40" w:firstLine="324"/>
        <w:spacing w:after="0" w:line="271" w:lineRule="auto"/>
        <w:rPr>
          <w:sz w:val="20"/>
          <w:szCs w:val="20"/>
          <w:color w:val="auto"/>
        </w:rPr>
      </w:pPr>
      <w:r>
        <w:rPr>
          <w:rFonts w:ascii="Arial" w:cs="Arial" w:eastAsia="Arial" w:hAnsi="Arial"/>
          <w:sz w:val="17"/>
          <w:szCs w:val="17"/>
          <w:color w:val="auto"/>
        </w:rPr>
        <w:t>These amounts are estimates and may differ materially from our actual expenses. In addition, we could use a portion of the funds not being placed in trust to pay commitment fees for financing, fees to consultants to assist us with our search for a target business or as a down payment or to fund a “no-shop” provision (a provision designed to keep target businesses from “shopping” around for transactions with other companies or investors on terms more favorable to such target businesses) with respect to a particular proposed business combination, although we do not have any current intention to do so. If we entered into an agreement where we paid for the right to receive exclusivity from a target business, the amount that would be used as a down payment or to fund a “no-shop” provision would be determined based on the terms of the specific business combination and the amount of our available funds at the time. Our forfeiture of such funds (whether as a result of our breach or otherwise) could result in our not having sufficient funds to continue searching for, or conducting due diligence with respect to, prospective target businesses.</w:t>
      </w:r>
    </w:p>
    <w:p>
      <w:pPr>
        <w:spacing w:after="0" w:line="178" w:lineRule="exact"/>
        <w:rPr>
          <w:sz w:val="20"/>
          <w:szCs w:val="20"/>
          <w:color w:val="auto"/>
        </w:rPr>
      </w:pPr>
    </w:p>
    <w:p>
      <w:pPr>
        <w:ind w:right="80" w:firstLine="324"/>
        <w:spacing w:after="0" w:line="291" w:lineRule="auto"/>
        <w:rPr>
          <w:sz w:val="20"/>
          <w:szCs w:val="20"/>
          <w:color w:val="auto"/>
        </w:rPr>
      </w:pPr>
      <w:r>
        <w:rPr>
          <w:rFonts w:ascii="Arial" w:cs="Arial" w:eastAsia="Arial" w:hAnsi="Arial"/>
          <w:sz w:val="16"/>
          <w:szCs w:val="16"/>
          <w:color w:val="auto"/>
        </w:rPr>
        <w:t>Moreover, we may need to obtain additional financing to complete our initial business combination, either because the transaction requires more cash than is available from the funds held in our trust account or because we become obligated to redeem a significant number of our public shares upon completion of the business combination, in which case we may issue additional securities or incur debt in connection with such business combination. In addition, we intend to target businesses with enterprise values that are greater than we could acquire solely with the net proceeds of this offering and the sale of the private placement warrants, and, as a result, if the cash portion of the purchase price exceeds the amount available from the trust account, net of amounts needed to satisfy any redemptions by public shareholders, we may be required to seek additional financing to complete such proposed initial business combination. We may also obtain financing prior to the closing of our initial business combination to</w:t>
      </w:r>
    </w:p>
    <w:p>
      <w:pPr>
        <w:spacing w:after="0" w:line="27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85" w:name="page86"/>
    <w:bookmarkEnd w:id="85"/>
    <w:p>
      <w:pPr>
        <w:ind w:right="80"/>
        <w:spacing w:after="0" w:line="272" w:lineRule="auto"/>
        <w:rPr>
          <w:sz w:val="20"/>
          <w:szCs w:val="20"/>
          <w:color w:val="auto"/>
        </w:rPr>
      </w:pPr>
      <w:r>
        <w:rPr>
          <w:rFonts w:ascii="Arial" w:cs="Arial" w:eastAsia="Arial" w:hAnsi="Arial"/>
          <w:sz w:val="17"/>
          <w:szCs w:val="17"/>
          <w:color w:val="auto"/>
        </w:rPr>
        <w:t>fund our working capital needs and transaction costs in connection with our search for and completion of our initial business combination. There is no limitation on our ability to raise funds through the issuance of equity or equity-linked securities or through loans, advances or other indebtedness in connection with our initial business combination, including pursuant to forward purchase agreements or backstop agreements we may enter into following consummation of this offering. Subject to compliance with applicable securities laws, we would expect to only complete such financing simultaneously with the completion of our initial business combination. If we are unable to complete our initial business combination because we do not have sufficient funds available to us, we will be forced to cease operations and liquidate the trust account. In addition, following our initial business combination, if cash on hand is insufficient, we may need to obtain additional financing in order to meet our obligations.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Controls and Procedures</w:t>
      </w:r>
    </w:p>
    <w:p>
      <w:pPr>
        <w:spacing w:after="0" w:line="229" w:lineRule="exact"/>
        <w:rPr>
          <w:sz w:val="20"/>
          <w:szCs w:val="20"/>
          <w:color w:val="auto"/>
        </w:rPr>
      </w:pPr>
    </w:p>
    <w:p>
      <w:pPr>
        <w:ind w:right="40" w:firstLine="324"/>
        <w:spacing w:after="0" w:line="272" w:lineRule="auto"/>
        <w:rPr>
          <w:sz w:val="20"/>
          <w:szCs w:val="20"/>
          <w:color w:val="auto"/>
        </w:rPr>
      </w:pPr>
      <w:r>
        <w:rPr>
          <w:rFonts w:ascii="Arial" w:cs="Arial" w:eastAsia="Arial" w:hAnsi="Arial"/>
          <w:sz w:val="17"/>
          <w:szCs w:val="17"/>
          <w:color w:val="auto"/>
        </w:rPr>
        <w:t>We are not currently required to maintain an effective system of internal controls as defined by Section 404 of the Sarbanes-Oxley Act. We will be required to comply with the internal control reporting requirements of the Sarbanes-Oxley Act for the fiscal year ending December 31, 2022. Only in the event that we are deemed to be a large accelerated filer or an accelerated filer and no longer qualify as an emerging growth company would we be required to comply with the independent registered public accounting firm attestation requirement on our internal control over financial reporting. Further, for as long as we remain an emerging growth company as defined in the JOBS Act, we intend to take advantage of certain exemptions from various reporting requirements that are applicable to other public companies that are not emerging growth companies including, but not limited to, not being required to comply with the independent registered public accounting firm attestation requirement.</w:t>
      </w:r>
    </w:p>
    <w:p>
      <w:pPr>
        <w:spacing w:after="0" w:line="177" w:lineRule="exact"/>
        <w:rPr>
          <w:sz w:val="20"/>
          <w:szCs w:val="20"/>
          <w:color w:val="auto"/>
        </w:rPr>
      </w:pPr>
    </w:p>
    <w:p>
      <w:pPr>
        <w:ind w:right="140" w:firstLine="324"/>
        <w:spacing w:after="0" w:line="255" w:lineRule="auto"/>
        <w:rPr>
          <w:sz w:val="20"/>
          <w:szCs w:val="20"/>
          <w:color w:val="auto"/>
        </w:rPr>
      </w:pPr>
      <w:r>
        <w:rPr>
          <w:rFonts w:ascii="Arial" w:cs="Arial" w:eastAsia="Arial" w:hAnsi="Arial"/>
          <w:sz w:val="18"/>
          <w:szCs w:val="18"/>
          <w:color w:val="auto"/>
        </w:rPr>
        <w:t>Prior to the closing of this offering, we have not completed an assessment, nor has our independent registered public accounting firm tested our systems, of internal controls. We expect to assess the internal controls of our target business or businesses prior to the completion of our initial business combination and, if necessary, to implement and test additional controls as we may determine are necessary in order to state that we maintain an effective system of internal controls. A target business may not be in compliance with the provisions of the Sarbanes-Oxley Act regarding the adequacy of internal controls. Many small and mid-sized target businesses we may consider for our initial business combination may have internal controls that need improvement in areas such as:</w:t>
      </w:r>
    </w:p>
    <w:p>
      <w:pPr>
        <w:spacing w:after="0" w:line="192" w:lineRule="exact"/>
        <w:rPr>
          <w:sz w:val="20"/>
          <w:szCs w:val="20"/>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staffing for financial, accounting and external reporting areas, including segregation of duties;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reconciliation of accounts;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proper recording of expenses and liabilities in the period to which they relate;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evidence of internal review and approval of accounting transactions;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documentation of processes, assumptions and conclusions underlying significant estimates;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documentation of accounting policies and procedures.</w:t>
      </w:r>
    </w:p>
    <w:p>
      <w:pPr>
        <w:spacing w:after="0" w:line="225" w:lineRule="exact"/>
        <w:rPr>
          <w:sz w:val="20"/>
          <w:szCs w:val="20"/>
          <w:color w:val="auto"/>
        </w:rPr>
      </w:pPr>
    </w:p>
    <w:p>
      <w:pPr>
        <w:ind w:right="40" w:firstLine="324"/>
        <w:spacing w:after="0" w:line="279" w:lineRule="auto"/>
        <w:rPr>
          <w:sz w:val="20"/>
          <w:szCs w:val="20"/>
          <w:color w:val="auto"/>
        </w:rPr>
      </w:pPr>
      <w:r>
        <w:rPr>
          <w:rFonts w:ascii="Arial" w:cs="Arial" w:eastAsia="Arial" w:hAnsi="Arial"/>
          <w:sz w:val="17"/>
          <w:szCs w:val="17"/>
          <w:color w:val="auto"/>
        </w:rPr>
        <w:t>Because it will take time, management involvement and perhaps outside resources to determine what internal control improvements are necessary for us to meet regulatory requirements and market expectations for our operation of a target business, we may incur significant expenses in meeting our public reporting responsibilities, particularly in the areas of designing, enhancing, or remediating internal and disclosure controls. Doing so effectively may also take longer than we expect, thus increasing our exposure to financial fraud or erroneous financing reporting.</w:t>
      </w:r>
    </w:p>
    <w:p>
      <w:pPr>
        <w:spacing w:after="0" w:line="171" w:lineRule="exact"/>
        <w:rPr>
          <w:sz w:val="20"/>
          <w:szCs w:val="20"/>
          <w:color w:val="auto"/>
        </w:rPr>
      </w:pPr>
    </w:p>
    <w:p>
      <w:pPr>
        <w:ind w:firstLine="324"/>
        <w:spacing w:after="0" w:line="286" w:lineRule="auto"/>
        <w:rPr>
          <w:sz w:val="20"/>
          <w:szCs w:val="20"/>
          <w:color w:val="auto"/>
        </w:rPr>
      </w:pPr>
      <w:r>
        <w:rPr>
          <w:rFonts w:ascii="Arial" w:cs="Arial" w:eastAsia="Arial" w:hAnsi="Arial"/>
          <w:sz w:val="17"/>
          <w:szCs w:val="17"/>
          <w:color w:val="auto"/>
        </w:rPr>
        <w:t>Once our management’s report on internal controls is complete, we will retain our independent registered public accounting firm to audit and render an opinion on such report when required by Section 404 of the Sarbanes-Oxley Act. The independent registered public accounting firm may identify additional issues concerning a target business’s internal controls while performing their audit of internal control over financial reporting.</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229"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The net proceeds of this offering and the sale of the private placement warrants held in the trust account will be invested in U.S. government treasury obligations with a maturity of 185 days or less or in money market funds meeting certain conditions under Rule 2a-7 under the Investment Company Act which invest only in direct U.S. government treasury obligations. Due to the short-term nature of these investments, we believe there will be no associated material exposure to interest rate risk.</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584" w:right="379" w:bottom="1440" w:gutter="0" w:footer="0" w:header="0"/>
        </w:sectPr>
      </w:pPr>
    </w:p>
    <w:bookmarkStart w:id="86" w:name="page87"/>
    <w:bookmarkEnd w:id="86"/>
    <w:p>
      <w:pPr>
        <w:spacing w:after="0"/>
        <w:rPr>
          <w:sz w:val="20"/>
          <w:szCs w:val="20"/>
          <w:color w:val="auto"/>
        </w:rPr>
      </w:pPr>
      <w:r>
        <w:rPr>
          <w:rFonts w:ascii="Arial" w:cs="Arial" w:eastAsia="Arial" w:hAnsi="Arial"/>
          <w:sz w:val="18"/>
          <w:szCs w:val="18"/>
          <w:b w:val="1"/>
          <w:bCs w:val="1"/>
          <w:color w:val="auto"/>
        </w:rPr>
        <w:t>Off-Balance Sheet Arrangements; Commitments and Contractual Obligations; Quarterly Results</w:t>
      </w:r>
    </w:p>
    <w:p>
      <w:pPr>
        <w:spacing w:after="0" w:line="229"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As of December 31, 2020, we did not have any off-balance sheet arrangements as defined in Item 303(a)(4)(ii) of Regulation S-K and did not have any commitments or contractual obligations. No unaudited quarterly operating data is included in this prospectus as we have not conducted any operations to date.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w:t>
      </w:r>
    </w:p>
    <w:p>
      <w:pPr>
        <w:spacing w:after="0" w:line="229"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The JOBS Act contains provisions that, among other things, relax certain reporting requirements for qualifying public companies. We will qualify as an “emerging growth company” and under the JOBS Act will be allowed to comply with new or revised accounting pronouncements based on the effective date for private (not publicly traded) companies. We are electing to delay the adoption of new or revised accounting standards, and as a result, we may not comply with new or revised accounting standards on the relevant dates on which adoption of such standards is required for non-emerging growth companies. As a result, our financial statements may not be comparable to companies that comply with new or revised accounting pronouncements as of public company effective dates.</w:t>
      </w:r>
    </w:p>
    <w:p>
      <w:pPr>
        <w:spacing w:after="0" w:line="192"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Additionally, we are in the process of evaluating the benefits of relying on the other reduced reporting requirements provided by the JOBS Act. Subject to certain conditions set forth in the JOBS Act, if, as an “emerging growth company,” we choose to rely on such exemptions we may not be required to, among other things, (i) provide an independent registered public accounting firm’s attestation report on our system of internal controls over financial reporting pursuant to Section 404 of the Sarbanes-Oxley Act, (ii) provide all of the compensation disclosure that may be required of non-emerging growth public companies under the Dodd-Frank Wall Street Reform and Consumer Protection Act, (iii) comply with any requirement that may be adopted by the PCAOB regarding mandatory audit firm rotation or a supplement to the report of the independent registered public accounting firm providing additional information about the audit and the financial statements (auditor discussion and analysis), and (iv) disclose certain executive compensation related items such as the correlation between executive compensation and performance and comparisons of the CEO’s compensation to median employee compensation. These exemptions will apply for a period of five years following the completion of this offering or until we are no longer an “emerging growth company,” whichever is earlier.</w:t>
      </w:r>
    </w:p>
    <w:p>
      <w:pPr>
        <w:spacing w:after="0" w:line="200" w:lineRule="exact"/>
        <w:rPr>
          <w:sz w:val="20"/>
          <w:szCs w:val="20"/>
          <w:color w:val="auto"/>
        </w:rPr>
      </w:pPr>
    </w:p>
    <w:p>
      <w:pPr>
        <w:spacing w:after="0" w:line="30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87" w:name="page88"/>
    <w:bookmarkEnd w:id="87"/>
    <w:p>
      <w:pPr>
        <w:jc w:val="center"/>
        <w:ind w:right="-19"/>
        <w:spacing w:after="0"/>
        <w:rPr>
          <w:sz w:val="20"/>
          <w:szCs w:val="20"/>
          <w:color w:val="auto"/>
        </w:rPr>
      </w:pPr>
      <w:r>
        <w:rPr>
          <w:rFonts w:ascii="Arial" w:cs="Arial" w:eastAsia="Arial" w:hAnsi="Arial"/>
          <w:sz w:val="18"/>
          <w:szCs w:val="18"/>
          <w:b w:val="1"/>
          <w:bCs w:val="1"/>
          <w:color w:val="auto"/>
        </w:rPr>
        <w:t>PROPOSED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Freedom Acquisition I Corp. is a newly incorporated blank check company, incorporated as a Cayman Islands exempted company for the purpose of effecting a merger, share exchange, asset acquisition, share purchase, reorganization or similar business combination with one or more businesses, which we refer to throughout this prospectus as our initial business combination. We have not selected any specific business combination target and we have not, nor has anyone on our behalf, engaged in any substantive discussions, directly or indirectly, with any business combination target with respect to an initial business combination with us.</w:t>
      </w:r>
    </w:p>
    <w:p>
      <w:pPr>
        <w:spacing w:after="0" w:line="188"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While we may pursue an initial business combination with any target business and in any sector or geographical location, we intend to focus our search for an initial business combination in the area of Financial Services, in businesses that are technology-enabled and demonstrate growth and scalability potential. We anticipate that these target businesses may be located in developed markets, such as North America or Europe, or emerging markets, which may include Asia, Latin America and select countries in Africa.</w:t>
      </w:r>
    </w:p>
    <w:p>
      <w:pPr>
        <w:spacing w:after="0" w:line="187"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Freedom Acquisition I Corp. was established by Tidjane Thiam, Adam Gishen and Abhishek Bhatia to leverage their extensive experience in acquiring, building, operating and scaling global financial services businesses in constantly evolving environments. Mr. Thiam, with his more than 30 years of experience in financial services businesses, led global institutions like Credit Suisse and Prudential as CEO for 5 years and 6 years, respectively. Mr. Gishen has over 20 years of experience in financial services and has held senior leadership responsibilities in recent years at Credit Suisse running its Global Investor Relations and Corporate Communications functions. Mr. Bhatia has more than 20 years of global experience in life and general insurance and asset management and has created businesses from scratch, including a technology-enabled life insurer in Europe and a full-stack digital insurer in Asia for which he served as CEO.</w:t>
      </w:r>
    </w:p>
    <w:p>
      <w:pPr>
        <w:spacing w:after="0" w:line="195" w:lineRule="exact"/>
        <w:rPr>
          <w:sz w:val="20"/>
          <w:szCs w:val="20"/>
          <w:color w:val="auto"/>
        </w:rPr>
      </w:pPr>
    </w:p>
    <w:p>
      <w:pPr>
        <w:ind w:right="160" w:firstLine="324"/>
        <w:spacing w:after="0" w:line="257" w:lineRule="auto"/>
        <w:rPr>
          <w:sz w:val="20"/>
          <w:szCs w:val="20"/>
          <w:color w:val="auto"/>
        </w:rPr>
      </w:pPr>
      <w:r>
        <w:rPr>
          <w:rFonts w:ascii="Arial" w:cs="Arial" w:eastAsia="Arial" w:hAnsi="Arial"/>
          <w:sz w:val="18"/>
          <w:szCs w:val="18"/>
          <w:color w:val="auto"/>
        </w:rPr>
        <w:t>We believe that the collective experience of our founders, in combination with their deep and broad global network of relationships across public and private sectors in both mature as well as emerging markets, provides us with a competitive advantage to identify, structure, finance and acquire the operations of a compelling target business. In pursuing our strategy of creating a global financial services group, we intend to add value to the target business through active engagement with its management team, and enabling that company to leverage the benefits of scale to grow and increase profitability.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Team</w:t>
      </w:r>
    </w:p>
    <w:p>
      <w:pPr>
        <w:spacing w:after="0" w:line="229"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b w:val="1"/>
          <w:bCs w:val="1"/>
          <w:i w:val="1"/>
          <w:iCs w:val="1"/>
          <w:color w:val="auto"/>
        </w:rPr>
        <w:t>Tidjane Thiam</w:t>
      </w:r>
      <w:r>
        <w:rPr>
          <w:rFonts w:ascii="Arial" w:cs="Arial" w:eastAsia="Arial" w:hAnsi="Arial"/>
          <w:sz w:val="18"/>
          <w:szCs w:val="18"/>
          <w:color w:val="auto"/>
        </w:rPr>
        <w:t>, our Executive Chairman, has over 30 years of experience in global financial services. Mr. Thiam was the CEO of Credit Suisse Group</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AG from 2015 to 2020, where he successfully turned around the performance of Credit Suisse and delivered record-breaking profits in 2019, Credit Suisse’s most profitable year in over a decade. He was able to significantly restructure the bank’s trading and investment banking business, while simultaneously growing its wealth management activities with a focus on entrepreneurs and ultra-high net worth individuals. For these achievements, Mr. Thiam was awarded with the Banker of the Year - Euromoney award in 2018.</w:t>
      </w:r>
    </w:p>
    <w:p>
      <w:pPr>
        <w:spacing w:after="0" w:line="188" w:lineRule="exact"/>
        <w:rPr>
          <w:sz w:val="20"/>
          <w:szCs w:val="20"/>
          <w:color w:val="auto"/>
        </w:rPr>
      </w:pPr>
    </w:p>
    <w:p>
      <w:pPr>
        <w:ind w:right="160" w:firstLine="324"/>
        <w:spacing w:after="0" w:line="271" w:lineRule="auto"/>
        <w:rPr>
          <w:sz w:val="20"/>
          <w:szCs w:val="20"/>
          <w:color w:val="auto"/>
        </w:rPr>
      </w:pPr>
      <w:r>
        <w:rPr>
          <w:rFonts w:ascii="Arial" w:cs="Arial" w:eastAsia="Arial" w:hAnsi="Arial"/>
          <w:sz w:val="17"/>
          <w:szCs w:val="17"/>
          <w:color w:val="auto"/>
        </w:rPr>
        <w:t>Prior to joining Credit Suisse, Mr. Thiam served as the Group CEO of Prudential plc from 2009 to 2015, after being Group CFO from 2008 to 2009. While at the helm of Prudential, Mr. Thiam foresaw the latent potential of insurance markets in Asia and spearheaded the strategy of transforming Prudential’s Asia business into a best-in-class franchise across the region. Within six years, new business premiums from the region nearly doubled to £2.2bn, operating profit more than doubled and dividends to the group increased by 10x. Mr. Thiam also played a key role in navigating Jackson National Life through the 2008-2009 market dislocation. Jackson emerged from the 2008-2009 market dislocation a few years later as a leader in the US variable annuities market. Under Mr. Thiam’s leadership, Prudential created substantial shareholder value by increasing the group’s market capitalization by 3.3x from approximately £10.6 billion in 2009 to approximately £35.3 billion in 2014 (based on 12-month volume-weighted average price). Mr. Thiam also served as a Director of Prudential plc from 2008 to 2015.</w:t>
      </w:r>
    </w:p>
    <w:p>
      <w:pPr>
        <w:spacing w:after="0" w:line="178" w:lineRule="exact"/>
        <w:rPr>
          <w:sz w:val="20"/>
          <w:szCs w:val="20"/>
          <w:color w:val="auto"/>
        </w:rPr>
      </w:pPr>
    </w:p>
    <w:p>
      <w:pPr>
        <w:ind w:right="160" w:firstLine="324"/>
        <w:spacing w:after="0" w:line="279" w:lineRule="auto"/>
        <w:rPr>
          <w:sz w:val="20"/>
          <w:szCs w:val="20"/>
          <w:color w:val="auto"/>
        </w:rPr>
      </w:pPr>
      <w:r>
        <w:rPr>
          <w:rFonts w:ascii="Arial" w:cs="Arial" w:eastAsia="Arial" w:hAnsi="Arial"/>
          <w:sz w:val="17"/>
          <w:szCs w:val="17"/>
          <w:color w:val="auto"/>
        </w:rPr>
        <w:t>Previously, Mr. Thiam served in a variety of leadership roles at Aviva from 2002 to 2007, holding successively the positions of Group Strategy and Development Director, Managing Director of Aviva International, Group Executive Director and Chief Executive Officer, Europe, and being appointed to the Aviva plc board in 2007. Mr. Thiam joined Aviva in 2002 from McKinsey &amp; Company, the consulting firm, where he was a partner. From 1994 to 1999, he was successively CEO of the National Bureau for Technical Studies and Development, and Secretary of</w:t>
      </w:r>
    </w:p>
    <w:p>
      <w:pPr>
        <w:spacing w:after="0" w:line="200" w:lineRule="exact"/>
        <w:rPr>
          <w:sz w:val="20"/>
          <w:szCs w:val="20"/>
          <w:color w:val="auto"/>
        </w:rPr>
      </w:pPr>
    </w:p>
    <w:p>
      <w:pPr>
        <w:spacing w:after="0" w:line="29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88" w:name="page89"/>
    <w:bookmarkEnd w:id="88"/>
    <w:p>
      <w:pPr>
        <w:spacing w:after="0" w:line="301" w:lineRule="auto"/>
        <w:rPr>
          <w:sz w:val="20"/>
          <w:szCs w:val="20"/>
          <w:color w:val="auto"/>
        </w:rPr>
      </w:pPr>
      <w:r>
        <w:rPr>
          <w:rFonts w:ascii="Arial" w:cs="Arial" w:eastAsia="Arial" w:hAnsi="Arial"/>
          <w:sz w:val="16"/>
          <w:szCs w:val="16"/>
          <w:color w:val="auto"/>
        </w:rPr>
        <w:t>Development and Planning, Côte d’Ivoire. Mr. Thiam served as Chairman of the Board of the Association of British Insurers from 2012 to 2014. In addition, Mr. Thiam is a chevalier of the French Legion of Honor, a member of Group of 30, a member of the Board of Directors and the Chair of the Audit Committee of Kering S.A., a member of the International Olympic Committee and a member of its Finance Commission. Mr. Thiam is a graduate from the École Polytechnique in Paris and the École Nationale Supérieure des Mines de Paris (top of his class) and holds an MBA from INSEAD, with distinction.</w:t>
      </w:r>
    </w:p>
    <w:p>
      <w:pPr>
        <w:spacing w:after="0" w:line="157" w:lineRule="exact"/>
        <w:rPr>
          <w:sz w:val="20"/>
          <w:szCs w:val="20"/>
          <w:color w:val="auto"/>
        </w:rPr>
      </w:pPr>
    </w:p>
    <w:p>
      <w:pPr>
        <w:ind w:right="40" w:firstLine="324"/>
        <w:spacing w:after="0" w:line="275" w:lineRule="auto"/>
        <w:rPr>
          <w:sz w:val="20"/>
          <w:szCs w:val="20"/>
          <w:color w:val="auto"/>
        </w:rPr>
      </w:pPr>
      <w:r>
        <w:rPr>
          <w:rFonts w:ascii="Arial" w:cs="Arial" w:eastAsia="Arial" w:hAnsi="Arial"/>
          <w:sz w:val="17"/>
          <w:szCs w:val="17"/>
          <w:b w:val="1"/>
          <w:bCs w:val="1"/>
          <w:i w:val="1"/>
          <w:iCs w:val="1"/>
          <w:color w:val="auto"/>
        </w:rPr>
        <w:t xml:space="preserve">Adam Gishen </w:t>
      </w:r>
      <w:r>
        <w:rPr>
          <w:rFonts w:ascii="Arial" w:cs="Arial" w:eastAsia="Arial" w:hAnsi="Arial"/>
          <w:sz w:val="17"/>
          <w:szCs w:val="17"/>
          <w:color w:val="auto"/>
        </w:rPr>
        <w:t>is our Chief Executive Officer and is expected to serve as one of our initial board observers. Mr. Gishen has over 20 years of experience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 financial services. Mr. Gishen served in several senior roles at Credit Suisse from 2015 to 2020, including Head of Investor Relations, Corporate Communications, Marketing and Branding from 2019 to 2020 and Head of Investor Relations and Corporate Communications from 2017 to 2019. Prior to 2015, Mr. Gishen was a Partner at Ondra Partners, a financial advisory firm and prior to that a Managing Director at Nomura in London and Lehman Brothers from 1999 to 2008 where he specialized in the area of Equity Capital Markets. He graduated from University of Leeds.</w:t>
      </w:r>
    </w:p>
    <w:p>
      <w:pPr>
        <w:spacing w:after="0" w:line="176" w:lineRule="exact"/>
        <w:rPr>
          <w:sz w:val="20"/>
          <w:szCs w:val="20"/>
          <w:color w:val="auto"/>
        </w:rPr>
      </w:pPr>
    </w:p>
    <w:p>
      <w:pPr>
        <w:ind w:right="80" w:firstLine="324"/>
        <w:spacing w:after="0" w:line="311" w:lineRule="auto"/>
        <w:rPr>
          <w:sz w:val="20"/>
          <w:szCs w:val="20"/>
          <w:color w:val="auto"/>
        </w:rPr>
      </w:pPr>
      <w:r>
        <w:rPr>
          <w:rFonts w:ascii="Arial" w:cs="Arial" w:eastAsia="Arial" w:hAnsi="Arial"/>
          <w:sz w:val="16"/>
          <w:szCs w:val="16"/>
          <w:b w:val="1"/>
          <w:bCs w:val="1"/>
          <w:i w:val="1"/>
          <w:iCs w:val="1"/>
          <w:color w:val="auto"/>
        </w:rPr>
        <w:t xml:space="preserve">Abhishek Bhatia </w:t>
      </w:r>
      <w:r>
        <w:rPr>
          <w:rFonts w:ascii="Arial" w:cs="Arial" w:eastAsia="Arial" w:hAnsi="Arial"/>
          <w:sz w:val="16"/>
          <w:szCs w:val="16"/>
          <w:color w:val="auto"/>
        </w:rPr>
        <w:t>is expected to serve as one of our initial board observers. Mr. Bhatia has over 20 years of experience across various geographies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industries. Mr. Bhatia was with FWD group from 2015 to 2020 and served as Group Chief Officer of New Business Models in his last role. Prior to the group role, he served as the CEO of FWD's business in Singapore and established it as an exemplar in digital insurance within four years.</w:t>
      </w:r>
    </w:p>
    <w:p>
      <w:pPr>
        <w:spacing w:after="0" w:line="149"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Before joining FWD, Mr. Bhatia spent 15 years with Prudential plc in senior roles across the globe. In his last job with the company, he was Chief Executive Officer, Prudential Poland, where he oversaw the establishment of the company and was instrumental in achieving Prudential’s leadership position in sales technology and product innovation. Prior to that, he was the Regional Director of Insurance based out of Hong Kong. He also held senior roles with Prudential in Malaysia and India. Mr. Bhatia is an Economics Graduate from SRCC, University of Delhi and holds a post-graduate in Management from IIM Kolkata.</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PIMCO</w:t>
      </w:r>
    </w:p>
    <w:p>
      <w:pPr>
        <w:spacing w:after="0" w:line="229" w:lineRule="exact"/>
        <w:rPr>
          <w:sz w:val="20"/>
          <w:szCs w:val="20"/>
          <w:color w:val="auto"/>
        </w:rPr>
      </w:pPr>
    </w:p>
    <w:p>
      <w:pPr>
        <w:jc w:val="both"/>
        <w:ind w:right="60" w:firstLine="324"/>
        <w:spacing w:after="0" w:line="287" w:lineRule="auto"/>
        <w:rPr>
          <w:sz w:val="20"/>
          <w:szCs w:val="20"/>
          <w:color w:val="auto"/>
        </w:rPr>
      </w:pPr>
      <w:r>
        <w:rPr>
          <w:rFonts w:ascii="Arial" w:cs="Arial" w:eastAsia="Arial" w:hAnsi="Arial"/>
          <w:sz w:val="16"/>
          <w:szCs w:val="16"/>
          <w:b w:val="1"/>
          <w:bCs w:val="1"/>
          <w:i w:val="1"/>
          <w:iCs w:val="1"/>
          <w:color w:val="auto"/>
        </w:rPr>
        <w:t xml:space="preserve">Jamie Weinstein </w:t>
      </w:r>
      <w:r>
        <w:rPr>
          <w:rFonts w:ascii="Arial" w:cs="Arial" w:eastAsia="Arial" w:hAnsi="Arial"/>
          <w:sz w:val="16"/>
          <w:szCs w:val="16"/>
          <w:color w:val="auto"/>
        </w:rPr>
        <w:t>is expected to serve on our board of directors. Mr. Weinstein is a managing director, portfolio manager and head of corporate special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situations at PIMCO, focusing on PIMCO’s opportunistic and alternative strategies within corporate credit. Prior to joining PIMCO in 2019, Mr. Weinstein worked for KKR as a portfolio manager for the firm’s special situations funds and portfolios, which he managed from their inception in 2009. Mr.</w:t>
      </w:r>
    </w:p>
    <w:p>
      <w:pPr>
        <w:spacing w:after="0" w:line="2"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Weinstein was also a member of KKR’s special situations, real estate, and India NBFC investment committees and the KKR credit portfolio management committee. Previously, Mr. Weinstein was a portfolio manager with responsibility across KKR’s credit strategies. Prior to joining KKR, Mr. Weinstein was with Tishman Speyer Properties as director of acquisitions for Northern California and at Boston Consulting Group as a consultant. Mr. Weinstein serves on the boards of directors of CRIS I, CRIS II, Capstar and Sandbridge.</w:t>
      </w:r>
    </w:p>
    <w:p>
      <w:pPr>
        <w:spacing w:after="0" w:line="193" w:lineRule="exact"/>
        <w:rPr>
          <w:sz w:val="20"/>
          <w:szCs w:val="20"/>
          <w:color w:val="auto"/>
        </w:rPr>
      </w:pPr>
    </w:p>
    <w:p>
      <w:pPr>
        <w:ind w:right="20" w:firstLine="324"/>
        <w:spacing w:after="0" w:line="290" w:lineRule="auto"/>
        <w:rPr>
          <w:sz w:val="20"/>
          <w:szCs w:val="20"/>
          <w:color w:val="auto"/>
        </w:rPr>
      </w:pPr>
      <w:r>
        <w:rPr>
          <w:rFonts w:ascii="Arial" w:cs="Arial" w:eastAsia="Arial" w:hAnsi="Arial"/>
          <w:sz w:val="16"/>
          <w:szCs w:val="16"/>
          <w:b w:val="1"/>
          <w:bCs w:val="1"/>
          <w:i w:val="1"/>
          <w:iCs w:val="1"/>
          <w:color w:val="auto"/>
        </w:rPr>
        <w:t xml:space="preserve">Daniel Ballen </w:t>
      </w:r>
      <w:r>
        <w:rPr>
          <w:rFonts w:ascii="Arial" w:cs="Arial" w:eastAsia="Arial" w:hAnsi="Arial"/>
          <w:sz w:val="16"/>
          <w:szCs w:val="16"/>
          <w:color w:val="auto"/>
        </w:rPr>
        <w:t>is expected to serve as one of PIMCO’s initial board observers. Since June 2014, Mr. Ballen has served as a Portfolio Manager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Executive Vice President at PIMCO, where he helps lead the corporate private equity investment strategy for the firm’s alternative investment complex. He has led numerous private equity investments in both the U.S. and Europe and currently serves as a board member on a wide range of both private and public companies in the financial services and technology sectors. Prior to joining PIMCO, Mr. Ballen was a member of the private equity investment teams at Pine Brook Partners from 2011 to April 2014 and at Bain Capital, LP from 2007 to 2010, where he executed and managed private equity investments in the U.S. across a variety of sectors. Mr. Ballen started his career in the investment banking division of Bear, Stearns &amp; Co., where he was a member of the U.S. financial institutions advisory team. Mr. Ballen currently serves on the boards of directors of Velocity Financial (NYSE: VEL), Cardholder Management Services, Inc., Finance Ireland Ltd, Great Rock Capital Partners, LLC and Amur Equipment Finance, Inc.</w:t>
      </w:r>
    </w:p>
    <w:p>
      <w:pPr>
        <w:spacing w:after="0" w:line="165"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b w:val="1"/>
          <w:bCs w:val="1"/>
          <w:i w:val="1"/>
          <w:iCs w:val="1"/>
          <w:color w:val="auto"/>
        </w:rPr>
        <w:t xml:space="preserve">Dan Degtyar </w:t>
      </w:r>
      <w:r>
        <w:rPr>
          <w:rFonts w:ascii="Arial" w:cs="Arial" w:eastAsia="Arial" w:hAnsi="Arial"/>
          <w:sz w:val="18"/>
          <w:szCs w:val="18"/>
          <w:color w:val="auto"/>
        </w:rPr>
        <w:t>is expected to serve as one of PIMCO’s initial board observers. Mr. Degtyar is an Executive Vice President, portfolio manager and senior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analyst for PIMCO’s Global Credit Opportunity Strategy, where he focuses on credit relative value opportunities and special situations. Prior to joining PIMCO, Mr. Degtyar was a senior analyst at Beach Point Capital, a private equity associate at Ares Management and an investment banking associate at Credit Suisse. Mr. Degtyar is a CFA charterholder with 14 years of investment experience. Mr. Degtyar serves as a board observer for CRIS I, CRIS II, Capstar and Sandbridge.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Co-Sponsor</w:t>
      </w:r>
    </w:p>
    <w:p>
      <w:pPr>
        <w:spacing w:after="0" w:line="229" w:lineRule="exact"/>
        <w:rPr>
          <w:sz w:val="20"/>
          <w:szCs w:val="20"/>
          <w:color w:val="auto"/>
        </w:rPr>
      </w:pPr>
    </w:p>
    <w:p>
      <w:pPr>
        <w:ind w:right="140" w:firstLine="324"/>
        <w:spacing w:after="0" w:line="293" w:lineRule="auto"/>
        <w:rPr>
          <w:sz w:val="20"/>
          <w:szCs w:val="20"/>
          <w:color w:val="auto"/>
        </w:rPr>
      </w:pPr>
      <w:r>
        <w:rPr>
          <w:rFonts w:ascii="Arial" w:cs="Arial" w:eastAsia="Arial" w:hAnsi="Arial"/>
          <w:sz w:val="16"/>
          <w:szCs w:val="16"/>
          <w:color w:val="auto"/>
        </w:rPr>
        <w:t>The PIMCO private fund, part of our sponsor group, is managed by PIMCO, one of the world’s premier fixed income investment managers. For 50 years, PIMCO has worked relentlessly to help millions of investors achieve their financial objectives across a wide range of market environments. Today, PIMCO has offices around the world and more than 3,000 professionals committed to its mission: delivering superior investment returns, solutions and service to its clients. PIMCO’s alternatives platform combines the firm’s time-tested investment process with opportunistic approaches to marketable and private credit, equity, global real estate, macroeconomic, and quantitative strategies. As of December 31, 2020, PIMCO had approximately $2.2 trillion in assets under management and is owned by Allianz S.E., a leading global diversified financial services provider.</w:t>
      </w:r>
    </w:p>
    <w:p>
      <w:pPr>
        <w:spacing w:after="0" w:line="164"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Similar to our management team, PIMCO has been dedicated to being a best-in-class operator in the global financial services industry. In addition to being a large user of third party technology and services, PIMCO has dedicated investment teams that continually source, evaluate, execute and manage equity and debt investments in the financial services and technology sectors, both in the US and abroad. Our team will leverage the knowledge, leadership, access and reach of the PIMCO private fund and PIMCO’s global platform to identify and evaluate potential targets for our initial business combination. We believe our ability to draw from such a longstanding and respected institution will further enhance our ability to identify and source the best opportunities for our stockholders.</w:t>
      </w:r>
    </w:p>
    <w:p>
      <w:pPr>
        <w:spacing w:after="0" w:line="192"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The past performance of our management team, directors, advisors, the PIMCO private fund and their respective affiliates is not a guarantee (i) that we will be able to identify a suitable candidate for our initial business combination or (ii) of success with respect to any business combination we may consummate. You should not rely on the historical record of our management team’s, directors’, advisors’, the PIMCO private fund’s or their respective affiliates’ performance as indicative of our future performance.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Independent Directors</w:t>
      </w:r>
    </w:p>
    <w:p>
      <w:pPr>
        <w:spacing w:after="0" w:line="229" w:lineRule="exact"/>
        <w:rPr>
          <w:sz w:val="20"/>
          <w:szCs w:val="20"/>
          <w:color w:val="auto"/>
        </w:rPr>
      </w:pPr>
    </w:p>
    <w:p>
      <w:pPr>
        <w:ind w:right="600" w:firstLine="324"/>
        <w:spacing w:after="0" w:line="277" w:lineRule="auto"/>
        <w:rPr>
          <w:sz w:val="20"/>
          <w:szCs w:val="20"/>
          <w:color w:val="auto"/>
        </w:rPr>
      </w:pPr>
      <w:r>
        <w:rPr>
          <w:rFonts w:ascii="Arial" w:cs="Arial" w:eastAsia="Arial" w:hAnsi="Arial"/>
          <w:sz w:val="18"/>
          <w:szCs w:val="18"/>
          <w:color w:val="auto"/>
        </w:rPr>
        <w:t>We have chosen our independent board members for the purposes of assisting our sponsors with sourcing and evaluating business combination opportunities and developing plans and strategies to optimize any business that we acquire.</w:t>
      </w:r>
    </w:p>
    <w:p>
      <w:pPr>
        <w:sectPr>
          <w:pgSz w:w="11900" w:h="16838" w:orient="portrait"/>
          <w:cols w:equalWidth="0" w:num="1">
            <w:col w:w="11220"/>
          </w:cols>
          <w:pgMar w:left="320" w:top="800" w:right="359" w:bottom="91" w:gutter="0" w:footer="0" w:header="0"/>
        </w:sectPr>
      </w:pPr>
    </w:p>
    <w:bookmarkStart w:id="89" w:name="page90"/>
    <w:bookmarkEnd w:id="89"/>
    <w:p>
      <w:pPr>
        <w:ind w:firstLine="324"/>
        <w:spacing w:after="0" w:line="290" w:lineRule="auto"/>
        <w:rPr>
          <w:sz w:val="20"/>
          <w:szCs w:val="20"/>
          <w:color w:val="auto"/>
        </w:rPr>
      </w:pPr>
      <w:r>
        <w:rPr>
          <w:rFonts w:ascii="Arial" w:cs="Arial" w:eastAsia="Arial" w:hAnsi="Arial"/>
          <w:sz w:val="16"/>
          <w:szCs w:val="16"/>
          <w:b w:val="1"/>
          <w:bCs w:val="1"/>
          <w:i w:val="1"/>
          <w:iCs w:val="1"/>
          <w:color w:val="auto"/>
        </w:rPr>
        <w:t xml:space="preserve">Noreen Doyle </w:t>
      </w:r>
      <w:r>
        <w:rPr>
          <w:rFonts w:ascii="Arial" w:cs="Arial" w:eastAsia="Arial" w:hAnsi="Arial"/>
          <w:sz w:val="16"/>
          <w:szCs w:val="16"/>
          <w:color w:val="auto"/>
        </w:rPr>
        <w:t>is expected to serve on our board of directors. Since 2005, Ms. Doyle has been a member of the Board of Directors of Newmont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Corporation, the world’s largest gold producer. Since 2016, she has served as Chair of the Board and of the Nominating and Corporate Governance Committee, having previously served as Chair of the Audit Committee. From 2004 to 2017, she served on the Board of Directors of Credit Suisse Group AG, including as Vice Chair and Senior Independent Director from 2014 to 2017. Ms. Doyle has also served on the boards of Rexam PLC and QinetiQ plc. In her executive career, Ms. Doyle was First Vice President of the European Bank for Reconstruction and Development (EBRD) from 2001 to 2005, having previously served as head of Risk Management and of Syndications. Prior to EBRD, Ms. Doyle was a senior officer at Bankers Trust Company (now Deutsche Bank) specializing in leveraged finance and natural resources. Ms. Doyle holds an MBA from Tuck School at Dartmouth, where she served on its Board of Overseers, and a B.A. from the College of Mount Saint Vincent, where she served on and chaired its Board of Trustees.</w:t>
      </w:r>
    </w:p>
    <w:p>
      <w:pPr>
        <w:spacing w:after="0" w:line="165" w:lineRule="exact"/>
        <w:rPr>
          <w:sz w:val="20"/>
          <w:szCs w:val="20"/>
          <w:color w:val="auto"/>
        </w:rPr>
      </w:pPr>
    </w:p>
    <w:p>
      <w:pPr>
        <w:ind w:right="200" w:firstLine="324"/>
        <w:spacing w:after="0" w:line="275" w:lineRule="auto"/>
        <w:rPr>
          <w:sz w:val="20"/>
          <w:szCs w:val="20"/>
          <w:color w:val="auto"/>
        </w:rPr>
      </w:pPr>
      <w:r>
        <w:rPr>
          <w:rFonts w:ascii="Arial" w:cs="Arial" w:eastAsia="Arial" w:hAnsi="Arial"/>
          <w:sz w:val="17"/>
          <w:szCs w:val="17"/>
          <w:b w:val="1"/>
          <w:bCs w:val="1"/>
          <w:i w:val="1"/>
          <w:iCs w:val="1"/>
          <w:color w:val="auto"/>
        </w:rPr>
        <w:t xml:space="preserve">William Janetschek </w:t>
      </w:r>
      <w:r>
        <w:rPr>
          <w:rFonts w:ascii="Arial" w:cs="Arial" w:eastAsia="Arial" w:hAnsi="Arial"/>
          <w:sz w:val="17"/>
          <w:szCs w:val="17"/>
          <w:color w:val="auto"/>
        </w:rPr>
        <w:t>is expected to serve on our board of directors. Mr. Janetschek joined KKR in 1997 and retired in 2020 as a Partner and its Chief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Financial Officer. Mr. Janetschek was also a member of KKR’s Balance Sheet Committee, Global Valuation Committee and Risk and Operations Committee. Prior to joining KKR, he was a Tax Partner at Deloitte &amp; Touche LLP. He serves as a sponsor and member of a variety of non-profit organizations including Student Sponsor Partners and St. Brigid Catholic Church. Mr. Janetschek holds a M.S. from Pace University and a B.S. from St. John’s University, where he is now the Chairman of the Board of Trustees.</w:t>
      </w:r>
    </w:p>
    <w:p>
      <w:pPr>
        <w:spacing w:after="0" w:line="28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90" w:name="page91"/>
    <w:bookmarkEnd w:id="90"/>
    <w:p>
      <w:pPr>
        <w:ind w:firstLine="324"/>
        <w:spacing w:after="0" w:line="275" w:lineRule="auto"/>
        <w:rPr>
          <w:sz w:val="20"/>
          <w:szCs w:val="20"/>
          <w:color w:val="auto"/>
        </w:rPr>
      </w:pPr>
      <w:r>
        <w:rPr>
          <w:rFonts w:ascii="Arial" w:cs="Arial" w:eastAsia="Arial" w:hAnsi="Arial"/>
          <w:sz w:val="17"/>
          <w:szCs w:val="17"/>
          <w:b w:val="1"/>
          <w:bCs w:val="1"/>
          <w:i w:val="1"/>
          <w:iCs w:val="1"/>
          <w:color w:val="auto"/>
        </w:rPr>
        <w:t xml:space="preserve">David Poritz </w:t>
      </w:r>
      <w:r>
        <w:rPr>
          <w:rFonts w:ascii="Arial" w:cs="Arial" w:eastAsia="Arial" w:hAnsi="Arial"/>
          <w:sz w:val="17"/>
          <w:szCs w:val="17"/>
          <w:color w:val="auto"/>
        </w:rPr>
        <w:t>is expected to serve on our board of directors. Since 2015, Mr. Poritz has served as Co-CEO and Co-Founder of Credijusto, a leading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Mexican financial technology company focused on small business lending. Since 2008, Mr. Poritz has served as President and Co-Founder of Equitable Origin, an NGO dedicated to improving social, environmental and governance practices in the global energy industry. Mr. Poritz currently serves as a board member of Credijusto and Equitable Origin. Mr. Poritz has a B.A. from Brown University, where he was a Harry S. Truman and Henry David Thoreau scholar as well as an MSc. from Oxford University, where he was a Rhodes scholar.</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Opportunity</w:t>
      </w:r>
    </w:p>
    <w:p>
      <w:pPr>
        <w:spacing w:after="0" w:line="229" w:lineRule="exact"/>
        <w:rPr>
          <w:sz w:val="20"/>
          <w:szCs w:val="20"/>
          <w:color w:val="auto"/>
        </w:rPr>
      </w:pPr>
    </w:p>
    <w:p>
      <w:pPr>
        <w:ind w:right="20" w:firstLine="324"/>
        <w:spacing w:after="0" w:line="290" w:lineRule="auto"/>
        <w:rPr>
          <w:sz w:val="20"/>
          <w:szCs w:val="20"/>
          <w:color w:val="auto"/>
        </w:rPr>
      </w:pPr>
      <w:r>
        <w:rPr>
          <w:rFonts w:ascii="Arial" w:cs="Arial" w:eastAsia="Arial" w:hAnsi="Arial"/>
          <w:sz w:val="16"/>
          <w:szCs w:val="16"/>
          <w:color w:val="auto"/>
        </w:rPr>
        <w:t>We will seek to acquire one or more businesses which currently or may in the future have the potential to benefit from disruption caused by the convergence of financial services and technology, driven by the exponential increase in data generation, advances in artificial intelligence and robotics, rising processing power and/or ubiquitous global connectivity through smartphones, among other technologies. COVID-19 has accelerated many of these trends and introduced changes in consumer behavior that we believe are here to stay, such as: insurers’ relationship with policyholders shifting away from one that is merely transactional to that of a value-added service provider; increasing usage of telemedicine and digital channels in accessing healthcare; and banks responding to the demands for multi-product and multi-geography solutions and alternative payment methods. We believe that these trends are generating significant market opportunities, and we plan to focus (based on the principles outlined in Business Strategy section) on these technology-enabled challenger businesses demonstrating differentiated growth and high scalability potential.</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Strategy</w:t>
      </w:r>
    </w:p>
    <w:p>
      <w:pPr>
        <w:spacing w:after="0" w:line="229"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color w:val="auto"/>
        </w:rPr>
        <w:t>Our business strategy is to identify opportunities where a combination of capital, talent and network will improve the customer experience and drive value for all stakeholders. Our business strategy focuses on leveraging our proven management team, led by Mr. Thiam with over a decade of combined experience as CEO of Prudential and Credit Suisse, and our partnership with the PIMCO private fund, to execute our business strategy, improve profitability and demonstrate growth across mature and emerging markets.</w:t>
      </w:r>
    </w:p>
    <w:p>
      <w:pPr>
        <w:spacing w:after="0" w:line="187" w:lineRule="exact"/>
        <w:rPr>
          <w:sz w:val="20"/>
          <w:szCs w:val="20"/>
          <w:color w:val="auto"/>
        </w:rPr>
      </w:pPr>
    </w:p>
    <w:p>
      <w:pPr>
        <w:ind w:right="180" w:firstLine="324"/>
        <w:spacing w:after="0" w:line="257" w:lineRule="auto"/>
        <w:rPr>
          <w:sz w:val="20"/>
          <w:szCs w:val="20"/>
          <w:color w:val="auto"/>
        </w:rPr>
      </w:pPr>
      <w:r>
        <w:rPr>
          <w:rFonts w:ascii="Arial" w:cs="Arial" w:eastAsia="Arial" w:hAnsi="Arial"/>
          <w:sz w:val="18"/>
          <w:szCs w:val="18"/>
          <w:color w:val="auto"/>
        </w:rPr>
        <w:t>Our management team, in partnership with the PIMCO private fund, has an extensive network of relationships that supports our capability to partner with public and private companies, as well as with large financial sponsors. This network includes senior executives, investment bankers, venture capital firms, various investment professionals and owners of private businesses. We further believe that PIMCO's active investment platform across North America and Europe will provide us with an advantage in accessing business combination targets, as well as deep insights into macro trends, investor expectations and market sentiment.</w:t>
      </w:r>
    </w:p>
    <w:p>
      <w:pPr>
        <w:spacing w:after="0" w:line="29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800" w:right="359" w:bottom="1440" w:gutter="0" w:footer="0" w:header="0"/>
        </w:sectPr>
      </w:pPr>
    </w:p>
    <w:bookmarkStart w:id="91" w:name="page92"/>
    <w:bookmarkEnd w:id="91"/>
    <w:p>
      <w:pPr>
        <w:ind w:right="140" w:firstLine="324"/>
        <w:spacing w:after="0" w:line="257" w:lineRule="auto"/>
        <w:rPr>
          <w:sz w:val="20"/>
          <w:szCs w:val="20"/>
          <w:color w:val="auto"/>
        </w:rPr>
      </w:pPr>
      <w:r>
        <w:rPr>
          <w:rFonts w:ascii="Arial" w:cs="Arial" w:eastAsia="Arial" w:hAnsi="Arial"/>
          <w:sz w:val="18"/>
          <w:szCs w:val="18"/>
          <w:color w:val="auto"/>
        </w:rPr>
        <w:t>Our independent board members have been selected for their extensive sector and geographic expertise, operating experience, access to proprietary deal flow, strong relationships with business leaders and entrepreneurs and their ability to source attractive targets and assist us in implementing our business combination strategy. They have held senior leadership positions with companies where they have a strong track record of creating shareholder value, organically and through transformational acquisitions or corporate restructurings, as well as extensive relationships with owners and operators of companies within their respective industries.</w:t>
      </w:r>
    </w:p>
    <w:p>
      <w:pPr>
        <w:spacing w:after="0" w:line="188" w:lineRule="exact"/>
        <w:rPr>
          <w:sz w:val="20"/>
          <w:szCs w:val="20"/>
          <w:color w:val="auto"/>
        </w:rPr>
      </w:pPr>
    </w:p>
    <w:p>
      <w:pPr>
        <w:ind w:right="100" w:firstLine="324"/>
        <w:spacing w:after="0" w:line="342" w:lineRule="auto"/>
        <w:rPr>
          <w:sz w:val="20"/>
          <w:szCs w:val="20"/>
          <w:color w:val="auto"/>
        </w:rPr>
      </w:pPr>
      <w:r>
        <w:rPr>
          <w:rFonts w:ascii="Arial" w:cs="Arial" w:eastAsia="Arial" w:hAnsi="Arial"/>
          <w:sz w:val="16"/>
          <w:szCs w:val="16"/>
          <w:color w:val="auto"/>
        </w:rPr>
        <w:t>We believe that the networks and experience of our management team and independent board members and our partnership with the PIMCO private fund provide us with specific competitive advantages over other blank check companies in sourcing attractive targets for the following reasons:</w:t>
      </w:r>
    </w:p>
    <w:p>
      <w:pPr>
        <w:spacing w:after="0" w:line="12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World-class leadership team fueled by the combination of proven management team and Board of Directors.</w:t>
      </w:r>
    </w:p>
    <w:p>
      <w:pPr>
        <w:spacing w:after="0" w:line="225"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Our leadership team has extensive expertise across the target regions and sectors, with private and public board experience as well as a proven track record of generating value for investors across macroeconomic and industry cycles.</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Diverse global network drives sourcing of unique opportunities.</w:t>
      </w:r>
    </w:p>
    <w:p>
      <w:pPr>
        <w:spacing w:after="0" w:line="225" w:lineRule="exact"/>
        <w:rPr>
          <w:sz w:val="20"/>
          <w:szCs w:val="20"/>
          <w:color w:val="auto"/>
        </w:rPr>
      </w:pPr>
    </w:p>
    <w:p>
      <w:pPr>
        <w:ind w:right="280" w:firstLine="324"/>
        <w:spacing w:after="0" w:line="342" w:lineRule="auto"/>
        <w:rPr>
          <w:sz w:val="20"/>
          <w:szCs w:val="20"/>
          <w:color w:val="auto"/>
        </w:rPr>
      </w:pPr>
      <w:r>
        <w:rPr>
          <w:rFonts w:ascii="Arial" w:cs="Arial" w:eastAsia="Arial" w:hAnsi="Arial"/>
          <w:sz w:val="16"/>
          <w:szCs w:val="16"/>
          <w:color w:val="auto"/>
        </w:rPr>
        <w:t>The leadership team has a broad network of relationships in both the public and private sectors, with access to both mature (U.S. and Europe) and emerging markets (Asia, Latin America and Africa), which we believe will provide us with a range of attractive potential business combinations.</w:t>
      </w:r>
    </w:p>
    <w:p>
      <w:pPr>
        <w:spacing w:after="0" w:line="12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Proven track record of deploying technology in regulated businesses.</w:t>
      </w:r>
    </w:p>
    <w:p>
      <w:pPr>
        <w:spacing w:after="0" w:line="225" w:lineRule="exact"/>
        <w:rPr>
          <w:sz w:val="20"/>
          <w:szCs w:val="20"/>
          <w:color w:val="auto"/>
        </w:rPr>
      </w:pPr>
    </w:p>
    <w:p>
      <w:pPr>
        <w:ind w:right="200" w:firstLine="324"/>
        <w:spacing w:after="0" w:line="311" w:lineRule="auto"/>
        <w:rPr>
          <w:sz w:val="20"/>
          <w:szCs w:val="20"/>
          <w:color w:val="auto"/>
        </w:rPr>
      </w:pPr>
      <w:r>
        <w:rPr>
          <w:rFonts w:ascii="Arial" w:cs="Arial" w:eastAsia="Arial" w:hAnsi="Arial"/>
          <w:sz w:val="16"/>
          <w:szCs w:val="16"/>
          <w:color w:val="auto"/>
        </w:rPr>
        <w:t>Our management team has substantial experience in managing change and leveraging technology to drive improved business performance across a broad range of sectors, including insurance, banking and wealth/asset management. Their experience covers a diverse range of technology strategies, including both in-house development and joint-venture creation, and have a track-record of successfully deploying these strategies in the past.</w:t>
      </w:r>
    </w:p>
    <w:p>
      <w:pPr>
        <w:spacing w:after="0" w:line="14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Demonstrated track-record of attracting talent and business scale-up.</w:t>
      </w:r>
    </w:p>
    <w:p>
      <w:pPr>
        <w:spacing w:after="0" w:line="225"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Our vastly experienced leadership team has experience fostering a company culture which both attracts and retains talent. Our team has a strong track record of achieving sustained business growth as well as significant value creation for investors, with experience in leadership roles at prominent companies.</w:t>
      </w:r>
    </w:p>
    <w:p>
      <w:pPr>
        <w:spacing w:after="0" w:line="18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Extensive experience of disciplined M&amp;A.</w:t>
      </w:r>
    </w:p>
    <w:p>
      <w:pPr>
        <w:spacing w:after="0" w:line="225" w:lineRule="exact"/>
        <w:rPr>
          <w:sz w:val="20"/>
          <w:szCs w:val="20"/>
          <w:color w:val="auto"/>
        </w:rPr>
      </w:pPr>
    </w:p>
    <w:p>
      <w:pPr>
        <w:ind w:right="120" w:firstLine="324"/>
        <w:spacing w:after="0" w:line="311" w:lineRule="auto"/>
        <w:rPr>
          <w:sz w:val="20"/>
          <w:szCs w:val="20"/>
          <w:color w:val="auto"/>
        </w:rPr>
      </w:pPr>
      <w:r>
        <w:rPr>
          <w:rFonts w:ascii="Arial" w:cs="Arial" w:eastAsia="Arial" w:hAnsi="Arial"/>
          <w:sz w:val="16"/>
          <w:szCs w:val="16"/>
          <w:color w:val="auto"/>
        </w:rPr>
        <w:t>Our management team and independent board members have a significant background in executing competitive, sizeable and complex transactions. The rigorous and disciplined criteria we intend to use to assess potential acquisitions derives from our leadership team’s collective industry experience across a range of leading companies, which has provided them with a deep understanding of the market as well as expertise in scaling businesses.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 Criteria</w:t>
      </w:r>
    </w:p>
    <w:p>
      <w:pPr>
        <w:spacing w:after="0" w:line="229" w:lineRule="exact"/>
        <w:rPr>
          <w:sz w:val="20"/>
          <w:szCs w:val="20"/>
          <w:color w:val="auto"/>
        </w:rPr>
      </w:pPr>
    </w:p>
    <w:p>
      <w:pPr>
        <w:ind w:right="340" w:firstLine="324"/>
        <w:spacing w:after="0" w:line="277" w:lineRule="auto"/>
        <w:rPr>
          <w:sz w:val="20"/>
          <w:szCs w:val="20"/>
          <w:color w:val="auto"/>
        </w:rPr>
      </w:pPr>
      <w:r>
        <w:rPr>
          <w:rFonts w:ascii="Arial" w:cs="Arial" w:eastAsia="Arial" w:hAnsi="Arial"/>
          <w:sz w:val="18"/>
          <w:szCs w:val="18"/>
          <w:color w:val="auto"/>
        </w:rPr>
        <w:t>Consistent with our business strategy, we have identified the following general criteria and guidelines that we believe are important in evaluating prospective target businesses. We intend to use these criteria and guidelines in</w:t>
      </w:r>
    </w:p>
    <w:p>
      <w:pPr>
        <w:spacing w:after="0" w:line="27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584" w:right="479" w:bottom="1440" w:gutter="0" w:footer="0" w:header="0"/>
        </w:sectPr>
      </w:pPr>
    </w:p>
    <w:bookmarkStart w:id="92" w:name="page93"/>
    <w:bookmarkEnd w:id="92"/>
    <w:p>
      <w:pPr>
        <w:ind w:right="220"/>
        <w:spacing w:after="0" w:line="277" w:lineRule="auto"/>
        <w:rPr>
          <w:sz w:val="20"/>
          <w:szCs w:val="20"/>
          <w:color w:val="auto"/>
        </w:rPr>
      </w:pPr>
      <w:r>
        <w:rPr>
          <w:rFonts w:ascii="Arial" w:cs="Arial" w:eastAsia="Arial" w:hAnsi="Arial"/>
          <w:sz w:val="18"/>
          <w:szCs w:val="18"/>
          <w:color w:val="auto"/>
        </w:rPr>
        <w:t>evaluating business combination opportunities, although we may decide to enter into our initial business combination with a target business that does not meet these criteria and guidelines.</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Large addressable market underpinning long term growth prospects.</w:t>
      </w:r>
    </w:p>
    <w:p>
      <w:pPr>
        <w:spacing w:after="0" w:line="225" w:lineRule="exact"/>
        <w:rPr>
          <w:sz w:val="20"/>
          <w:szCs w:val="20"/>
          <w:color w:val="auto"/>
        </w:rPr>
      </w:pPr>
    </w:p>
    <w:p>
      <w:pPr>
        <w:ind w:firstLine="324"/>
        <w:spacing w:after="0" w:line="286" w:lineRule="auto"/>
        <w:rPr>
          <w:sz w:val="20"/>
          <w:szCs w:val="20"/>
          <w:color w:val="auto"/>
        </w:rPr>
      </w:pPr>
      <w:r>
        <w:rPr>
          <w:rFonts w:ascii="Arial" w:cs="Arial" w:eastAsia="Arial" w:hAnsi="Arial"/>
          <w:sz w:val="17"/>
          <w:szCs w:val="17"/>
          <w:color w:val="auto"/>
        </w:rPr>
        <w:t>We will seek to acquire one or more businesses with significant runway to capture market share in a large addressable market, with attractive long-term growth prospects, favorable secular trends and superior unit economics that can be further enhanced through diverse revenue drivers. We will evaluate companies with significant potential to grow both organically and through strategic mergers and acquisitions.</w:t>
      </w:r>
    </w:p>
    <w:p>
      <w:pPr>
        <w:spacing w:after="0" w:line="16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Business with significant revenue and earnings growth potential.</w:t>
      </w:r>
    </w:p>
    <w:p>
      <w:pPr>
        <w:spacing w:after="0" w:line="225"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We will seek to acquire one or more businesses with a leading market position in an attractive industry, with a focus on the financial services sector. We believe scale and technological differentiation can provide a basis for superior competitive performance relative to industry peers. Our team’s deep understanding of the industry as well as our experience in managing businesses and achieving sustainable growth is unparalleled when compared to other sources of equity and growth capital.</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Distinct business strengths driving competitive differentiation and attractive unit economics.</w:t>
      </w:r>
    </w:p>
    <w:p>
      <w:pPr>
        <w:spacing w:after="0" w:line="225" w:lineRule="exact"/>
        <w:rPr>
          <w:sz w:val="20"/>
          <w:szCs w:val="20"/>
          <w:color w:val="auto"/>
        </w:rPr>
      </w:pPr>
    </w:p>
    <w:p>
      <w:pPr>
        <w:ind w:right="220" w:firstLine="324"/>
        <w:spacing w:after="0" w:line="342" w:lineRule="auto"/>
        <w:rPr>
          <w:sz w:val="20"/>
          <w:szCs w:val="20"/>
          <w:color w:val="auto"/>
        </w:rPr>
      </w:pPr>
      <w:r>
        <w:rPr>
          <w:rFonts w:ascii="Arial" w:cs="Arial" w:eastAsia="Arial" w:hAnsi="Arial"/>
          <w:sz w:val="16"/>
          <w:szCs w:val="16"/>
          <w:color w:val="auto"/>
        </w:rPr>
        <w:t>We will seek to acquire one or more businesses that has long-term, sustainable competitive differentiation coupled with superior unit economics. We are focused on companies with strong business models and favorable sector tailwinds which we believe can lead to durable and profitable growth.</w:t>
      </w:r>
    </w:p>
    <w:p>
      <w:pPr>
        <w:spacing w:after="0" w:line="12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Scalable operations.</w:t>
      </w:r>
    </w:p>
    <w:p>
      <w:pPr>
        <w:spacing w:after="0" w:line="225"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We will seek to acquire one or more businesses that will be able to significantly scale its operations to take advantage of its opportunities. We intend to leverage our management team’s experience in scaling businesses in order to help accelerate growth.</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Uncorrelated returns with minimal cyclicality risk.</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will seek to acquire one or more businesses with limited susceptibility to cyclical risk and shifts in the macroeconomic environment.</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Reputable management team with well-defined vision and credible track record.</w:t>
      </w:r>
    </w:p>
    <w:p>
      <w:pPr>
        <w:spacing w:after="0" w:line="225" w:lineRule="exact"/>
        <w:rPr>
          <w:sz w:val="20"/>
          <w:szCs w:val="20"/>
          <w:color w:val="auto"/>
        </w:rPr>
      </w:pPr>
    </w:p>
    <w:p>
      <w:pPr>
        <w:ind w:right="180" w:firstLine="324"/>
        <w:spacing w:after="0" w:line="311" w:lineRule="auto"/>
        <w:rPr>
          <w:sz w:val="20"/>
          <w:szCs w:val="20"/>
          <w:color w:val="auto"/>
        </w:rPr>
      </w:pPr>
      <w:r>
        <w:rPr>
          <w:rFonts w:ascii="Arial" w:cs="Arial" w:eastAsia="Arial" w:hAnsi="Arial"/>
          <w:sz w:val="16"/>
          <w:szCs w:val="16"/>
          <w:color w:val="auto"/>
        </w:rPr>
        <w:t>We will seek to acquire one or more businesses with a professional management team which has a clear and compelling vision for the company, with skills that complement the expertise of our founders and whose interests are aligned with those of our investors. Where necessary, we may also look to complement and enhance the capabilities of the target business’ management team by recruiting additional talent through our deep network of contacts.</w:t>
      </w:r>
    </w:p>
    <w:p>
      <w:pPr>
        <w:spacing w:after="0" w:line="149" w:lineRule="exact"/>
        <w:rPr>
          <w:sz w:val="20"/>
          <w:szCs w:val="20"/>
          <w:color w:val="auto"/>
        </w:rPr>
      </w:pPr>
    </w:p>
    <w:p>
      <w:pPr>
        <w:ind w:right="80" w:firstLine="324"/>
        <w:spacing w:after="0" w:line="271" w:lineRule="auto"/>
        <w:rPr>
          <w:sz w:val="20"/>
          <w:szCs w:val="20"/>
          <w:color w:val="auto"/>
        </w:rPr>
      </w:pPr>
      <w:r>
        <w:rPr>
          <w:rFonts w:ascii="Arial" w:cs="Arial" w:eastAsia="Arial" w:hAnsi="Arial"/>
          <w:sz w:val="17"/>
          <w:szCs w:val="17"/>
          <w:color w:val="auto"/>
        </w:rPr>
        <w:t>These criteria and guidelines are not intended to be exhaustive. Any evaluation relating to the merits of a particular initial business combination may be based, to the extent relevant, on these general criteria and guidelines as well as other considerations, factors and criteria that our management team may deem relevant. In the event that we decide to enter into our initial business combination with a target business that does not meet the above criteria and guidelines, we will disclose that the target business does not meet the above criteria and guidelines in our shareholder communications related to our initial business combination, which, as discussed in this prospectus, would be in the form of proxy solicitation materials or tender offer documents that we would file with the SEC. In addition to any potential business candidates we may identify on our own, we anticipate that other target business candidates will be brought to our attention from various unaffiliated sources, including investment market participants, private equity funds, and large business enterprises seeking to divest non-core assets or divisions.</w:t>
      </w:r>
    </w:p>
    <w:p>
      <w:pPr>
        <w:spacing w:after="0" w:line="28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93" w:name="page94"/>
    <w:bookmarkEnd w:id="93"/>
    <w:p>
      <w:pPr>
        <w:spacing w:after="0"/>
        <w:rPr>
          <w:sz w:val="20"/>
          <w:szCs w:val="20"/>
          <w:color w:val="auto"/>
        </w:rPr>
      </w:pPr>
      <w:r>
        <w:rPr>
          <w:rFonts w:ascii="Arial" w:cs="Arial" w:eastAsia="Arial" w:hAnsi="Arial"/>
          <w:sz w:val="18"/>
          <w:szCs w:val="18"/>
          <w:b w:val="1"/>
          <w:bCs w:val="1"/>
          <w:color w:val="auto"/>
        </w:rPr>
        <w:t>Initial Business Combination</w:t>
      </w:r>
    </w:p>
    <w:p>
      <w:pPr>
        <w:spacing w:after="0" w:line="229" w:lineRule="exact"/>
        <w:rPr>
          <w:sz w:val="20"/>
          <w:szCs w:val="20"/>
          <w:color w:val="auto"/>
        </w:rPr>
      </w:pPr>
    </w:p>
    <w:p>
      <w:pPr>
        <w:ind w:right="20" w:firstLine="324"/>
        <w:spacing w:after="0" w:line="285" w:lineRule="auto"/>
        <w:rPr>
          <w:sz w:val="20"/>
          <w:szCs w:val="20"/>
          <w:color w:val="auto"/>
        </w:rPr>
      </w:pPr>
      <w:r>
        <w:rPr>
          <w:rFonts w:ascii="Arial" w:cs="Arial" w:eastAsia="Arial" w:hAnsi="Arial"/>
          <w:sz w:val="16"/>
          <w:szCs w:val="16"/>
          <w:color w:val="auto"/>
        </w:rPr>
        <w:t>The rules of the NYSE require and our amended and restated memorandum and articles of association provide that we must consummate an initial business combination with one or more operating businesses or assets with a fair market value equal to at least 80% of the net assets held in the trust account (excluding the amount of any deferred underwriting commission held in trust) as determined at the time of our signing a definitive agreement in connection with our initial business combination. Our board of directors will make the determination as to the fair market value of our initial business combination upon standards generally accepted by the financial community. If our board of directors is not able to independently determine the fair market value of our initial business combination (including with the assistance of financial advisors), we will obtain an opinion from an independent investment banking firm or a valuation or appraisal firm with respect to the satisfaction of such criteria. While we consider it likely that our board of directors will be able to make an independent determination of the fair market value of our initial business combination, it may be unable to do so if it is less familiar or experienced with the business of a particular target or if there is a significant amount of uncertainty as to the value of the target’s assets or prospects, including if such company is at an early stage of development, operations or growth, or if the anticipated transaction involves a complex financial analysis or other specialized skills and the board of directors determines that outside expertise would be helpful or necessary in conducting such analysis. As any such opinion, if obtained, would only state that the fair market value meets the 80% of net assets threshold, unless such opinion includes material information regarding the valuation of the target or the consideration to be provided, it is not anticipated that copies of such opinion would be distributed to our shareholders. However, if required by Schedule 14A of the Exchange Act, any proxy solicitation materials or tender offer documents that we will file with the SEC in connection with our initial business combination will include such opinion. In addition, we have agreed not to enter into a definitive agreement regarding an initial business combination without the prior written consent of the PIMCO private fund.</w:t>
      </w:r>
    </w:p>
    <w:p>
      <w:pPr>
        <w:spacing w:after="0" w:line="176" w:lineRule="exact"/>
        <w:rPr>
          <w:sz w:val="20"/>
          <w:szCs w:val="20"/>
          <w:color w:val="auto"/>
        </w:rPr>
      </w:pPr>
    </w:p>
    <w:p>
      <w:pPr>
        <w:ind w:right="60" w:firstLine="324"/>
        <w:spacing w:after="0" w:line="268" w:lineRule="auto"/>
        <w:rPr>
          <w:sz w:val="20"/>
          <w:szCs w:val="20"/>
          <w:color w:val="auto"/>
        </w:rPr>
      </w:pPr>
      <w:r>
        <w:rPr>
          <w:rFonts w:ascii="Arial" w:cs="Arial" w:eastAsia="Arial" w:hAnsi="Arial"/>
          <w:sz w:val="17"/>
          <w:szCs w:val="17"/>
          <w:color w:val="auto"/>
        </w:rPr>
        <w:t>We anticipate structuring our initial business combination so that the post-transaction company in which our public shareholders own shares will own or acquire 100% of the outstanding equity interests or assets of the target business or businesses. We may, however, structure our initial business combination such that the post-transaction company owns or acquires less than 100% of such interests or assets of the target business in order to meet certain objectives of the target management team or shareholders or for other reasons, but we will only complete such business combination if the post-transaction company owns or acquires 50% or more of the outstanding voting securities of the target or otherwise acquires a controlling interest in the target business sufficient for it not to be required to register as an investment company under the Investment Company Act. Even if the post-transaction company owns or acquires 50% or more of the voting securities of the target, our shareholders prior to the business combination may collectively own a minority interest in the post-business combination company, depending on valuations ascribed to the target and us in the business combination. For example, we could pursue a transaction in which we issue a substantial number of new shares in exchange for all of the outstanding capital stock, shares or other equity interests of a target, or issue a substantial number of new shares to third-parties in connection with financing our initial business combination. In this case, we would acquire a 100% controlling interest in the target. However, as a result of the issuance of a substantial number of new shares, our shareholders immediately prior to our initial business combination could own less than a majority of our issued and outstanding shares subsequent to our initial business combination. If less than 100% of the outstanding equity interests or assets of a target business or businesses are owned or acquired by the post-transaction company, the portion of such business or businesses that is owned or acquired is what will be taken into account for purposes of the 80% of net assets test described above. If the business combination involves more than one target business, the 80% of net assets test will be based on the aggregate value of all of the target businesses.</w:t>
      </w:r>
    </w:p>
    <w:p>
      <w:pPr>
        <w:spacing w:after="0" w:line="180" w:lineRule="exact"/>
        <w:rPr>
          <w:sz w:val="20"/>
          <w:szCs w:val="20"/>
          <w:color w:val="auto"/>
        </w:rPr>
      </w:pPr>
    </w:p>
    <w:p>
      <w:pPr>
        <w:ind w:right="20" w:firstLine="324"/>
        <w:spacing w:after="0" w:line="296" w:lineRule="auto"/>
        <w:rPr>
          <w:sz w:val="20"/>
          <w:szCs w:val="20"/>
          <w:color w:val="auto"/>
        </w:rPr>
      </w:pPr>
      <w:r>
        <w:rPr>
          <w:rFonts w:ascii="Arial" w:cs="Arial" w:eastAsia="Arial" w:hAnsi="Arial"/>
          <w:sz w:val="16"/>
          <w:szCs w:val="16"/>
          <w:color w:val="auto"/>
        </w:rPr>
        <w:t>We may, at our option, pursue an acquisition opportunity jointly with one or more parties affiliated with PIMCO, including, without limitation, officers and partners of PIMCO, investment funds, accounts, co-investment vehicles and other entities managed by affiliates of PIMCO, including the PIMCO private fund, and/or investors in funds, accounts, co-investment vehicles and other entities managed by affiliates of PIMCO. Any such party may co-invest with us in the target business at the time of our initial business combination, or we could raise additional proceeds to complete the acquisition by issuing equity to such parties. The amount and other terms and conditions of any such joint acquisition or equity issuance would be determined at the time thereof.</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Sourcing of Potential Business Combination Targets</w:t>
      </w:r>
    </w:p>
    <w:p>
      <w:pPr>
        <w:spacing w:after="0" w:line="229"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We believe our management team’s significant operating and transaction experience and relationships will provide us with a substantial number of potential initial business combination targets. Over the course of their careers, the members of our management team have developed a broad network of contacts and corporate relationships around the world. This network has grown through the activities of our management team sourcing, acquiring and financing businesses, the reputation of our management team for integrity and fair dealing with sellers, financing sources and target management teams and the experience of our management team in executing transactions under varying economic and financial market conditions.</w:t>
      </w:r>
    </w:p>
    <w:p>
      <w:pPr>
        <w:spacing w:after="0" w:line="28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796" w:right="359" w:bottom="1440" w:gutter="0" w:footer="0" w:header="0"/>
        </w:sectPr>
      </w:pPr>
    </w:p>
    <w:bookmarkStart w:id="94" w:name="page95"/>
    <w:bookmarkEnd w:id="94"/>
    <w:p>
      <w:pPr>
        <w:ind w:right="20" w:firstLine="324"/>
        <w:spacing w:after="0" w:line="257" w:lineRule="auto"/>
        <w:rPr>
          <w:sz w:val="20"/>
          <w:szCs w:val="20"/>
          <w:color w:val="auto"/>
        </w:rPr>
      </w:pPr>
      <w:r>
        <w:rPr>
          <w:rFonts w:ascii="Arial" w:cs="Arial" w:eastAsia="Arial" w:hAnsi="Arial"/>
          <w:sz w:val="18"/>
          <w:szCs w:val="18"/>
          <w:color w:val="auto"/>
        </w:rPr>
        <w:t>This network has provided our management team with a flow of referrals that has resulted in numerous transactions which were proprietary or where a limited group of investors were invited to participate in the sale process. We believe that the network of contacts and relationships of our management team will provide us with important sources of investment opportunities. In addition, we anticipate that target business combination candidates will be brought to our attention from various unaffiliated sources, including investment market participants, private equity funds and large business enterprises seeking to divest non-core assets or divisions.</w:t>
      </w:r>
    </w:p>
    <w:p>
      <w:pPr>
        <w:spacing w:after="0" w:line="188" w:lineRule="exact"/>
        <w:rPr>
          <w:sz w:val="20"/>
          <w:szCs w:val="20"/>
          <w:color w:val="auto"/>
        </w:rPr>
      </w:pPr>
    </w:p>
    <w:p>
      <w:pPr>
        <w:ind w:right="40" w:firstLine="324"/>
        <w:spacing w:after="0" w:line="296" w:lineRule="auto"/>
        <w:rPr>
          <w:sz w:val="20"/>
          <w:szCs w:val="20"/>
          <w:color w:val="auto"/>
        </w:rPr>
      </w:pPr>
      <w:r>
        <w:rPr>
          <w:rFonts w:ascii="Arial" w:cs="Arial" w:eastAsia="Arial" w:hAnsi="Arial"/>
          <w:sz w:val="16"/>
          <w:szCs w:val="16"/>
          <w:color w:val="auto"/>
        </w:rPr>
        <w:t>We are not prohibited from pursuing an initial business combination with a company that is affiliated with our sponsor, officers or directors, or completing the business combination through a joint venture or other form of shared ownership with our sponsor, officers or directors. In the event we seek to complete an initial business combination with a target that is affiliated with our sponsor, officers or directors, we, or a committee of independent and disinterested directors, would obtain an opinion from an independent investment banking firm or a valuation or appraisal firm that such an initial business combination is fair to our company from a financial point of view. We are not required to obtain such an opinion in any other context.</w:t>
      </w:r>
    </w:p>
    <w:p>
      <w:pPr>
        <w:spacing w:after="0" w:line="161" w:lineRule="exact"/>
        <w:rPr>
          <w:sz w:val="20"/>
          <w:szCs w:val="20"/>
          <w:color w:val="auto"/>
        </w:rPr>
      </w:pPr>
    </w:p>
    <w:p>
      <w:pPr>
        <w:ind w:right="140" w:firstLine="324"/>
        <w:spacing w:after="0" w:line="257" w:lineRule="auto"/>
        <w:rPr>
          <w:sz w:val="20"/>
          <w:szCs w:val="20"/>
          <w:color w:val="auto"/>
        </w:rPr>
      </w:pPr>
      <w:r>
        <w:rPr>
          <w:rFonts w:ascii="Arial" w:cs="Arial" w:eastAsia="Arial" w:hAnsi="Arial"/>
          <w:sz w:val="18"/>
          <w:szCs w:val="18"/>
          <w:color w:val="auto"/>
        </w:rPr>
        <w:t>Members of our management team and our independent directors will directly or indirectly own founder shares and/or private placement warrants following this offering and, accordingly, may have a conflict of interest in determining whether a particular target business is an appropriate business with which to effectuate our initial business combination. Further, each of our officers and directors may have a conflict of interest with respect to evaluating a particular business combination if the retention or resignation of any such officers and directors was included by a target business as a condition to any agreement with respect to our initial business combination.</w:t>
      </w:r>
    </w:p>
    <w:p>
      <w:pPr>
        <w:spacing w:after="0" w:line="188" w:lineRule="exact"/>
        <w:rPr>
          <w:sz w:val="20"/>
          <w:szCs w:val="20"/>
          <w:color w:val="auto"/>
        </w:rPr>
      </w:pPr>
    </w:p>
    <w:p>
      <w:pPr>
        <w:ind w:right="20" w:firstLine="324"/>
        <w:spacing w:after="0" w:line="288" w:lineRule="auto"/>
        <w:rPr>
          <w:sz w:val="20"/>
          <w:szCs w:val="20"/>
          <w:color w:val="auto"/>
        </w:rPr>
      </w:pPr>
      <w:r>
        <w:rPr>
          <w:rFonts w:ascii="Arial" w:cs="Arial" w:eastAsia="Arial" w:hAnsi="Arial"/>
          <w:sz w:val="16"/>
          <w:szCs w:val="16"/>
          <w:color w:val="auto"/>
        </w:rPr>
        <w:t>Each of our officers and directors presently has, and any of them in the future may have additional, fiduciary or contractual obligations to another entity pursuant to which such officer or director is or will be required to present a business combination opportunity to such entity. Accordingly, if any of our officers or directors becomes aware of a business combination opportunity which is suitable for an entity to which he or she has then current fiduciary or contractual obligations, he or she will honor his or her fiduciary or contractual obligations to present such business combination opportunity to such other entity, subject to their fiduciary duties under Cayman Islands law. Our amended and restated memorandum and articles of association provide that, to the fullest extent permitted by applicable law: (i) no individual serving as a director or an officer shall have any duty, except and to the extent expressly assumed by contract, to refrain from engaging directly or indirectly in the same or similar business activities or lines of business as us; and (ii) we renounce any interest or expectancy in, or in being offered an opportunity to participate in, any potential transaction or matter which may be a corporate opportunity for any director or officer on the one hand, and us, on the other. We do not believe, however, that the fiduciary duties or contractual obligations of our officers or directors will materially affect our ability to complete our initial business combination.</w:t>
      </w:r>
    </w:p>
    <w:p>
      <w:pPr>
        <w:spacing w:after="0" w:line="168"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In addition, PIMCO and its affiliates manage multiple funds and investment vehicles, including the PIMCO private fund, and affiliates of PIMCO have sponsored other special purpose acquisition companies. Mr. Weinstein, who is expected to serve as a member of our board of directors, serves as a director of other special purpose acquisition companies. PIMCO and its affiliates will also raise additional funds and/or accounts in the future and may also sponsor additional special purpose acquisition companies, which may be during the period in which we are seeking our initial business combination. Any of these PIMCO-affiliated investment entities and special purpose acquisition companies may be seeking acquisition opportunities and related financing at any time, and we may compete with any one or more of them on any given acquisition opportunity. In addition, our officers and directors are not required to commit any specified amount of time to our affairs, and, accordingly, will have conflicts of interest in allocating management time among various business activities, including identifying potential business combinations and monitoring the related due diligence. Moreover, certain of our officers and directors have and will have in the future time and attention requirements for current and future investment funds, accounts, co-investment vehicles and other entities managed or sponsored by PIMCO or one of its affiliated entities. To the extent any conflict of interest arises between, on the one hand, us and, on the other hand, investment funds, accounts, co-investment vehicles and other entities managed or sponsored by PIMCO or one of its affiliated entities (including, without limitation, arising as a result of certain of our officers and directors being required to offer acquisition opportunities to such investment funds, accounts, co-investment vehicles or other entities), PIMCO and its applicable affiliate entities, including the PIMCO private fund, will resolve such conflicts of interest in their sole discretion in accordance with their then existing fiduciary, contractual and other duties, and PIMCO's internal policies and procedures, and there can be no assurance that such conflict of interest will be resolved in our favor.</w:t>
      </w:r>
    </w:p>
    <w:p>
      <w:pPr>
        <w:spacing w:after="0" w:line="167" w:lineRule="exact"/>
        <w:rPr>
          <w:sz w:val="20"/>
          <w:szCs w:val="20"/>
          <w:color w:val="auto"/>
        </w:rPr>
      </w:pPr>
    </w:p>
    <w:p>
      <w:pPr>
        <w:ind w:right="320" w:firstLine="324"/>
        <w:spacing w:after="0" w:line="301" w:lineRule="auto"/>
        <w:rPr>
          <w:sz w:val="20"/>
          <w:szCs w:val="20"/>
          <w:color w:val="auto"/>
        </w:rPr>
      </w:pPr>
      <w:r>
        <w:rPr>
          <w:rFonts w:ascii="Arial" w:cs="Arial" w:eastAsia="Arial" w:hAnsi="Arial"/>
          <w:sz w:val="16"/>
          <w:szCs w:val="16"/>
          <w:color w:val="auto"/>
        </w:rPr>
        <w:t>In addition, our sponsor and our officers and directors may sponsor, form, invest in or otherwise become involved with other special purpose acquisition companies similar to ours or may pursue other business or investment ventures during the period in which we are seeking an initial business combination. Any such companies, businesses or investments may present additional conflicts of interest in pursuing an initial business combination. However, we do not believe that any such potential conflicts would materially affect our ability to complete our initial business combination.</w:t>
      </w:r>
    </w:p>
    <w:p>
      <w:pPr>
        <w:spacing w:after="0" w:line="157"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Prior to the effectiveness of the registration statement of which this prospectus forms a part, we will file a Registration Statement on Form 8-A with the SEC to voluntarily register our securities under Section 12 of the Exchange Act. As a result, we will be subject to the rules and regulations promulgated under the Exchange Act. We have no current intention of filing a Form 15 to suspend our reporting or other obligations under the Exchange Act prior or subsequent to the consummation of our initial business combination.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Status as a Public Company</w:t>
      </w:r>
    </w:p>
    <w:p>
      <w:pPr>
        <w:spacing w:after="0" w:line="229"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We believe our structure will make us an attractive business combination partner to target businesses. As an existing public company, we offer a target business an alternative to the traditional initial public offering through a merger or other business combination with us. In a business combination transaction with us, the owners of the target business may, for example, exchange their stock, shares or other equity interests in the target business for our Class A ordinary shares (or shares of a new holding company) or for a combination of our Class A ordinary shares and cash, allowing us to tailor the consideration to the specific needs of the sellers. We believe target businesses will</w:t>
      </w:r>
    </w:p>
    <w:p>
      <w:pPr>
        <w:spacing w:after="0" w:line="29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95" w:name="page96"/>
    <w:bookmarkEnd w:id="95"/>
    <w:p>
      <w:pPr>
        <w:spacing w:after="0" w:line="279" w:lineRule="auto"/>
        <w:rPr>
          <w:sz w:val="20"/>
          <w:szCs w:val="20"/>
          <w:color w:val="auto"/>
        </w:rPr>
      </w:pPr>
      <w:r>
        <w:rPr>
          <w:rFonts w:ascii="Arial" w:cs="Arial" w:eastAsia="Arial" w:hAnsi="Arial"/>
          <w:sz w:val="17"/>
          <w:szCs w:val="17"/>
          <w:color w:val="auto"/>
        </w:rPr>
        <w:t>find this method a more expeditious and cost effective method to becoming a public company than the typical initial public offering. The typical initial public offering process takes a significantly longer period of time than the typical business combination transaction process, and there are significant expenses, market and other uncertainties in the initial public offering process, including underwriting discounts and commissions, marketing and road show efforts that may not be present to the same extent in connection with a business combination with us.</w:t>
      </w:r>
    </w:p>
    <w:p>
      <w:pPr>
        <w:spacing w:after="0" w:line="171"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Furthermore, once a proposed business combination is completed, the target business will have effectively become public, whereas an initial public offering is always subject to the underwriters’ ability to complete the offering, as well as general market conditions, which could delay or prevent the offering from occurring or could have negative valuation consequences. Following an initial business combination, we believe the target business would then have greater access to capital, an additional means of providing management incentives consistent with shareholders’ interests and the ability to use its shares as currency for acquisitions. Being a public company can offer further benefits by augmenting a company’s profile among potential new customers and vendors and aid in attracting talented employees.</w:t>
      </w:r>
    </w:p>
    <w:p>
      <w:pPr>
        <w:spacing w:after="0" w:line="192" w:lineRule="exact"/>
        <w:rPr>
          <w:sz w:val="20"/>
          <w:szCs w:val="20"/>
          <w:color w:val="auto"/>
        </w:rPr>
      </w:pPr>
    </w:p>
    <w:p>
      <w:pPr>
        <w:ind w:right="180" w:firstLine="324"/>
        <w:spacing w:after="0" w:line="263" w:lineRule="auto"/>
        <w:rPr>
          <w:sz w:val="20"/>
          <w:szCs w:val="20"/>
          <w:color w:val="auto"/>
        </w:rPr>
      </w:pPr>
      <w:r>
        <w:rPr>
          <w:rFonts w:ascii="Arial" w:cs="Arial" w:eastAsia="Arial" w:hAnsi="Arial"/>
          <w:sz w:val="18"/>
          <w:szCs w:val="18"/>
          <w:color w:val="auto"/>
        </w:rPr>
        <w:t>While we believe that our structure and our management team’s backgrounds will make us an attractive business partner, some potential target businesses may view our status as a blank check company, such as our lack of an operating history and the possible requirement that we seek shareholder approval of a proposed initial business combination, negatively.</w:t>
      </w:r>
    </w:p>
    <w:p>
      <w:pPr>
        <w:spacing w:after="0" w:line="184" w:lineRule="exact"/>
        <w:rPr>
          <w:sz w:val="20"/>
          <w:szCs w:val="20"/>
          <w:color w:val="auto"/>
        </w:rPr>
      </w:pPr>
    </w:p>
    <w:p>
      <w:pPr>
        <w:ind w:right="160" w:firstLine="324"/>
        <w:spacing w:after="0" w:line="257" w:lineRule="auto"/>
        <w:rPr>
          <w:sz w:val="20"/>
          <w:szCs w:val="20"/>
          <w:color w:val="auto"/>
        </w:rPr>
      </w:pPr>
      <w:r>
        <w:rPr>
          <w:rFonts w:ascii="Arial" w:cs="Arial" w:eastAsia="Arial" w:hAnsi="Arial"/>
          <w:sz w:val="18"/>
          <w:szCs w:val="18"/>
          <w:color w:val="auto"/>
        </w:rPr>
        <w:t>We are an “emerging growth company,” as defined in the JOBS Act. We will remain an emerging growth company until the earlier of (1) the last day of the fiscal year (a) following the fifth anniversary of the completion of this offering, (b) in which we have total annual gross revenue of at least $1.07 billion, or (c) in which we are deemed to be a large accelerated filer, which means the market value of our Class A ordinary shares that is held by non-affiliates exceeds $700 million as of the prior June 30, and (2) the date on which we have issued more than $1.0 billion in non-convertible debt securities during the prior three-year period.</w:t>
      </w:r>
    </w:p>
    <w:p>
      <w:pPr>
        <w:spacing w:after="0" w:line="188"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Additionally, we are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any fiscal year for so long as either (1) the market value of our ordinary shares held by non-affiliates did not exceed $250 million as of the prior June 30, or (2) our annual revenues did not exceed $100 million during such completed fiscal year and the market value of our ordinary shares held by non-affiliates did not exceed $700 million as of the prior June 30.</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Position</w:t>
      </w:r>
    </w:p>
    <w:p>
      <w:pPr>
        <w:spacing w:after="0" w:line="229"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With funds available for a business combination initially in the amount of $241,250,000 (assuming no redemptions), after payment of $8,750,000 of deferred underwriting fees (or $277,437,500 (assuming no redemptions) after payment of $10,062,500 of deferred underwriting fees if the underwriters’ over-allotment option is exercised in full), in each case, after estimated offering expenses and working capital costs of $2,995,000, we offer a target business a variety of options such as creating a liquidity event for its owners, providing capital for the potential growth and expansion of its operations or strengthening its balance sheet by reducing its debt ratio. Because we are able to complete our initial business combination using our cash, debt or equity securities, or a combination of the foregoing, we have the flexibility to use the most efficient combination that will allow us to tailor the consideration to be paid to the target business to fit its needs and desires. However, we have not taken any steps to secure third-party financing and there can be no assurance it will be available to us.</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Effecting Our Initial Business Combination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We are not presently engaged in, and we will not engage in, any operations for an indefinite period of time following this offering. We intend to effectuate our initial business combination using cash from the proceeds of this offering and the sale of the private placement warrants, the proceeds of the sale of our shares in connection with our initial business combination (pursuant to forward purchase agreements or backstop agreements we may enter into following the consummation of this offering or otherwise), shares issued to the owners of the target, debt issued to bank or other lenders or the owners of the target, or a combination of the foregoing. We may seek to complete our initial business combination with a company or business that may be financially unstable or in its early stages of development or growth, which would subject us to the numerous risks inherent in such companies and businesses.</w:t>
      </w:r>
    </w:p>
    <w:p>
      <w:pPr>
        <w:spacing w:after="0" w:line="27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96" w:name="page97"/>
    <w:bookmarkEnd w:id="96"/>
    <w:p>
      <w:pPr>
        <w:ind w:right="40" w:firstLine="324"/>
        <w:spacing w:after="0" w:line="257" w:lineRule="auto"/>
        <w:rPr>
          <w:sz w:val="20"/>
          <w:szCs w:val="20"/>
          <w:color w:val="auto"/>
        </w:rPr>
      </w:pPr>
      <w:r>
        <w:rPr>
          <w:rFonts w:ascii="Arial" w:cs="Arial" w:eastAsia="Arial" w:hAnsi="Arial"/>
          <w:sz w:val="18"/>
          <w:szCs w:val="18"/>
          <w:color w:val="auto"/>
        </w:rPr>
        <w:t>If our initial business combination is paid for using equity or debt, or not all of the funds released from the trust account are used for payment of the consideration in connection with our initial business combination or used for redemptions of our Class A ordinary shares, we may use the balance of the cash released to us from the trust account following the closing for general corporate purposes, including for maintenance or expansion of operations of the post-transaction company, the payment of principal or interest due on indebtedness incurred in completing our initial business combination, to fund the purchase of other companies or for working capital.</w:t>
      </w:r>
    </w:p>
    <w:p>
      <w:pPr>
        <w:spacing w:after="0" w:line="188"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We have not selected any specific business combination target and we have not, nor has anyone on our behalf, engaged in any substantive discussions, directly or indirectly, with any business combination target with respect to an initial business combination with us. While we may pursue an initial business combination target in any industry, we intend to focus our search on companies in the financial services sector. Accordingly, there is no current basis for investors in this offering to evaluate the possible merits or risks of the target business with which we may ultimately complete our initial business combination.</w:t>
      </w:r>
    </w:p>
    <w:p>
      <w:pPr>
        <w:spacing w:after="0" w:line="188" w:lineRule="exact"/>
        <w:rPr>
          <w:sz w:val="20"/>
          <w:szCs w:val="20"/>
          <w:color w:val="auto"/>
        </w:rPr>
      </w:pPr>
    </w:p>
    <w:p>
      <w:pPr>
        <w:jc w:val="both"/>
        <w:ind w:right="360" w:firstLine="324"/>
        <w:spacing w:after="0" w:line="286" w:lineRule="auto"/>
        <w:rPr>
          <w:sz w:val="20"/>
          <w:szCs w:val="20"/>
          <w:color w:val="auto"/>
        </w:rPr>
      </w:pPr>
      <w:r>
        <w:rPr>
          <w:rFonts w:ascii="Arial" w:cs="Arial" w:eastAsia="Arial" w:hAnsi="Arial"/>
          <w:sz w:val="17"/>
          <w:szCs w:val="17"/>
          <w:color w:val="auto"/>
        </w:rPr>
        <w:t>Although our management will assess the risks inherent in a particular target business with which we may combine, we cannot assure you that this assessment will result in our identifying all risks that a target business may encounter. Furthermore, some of those risks may be outside of our control, meaning that we can do nothing to control or reduce the chances that those risks will adversely affect a target business.</w:t>
      </w:r>
    </w:p>
    <w:p>
      <w:pPr>
        <w:spacing w:after="0" w:line="165"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We may seek to raise additional funds through a private offering of debt or equity securities in connection with the completion of our initial business combination and we may effectuate our initial business combination using the proceeds of such offering rather than using the amounts held in the trust account. In addition, we intend to target businesses with enterprise values that are greater than we could acquire solely with the net proceeds of this offering and the sale of the private placement warrants, and, as a result, if the cash portion of the purchase price exceeds the amount available from the trust account, net of amounts needed to satisfy any redemptions by public shareholders, we may be required to seek additional financing to complete such proposed initial business combination. Subject to compliance with applicable securities laws, we would expect to complete such financing only simultaneously with the completion of our initial business combination. In the case of an initial business combination funded with assets other than the trust account assets, our proxy materials or tender offer documents disclosing the initial business combination would disclose the terms of the financing and, only if required by law, we would seek shareholder approval of such financing. There is no limitation on our ability to raise funds through the issuance of equity or equity-linked securities or through loans, advances or other indebtedness in connection with our initial business combination, including pursuant to forward purchase agreements or backstop agreements we may enter into following consummation of this offering. At this time, we are not a party to any arrangement or understanding with any third party with respect to raising any additional funds through the sale of securities or otherwise. None of our sponsors, officers, directors or shareholders is required to provide any financing to us in connection with or after our initial business combination.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of Target Businesses</w:t>
      </w:r>
    </w:p>
    <w:p>
      <w:pPr>
        <w:spacing w:after="0" w:line="229"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We anticipate that target business candidates will be brought to our attention from various unaffiliated sources, including investment bankers and private investment funds. Target businesses may be brought to our attention by such unaffiliated sources as a result of being solicited through calls or mailings. These sources may also introduce us to target businesses in which they think we may be interested on an unsolicited basis, since many of these sources will know what types of businesses we are targeting. Our officers and directors, as well as their affiliates, may also bring to our attention target business candidates of which they become aware through their business contacts as a result of formal or informal inquiries or discussions they may have, as well as attending trade shows or conventions. In addition, we expect to receive a number of proprietary deal flow opportunities that would not otherwise necessarily be available to us as a result of the track record and business relationships of our officers and directors. While we do not presently anticipate engaging the services of professional firms or other individuals that specialize in business acquisitions on any formal basis, we may engage these firms or other individuals in the future, in which event we may pay a finder’s fee, consulting fee or other compensation to be determined in an arm’s length negotiation based on the terms of the transaction. We will engage a finder only to the extent our management determines that the use of a finder may bring opportunities to us that may not otherwise be available to us or if finders approach us on an unsolicited basis with a potential transaction that our management determines is in our</w:t>
      </w:r>
    </w:p>
    <w:p>
      <w:pPr>
        <w:spacing w:after="0" w:line="28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97" w:name="page98"/>
    <w:bookmarkEnd w:id="97"/>
    <w:p>
      <w:pPr>
        <w:spacing w:after="0" w:line="254" w:lineRule="auto"/>
        <w:rPr>
          <w:sz w:val="20"/>
          <w:szCs w:val="20"/>
          <w:color w:val="auto"/>
        </w:rPr>
      </w:pPr>
      <w:r>
        <w:rPr>
          <w:rFonts w:ascii="Arial" w:cs="Arial" w:eastAsia="Arial" w:hAnsi="Arial"/>
          <w:sz w:val="18"/>
          <w:szCs w:val="18"/>
          <w:color w:val="auto"/>
        </w:rPr>
        <w:t>best interest to pursue. Payment of a finder’s fee is customarily tied to completion of a transaction, in which case any such fee will be paid out of the funds held in the trust account. In no event, however, will our sponsor or any of our existing officers or directors, or any entity with which they are affiliated, be paid any finder’s fee, consulting fee or other compensation by the company prior to, or for any services they render in order to effectuate, the completion of our initial business combination (regardless of the type of transaction that it is). In addition, commencing on the date of this prospectus, we will pay our sponsor or an affiliate thereof up to $10,000 per month for office space, utilities, secretarial and administrative support services provided to members of our management team and other expenses and obligations of our sponsor. Any such payments prior to our initial business combination will be made from funds held outside the trust account.</w:t>
      </w:r>
    </w:p>
    <w:p>
      <w:pPr>
        <w:spacing w:after="0" w:line="195" w:lineRule="exact"/>
        <w:rPr>
          <w:sz w:val="20"/>
          <w:szCs w:val="20"/>
          <w:color w:val="auto"/>
        </w:rPr>
      </w:pPr>
    </w:p>
    <w:p>
      <w:pPr>
        <w:ind w:right="20" w:firstLine="324"/>
        <w:spacing w:after="0" w:line="296" w:lineRule="auto"/>
        <w:rPr>
          <w:sz w:val="20"/>
          <w:szCs w:val="20"/>
          <w:color w:val="auto"/>
        </w:rPr>
      </w:pPr>
      <w:r>
        <w:rPr>
          <w:rFonts w:ascii="Arial" w:cs="Arial" w:eastAsia="Arial" w:hAnsi="Arial"/>
          <w:sz w:val="16"/>
          <w:szCs w:val="16"/>
          <w:color w:val="auto"/>
        </w:rPr>
        <w:t>We are not prohibited from pursuing an initial business combination with a company that is affiliated with our sponsor, officers or directors, or completing the business combination through a joint venture or other form of shared ownership with our sponsor, officers or directors. In the event we seek to complete an initial business combination with a target that is affiliated with our sponsor, officers or directors, we, or a committee of independent and disinterested directors, would obtain an opinion from an independent investment banking firm or a valuation or appraisal firm that such an initial business combination is fair to our company from a financial point of view. We are not required to obtain such an opinion in any other context.</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a Target Business and Structuring of Our Initial Business Combination</w:t>
      </w:r>
    </w:p>
    <w:p>
      <w:pPr>
        <w:spacing w:after="0" w:line="229"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In evaluating a prospective target business, we expect to conduct a due diligence review which may encompass, among other things, meetings with incumbent management and employees, document reviews, interviews of customers and suppliers, inspection of facilities, as applicable, as well as a review of financial, operational, legal and other information which will be made available to us. If we determine to move forward with a particular target, we will proceed to structure and negotiate the terms of the business combination transaction.</w:t>
      </w:r>
    </w:p>
    <w:p>
      <w:pPr>
        <w:spacing w:after="0" w:line="187" w:lineRule="exact"/>
        <w:rPr>
          <w:sz w:val="20"/>
          <w:szCs w:val="20"/>
          <w:color w:val="auto"/>
        </w:rPr>
      </w:pPr>
    </w:p>
    <w:p>
      <w:pPr>
        <w:ind w:right="80" w:firstLine="324"/>
        <w:spacing w:after="0" w:line="296" w:lineRule="auto"/>
        <w:rPr>
          <w:sz w:val="20"/>
          <w:szCs w:val="20"/>
          <w:color w:val="auto"/>
        </w:rPr>
      </w:pPr>
      <w:r>
        <w:rPr>
          <w:rFonts w:ascii="Arial" w:cs="Arial" w:eastAsia="Arial" w:hAnsi="Arial"/>
          <w:sz w:val="16"/>
          <w:szCs w:val="16"/>
          <w:color w:val="auto"/>
        </w:rPr>
        <w:t>The time required to select and evaluate a target business and to structure and complete our initial business combination, and the costs associated with this process, are not currently ascertainable with any degree of certainty. Any costs incurred with respect to the identification and evaluation of, and negotiation with, a prospective target business with which our initial business combination is not ultimately completed will result in our incurring losses and will reduce the funds we can use to complete another business combination. The company will not pay any consulting fees to members of our management team, or any of their respective affiliates, for services rendered to or in connection with our initial business combination.</w:t>
      </w:r>
    </w:p>
    <w:p>
      <w:pPr>
        <w:spacing w:after="0" w:line="161"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In addition, we have agreed not to enter into a definitive agreement regarding an initial business combination without the prior written consent of the PIMCO private fund.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Lack of Business Diversification</w:t>
      </w:r>
    </w:p>
    <w:p>
      <w:pPr>
        <w:spacing w:after="0" w:line="229" w:lineRule="exact"/>
        <w:rPr>
          <w:sz w:val="20"/>
          <w:szCs w:val="20"/>
          <w:color w:val="auto"/>
        </w:rPr>
      </w:pPr>
    </w:p>
    <w:p>
      <w:pPr>
        <w:ind w:right="220" w:firstLine="324"/>
        <w:spacing w:after="0" w:line="279" w:lineRule="auto"/>
        <w:rPr>
          <w:sz w:val="20"/>
          <w:szCs w:val="20"/>
          <w:color w:val="auto"/>
        </w:rPr>
      </w:pPr>
      <w:r>
        <w:rPr>
          <w:rFonts w:ascii="Arial" w:cs="Arial" w:eastAsia="Arial" w:hAnsi="Arial"/>
          <w:sz w:val="17"/>
          <w:szCs w:val="17"/>
          <w:color w:val="auto"/>
        </w:rPr>
        <w:t>For an indefinite period of time after the completion of our initial business combination, the prospects for our success may depend entirely on the future performance of a single business. Unlike other entities that have the resources to complete business combinations with multiple entities in one or several industries, it is probable that we will not have the resources to diversify our operations and mitigate the risks of being in a single line of business. By completing our initial business combination with only a single entity, our lack of diversification may:</w:t>
      </w:r>
    </w:p>
    <w:p>
      <w:pPr>
        <w:spacing w:after="0" w:line="171" w:lineRule="exact"/>
        <w:rPr>
          <w:sz w:val="20"/>
          <w:szCs w:val="20"/>
          <w:color w:val="auto"/>
        </w:rPr>
      </w:pPr>
    </w:p>
    <w:p>
      <w:pPr>
        <w:ind w:left="660" w:right="440" w:hanging="328"/>
        <w:spacing w:after="0" w:line="277"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subject us to negative economic, competitive and regulatory developments, any or all of which may have a substantial adverse impact on the particular industry in which we operate after our initial business combination,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cause us to depend on the marketing and sale of a single product or limited number of products or services.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Limited Ability to Evaluate the Target’s Management Team</w:t>
      </w:r>
    </w:p>
    <w:p>
      <w:pPr>
        <w:spacing w:after="0" w:line="229" w:lineRule="exact"/>
        <w:rPr>
          <w:sz w:val="20"/>
          <w:szCs w:val="20"/>
          <w:color w:val="auto"/>
        </w:rPr>
      </w:pPr>
    </w:p>
    <w:p>
      <w:pPr>
        <w:ind w:right="60" w:firstLine="324"/>
        <w:spacing w:after="0" w:line="271" w:lineRule="auto"/>
        <w:rPr>
          <w:sz w:val="20"/>
          <w:szCs w:val="20"/>
          <w:color w:val="auto"/>
        </w:rPr>
      </w:pPr>
      <w:r>
        <w:rPr>
          <w:rFonts w:ascii="Arial" w:cs="Arial" w:eastAsia="Arial" w:hAnsi="Arial"/>
          <w:sz w:val="17"/>
          <w:szCs w:val="17"/>
          <w:color w:val="auto"/>
        </w:rPr>
        <w:t>Although we intend to closely scrutinize the management of a prospective target business when evaluating the desirability of effecting our initial business combination with that business, our assessment of the target business’s management may not prove to be correct. In addition, the future management may not have the necessary skills, qualifications or abilities to manage a public company. Furthermore, the future role of members of our management team, if any, in the target business cannot presently be stated with any certainty. The determination as to whether any of the members of our management team will remain with the combined company will be made at the time of our initial business combination. While it is possible that one or more of our directors will remain associated in some capacity with us following our initial business combination, it is unlikely that any of them will devote their full efforts to our affairs subsequent to our initial business combination. Moreover, we cannot assure you that members of our management team will have significant experience or knowledge relating to the operations of the particular target business.</w:t>
      </w:r>
    </w:p>
    <w:p>
      <w:pPr>
        <w:spacing w:after="0" w:line="28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98" w:name="page99"/>
    <w:bookmarkEnd w:id="98"/>
    <w:p>
      <w:pPr>
        <w:ind w:right="40" w:firstLine="324"/>
        <w:spacing w:after="0" w:line="342" w:lineRule="auto"/>
        <w:rPr>
          <w:sz w:val="20"/>
          <w:szCs w:val="20"/>
          <w:color w:val="auto"/>
        </w:rPr>
      </w:pPr>
      <w:r>
        <w:rPr>
          <w:rFonts w:ascii="Arial" w:cs="Arial" w:eastAsia="Arial" w:hAnsi="Arial"/>
          <w:sz w:val="16"/>
          <w:szCs w:val="16"/>
          <w:color w:val="auto"/>
        </w:rPr>
        <w:t>We cannot assure you that any of our key personnel will remain in senior management or advisory positions with the combined company. The determination as to whether any of our key personnel will remain with the combined company will be made at the time of our initial business combination.</w:t>
      </w:r>
    </w:p>
    <w:p>
      <w:pPr>
        <w:spacing w:after="0" w:line="124" w:lineRule="exact"/>
        <w:rPr>
          <w:sz w:val="20"/>
          <w:szCs w:val="20"/>
          <w:color w:val="auto"/>
        </w:rPr>
      </w:pPr>
    </w:p>
    <w:p>
      <w:pPr>
        <w:ind w:right="220" w:firstLine="324"/>
        <w:spacing w:after="0" w:line="263" w:lineRule="auto"/>
        <w:rPr>
          <w:sz w:val="20"/>
          <w:szCs w:val="20"/>
          <w:color w:val="auto"/>
        </w:rPr>
      </w:pPr>
      <w:r>
        <w:rPr>
          <w:rFonts w:ascii="Arial" w:cs="Arial" w:eastAsia="Arial" w:hAnsi="Arial"/>
          <w:sz w:val="18"/>
          <w:szCs w:val="18"/>
          <w:color w:val="auto"/>
        </w:rPr>
        <w:t>Following a business combination, we may seek to recruit additional managers to supplement the incumbent management of the target business. We cannot assure you that we will have the ability to recruit additional managers, or that additional managers will have the requisite skills, knowledge or experience necessary to enhance the incumbent management.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Shareholders May Not Have the Ability to Approve Our Initial Business Combination</w:t>
      </w:r>
    </w:p>
    <w:p>
      <w:pPr>
        <w:spacing w:after="0" w:line="229" w:lineRule="exact"/>
        <w:rPr>
          <w:sz w:val="20"/>
          <w:szCs w:val="20"/>
          <w:color w:val="auto"/>
        </w:rPr>
      </w:pPr>
    </w:p>
    <w:p>
      <w:pPr>
        <w:ind w:right="80" w:firstLine="324"/>
        <w:spacing w:after="0" w:line="263" w:lineRule="auto"/>
        <w:rPr>
          <w:sz w:val="20"/>
          <w:szCs w:val="20"/>
          <w:color w:val="auto"/>
        </w:rPr>
      </w:pPr>
      <w:r>
        <w:rPr>
          <w:rFonts w:ascii="Arial" w:cs="Arial" w:eastAsia="Arial" w:hAnsi="Arial"/>
          <w:sz w:val="18"/>
          <w:szCs w:val="18"/>
          <w:color w:val="auto"/>
        </w:rPr>
        <w:t>We may conduct redemptions without a shareholder vote pursuant to the tender offer rules of the SEC subject to the provisions of our amended and restated memorandum and articles of association. However, we will seek shareholder approval if it is required by law or applicable stock exchange rule, or we may decide to seek shareholder approval for business or other reasons.</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Under the NYSE’s listing rules, shareholder approval would be required for our initial business combination if, for example:</w:t>
      </w:r>
    </w:p>
    <w:p>
      <w:pPr>
        <w:spacing w:after="0" w:line="225" w:lineRule="exact"/>
        <w:rPr>
          <w:sz w:val="20"/>
          <w:szCs w:val="20"/>
          <w:color w:val="auto"/>
        </w:rPr>
      </w:pPr>
    </w:p>
    <w:p>
      <w:pPr>
        <w:ind w:left="660" w:right="380" w:hanging="328"/>
        <w:spacing w:after="0" w:line="342" w:lineRule="auto"/>
        <w:tabs>
          <w:tab w:leader="none" w:pos="6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We issue ordinary shares that will either (a) be equal to or in excess of 20% of the number of our ordinary shares then outstanding or (b) have voting power equal to or in excess of 20% of the voting power then outstanding (in each case, other than in a public offering for cash);</w:t>
      </w:r>
    </w:p>
    <w:p>
      <w:pPr>
        <w:spacing w:after="0" w:line="123" w:lineRule="exact"/>
        <w:rPr>
          <w:rFonts w:ascii="Arial" w:cs="Arial" w:eastAsia="Arial" w:hAnsi="Arial"/>
          <w:sz w:val="16"/>
          <w:szCs w:val="16"/>
          <w:color w:val="auto"/>
        </w:rPr>
      </w:pPr>
    </w:p>
    <w:p>
      <w:pPr>
        <w:ind w:left="660" w:right="140" w:hanging="328"/>
        <w:spacing w:after="0" w:line="296" w:lineRule="auto"/>
        <w:tabs>
          <w:tab w:leader="none" w:pos="6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Any of our directors, officers or substantial security holders (as defined by the NYSE rules) has a 5% or greater interest (or such persons collectively have a 10% or greater interest), directly or indirectly, in the target business or assets to be acquired and if the number of ordinary shares to be issued, or if the number of ordinary shares into which the securities may be convertible or exercisable, exceeds either (a) 1% of the number of ordinary shares or 1% of the voting power outstanding before the issuance in the case of any of our directors and officers or (b) 5% of the number of ordinary shares or 5% of the voting power outstanding before the issuance in the case of any substantial security holders; or</w:t>
      </w:r>
    </w:p>
    <w:p>
      <w:pPr>
        <w:spacing w:after="0" w:line="161" w:lineRule="exact"/>
        <w:rPr>
          <w:rFonts w:ascii="Arial" w:cs="Arial" w:eastAsia="Arial" w:hAnsi="Arial"/>
          <w:sz w:val="16"/>
          <w:szCs w:val="16"/>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issuance or potential issuance of ordinary shares will result in our undergoing a change of control.</w:t>
      </w:r>
    </w:p>
    <w:p>
      <w:pPr>
        <w:spacing w:after="0" w:line="225"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The Companies Act and Cayman Islands law do not currently require, and we are not aware of any other applicable law that will require, shareholder approval of our initial business combination.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Permitted Purchases of Our Securities</w:t>
      </w:r>
    </w:p>
    <w:p>
      <w:pPr>
        <w:spacing w:after="0" w:line="229"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If we seek shareholder approval of our initial business combination and we do not conduct redemptions in connection with our initial business combination pursuant to the tender offer rules, our initial shareholders, directors, officers, advisors or their affiliates may purchase public shares or warrants in privately negotiated transactions or in the open market either prior to or following the completion of our initial business combination. There is no limit on the number of shares our initial shareholders, directors, officers, advisors or their affiliates may purchase in such transactions, subject to compliance with applicable law and NYSE rules. However, they have no current commitments, plans or intentions to engage in such transactions and have not formulated any terms or conditions for any such transactions. None of the funds in the trust account will be used to purchase public shares or warrants in such transactions. If they engage in such transactions, they will be restricted from making any such purchases when they are in possession of any material non-public information or if such purchases are prohibited by Regulation M under the Exchange Act.</w:t>
      </w:r>
    </w:p>
    <w:p>
      <w:pPr>
        <w:spacing w:after="0" w:line="178" w:lineRule="exact"/>
        <w:rPr>
          <w:sz w:val="20"/>
          <w:szCs w:val="20"/>
          <w:color w:val="auto"/>
        </w:rPr>
      </w:pPr>
    </w:p>
    <w:p>
      <w:pPr>
        <w:ind w:right="100" w:firstLine="324"/>
        <w:spacing w:after="0" w:line="275" w:lineRule="auto"/>
        <w:rPr>
          <w:sz w:val="20"/>
          <w:szCs w:val="20"/>
          <w:color w:val="auto"/>
        </w:rPr>
      </w:pPr>
      <w:r>
        <w:rPr>
          <w:rFonts w:ascii="Arial" w:cs="Arial" w:eastAsia="Arial" w:hAnsi="Arial"/>
          <w:sz w:val="17"/>
          <w:szCs w:val="17"/>
          <w:color w:val="auto"/>
        </w:rPr>
        <w:t>In the event that our initial shareholders, directors, officers, advisors or their affiliates purchase shares in privately negotiated transactions from public shareholders who have already elected to exercise their redemption rights, such selling shareholders would be required to revoke their prior elections to redeem their shares. We do not currently anticipate that such purchases, if any, would constitute a tender offer subject to the tender offer rules under the Exchange Act or a going-private transaction subject to the going-private rules under the Exchange Act; however, if the purchasers determine at the time of any such purchases that the purchases are subject to such rules, the purchasers will comply with such rules.</w:t>
      </w:r>
    </w:p>
    <w:p>
      <w:pPr>
        <w:spacing w:after="0" w:line="28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99" w:name="page100"/>
    <w:bookmarkEnd w:id="99"/>
    <w:p>
      <w:pPr>
        <w:ind w:right="80" w:firstLine="324"/>
        <w:spacing w:after="0" w:line="293" w:lineRule="auto"/>
        <w:rPr>
          <w:sz w:val="20"/>
          <w:szCs w:val="20"/>
          <w:color w:val="auto"/>
        </w:rPr>
      </w:pPr>
      <w:r>
        <w:rPr>
          <w:rFonts w:ascii="Arial" w:cs="Arial" w:eastAsia="Arial" w:hAnsi="Arial"/>
          <w:sz w:val="16"/>
          <w:szCs w:val="16"/>
          <w:color w:val="auto"/>
        </w:rPr>
        <w:t>The purpose of any such purchases of shares could be to (i) vote such shares in favor of the initial business combination and thereby increase the likelihood of obtaining shareholder approval of the initial business combination or (ii) to satisfy a closing condition in an agreement with a target that requires us to have a minimum net worth or a certain amount of cash at the closing of our initial business combination, where it appears that such requirement would otherwise not be met. The purpose of any such purchases of public warrants could be to reduce the number of public warrants outstanding or to vote such warrants on any matters submitted to the warrant holders for approval in connection with our initial business combination. Any such purchases of our securities may result in the completion of our initial business combination that may not otherwise have been possible.</w:t>
      </w:r>
    </w:p>
    <w:p>
      <w:pPr>
        <w:spacing w:after="0" w:line="164" w:lineRule="exact"/>
        <w:rPr>
          <w:sz w:val="20"/>
          <w:szCs w:val="20"/>
          <w:color w:val="auto"/>
        </w:rPr>
      </w:pPr>
    </w:p>
    <w:p>
      <w:pPr>
        <w:ind w:right="100" w:firstLine="324"/>
        <w:spacing w:after="0" w:line="263" w:lineRule="auto"/>
        <w:rPr>
          <w:sz w:val="20"/>
          <w:szCs w:val="20"/>
          <w:color w:val="auto"/>
        </w:rPr>
      </w:pPr>
      <w:r>
        <w:rPr>
          <w:rFonts w:ascii="Arial" w:cs="Arial" w:eastAsia="Arial" w:hAnsi="Arial"/>
          <w:sz w:val="18"/>
          <w:szCs w:val="18"/>
          <w:color w:val="auto"/>
        </w:rPr>
        <w:t>In addition, if such purchases are made, the public “float” of our Class A ordinary shares or public warrants may be reduced and the number of beneficial holders of our securities may be reduced, which may make it difficult to maintain or obtain the quotation, listing or trading of our securities on a national securities exchange.</w:t>
      </w:r>
    </w:p>
    <w:p>
      <w:pPr>
        <w:spacing w:after="0" w:line="184"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Our sponsor, officers, directors and/or their affiliates anticipate that they may identify the shareholders with whom our initial shareholders, officers, directors or their affiliates may pursue privately negotiated purchases by either the shareholders contacting us directly or by our receipt of redemption requests submitted by shareholders (in the case of Class A ordinary shares) following our mailing of proxy materials in connection with our initial business combination. To the extent that our sponsor, officers, directors, advisors or their affiliates enter into a private purchase, they would identify and contact only potential selling shareholders who have expressed their election to redeem their shares for a pro rata share of the trust account or vote against our initial business combination, whether or not such shareholder has already submitted a proxy with respect to our initial business combination but only if such shares have not already been voted at the general meeting related to our initial business combination. Our sponsor, officers, directors, advisors or any of their affiliates will select which shareholders to purchase shares from based on a negotiated price and number of shares and any other factors that they may deem relevant, and will be restricted from making any such purchases unless they comply with Regulation M under the Exchange Act and the other federal securities laws. Our sponsor, officers, directors and/or their affiliates will be restricted from making purchases of shares if the purchases would violate Section 9(a)(2) or Rule 10b-5 of the Exchange Act. Any such purchases may be required to be reported pursuant to Section 13 and Section 16 of the Exchange Act.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Redemption Rights for Public Shareholders upon Completion of Our Initial Business Combination</w:t>
      </w:r>
    </w:p>
    <w:p>
      <w:pPr>
        <w:spacing w:after="0" w:line="229" w:lineRule="exact"/>
        <w:rPr>
          <w:sz w:val="20"/>
          <w:szCs w:val="20"/>
          <w:color w:val="auto"/>
        </w:rPr>
      </w:pPr>
    </w:p>
    <w:p>
      <w:pPr>
        <w:ind w:right="120" w:firstLine="324"/>
        <w:spacing w:after="0" w:line="288" w:lineRule="auto"/>
        <w:rPr>
          <w:sz w:val="20"/>
          <w:szCs w:val="20"/>
          <w:color w:val="auto"/>
        </w:rPr>
      </w:pPr>
      <w:r>
        <w:rPr>
          <w:rFonts w:ascii="Arial" w:cs="Arial" w:eastAsia="Arial" w:hAnsi="Arial"/>
          <w:sz w:val="16"/>
          <w:szCs w:val="16"/>
          <w:color w:val="auto"/>
        </w:rPr>
        <w:t>We will provide our public shareholders with the opportunity to redeem all or a portion of their Class A ordinary shares upon the completion of our initial business combination at a per-share price, payable in cash, equal to the aggregate amount then on deposit in the trust account calculated as of two business days prior to the consummation of our initial business combination, including interest earned on the funds held in the trust account and not previously released to us to pay our taxes, divided by the number of then outstanding public shares, subject to the limitations and on the conditions described herein. At the completion of our initial business combination, we will be required to purchase any ordinary shares properly delivered for redemption and not withdrawn. The amount in the trust account is initially anticipated to be $10.00 per public share. The per-share amount we will distribute to investors who properly redeem their shares will not be reduced by the deferred underwriting commissions we will pay to the underwriters. There will be no redemption rights upon the completion of our initial business combination with respect to our warrants. Our initial shareholders, sponsor, officers and directors have entered into a letter agreement with us, pursuant to which they have agreed to waive their redemption rights with respect to any founder shares and public shares held by them in connection with the completion of our initial business combination.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Redemptions</w:t>
      </w:r>
    </w:p>
    <w:p>
      <w:pPr>
        <w:spacing w:after="0" w:line="229" w:lineRule="exact"/>
        <w:rPr>
          <w:sz w:val="20"/>
          <w:szCs w:val="20"/>
          <w:color w:val="auto"/>
        </w:rPr>
      </w:pPr>
    </w:p>
    <w:p>
      <w:pPr>
        <w:ind w:right="60" w:firstLine="324"/>
        <w:spacing w:after="0" w:line="293" w:lineRule="auto"/>
        <w:rPr>
          <w:sz w:val="20"/>
          <w:szCs w:val="20"/>
          <w:color w:val="auto"/>
        </w:rPr>
      </w:pPr>
      <w:r>
        <w:rPr>
          <w:rFonts w:ascii="Arial" w:cs="Arial" w:eastAsia="Arial" w:hAnsi="Arial"/>
          <w:sz w:val="16"/>
          <w:szCs w:val="16"/>
          <w:color w:val="auto"/>
        </w:rPr>
        <w:t>Our amended and restated memorandum and articles of association provide that in no event will we redeem our public shares in an amount that would cause our net tangible assets to be less than $5,000,001. In addition, our proposed initial business combination may impose a minimum cash requirement for (i) cash consideration to be paid to the target or its owners, (ii) cash for working capital or other general corporate purposes or (iii) the retention of cash to satisfy other conditions. In the event the aggregate cash consideration we would be required to pay for all Class A ordinary shares that are validly submitted for redemption plus any amount required to satisfy cash conditions pursuant to the terms of the proposed initial business combination exceed the aggregate amount of cash available to us, we will not complete the initial business combination or redeem any shares, and all Class A ordinary</w:t>
      </w:r>
    </w:p>
    <w:p>
      <w:pPr>
        <w:spacing w:after="0" w:line="27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00" w:name="page101"/>
    <w:bookmarkEnd w:id="100"/>
    <w:p>
      <w:pPr>
        <w:ind w:right="320"/>
        <w:spacing w:after="0" w:line="259" w:lineRule="auto"/>
        <w:rPr>
          <w:sz w:val="20"/>
          <w:szCs w:val="20"/>
          <w:color w:val="auto"/>
        </w:rPr>
      </w:pPr>
      <w:r>
        <w:rPr>
          <w:rFonts w:ascii="Arial" w:cs="Arial" w:eastAsia="Arial" w:hAnsi="Arial"/>
          <w:sz w:val="18"/>
          <w:szCs w:val="18"/>
          <w:color w:val="auto"/>
        </w:rPr>
        <w:t>shares submitted for redemption will be returned to the holders thereof. We may, however, raise funds through the issuance of equity or equity-linked securities or through loans, advances or other indebtedness in connection with our initial business combination, including pursuant to forward purchase agreements or backstop arrangements we may enter into following consummation of this offering, in order to, among other reasons, satisfy such net tangible assets or minimum cash requirements.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Manner of Conducting Redemptions</w:t>
      </w:r>
    </w:p>
    <w:p>
      <w:pPr>
        <w:spacing w:after="0" w:line="229"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We will provide our public shareholders with the opportunity to redeem all or a portion of their Class A ordinary shares upon the completion of our initial business combination either (i) in connection with a general meeting called to approve the initial business combination or (ii) without a shareholder vote by means of a tender offer. The decision as to whether we will seek shareholder approval of a proposed initial business combination or conduct a tender offer will be made by us, solely in our discretion, and will be based on a variety of factors such as the timing of the transaction and whether the terms of the transaction would require us to seek shareholder approval under applicable law or stock exchange listing requirement or whether we were deemed to be a foreign private issuer. Asset acquisitions and share purchases would not typically require shareholder approval while direct mergers with our company and any transactions where we issue more than 20% of our issued and outstanding ordinary shares or seek to amend our amended and restated memorandum and articles of association would typically require shareholder approval. So long as we obtain and maintain a listing for our securities on the NYSE, we will be required to comply with the NYSE’s shareholder approval rules.</w:t>
      </w:r>
    </w:p>
    <w:p>
      <w:pPr>
        <w:spacing w:after="0" w:line="181" w:lineRule="exact"/>
        <w:rPr>
          <w:sz w:val="20"/>
          <w:szCs w:val="20"/>
          <w:color w:val="auto"/>
        </w:rPr>
      </w:pPr>
    </w:p>
    <w:p>
      <w:pPr>
        <w:ind w:right="280" w:firstLine="324"/>
        <w:spacing w:after="0" w:line="279" w:lineRule="auto"/>
        <w:rPr>
          <w:sz w:val="20"/>
          <w:szCs w:val="20"/>
          <w:color w:val="auto"/>
        </w:rPr>
      </w:pPr>
      <w:r>
        <w:rPr>
          <w:rFonts w:ascii="Arial" w:cs="Arial" w:eastAsia="Arial" w:hAnsi="Arial"/>
          <w:sz w:val="17"/>
          <w:szCs w:val="17"/>
          <w:color w:val="auto"/>
        </w:rPr>
        <w:t>The requirement that we provide our public shareholders with the opportunity to redeem their public shares by one of the two methods listed above will be contained in provisions of our amended and restated memorandum and articles of association and will apply whether or not we maintain our registration under the Exchange Act or our listing on the NYSE. Such provisions may be amended if approved by holders of two-thirds of our ordinary shares entitled to vote thereon, so long as we offer redemption in connection with such amendment.</w:t>
      </w:r>
    </w:p>
    <w:p>
      <w:pPr>
        <w:spacing w:after="0" w:line="171"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If we provide our public shareholders with the opportunity to redeem their public shares in connection with a general meeting, we will, pursuant to our amended and restated memorandum and articles of association:</w:t>
      </w:r>
    </w:p>
    <w:p>
      <w:pPr>
        <w:spacing w:after="0" w:line="170" w:lineRule="exact"/>
        <w:rPr>
          <w:sz w:val="20"/>
          <w:szCs w:val="20"/>
          <w:color w:val="auto"/>
        </w:rPr>
      </w:pPr>
    </w:p>
    <w:p>
      <w:pPr>
        <w:ind w:left="660" w:right="20" w:hanging="328"/>
        <w:spacing w:after="0" w:line="277"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conduct the redemptions in conjunction with a proxy solicitation pursuant to Regulation 14A of the Exchange Act, which regulates the solicitation of proxies, and not pursuant to the tender offer rules,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file proxy materials with the SEC.</w:t>
      </w:r>
    </w:p>
    <w:p>
      <w:pPr>
        <w:spacing w:after="0" w:line="225" w:lineRule="exact"/>
        <w:rPr>
          <w:sz w:val="20"/>
          <w:szCs w:val="20"/>
          <w:color w:val="auto"/>
        </w:rPr>
      </w:pPr>
    </w:p>
    <w:p>
      <w:pPr>
        <w:ind w:right="340" w:firstLine="324"/>
        <w:spacing w:after="0" w:line="277" w:lineRule="auto"/>
        <w:rPr>
          <w:sz w:val="20"/>
          <w:szCs w:val="20"/>
          <w:color w:val="auto"/>
        </w:rPr>
      </w:pPr>
      <w:r>
        <w:rPr>
          <w:rFonts w:ascii="Arial" w:cs="Arial" w:eastAsia="Arial" w:hAnsi="Arial"/>
          <w:sz w:val="18"/>
          <w:szCs w:val="18"/>
          <w:color w:val="auto"/>
        </w:rPr>
        <w:t>In the event that we seek shareholder approval of our initial business combination, we will distribute proxy materials and, in connection therewith, provide our public shareholders with the redemption rights described above.</w:t>
      </w:r>
    </w:p>
    <w:p>
      <w:pPr>
        <w:spacing w:after="0" w:line="170" w:lineRule="exact"/>
        <w:rPr>
          <w:sz w:val="20"/>
          <w:szCs w:val="20"/>
          <w:color w:val="auto"/>
        </w:rPr>
      </w:pPr>
    </w:p>
    <w:p>
      <w:pPr>
        <w:ind w:right="100" w:firstLine="324"/>
        <w:spacing w:after="0" w:line="268" w:lineRule="auto"/>
        <w:rPr>
          <w:sz w:val="20"/>
          <w:szCs w:val="20"/>
          <w:color w:val="auto"/>
        </w:rPr>
      </w:pPr>
      <w:r>
        <w:rPr>
          <w:rFonts w:ascii="Arial" w:cs="Arial" w:eastAsia="Arial" w:hAnsi="Arial"/>
          <w:sz w:val="17"/>
          <w:szCs w:val="17"/>
          <w:color w:val="auto"/>
        </w:rPr>
        <w:t>If we seek shareholder approval, we will complete our initial business combination only if we receive an ordinary resolution under Cayman Islands law, which requires the affirmative vote of a majority of the shareholders who attend and vote at a general meeting of the company. A quorum for such meeting will be present if the holders of a majority of issued and outstanding shares entitled to vote at the meeting are represented in person or by proxy. Our initial shareholders, sponsor, officers and directors will count toward this quorum and, pursuant to the letter agreement, our initial shareholders, sponsor, officers and directors have agreed to vote any founder shares and public shares held by them in favor of our initial business combination. For purposes of seeking approval of an ordinary resolution, non-votes will have no effect on the approval of our initial business combination once a quorum is obtained. As a result, in addition to our initial shareholders’ founder shares, we would need 9,375,001, or 37.5%, of the 25,000,000 public shares sold in this offering to be voted in favor of an initial business combination in order to have our initial business combination approved (assuming all outstanding shares are voted and the over-allotment option is not exercised). If the PIMCO private fund or its affiliates purchase 2,475,000 units in this offering, and vote the shares included in these units in favor of our initial business combination, the percentage would be reduced to 27.6%. These quorum and voting thresholds, and the voting agreement of our initial shareholders, officers and directors, may make it more likely that we will consummate our initial business combination. Each public shareholder may elect to redeem their public shares without voting and, if they do vote, irrespective of whether they vote for or against the proposed transaction.</w:t>
      </w:r>
    </w:p>
    <w:p>
      <w:pPr>
        <w:spacing w:after="0" w:line="18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If a shareholder vote is not required and we do not decide to hold a shareholder vote for business or other reasons, we will:</w:t>
      </w:r>
    </w:p>
    <w:p>
      <w:pPr>
        <w:spacing w:after="0" w:line="33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101" w:name="page102"/>
    <w:bookmarkEnd w:id="101"/>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conduct the redemptions pursuant to Rule 13e-4 and Regulation 14E of the Exchange Act, which regulate issuer tender offers, and</w:t>
      </w:r>
    </w:p>
    <w:p>
      <w:pPr>
        <w:spacing w:after="0" w:line="225" w:lineRule="exact"/>
        <w:rPr>
          <w:rFonts w:ascii="Arial" w:cs="Arial" w:eastAsia="Arial" w:hAnsi="Arial"/>
          <w:sz w:val="18"/>
          <w:szCs w:val="18"/>
          <w:color w:val="auto"/>
        </w:rPr>
      </w:pPr>
    </w:p>
    <w:p>
      <w:pPr>
        <w:ind w:left="660" w:right="180" w:hanging="328"/>
        <w:spacing w:after="0" w:line="263"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file tender offer documents with the SEC prior to completing our initial business combination which contain substantially the same financial and other information about the initial business combination and the redemption rights as is required under Regulation 14A of the Exchange Act, which regulates the solicitation of proxies.</w:t>
      </w:r>
    </w:p>
    <w:p>
      <w:pPr>
        <w:spacing w:after="0" w:line="184"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In the event we conduct redemptions pursuant to the tender offer rules, our offer to redeem will remain open for at least 20 business days, in accordance with Rule 14e-1(a) under the Exchange Act, and we will not be permitted to complete our initial business combination until the expiration of the tender offer period. In addition, the tender offer will be conditioned on public shareholders not tendering more than the number of public shares we are permitted to redeem. If public shareholders tender more shares than we have offered to purchase, we will withdraw the tender offer and not complete the initial business combination.</w:t>
      </w:r>
    </w:p>
    <w:p>
      <w:pPr>
        <w:spacing w:after="0" w:line="188" w:lineRule="exact"/>
        <w:rPr>
          <w:sz w:val="20"/>
          <w:szCs w:val="20"/>
          <w:color w:val="auto"/>
        </w:rPr>
      </w:pPr>
    </w:p>
    <w:p>
      <w:pPr>
        <w:ind w:right="40" w:firstLine="324"/>
        <w:spacing w:after="0" w:line="263" w:lineRule="auto"/>
        <w:rPr>
          <w:sz w:val="20"/>
          <w:szCs w:val="20"/>
          <w:color w:val="auto"/>
        </w:rPr>
      </w:pPr>
      <w:r>
        <w:rPr>
          <w:rFonts w:ascii="Arial" w:cs="Arial" w:eastAsia="Arial" w:hAnsi="Arial"/>
          <w:sz w:val="18"/>
          <w:szCs w:val="18"/>
          <w:color w:val="auto"/>
        </w:rPr>
        <w:t>Upon the public announcement of our initial business combination, if we elect to conduct redemptions pursuant to the tender offer rules, we and our sponsor will terminate any plan established in accordance with Rule 10b5-1 to purchase our Class A ordinary shares in the open market, in order to comply with Rule 14e-5 under the Exchange Act.</w:t>
      </w:r>
    </w:p>
    <w:p>
      <w:pPr>
        <w:spacing w:after="0" w:line="184"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We intend to require our public shareholders seeking to exercise their redemption rights, whether they are record holders or hold their shares in “street name,” to, at the holder’s option, either deliver their share certificates to our transfer agent or deliver their shares to our transfer agent electronically using The Depository Trust Company’s DWAC (Deposit/Withdrawal At Custodian) system, prior to the date set forth in the proxy materials or tender offer documents, as applicable. In the case of proxy materials, this date may be up to two business days prior to the scheduled vote on the proposal to approve the initial business combination. In addition, if we conduct redemptions in connection with a shareholder vote, we intend to require a public shareholder seeking redemption of its public shares to also submit a written request for redemption to our transfer agent two business days prior to the scheduled vote in which the name of the beneficial owner of such shares is included. The proxy materials or tender offer documents, as applicable, that we will furnish to holders of our public shares in connection with our initial business combination will indicate whether we are requiring public shareholders to satisfy such delivery requirements. We believe that this will allow our transfer agent to efficiently process any redemptions without the need for further communication or action from the redeeming public shareholders, which could delay redemptions and result in additional administrative cost. If the proposed initial business combination is not approved and we continue to search for a target company, we will promptly return any certificates or shares delivered by public shareholders who elected to redeem their shares.</w:t>
      </w:r>
    </w:p>
    <w:p>
      <w:pPr>
        <w:spacing w:after="0" w:line="179" w:lineRule="exact"/>
        <w:rPr>
          <w:sz w:val="20"/>
          <w:szCs w:val="20"/>
          <w:color w:val="auto"/>
        </w:rPr>
      </w:pPr>
    </w:p>
    <w:p>
      <w:pPr>
        <w:ind w:right="60" w:firstLine="324"/>
        <w:spacing w:after="0" w:line="269" w:lineRule="auto"/>
        <w:rPr>
          <w:sz w:val="20"/>
          <w:szCs w:val="20"/>
          <w:color w:val="auto"/>
        </w:rPr>
      </w:pPr>
      <w:r>
        <w:rPr>
          <w:rFonts w:ascii="Arial" w:cs="Arial" w:eastAsia="Arial" w:hAnsi="Arial"/>
          <w:sz w:val="17"/>
          <w:szCs w:val="17"/>
          <w:color w:val="auto"/>
        </w:rPr>
        <w:t>Our amended and restated memorandum and articles of association provide that in no event will we redeem our public shares in an amount that would cause our net tangible assets to be less than $5,000,001. In addition, our proposed initial business combination may impose a minimum cash requirement for (i) cash consideration to be paid to the target or its owners, (ii) cash for working capital or other general corporate purposes or (iii) the retention of cash to satisfy other conditions. In the event the aggregate cash consideration we would be required to pay for all Class A ordinary shares that are validly submitted for redemption plus any amount required to satisfy cash conditions pursuant to the terms of the proposed initial business combination exceed the aggregate amount of cash available to us, we will not complete the initial business combination or redeem any shares, and all Class A ordinary shares submitted for redemption will be returned to the holders thereof. We may, however, raise funds through the issuance of equity or equity-linked securities or through loans, advances or other indebtedness in connection with our initial business combination, including pursuant to forward purchase agreements or backstop arrangements we may enter into following consummation of this offering, in order to, among other reasons, satisfy such net tangible assets or minimum cash requirements. However, our amended and restated memorandum and articles of association provide, among other things, that prior to our initial business combination, we may not issue additional securities that would entitle the holders thereof to (i) receive funds from the trust account or (ii) vote on any initial business combination.</w:t>
      </w:r>
    </w:p>
    <w:p>
      <w:pPr>
        <w:spacing w:after="0" w:line="28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02" w:name="page103"/>
    <w:bookmarkEnd w:id="102"/>
    <w:p>
      <w:pPr>
        <w:spacing w:after="0"/>
        <w:rPr>
          <w:sz w:val="20"/>
          <w:szCs w:val="20"/>
          <w:color w:val="auto"/>
        </w:rPr>
      </w:pPr>
      <w:r>
        <w:rPr>
          <w:rFonts w:ascii="Arial" w:cs="Arial" w:eastAsia="Arial" w:hAnsi="Arial"/>
          <w:sz w:val="18"/>
          <w:szCs w:val="18"/>
          <w:b w:val="1"/>
          <w:bCs w:val="1"/>
          <w:color w:val="auto"/>
        </w:rPr>
        <w:t>Limitation on Redemption upon Completion of Our Initial Business Combination If We Seek Shareholder Approval</w:t>
      </w:r>
    </w:p>
    <w:p>
      <w:pPr>
        <w:spacing w:after="0" w:line="229"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Notwithstanding the foregoing redemption rights, if we seek shareholder approval of our initial business combination and we do not conduct redemptions in connection with our initial business combination pursuant to the tender offer rules, our amended and restated memorandum and articles of association provide that a public shareholder, together with any affiliate of such shareholder or any other person with whom such shareholder is acting in concert or as a “group” (as defined under Section 13 of the Exchange Act), will be restricted from redeeming its shares with respect to Excess Shares without our prior consent. We believe this restriction will discourage shareholders from accumulating large blocks of shares, and subsequent attempts by such holders to use their ability to redeem their shares as a means to force us, our sponsor or our management to purchase their shares at a significant premium to the then-current market price or on other undesirable terms. Absent this provision, a public shareholder holding more than an aggregate of 15% of the shares sold in this offering could threaten to exercise its redemption rights if such holder’s shares are not purchased by us, our sponsor or our management at a premium to the then-current market price or on other undesirable terms. By limiting our shareholders’ ability to redeem to no more than 15% of the shares sold in this offering, we believe we will limit the ability of a small group of shareholders to unreasonably attempt to block our ability to complete our initial business combination, particularly in connection with a business combination with a target that requires as a closing condition that we have a minimum net worth or a certain amount of cash.</w:t>
      </w:r>
    </w:p>
    <w:p>
      <w:pPr>
        <w:spacing w:after="0" w:line="179"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However, we would not be restricting our shareholders’ ability to vote all of their shares (including Excess Shares) for or against our initial business combination.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Delivering Share Certificates in Connection with the Exercise of Redemption Rights</w:t>
      </w:r>
    </w:p>
    <w:p>
      <w:pPr>
        <w:spacing w:after="0" w:line="229"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As described above, we intend to require our public shareholders seeking to exercise their redemption rights, whether they are record holders or hold their shares in “street name,” to, at the holder’s option, either deliver their share certificates to our transfer agent or deliver their shares to our transfer agent electronically using The Depository Trust Company’s DWAC (Deposit/Withdrawal At Custodian) system, prior to the date set forth in the proxy materials or tender offer documents, as applicable. In the case of proxy materials, this date may be up to two business days prior to the scheduled vote on the proposal to approve the initial business combination. In addition, if we conduct redemptions in connection with a shareholder vote, we intend to require a public shareholder seeking redemption of its public shares to also submit a written request for redemption to our transfer agent two business days prior to the scheduled vote in which the name of the beneficial owner of such shares is included. The proxy materials or tender offer documents, as applicable, that we will furnish to holders of our public shares in connection with our initial business combination will indicate whether we are requiring public shareholders to satisfy such delivery requirements. Accordingly, a public shareholder would have up to two business days prior to the scheduled vote on the initial business combination if we distribute proxy materials, or from the time we send out our tender offer materials until the close of the tender offer period, as applicable, to submit or tender its shares if it wishes to seek to exercise its redemption rights. In the event that a shareholder fails to comply with these or any other procedures disclosed in the proxy or tender offer materials, as applicable, its shares may not be redeemed. Given the relatively short exercise period, it is advisable for shareholders to use electronic delivery of their public shares.</w:t>
      </w:r>
    </w:p>
    <w:p>
      <w:pPr>
        <w:spacing w:after="0" w:line="174"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There is a nominal cost associated with the above-referenced process and the act of certificating the shares or delivering them through the DWAC system. The transfer agent will typically charge the broker submitting or tendering shares a fee of approximately $80.00 and it would be up to the broker whether or not to pass this cost on to the redeeming holder. However, this fee would be incurred regardless of whether or not we require holders seeking to exercise redemption rights to submit or tender their shares. The need to deliver shares is a requirement of exercising redemption rights regardless of the timing of when such delivery must be effectuated.</w:t>
      </w:r>
    </w:p>
    <w:p>
      <w:pPr>
        <w:spacing w:after="0" w:line="188" w:lineRule="exact"/>
        <w:rPr>
          <w:sz w:val="20"/>
          <w:szCs w:val="20"/>
          <w:color w:val="auto"/>
        </w:rPr>
      </w:pPr>
    </w:p>
    <w:p>
      <w:pPr>
        <w:ind w:right="20" w:firstLine="324"/>
        <w:spacing w:after="0" w:line="275" w:lineRule="auto"/>
        <w:rPr>
          <w:sz w:val="20"/>
          <w:szCs w:val="20"/>
          <w:color w:val="auto"/>
        </w:rPr>
      </w:pPr>
      <w:r>
        <w:rPr>
          <w:rFonts w:ascii="Arial" w:cs="Arial" w:eastAsia="Arial" w:hAnsi="Arial"/>
          <w:sz w:val="17"/>
          <w:szCs w:val="17"/>
          <w:color w:val="auto"/>
        </w:rPr>
        <w:t>Any request to redeem such shares, once made, may be withdrawn at any time up to the date set forth in the proxy materials or tender offer documents, as applicable (unless we elect to allow additional withdrawal rights). Furthermore, if a holder of a public share delivered its certificate in connection with an election of redemption rights and subsequently decides prior to the applicable date not to elect to exercise such rights, such holder may simply request that the transfer agent return the certificate (physically or electronically). It is anticipated that the funds to be distributed to holders of our public shares electing to redeem their shares will be distributed promptly after the completion of our initial business combination.</w:t>
      </w:r>
    </w:p>
    <w:p>
      <w:pPr>
        <w:spacing w:after="0" w:line="28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103" w:name="page104"/>
    <w:bookmarkEnd w:id="103"/>
    <w:p>
      <w:pPr>
        <w:ind w:right="80" w:firstLine="324"/>
        <w:spacing w:after="0" w:line="263" w:lineRule="auto"/>
        <w:rPr>
          <w:sz w:val="20"/>
          <w:szCs w:val="20"/>
          <w:color w:val="auto"/>
        </w:rPr>
      </w:pPr>
      <w:r>
        <w:rPr>
          <w:rFonts w:ascii="Arial" w:cs="Arial" w:eastAsia="Arial" w:hAnsi="Arial"/>
          <w:sz w:val="18"/>
          <w:szCs w:val="18"/>
          <w:color w:val="auto"/>
        </w:rPr>
        <w:t>If our initial business combination is not approved or completed for any reason, then our public shareholders who elected to exercise their redemption rights would not be entitled to redeem their shares for the applicable pro rata share of the trust account. In such case, we will promptly return any certificates delivered by public holders who elected to redeem their shares.</w:t>
      </w:r>
    </w:p>
    <w:p>
      <w:pPr>
        <w:spacing w:after="0" w:line="184"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If our initial proposed business combination is not completed, we may continue to try to complete a business combination with a different target until 24 months from the closing of this offering or during any Extension Period.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Redemption of Public Shares and Liquidation if No Initial Business Combination</w:t>
      </w:r>
    </w:p>
    <w:p>
      <w:pPr>
        <w:spacing w:after="0" w:line="229"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Our amended and restated memorandum and articles of association provide that we will have only 24 months from the closing of this offering to complete our initial business combination. If we have not completed our initial business combination within such 24-month period or during any Extension Period, we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(less taxes payable and up to $100,000 of interest income to pay dissolution expenses), divided by the number of then outstanding public shares, which redemption will completely extinguish public shareholders’ rights as shareholders (including the right to receive further liquidation distributions, if any) and (iii) as promptly as reasonably possible following such redemption, subject to the approval of our remaining shareholders and our board of directors, liquidate and dissolve, subject, in each case, to our obligations under Cayman Islands law to provide for claims of creditors and in all cases subject to the other requirements of applicable law. There will be no redemption rights or liquidating distributions with respect to our warrants, which will expire worthless if we fail to complete our initial business combination within the 24-month time period or during any Extension Period.</w:t>
      </w:r>
    </w:p>
    <w:p>
      <w:pPr>
        <w:spacing w:after="0" w:line="182"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Our initial shareholders, sponsor, officers and directors have entered into a letter agreement with us, pursuant to which they have waived their rights to liquidating distributions from the trust account with respect to any founder shares held by them if we fail to complete our initial business combination within 24 months from the closing of this offering. However, if our sponsor or management team acquire public shares in or after this offering, they will be entitled to liquidating distributions from the trust account with respect to such public shares if we fail to complete our initial business combination within the allotted 24-month time period or during any Extension Period.</w:t>
      </w:r>
    </w:p>
    <w:p>
      <w:pPr>
        <w:spacing w:after="0" w:line="188" w:lineRule="exact"/>
        <w:rPr>
          <w:sz w:val="20"/>
          <w:szCs w:val="20"/>
          <w:color w:val="auto"/>
        </w:rPr>
      </w:pPr>
    </w:p>
    <w:p>
      <w:pPr>
        <w:ind w:right="140" w:firstLine="324"/>
        <w:spacing w:after="0" w:line="269" w:lineRule="auto"/>
        <w:rPr>
          <w:sz w:val="20"/>
          <w:szCs w:val="20"/>
          <w:color w:val="auto"/>
        </w:rPr>
      </w:pPr>
      <w:r>
        <w:rPr>
          <w:rFonts w:ascii="Arial" w:cs="Arial" w:eastAsia="Arial" w:hAnsi="Arial"/>
          <w:sz w:val="17"/>
          <w:szCs w:val="17"/>
          <w:color w:val="auto"/>
        </w:rPr>
        <w:t>Our initial shareholders, sponsor, officers and directors have agreed, pursuant to a written agreement with us, that they will not propose any amendment to our amended and restated memorandum and articles of association (A) to modify the substance or timing of our obligation to allow redemption in connection with our initial business combination or to redeem 100% of our public shares if we have not consummated an initial business combination within 24 months from the closing of this offering or (B) with respect to any other material provisions relating to shareholders’ rights or pre-initial business combination activity, unless we provide our public shareholders with the opportunity to redeem their public shares upon approval of any such amendment at a per-share price, payable in cash, equal to the aggregate amount then on deposit in the trust account, including interest earned on the funds held in the trust account and not previously released to us to pay our taxes, divided by the number of then outstanding public shares. However, we may not redeem our public shares in an amount that would cause our net tangible assets to be less than $5,000,001. If this optional redemption right is exercised with respect to an excessive number of public shares such that we cannot satisfy the net tangible asset requirement, we would not proceed with the amendment or the related redemption of our public shares at such time.</w:t>
      </w:r>
    </w:p>
    <w:p>
      <w:pPr>
        <w:spacing w:after="0" w:line="185"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We expect that all costs and expenses associated with implementing our plan of dissolution, as well as payments to any creditors, will be funded from amounts remaining out of the approximately $1,995,000 of proceeds held outside the trust account, although we cannot assure you that there will be sufficient funds for such purpose. However, if those funds are not sufficient to cover the costs and expenses associated with implementing our plan of dissolution, to the extent that there is any interest accrued in the trust account not required to pay income taxes on interest income earned on the trust account balance, we may request the trustee to release to us an additional amount of up to $100,000 of such accrued interest income to pay those costs and expenses.</w:t>
      </w:r>
    </w:p>
    <w:p>
      <w:pPr>
        <w:spacing w:after="0" w:line="192" w:lineRule="exact"/>
        <w:rPr>
          <w:sz w:val="20"/>
          <w:szCs w:val="20"/>
          <w:color w:val="auto"/>
        </w:rPr>
      </w:pPr>
    </w:p>
    <w:p>
      <w:pPr>
        <w:ind w:right="100" w:firstLine="324"/>
        <w:spacing w:after="0" w:line="311" w:lineRule="auto"/>
        <w:rPr>
          <w:sz w:val="20"/>
          <w:szCs w:val="20"/>
          <w:color w:val="auto"/>
        </w:rPr>
      </w:pPr>
      <w:r>
        <w:rPr>
          <w:rFonts w:ascii="Arial" w:cs="Arial" w:eastAsia="Arial" w:hAnsi="Arial"/>
          <w:sz w:val="16"/>
          <w:szCs w:val="16"/>
          <w:color w:val="auto"/>
        </w:rPr>
        <w:t>If we were to expend all of the net proceeds of this offering and the sale of the private placement warrants, other than the proceeds deposited in the trust account, and without taking into account interest, if any, earned on the trust account, the per-share redemption amount received by shareholders upon our dissolution would be approximately $10.00. The funds deposited in the trust account could, however, become subject to the claims of our creditors</w:t>
      </w: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584" w:right="379" w:bottom="1440" w:gutter="0" w:footer="0" w:header="0"/>
        </w:sectPr>
      </w:pPr>
    </w:p>
    <w:bookmarkStart w:id="104" w:name="page105"/>
    <w:bookmarkEnd w:id="104"/>
    <w:p>
      <w:pPr>
        <w:spacing w:after="0" w:line="263" w:lineRule="auto"/>
        <w:rPr>
          <w:sz w:val="20"/>
          <w:szCs w:val="20"/>
          <w:color w:val="auto"/>
        </w:rPr>
      </w:pPr>
      <w:r>
        <w:rPr>
          <w:rFonts w:ascii="Arial" w:cs="Arial" w:eastAsia="Arial" w:hAnsi="Arial"/>
          <w:sz w:val="18"/>
          <w:szCs w:val="18"/>
          <w:color w:val="auto"/>
        </w:rPr>
        <w:t>which would have higher priority than the claims of our public shareholders. We cannot assure you that the actual per-share redemption amount received by shareholders will not be substantially less than $10.00. While we intend to pay such amounts, if any, we cannot assure you that we will have funds sufficient to pay or provide for all creditors’ claims.</w:t>
      </w:r>
    </w:p>
    <w:p>
      <w:pPr>
        <w:spacing w:after="0" w:line="184" w:lineRule="exact"/>
        <w:rPr>
          <w:sz w:val="20"/>
          <w:szCs w:val="20"/>
          <w:color w:val="auto"/>
        </w:rPr>
      </w:pPr>
    </w:p>
    <w:p>
      <w:pPr>
        <w:ind w:right="40" w:firstLine="324"/>
        <w:spacing w:after="0" w:line="284" w:lineRule="auto"/>
        <w:rPr>
          <w:sz w:val="20"/>
          <w:szCs w:val="20"/>
          <w:color w:val="auto"/>
        </w:rPr>
      </w:pPr>
      <w:r>
        <w:rPr>
          <w:rFonts w:ascii="Arial" w:cs="Arial" w:eastAsia="Arial" w:hAnsi="Arial"/>
          <w:sz w:val="16"/>
          <w:szCs w:val="16"/>
          <w:color w:val="auto"/>
        </w:rPr>
        <w:t>Although we will seek to have all vendors, service providers, prospective target businesses and other entities with which we do business execute agreements with us waiving any right, title, interest or claim of any kind in or to any monies held in the trust account for the benefit of our public shareholders, there is no guarantee that they will execute such agreements or even if they execute such agreements that they would be prevented from bringing claims against the trust account including but not limited to fraudulent inducement, breach of fiduciary responsibility or other similar claims, as well as claims challenging the enforceability of the waiver, in each case in order to gain an advantage with respect to a claim against our assets, including the funds held in the trust account. If any third party refuses to execute an agreement waiving such claims to the monies held in the trust account, our management will consider whether competitive alternatives are reasonably available to us and will only enter into an agreement with such third party if management believes that such third party’s engagement would be in the best interests of the company under the circumstances. Examples of possible instances where we may engage a third party that refuses to execute a waiver include the engagement of a third-party consultant whose particular expertise or skills are believed by management to be significantly superior to those of other consultants that would agree to execute a waiver or in cases where management is unable to find a service provider willing to execute a waiver. Marcum LLP, our independent registered public accounting firm, and the underwriters of this offering will not execute agreements with us waiving such claims to the monies held in the trust account. In addition, there is no guarantee that such entities will agree to waive any claims they may have in the future as a result of, or arising out of, any negotiations, contracts or agreements with us and will not seek recourse against the trust account for any reason. In order to protect the amounts held in the trust account, our sponsor has agreed that it will be liable to us if and to the extent any claims by a third party (other than Marcum LLP, our independent registered public accounting firm) for services rendered or products sold to us, or a prospective target business with which we have entered into a written letter of intent, confidentiality or other similar agreement or business combination agreement, reduce the amount of funds in the trust account to below the lesser of (i) $10.00 per public share and (ii) the actual amount per public share held in the trust account as of the date of the liquidation of the trust account, if less than $10.00 per public share due to reductions in the value of the trust assets, in each case less taxes payable, provided that such liability will not apply to any claims by a third party or prospective target business who executed a waiver of any and all rights to the monies held in the trust account (whether or not such waiver is enforceable) nor will it apply to any claims under our indemnity of the underwriters of this offering against certain liabilities, including liabilities under the Securities Act. However, we have not asked our sponsor to reserve for such indemnification obligations, nor have we independently verified whether our sponsor has sufficient funds to satisfy its indemnity obligations and we believe that our sponsor’s only assets are securities of our company. Therefore, we cannot assure you that our sponsor would be able to satisfy those obligations. As a result, if any such claims were successfully made against the trust account, the funds available for our initial business combination and redemptions could be reduced to less than $10.00 per public share. In such event, we may not be able to complete our initial business combination, and you would receive such lesser amount per share in connection with any redemption of your public shares. None of our officers or directors will indemnify us for claims by third parties including, without limitation, claims by vendors and prospective target businesses.</w:t>
      </w:r>
    </w:p>
    <w:p>
      <w:pPr>
        <w:spacing w:after="0" w:line="386" w:lineRule="exact"/>
        <w:rPr>
          <w:sz w:val="20"/>
          <w:szCs w:val="20"/>
          <w:color w:val="auto"/>
        </w:rPr>
      </w:pPr>
    </w:p>
    <w:p>
      <w:pPr>
        <w:ind w:right="120" w:firstLine="324"/>
        <w:spacing w:after="0" w:line="289" w:lineRule="auto"/>
        <w:rPr>
          <w:sz w:val="20"/>
          <w:szCs w:val="20"/>
          <w:color w:val="auto"/>
        </w:rPr>
      </w:pPr>
      <w:r>
        <w:rPr>
          <w:rFonts w:ascii="Arial" w:cs="Arial" w:eastAsia="Arial" w:hAnsi="Arial"/>
          <w:sz w:val="16"/>
          <w:szCs w:val="16"/>
          <w:color w:val="auto"/>
        </w:rPr>
        <w:t>In the event that the funds in the trust account are reduced below the lesser of (i) $10.00 per public share and (ii) the actual amount per public share held in the trust account as of the date of the liquidation of the trust account if less than $10.00 per public share due to reductions in the value of the trust assets, in each case less taxes payable, and our sponsor asserts that it is unable to satisfy its indemnification obligations or that it has no indemnification obligations related to a particular claim, our independent directors would determine whether to take legal action against our sponsor to enforce its indemnification obligations. While we currently expect that our independent directors would take legal action on our behalf against our sponsor to enforce its indemnification obligations to us, it is possible that our independent directors in exercising their business judgment may choose not to do so in any particular instance if, for example, the cost of such legal action is deemed by the independent directors to be too high relative to the amount recoverable or if the independent directors determine that a favorable outcome is not likely. Accordingly, we cannot assure you that due to claims of creditors the actual value of the per-share redemption price will not be substantially less than $10.00 per share.</w:t>
      </w:r>
    </w:p>
    <w:p>
      <w:pPr>
        <w:spacing w:after="0" w:line="166"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We will seek to reduce the possibility that our sponsor will have to indemnify the trust account due to claims of creditors by endeavoring to have all vendors, service providers, prospective target businesses and other entities with</w:t>
      </w:r>
    </w:p>
    <w:p>
      <w:pPr>
        <w:spacing w:after="0" w:line="27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05" w:name="page106"/>
    <w:bookmarkEnd w:id="105"/>
    <w:p>
      <w:pPr>
        <w:ind w:right="20"/>
        <w:spacing w:after="0" w:line="289" w:lineRule="auto"/>
        <w:rPr>
          <w:sz w:val="20"/>
          <w:szCs w:val="20"/>
          <w:color w:val="auto"/>
        </w:rPr>
      </w:pPr>
      <w:r>
        <w:rPr>
          <w:rFonts w:ascii="Arial" w:cs="Arial" w:eastAsia="Arial" w:hAnsi="Arial"/>
          <w:sz w:val="16"/>
          <w:szCs w:val="16"/>
          <w:color w:val="auto"/>
        </w:rPr>
        <w:t>which we do business execute agreements with us waiving any right, title, interest or claim of any kind in or to monies held in the trust account. Our sponsor will also not be liable as to any claims under our indemnity of the underwriters of this offering against certain liabilities, including liabilities under the Securities Act. We will have access to up to approximately $1,995,000 from the proceeds of this offering and the sale of the private placement warrants with which to pay any such potential claims (including costs and expenses incurred in connection with our liquidation, currently estimated to be no more than approximately $100,000). In the event that we liquidate and it is subsequently determined that the reserve for claims and liabilities is insufficient, shareholders who received funds from our trust account could be liable for claims made by creditors. In the event that our offering expenses exceed our estimate of $1,000,000, we may fund such excess with funds from the funds not to be held in the trust account. In such case, the amount of funds we intend to be held outside the trust account would decrease by a corresponding amount. Conversely, in the event that the offering expenses are less than our estimate of $1,000,000, the amount of funds we intend to be held outside the trust account would increase by a corresponding amount.</w:t>
      </w:r>
    </w:p>
    <w:p>
      <w:pPr>
        <w:spacing w:after="0" w:line="166" w:lineRule="exact"/>
        <w:rPr>
          <w:sz w:val="20"/>
          <w:szCs w:val="20"/>
          <w:color w:val="auto"/>
        </w:rPr>
      </w:pPr>
    </w:p>
    <w:p>
      <w:pPr>
        <w:ind w:right="40" w:firstLine="324"/>
        <w:spacing w:after="0" w:line="269" w:lineRule="auto"/>
        <w:rPr>
          <w:sz w:val="20"/>
          <w:szCs w:val="20"/>
          <w:color w:val="auto"/>
        </w:rPr>
      </w:pPr>
      <w:r>
        <w:rPr>
          <w:rFonts w:ascii="Arial" w:cs="Arial" w:eastAsia="Arial" w:hAnsi="Arial"/>
          <w:sz w:val="17"/>
          <w:szCs w:val="17"/>
          <w:color w:val="auto"/>
        </w:rPr>
        <w:t>If we file a bankruptcy or winding-up petition or an involuntary bankruptcy or winding-up petition is filed against us that is not dismissed, the funds held in the trust account could be subject to applicable bankruptcy or insolvency law, and may be included in our bankruptcy estate and subject to the claims of third parties with priority over the claims of our shareholders. To the extent any bankruptcy claims deplete the trust account, we cannot assure you we will be able to return $10.00 per share to our public shareholders. Additionally, if we file a bankruptcy or winding-up petition or an involuntary bankruptcy or winding-up petition is filed against us that is not dismissed, any distributions received by shareholders could be viewed under applicable debtor/creditor and/or bankruptcy or insolvency laws as either a “preferential transfer” or a “fraudulent conveyance.” As a result, a bankruptcy or insolvency court could seek to recover some or all amounts received by our shareholders. Furthermore, our board of directors may be viewed as having breached its fiduciary duty to our creditors and/or may have acted in bad faith, and thereby exposing itself and our company to claims of punitive damages, by paying public shareholders from the trust account prior to addressing the claims of creditors. We cannot assure you that claims will not be brought against us for these reasons.</w:t>
      </w:r>
    </w:p>
    <w:p>
      <w:pPr>
        <w:spacing w:after="0" w:line="185"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Our public shareholders will be entitled to receive funds from the trust account only (i) in the event of the redemption of our public shares if we do not complete our initial business combination within 24 months from the closing of this offering, (ii) in connection with a shareholder vote to amend our amended and restated memorandum and articles of association (A) to modify the substance or timing of our obligation to allow redemption in connection with our initial business combination or to redeem 100% of our public shares if we have not consummated an initial business combination within 24 months from the closing of this offering or (B) with respect to any other material provisions relating to shareholders’ rights or pre-initial business combination activity or (iii) if they redeem their respective shares for cash upon the completion of our initial business combination. In no other circumstances will a shareholder have any right or interest of any kind to or in the trust account. In the event we seek shareholder approval in connection with our initial business combination, a shareholder’s voting in connection with the business combination alone will not result in a shareholder’s redeeming its shares to us for an applicable pro rata share of the trust account. Such shareholder must have also exercised its redemption rights described above. These provisions of our amended and restated memorandum and articles of association, like all provisions of our amended and restated memorandum and articles of association, may be amended with a shareholder vote.</w:t>
      </w:r>
    </w:p>
    <w:p>
      <w:pPr>
        <w:spacing w:after="0" w:line="178" w:lineRule="exact"/>
        <w:rPr>
          <w:sz w:val="20"/>
          <w:szCs w:val="20"/>
          <w:color w:val="auto"/>
        </w:rPr>
      </w:pPr>
    </w:p>
    <w:p>
      <w:pPr>
        <w:jc w:val="center"/>
        <w:ind w:left="360" w:right="220"/>
        <w:spacing w:after="0" w:line="282" w:lineRule="auto"/>
        <w:rPr>
          <w:sz w:val="20"/>
          <w:szCs w:val="20"/>
          <w:color w:val="auto"/>
        </w:rPr>
      </w:pPr>
      <w:r>
        <w:rPr>
          <w:rFonts w:ascii="Arial" w:cs="Arial" w:eastAsia="Arial" w:hAnsi="Arial"/>
          <w:sz w:val="18"/>
          <w:szCs w:val="18"/>
          <w:b w:val="1"/>
          <w:bCs w:val="1"/>
          <w:color w:val="auto"/>
        </w:rPr>
        <w:t>Comparison of Redemption or Purchase Prices in Connection with Our Initial Business Combination and if We Fail to Complete Our Initial Business Combination.</w:t>
      </w:r>
    </w:p>
    <w:p>
      <w:pPr>
        <w:spacing w:after="0" w:line="16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following table compares the redemptions and other permitted purchases of public shares that may take place in connection with the completion of our initial business combination and if we have not completed our initial business combination within 24 months from the closing of this offering or during any Extension Period.</w:t>
      </w:r>
    </w:p>
    <w:p>
      <w:pPr>
        <w:spacing w:after="0" w:line="29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106" w:name="page107"/>
    <w:bookmarkEnd w:id="106"/>
    <w:tbl>
      <w:tblPr>
        <w:tblLayout w:type="fixed"/>
        <w:tblInd w:w="0" w:type="dxa"/>
        <w:tblCellMar>
          <w:top w:w="0" w:type="dxa"/>
          <w:left w:w="0" w:type="dxa"/>
          <w:bottom w:w="0" w:type="dxa"/>
          <w:right w:w="0" w:type="dxa"/>
        </w:tblCellMar>
      </w:tblPr>
      <w:tr>
        <w:trPr>
          <w:trHeight w:val="216"/>
        </w:trPr>
        <w:tc>
          <w:tcPr>
            <w:tcW w:w="2640" w:type="dxa"/>
            <w:vAlign w:val="bottom"/>
          </w:tcPr>
          <w:p>
            <w:pPr>
              <w:spacing w:after="0"/>
              <w:rPr>
                <w:sz w:val="18"/>
                <w:szCs w:val="18"/>
                <w:color w:val="auto"/>
              </w:rPr>
            </w:pPr>
          </w:p>
        </w:tc>
        <w:tc>
          <w:tcPr>
            <w:tcW w:w="2600" w:type="dxa"/>
            <w:vAlign w:val="bottom"/>
          </w:tcPr>
          <w:p>
            <w:pPr>
              <w:ind w:left="40"/>
              <w:spacing w:after="0"/>
              <w:rPr>
                <w:sz w:val="20"/>
                <w:szCs w:val="20"/>
                <w:color w:val="auto"/>
              </w:rPr>
            </w:pPr>
            <w:r>
              <w:rPr>
                <w:rFonts w:ascii="Arial" w:cs="Arial" w:eastAsia="Arial" w:hAnsi="Arial"/>
                <w:sz w:val="18"/>
                <w:szCs w:val="18"/>
                <w:b w:val="1"/>
                <w:bCs w:val="1"/>
                <w:color w:val="auto"/>
                <w:w w:val="90"/>
              </w:rPr>
              <w:t>Redemptions in Connection with</w:t>
            </w:r>
          </w:p>
        </w:tc>
      </w:tr>
      <w:tr>
        <w:trPr>
          <w:trHeight w:val="216"/>
        </w:trPr>
        <w:tc>
          <w:tcPr>
            <w:tcW w:w="2640" w:type="dxa"/>
            <w:vAlign w:val="bottom"/>
          </w:tcPr>
          <w:p>
            <w:pPr>
              <w:spacing w:after="0"/>
              <w:rPr>
                <w:sz w:val="18"/>
                <w:szCs w:val="18"/>
                <w:color w:val="auto"/>
              </w:rPr>
            </w:pPr>
          </w:p>
        </w:tc>
        <w:tc>
          <w:tcPr>
            <w:tcW w:w="2600" w:type="dxa"/>
            <w:vAlign w:val="bottom"/>
          </w:tcPr>
          <w:p>
            <w:pPr>
              <w:ind w:left="540"/>
              <w:spacing w:after="0"/>
              <w:rPr>
                <w:sz w:val="20"/>
                <w:szCs w:val="20"/>
                <w:color w:val="auto"/>
              </w:rPr>
            </w:pPr>
            <w:r>
              <w:rPr>
                <w:rFonts w:ascii="Arial" w:cs="Arial" w:eastAsia="Arial" w:hAnsi="Arial"/>
                <w:sz w:val="18"/>
                <w:szCs w:val="18"/>
                <w:b w:val="1"/>
                <w:bCs w:val="1"/>
                <w:color w:val="auto"/>
              </w:rPr>
              <w:t>Our Initial Business</w:t>
            </w:r>
          </w:p>
        </w:tc>
      </w:tr>
      <w:tr>
        <w:trPr>
          <w:trHeight w:val="234"/>
        </w:trPr>
        <w:tc>
          <w:tcPr>
            <w:tcW w:w="2640" w:type="dxa"/>
            <w:vAlign w:val="bottom"/>
          </w:tcPr>
          <w:p>
            <w:pPr>
              <w:spacing w:after="0"/>
              <w:rPr>
                <w:sz w:val="20"/>
                <w:szCs w:val="20"/>
                <w:color w:val="auto"/>
              </w:rPr>
            </w:pPr>
          </w:p>
        </w:tc>
        <w:tc>
          <w:tcPr>
            <w:tcW w:w="2600" w:type="dxa"/>
            <w:vAlign w:val="bottom"/>
            <w:tcBorders>
              <w:bottom w:val="single" w:sz="8" w:color="auto"/>
            </w:tcBorders>
          </w:tcPr>
          <w:p>
            <w:pPr>
              <w:ind w:left="780"/>
              <w:spacing w:after="0"/>
              <w:rPr>
                <w:sz w:val="20"/>
                <w:szCs w:val="20"/>
                <w:color w:val="auto"/>
              </w:rPr>
            </w:pPr>
            <w:r>
              <w:rPr>
                <w:rFonts w:ascii="Arial" w:cs="Arial" w:eastAsia="Arial" w:hAnsi="Arial"/>
                <w:sz w:val="18"/>
                <w:szCs w:val="18"/>
                <w:b w:val="1"/>
                <w:bCs w:val="1"/>
                <w:color w:val="auto"/>
              </w:rPr>
              <w:t>Combination</w:t>
            </w:r>
          </w:p>
        </w:tc>
      </w:tr>
      <w:tr>
        <w:trPr>
          <w:trHeight w:val="353"/>
        </w:trPr>
        <w:tc>
          <w:tcPr>
            <w:tcW w:w="2640" w:type="dxa"/>
            <w:vAlign w:val="bottom"/>
          </w:tcPr>
          <w:p>
            <w:pPr>
              <w:spacing w:after="0"/>
              <w:rPr>
                <w:sz w:val="20"/>
                <w:szCs w:val="20"/>
                <w:color w:val="auto"/>
              </w:rPr>
            </w:pPr>
            <w:r>
              <w:rPr>
                <w:rFonts w:ascii="Arial" w:cs="Arial" w:eastAsia="Arial" w:hAnsi="Arial"/>
                <w:sz w:val="18"/>
                <w:szCs w:val="18"/>
                <w:b w:val="1"/>
                <w:bCs w:val="1"/>
                <w:color w:val="auto"/>
              </w:rPr>
              <w:t>Calculation of redemption or</w:t>
            </w:r>
          </w:p>
        </w:tc>
        <w:tc>
          <w:tcPr>
            <w:tcW w:w="2600" w:type="dxa"/>
            <w:vAlign w:val="bottom"/>
          </w:tcPr>
          <w:p>
            <w:pPr>
              <w:spacing w:after="0"/>
              <w:rPr>
                <w:sz w:val="20"/>
                <w:szCs w:val="20"/>
                <w:color w:val="auto"/>
              </w:rPr>
            </w:pPr>
            <w:r>
              <w:rPr>
                <w:rFonts w:ascii="Arial" w:cs="Arial" w:eastAsia="Arial" w:hAnsi="Arial"/>
                <w:sz w:val="18"/>
                <w:szCs w:val="18"/>
                <w:color w:val="auto"/>
              </w:rPr>
              <w:t>Redemptions at the time of our</w:t>
            </w:r>
          </w:p>
        </w:tc>
      </w:tr>
      <w:tr>
        <w:trPr>
          <w:trHeight w:val="220"/>
        </w:trPr>
        <w:tc>
          <w:tcPr>
            <w:tcW w:w="2640" w:type="dxa"/>
            <w:vAlign w:val="bottom"/>
          </w:tcPr>
          <w:p>
            <w:pPr>
              <w:ind w:left="160"/>
              <w:spacing w:after="0"/>
              <w:rPr>
                <w:sz w:val="20"/>
                <w:szCs w:val="20"/>
                <w:color w:val="auto"/>
              </w:rPr>
            </w:pPr>
            <w:r>
              <w:rPr>
                <w:rFonts w:ascii="Arial" w:cs="Arial" w:eastAsia="Arial" w:hAnsi="Arial"/>
                <w:sz w:val="18"/>
                <w:szCs w:val="18"/>
                <w:b w:val="1"/>
                <w:bCs w:val="1"/>
                <w:color w:val="auto"/>
              </w:rPr>
              <w:t>purchase price</w:t>
            </w:r>
          </w:p>
        </w:tc>
        <w:tc>
          <w:tcPr>
            <w:tcW w:w="2600" w:type="dxa"/>
            <w:vAlign w:val="bottom"/>
          </w:tcPr>
          <w:p>
            <w:pPr>
              <w:spacing w:after="0"/>
              <w:rPr>
                <w:sz w:val="20"/>
                <w:szCs w:val="20"/>
                <w:color w:val="auto"/>
              </w:rPr>
            </w:pPr>
            <w:r>
              <w:rPr>
                <w:rFonts w:ascii="Arial" w:cs="Arial" w:eastAsia="Arial" w:hAnsi="Arial"/>
                <w:sz w:val="18"/>
                <w:szCs w:val="18"/>
                <w:color w:val="auto"/>
                <w:w w:val="91"/>
              </w:rPr>
              <w:t>initial business combination may be</w:t>
            </w:r>
          </w:p>
        </w:tc>
      </w:tr>
      <w:tr>
        <w:trPr>
          <w:trHeight w:val="216"/>
        </w:trPr>
        <w:tc>
          <w:tcPr>
            <w:tcW w:w="264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Arial" w:cs="Arial" w:eastAsia="Arial" w:hAnsi="Arial"/>
                <w:sz w:val="18"/>
                <w:szCs w:val="18"/>
                <w:color w:val="auto"/>
                <w:w w:val="94"/>
              </w:rPr>
              <w:t>made pursuant to a tender offer or</w:t>
            </w:r>
          </w:p>
        </w:tc>
      </w:tr>
      <w:tr>
        <w:trPr>
          <w:trHeight w:val="216"/>
        </w:trPr>
        <w:tc>
          <w:tcPr>
            <w:tcW w:w="264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Arial" w:cs="Arial" w:eastAsia="Arial" w:hAnsi="Arial"/>
                <w:sz w:val="18"/>
                <w:szCs w:val="18"/>
                <w:color w:val="auto"/>
                <w:w w:val="99"/>
              </w:rPr>
              <w:t>in connection with a shareholder</w:t>
            </w:r>
          </w:p>
        </w:tc>
      </w:tr>
      <w:tr>
        <w:trPr>
          <w:trHeight w:val="216"/>
        </w:trPr>
        <w:tc>
          <w:tcPr>
            <w:tcW w:w="264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Arial" w:cs="Arial" w:eastAsia="Arial" w:hAnsi="Arial"/>
                <w:sz w:val="18"/>
                <w:szCs w:val="18"/>
                <w:color w:val="auto"/>
                <w:w w:val="95"/>
              </w:rPr>
              <w:t>vote. The redemption price will be</w:t>
            </w:r>
          </w:p>
        </w:tc>
      </w:tr>
      <w:tr>
        <w:trPr>
          <w:trHeight w:val="216"/>
        </w:trPr>
        <w:tc>
          <w:tcPr>
            <w:tcW w:w="264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Arial" w:cs="Arial" w:eastAsia="Arial" w:hAnsi="Arial"/>
                <w:sz w:val="18"/>
                <w:szCs w:val="18"/>
                <w:color w:val="auto"/>
              </w:rPr>
              <w:t>the same whether we conduct</w:t>
            </w:r>
          </w:p>
        </w:tc>
      </w:tr>
      <w:tr>
        <w:trPr>
          <w:trHeight w:val="216"/>
        </w:trPr>
        <w:tc>
          <w:tcPr>
            <w:tcW w:w="264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Arial" w:cs="Arial" w:eastAsia="Arial" w:hAnsi="Arial"/>
                <w:sz w:val="18"/>
                <w:szCs w:val="18"/>
                <w:color w:val="auto"/>
                <w:w w:val="97"/>
              </w:rPr>
              <w:t>redemptions pursuant to a tender</w:t>
            </w:r>
          </w:p>
        </w:tc>
      </w:tr>
      <w:tr>
        <w:trPr>
          <w:trHeight w:val="216"/>
        </w:trPr>
        <w:tc>
          <w:tcPr>
            <w:tcW w:w="264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Arial" w:cs="Arial" w:eastAsia="Arial" w:hAnsi="Arial"/>
                <w:sz w:val="18"/>
                <w:szCs w:val="18"/>
                <w:color w:val="auto"/>
              </w:rPr>
              <w:t>offer or in connection with a</w:t>
            </w:r>
          </w:p>
        </w:tc>
      </w:tr>
      <w:tr>
        <w:trPr>
          <w:trHeight w:val="216"/>
        </w:trPr>
        <w:tc>
          <w:tcPr>
            <w:tcW w:w="264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Arial" w:cs="Arial" w:eastAsia="Arial" w:hAnsi="Arial"/>
                <w:sz w:val="18"/>
                <w:szCs w:val="18"/>
                <w:color w:val="auto"/>
                <w:w w:val="89"/>
              </w:rPr>
              <w:t>shareholder vote. In either case, our</w:t>
            </w:r>
          </w:p>
        </w:tc>
      </w:tr>
      <w:tr>
        <w:trPr>
          <w:trHeight w:val="216"/>
        </w:trPr>
        <w:tc>
          <w:tcPr>
            <w:tcW w:w="264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Arial" w:cs="Arial" w:eastAsia="Arial" w:hAnsi="Arial"/>
                <w:sz w:val="18"/>
                <w:szCs w:val="18"/>
                <w:color w:val="auto"/>
                <w:w w:val="98"/>
              </w:rPr>
              <w:t>public shareholders may redeem</w:t>
            </w:r>
          </w:p>
        </w:tc>
      </w:tr>
      <w:tr>
        <w:trPr>
          <w:trHeight w:val="216"/>
        </w:trPr>
        <w:tc>
          <w:tcPr>
            <w:tcW w:w="264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Arial" w:cs="Arial" w:eastAsia="Arial" w:hAnsi="Arial"/>
                <w:sz w:val="18"/>
                <w:szCs w:val="18"/>
                <w:color w:val="auto"/>
                <w:w w:val="90"/>
              </w:rPr>
              <w:t>their public shares for cash equal to</w:t>
            </w:r>
          </w:p>
        </w:tc>
      </w:tr>
      <w:tr>
        <w:trPr>
          <w:trHeight w:val="216"/>
        </w:trPr>
        <w:tc>
          <w:tcPr>
            <w:tcW w:w="264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Arial" w:cs="Arial" w:eastAsia="Arial" w:hAnsi="Arial"/>
                <w:sz w:val="18"/>
                <w:szCs w:val="18"/>
                <w:color w:val="auto"/>
              </w:rPr>
              <w:t>the aggregate amount then on</w:t>
            </w:r>
          </w:p>
        </w:tc>
      </w:tr>
      <w:tr>
        <w:trPr>
          <w:trHeight w:val="216"/>
        </w:trPr>
        <w:tc>
          <w:tcPr>
            <w:tcW w:w="264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Arial" w:cs="Arial" w:eastAsia="Arial" w:hAnsi="Arial"/>
                <w:sz w:val="18"/>
                <w:szCs w:val="18"/>
                <w:color w:val="auto"/>
              </w:rPr>
              <w:t>deposit in the trust account</w:t>
            </w:r>
          </w:p>
        </w:tc>
      </w:tr>
      <w:tr>
        <w:trPr>
          <w:trHeight w:val="216"/>
        </w:trPr>
        <w:tc>
          <w:tcPr>
            <w:tcW w:w="264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Arial" w:cs="Arial" w:eastAsia="Arial" w:hAnsi="Arial"/>
                <w:sz w:val="18"/>
                <w:szCs w:val="18"/>
                <w:color w:val="auto"/>
                <w:w w:val="93"/>
              </w:rPr>
              <w:t>calculated as of two business days</w:t>
            </w:r>
          </w:p>
        </w:tc>
      </w:tr>
      <w:tr>
        <w:trPr>
          <w:trHeight w:val="216"/>
        </w:trPr>
        <w:tc>
          <w:tcPr>
            <w:tcW w:w="264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Arial" w:cs="Arial" w:eastAsia="Arial" w:hAnsi="Arial"/>
                <w:sz w:val="18"/>
                <w:szCs w:val="18"/>
                <w:color w:val="auto"/>
                <w:w w:val="99"/>
              </w:rPr>
              <w:t>prior to the consummation of the</w:t>
            </w:r>
          </w:p>
        </w:tc>
      </w:tr>
      <w:tr>
        <w:trPr>
          <w:trHeight w:val="216"/>
        </w:trPr>
        <w:tc>
          <w:tcPr>
            <w:tcW w:w="264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Arial" w:cs="Arial" w:eastAsia="Arial" w:hAnsi="Arial"/>
                <w:sz w:val="18"/>
                <w:szCs w:val="18"/>
                <w:color w:val="auto"/>
                <w:w w:val="93"/>
              </w:rPr>
              <w:t>initial business combination (which</w:t>
            </w:r>
          </w:p>
        </w:tc>
      </w:tr>
      <w:tr>
        <w:trPr>
          <w:trHeight w:val="216"/>
        </w:trPr>
        <w:tc>
          <w:tcPr>
            <w:tcW w:w="264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Arial" w:cs="Arial" w:eastAsia="Arial" w:hAnsi="Arial"/>
                <w:sz w:val="18"/>
                <w:szCs w:val="18"/>
                <w:color w:val="auto"/>
                <w:w w:val="95"/>
              </w:rPr>
              <w:t>is initially anticipated to be $10.00</w:t>
            </w:r>
          </w:p>
        </w:tc>
      </w:tr>
      <w:tr>
        <w:trPr>
          <w:trHeight w:val="216"/>
        </w:trPr>
        <w:tc>
          <w:tcPr>
            <w:tcW w:w="264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Arial" w:cs="Arial" w:eastAsia="Arial" w:hAnsi="Arial"/>
                <w:sz w:val="18"/>
                <w:szCs w:val="18"/>
                <w:color w:val="auto"/>
                <w:w w:val="89"/>
              </w:rPr>
              <w:t>per share), including interest earned</w:t>
            </w:r>
          </w:p>
        </w:tc>
      </w:tr>
      <w:tr>
        <w:trPr>
          <w:trHeight w:val="216"/>
        </w:trPr>
        <w:tc>
          <w:tcPr>
            <w:tcW w:w="264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Arial" w:cs="Arial" w:eastAsia="Arial" w:hAnsi="Arial"/>
                <w:sz w:val="18"/>
                <w:szCs w:val="18"/>
                <w:color w:val="auto"/>
              </w:rPr>
              <w:t>on the funds held in the trust</w:t>
            </w:r>
          </w:p>
        </w:tc>
      </w:tr>
      <w:tr>
        <w:trPr>
          <w:trHeight w:val="216"/>
        </w:trPr>
        <w:tc>
          <w:tcPr>
            <w:tcW w:w="264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Arial" w:cs="Arial" w:eastAsia="Arial" w:hAnsi="Arial"/>
                <w:sz w:val="18"/>
                <w:szCs w:val="18"/>
                <w:color w:val="auto"/>
                <w:w w:val="89"/>
              </w:rPr>
              <w:t>account and not previously released</w:t>
            </w:r>
          </w:p>
        </w:tc>
      </w:tr>
      <w:tr>
        <w:trPr>
          <w:trHeight w:val="216"/>
        </w:trPr>
        <w:tc>
          <w:tcPr>
            <w:tcW w:w="264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Arial" w:cs="Arial" w:eastAsia="Arial" w:hAnsi="Arial"/>
                <w:sz w:val="18"/>
                <w:szCs w:val="18"/>
                <w:color w:val="auto"/>
                <w:w w:val="98"/>
              </w:rPr>
              <w:t>to us to pay our taxes, divided by</w:t>
            </w:r>
          </w:p>
        </w:tc>
      </w:tr>
      <w:tr>
        <w:trPr>
          <w:trHeight w:val="216"/>
        </w:trPr>
        <w:tc>
          <w:tcPr>
            <w:tcW w:w="264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Arial" w:cs="Arial" w:eastAsia="Arial" w:hAnsi="Arial"/>
                <w:sz w:val="18"/>
                <w:szCs w:val="18"/>
                <w:color w:val="auto"/>
              </w:rPr>
              <w:t>the number of then outstanding</w:t>
            </w:r>
          </w:p>
        </w:tc>
      </w:tr>
      <w:tr>
        <w:trPr>
          <w:trHeight w:val="216"/>
        </w:trPr>
        <w:tc>
          <w:tcPr>
            <w:tcW w:w="264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Arial" w:cs="Arial" w:eastAsia="Arial" w:hAnsi="Arial"/>
                <w:sz w:val="18"/>
                <w:szCs w:val="18"/>
                <w:color w:val="auto"/>
              </w:rPr>
              <w:t>public shares, subject to the</w:t>
            </w:r>
          </w:p>
        </w:tc>
      </w:tr>
      <w:tr>
        <w:trPr>
          <w:trHeight w:val="216"/>
        </w:trPr>
        <w:tc>
          <w:tcPr>
            <w:tcW w:w="264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Arial" w:cs="Arial" w:eastAsia="Arial" w:hAnsi="Arial"/>
                <w:sz w:val="18"/>
                <w:szCs w:val="18"/>
                <w:color w:val="auto"/>
                <w:w w:val="97"/>
              </w:rPr>
              <w:t>limitation that no redemptions will</w:t>
            </w:r>
          </w:p>
        </w:tc>
      </w:tr>
      <w:tr>
        <w:trPr>
          <w:trHeight w:val="216"/>
        </w:trPr>
        <w:tc>
          <w:tcPr>
            <w:tcW w:w="264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Arial" w:cs="Arial" w:eastAsia="Arial" w:hAnsi="Arial"/>
                <w:sz w:val="18"/>
                <w:szCs w:val="18"/>
                <w:color w:val="auto"/>
                <w:w w:val="94"/>
              </w:rPr>
              <w:t>take place if all of the redemptions</w:t>
            </w:r>
          </w:p>
        </w:tc>
      </w:tr>
      <w:tr>
        <w:trPr>
          <w:trHeight w:val="216"/>
        </w:trPr>
        <w:tc>
          <w:tcPr>
            <w:tcW w:w="264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Arial" w:cs="Arial" w:eastAsia="Arial" w:hAnsi="Arial"/>
                <w:sz w:val="18"/>
                <w:szCs w:val="18"/>
                <w:color w:val="auto"/>
                <w:w w:val="90"/>
              </w:rPr>
              <w:t>would cause our net tangible assets</w:t>
            </w:r>
          </w:p>
        </w:tc>
      </w:tr>
      <w:tr>
        <w:trPr>
          <w:trHeight w:val="216"/>
        </w:trPr>
        <w:tc>
          <w:tcPr>
            <w:tcW w:w="264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Arial" w:cs="Arial" w:eastAsia="Arial" w:hAnsi="Arial"/>
                <w:sz w:val="18"/>
                <w:szCs w:val="18"/>
                <w:color w:val="auto"/>
                <w:w w:val="91"/>
              </w:rPr>
              <w:t>to be less than $5,000,001 and any</w:t>
            </w:r>
          </w:p>
        </w:tc>
      </w:tr>
      <w:tr>
        <w:trPr>
          <w:trHeight w:val="216"/>
        </w:trPr>
        <w:tc>
          <w:tcPr>
            <w:tcW w:w="264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Arial" w:cs="Arial" w:eastAsia="Arial" w:hAnsi="Arial"/>
                <w:sz w:val="18"/>
                <w:szCs w:val="18"/>
                <w:color w:val="auto"/>
              </w:rPr>
              <w:t>limitations (including but not</w:t>
            </w:r>
          </w:p>
        </w:tc>
      </w:tr>
      <w:tr>
        <w:trPr>
          <w:trHeight w:val="216"/>
        </w:trPr>
        <w:tc>
          <w:tcPr>
            <w:tcW w:w="264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Arial" w:cs="Arial" w:eastAsia="Arial" w:hAnsi="Arial"/>
                <w:sz w:val="18"/>
                <w:szCs w:val="18"/>
                <w:color w:val="auto"/>
              </w:rPr>
              <w:t>limited to cash requirements)</w:t>
            </w:r>
          </w:p>
        </w:tc>
      </w:tr>
      <w:tr>
        <w:trPr>
          <w:trHeight w:val="216"/>
        </w:trPr>
        <w:tc>
          <w:tcPr>
            <w:tcW w:w="264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Arial" w:cs="Arial" w:eastAsia="Arial" w:hAnsi="Arial"/>
                <w:sz w:val="18"/>
                <w:szCs w:val="18"/>
                <w:color w:val="auto"/>
              </w:rPr>
              <w:t>agreed to in connection with the</w:t>
            </w:r>
          </w:p>
        </w:tc>
      </w:tr>
      <w:tr>
        <w:trPr>
          <w:trHeight w:val="216"/>
        </w:trPr>
        <w:tc>
          <w:tcPr>
            <w:tcW w:w="264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Arial" w:cs="Arial" w:eastAsia="Arial" w:hAnsi="Arial"/>
                <w:sz w:val="18"/>
                <w:szCs w:val="18"/>
                <w:color w:val="auto"/>
                <w:w w:val="94"/>
              </w:rPr>
              <w:t>negotiation of terms of a proposed</w:t>
            </w:r>
          </w:p>
        </w:tc>
      </w:tr>
      <w:tr>
        <w:trPr>
          <w:trHeight w:val="230"/>
        </w:trPr>
        <w:tc>
          <w:tcPr>
            <w:tcW w:w="2640" w:type="dxa"/>
            <w:vAlign w:val="bottom"/>
          </w:tcPr>
          <w:p>
            <w:pPr>
              <w:spacing w:after="0"/>
              <w:rPr>
                <w:sz w:val="20"/>
                <w:szCs w:val="20"/>
                <w:color w:val="auto"/>
              </w:rPr>
            </w:pPr>
          </w:p>
        </w:tc>
        <w:tc>
          <w:tcPr>
            <w:tcW w:w="2600" w:type="dxa"/>
            <w:vAlign w:val="bottom"/>
          </w:tcPr>
          <w:p>
            <w:pPr>
              <w:spacing w:after="0"/>
              <w:rPr>
                <w:sz w:val="20"/>
                <w:szCs w:val="20"/>
                <w:color w:val="auto"/>
              </w:rPr>
            </w:pPr>
            <w:r>
              <w:rPr>
                <w:rFonts w:ascii="Arial" w:cs="Arial" w:eastAsia="Arial" w:hAnsi="Arial"/>
                <w:sz w:val="18"/>
                <w:szCs w:val="18"/>
                <w:color w:val="auto"/>
              </w:rPr>
              <w:t>business combination.</w:t>
            </w:r>
          </w:p>
        </w:tc>
      </w:tr>
    </w:tbl>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ind w:left="80" w:right="120" w:firstLine="75"/>
        <w:spacing w:after="0" w:line="347" w:lineRule="auto"/>
        <w:rPr>
          <w:sz w:val="20"/>
          <w:szCs w:val="20"/>
          <w:color w:val="auto"/>
        </w:rPr>
      </w:pPr>
      <w:r>
        <w:rPr>
          <w:rFonts w:ascii="Arial" w:cs="Arial" w:eastAsia="Arial" w:hAnsi="Arial"/>
          <w:sz w:val="16"/>
          <w:szCs w:val="16"/>
          <w:b w:val="1"/>
          <w:bCs w:val="1"/>
          <w:color w:val="auto"/>
        </w:rPr>
        <w:t>Other Permitted Purchases of Public Shares by Our Affiliates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-51435</wp:posOffset>
            </wp:positionV>
            <wp:extent cx="165417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654175" cy="8255"/>
                    </a:xfrm>
                    <a:prstGeom prst="rect">
                      <a:avLst/>
                    </a:prstGeom>
                    <a:noFill/>
                  </pic:spPr>
                </pic:pic>
              </a:graphicData>
            </a:graphic>
          </wp:anchor>
        </w:drawing>
      </w:r>
    </w:p>
    <w:p>
      <w:pPr>
        <w:spacing w:after="0" w:line="59" w:lineRule="exact"/>
        <w:rPr>
          <w:sz w:val="20"/>
          <w:szCs w:val="20"/>
          <w:color w:val="auto"/>
        </w:rPr>
      </w:pPr>
    </w:p>
    <w:p>
      <w:pPr>
        <w:spacing w:after="0" w:line="303" w:lineRule="auto"/>
        <w:rPr>
          <w:sz w:val="20"/>
          <w:szCs w:val="20"/>
          <w:color w:val="auto"/>
        </w:rPr>
      </w:pPr>
      <w:r>
        <w:rPr>
          <w:rFonts w:ascii="Arial" w:cs="Arial" w:eastAsia="Arial" w:hAnsi="Arial"/>
          <w:sz w:val="15"/>
          <w:szCs w:val="15"/>
          <w:color w:val="auto"/>
        </w:rPr>
        <w:t>If we seek shareholder approval of our initial business combination, our initial shareholders, directors, officers, advisors or their affiliates may purchase shares in privately negotiated transactions or in the open market either prior to or following completion of our initial business combination. There is no limit to the prices that our initial shareholders, directors, officers, advisors or their affiliates may pay in these transactions. If they engage in such transactions, they will be restricted from making any such purchases when they are in possession of any material nonpublic information or if such purchases are prohibited by Regulation M under the Exchange Act. We do not currently anticipate that such purchases, if any, would constitute a tender offer subject to the tender offer rules under the Exchange Act or a going-private transaction subject to the going-private rules under the Exchange Act; however, if the purchasers determine at the time of any such purchases that the purchases are subject to such rules, the purchasers will comply with such rules.</w:t>
      </w:r>
    </w:p>
    <w:p>
      <w:pPr>
        <w:spacing w:after="0" w:line="20" w:lineRule="exact"/>
        <w:rPr>
          <w:sz w:val="20"/>
          <w:szCs w:val="20"/>
          <w:color w:val="auto"/>
        </w:rPr>
      </w:pPr>
      <w:r>
        <w:rPr>
          <w:sz w:val="20"/>
          <w:szCs w:val="20"/>
          <w:color w:val="auto"/>
        </w:rPr>
        <w:br w:type="column"/>
      </w:r>
    </w:p>
    <w:p>
      <w:pPr>
        <w:jc w:val="center"/>
        <w:ind w:left="260"/>
        <w:spacing w:after="0" w:line="266" w:lineRule="auto"/>
        <w:rPr>
          <w:sz w:val="20"/>
          <w:szCs w:val="20"/>
          <w:color w:val="auto"/>
        </w:rPr>
      </w:pPr>
      <w:r>
        <w:rPr>
          <w:rFonts w:ascii="Arial" w:cs="Arial" w:eastAsia="Arial" w:hAnsi="Arial"/>
          <w:sz w:val="18"/>
          <w:szCs w:val="18"/>
          <w:b w:val="1"/>
          <w:bCs w:val="1"/>
          <w:color w:val="auto"/>
        </w:rPr>
        <w:t>Redemptions If We Fail to Complete an Initial Business Combination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172339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723390" cy="8255"/>
                    </a:xfrm>
                    <a:prstGeom prst="rect">
                      <a:avLst/>
                    </a:prstGeom>
                    <a:noFill/>
                  </pic:spPr>
                </pic:pic>
              </a:graphicData>
            </a:graphic>
          </wp:anchor>
        </w:drawing>
      </w:r>
    </w:p>
    <w:p>
      <w:pPr>
        <w:spacing w:after="0" w:line="119"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If we have not completed our initial business combination within 24 months from the closing of this offering or during any Extension Period, we will redeem all public shares at a per-share price, payable in cash, equal to the aggregate amount, then on deposit in the trust account (which is initially anticipated to be $10.00 per share), including interest earned on the funds held in the trust account and not previously released to us (less taxes payable and up to $100,000 of interest income to pay dissolution expenses) divided by the number of then outstanding public shares.</w:t>
      </w:r>
    </w:p>
    <w:p>
      <w:pPr>
        <w:spacing w:after="0" w:line="3356" w:lineRule="exact"/>
        <w:rPr>
          <w:sz w:val="20"/>
          <w:szCs w:val="20"/>
          <w:color w:val="auto"/>
        </w:rPr>
      </w:pPr>
    </w:p>
    <w:p>
      <w:pPr>
        <w:sectPr>
          <w:pgSz w:w="11900" w:h="16838" w:orient="portrait"/>
          <w:cols w:equalWidth="0" w:num="3">
            <w:col w:w="5240" w:space="200"/>
            <w:col w:w="2600" w:space="220"/>
            <w:col w:w="2700"/>
          </w:cols>
          <w:pgMar w:left="500" w:top="661" w:right="439" w:bottom="1440" w:gutter="0" w:footer="0" w:header="0"/>
        </w:sectPr>
      </w:pPr>
    </w:p>
    <w:p>
      <w:pPr>
        <w:spacing w:after="0"/>
        <w:rPr>
          <w:sz w:val="20"/>
          <w:szCs w:val="20"/>
          <w:color w:val="auto"/>
        </w:rPr>
      </w:pPr>
      <w:r>
        <w:rPr>
          <w:rFonts w:ascii="Arial" w:cs="Arial" w:eastAsia="Arial" w:hAnsi="Arial"/>
          <w:sz w:val="16"/>
          <w:szCs w:val="16"/>
          <w:b w:val="1"/>
          <w:bCs w:val="1"/>
          <w:color w:val="auto"/>
        </w:rPr>
        <w:t xml:space="preserve">Impact to remaining shareholder </w:t>
      </w:r>
      <w:r>
        <w:rPr>
          <w:rFonts w:ascii="Arial" w:cs="Arial" w:eastAsia="Arial" w:hAnsi="Arial"/>
          <w:sz w:val="16"/>
          <w:szCs w:val="16"/>
          <w:color w:val="auto"/>
        </w:rPr>
        <w:t>The redemptions in connection with</w:t>
      </w:r>
    </w:p>
    <w:p>
      <w:pPr>
        <w:spacing w:after="0" w:line="50" w:lineRule="exact"/>
        <w:rPr>
          <w:sz w:val="20"/>
          <w:szCs w:val="20"/>
          <w:color w:val="auto"/>
        </w:rPr>
      </w:pPr>
    </w:p>
    <w:p>
      <w:pPr>
        <w:ind w:left="2640"/>
        <w:spacing w:after="0"/>
        <w:rPr>
          <w:sz w:val="20"/>
          <w:szCs w:val="20"/>
          <w:color w:val="auto"/>
        </w:rPr>
      </w:pPr>
      <w:r>
        <w:rPr>
          <w:rFonts w:ascii="Arial" w:cs="Arial" w:eastAsia="Arial" w:hAnsi="Arial"/>
          <w:sz w:val="18"/>
          <w:szCs w:val="18"/>
          <w:color w:val="auto"/>
        </w:rPr>
        <w:t>our initial business combination</w:t>
      </w:r>
    </w:p>
    <w:p>
      <w:pPr>
        <w:spacing w:after="0" w:line="9" w:lineRule="exact"/>
        <w:rPr>
          <w:sz w:val="20"/>
          <w:szCs w:val="20"/>
          <w:color w:val="auto"/>
        </w:rPr>
      </w:pPr>
    </w:p>
    <w:p>
      <w:pPr>
        <w:ind w:left="2640"/>
        <w:spacing w:after="0"/>
        <w:rPr>
          <w:sz w:val="20"/>
          <w:szCs w:val="20"/>
          <w:color w:val="auto"/>
        </w:rPr>
      </w:pPr>
      <w:r>
        <w:rPr>
          <w:rFonts w:ascii="Arial" w:cs="Arial" w:eastAsia="Arial" w:hAnsi="Arial"/>
          <w:sz w:val="16"/>
          <w:szCs w:val="16"/>
          <w:color w:val="auto"/>
        </w:rPr>
        <w:t>will reduce the book value per share</w:t>
      </w:r>
    </w:p>
    <w:p>
      <w:pPr>
        <w:spacing w:after="0" w:line="32" w:lineRule="exact"/>
        <w:rPr>
          <w:sz w:val="20"/>
          <w:szCs w:val="20"/>
          <w:color w:val="auto"/>
        </w:rPr>
      </w:pPr>
    </w:p>
    <w:p>
      <w:pPr>
        <w:ind w:left="2640"/>
        <w:spacing w:after="0"/>
        <w:rPr>
          <w:sz w:val="20"/>
          <w:szCs w:val="20"/>
          <w:color w:val="auto"/>
        </w:rPr>
      </w:pPr>
      <w:r>
        <w:rPr>
          <w:rFonts w:ascii="Arial" w:cs="Arial" w:eastAsia="Arial" w:hAnsi="Arial"/>
          <w:sz w:val="18"/>
          <w:szCs w:val="18"/>
          <w:color w:val="auto"/>
        </w:rPr>
        <w:t>for our remaining shareholders,</w:t>
      </w:r>
    </w:p>
    <w:p>
      <w:pPr>
        <w:spacing w:after="0" w:line="9" w:lineRule="exact"/>
        <w:rPr>
          <w:sz w:val="20"/>
          <w:szCs w:val="20"/>
          <w:color w:val="auto"/>
        </w:rPr>
      </w:pPr>
    </w:p>
    <w:p>
      <w:pPr>
        <w:ind w:left="2640"/>
        <w:spacing w:after="0"/>
        <w:rPr>
          <w:sz w:val="20"/>
          <w:szCs w:val="20"/>
          <w:color w:val="auto"/>
        </w:rPr>
      </w:pPr>
      <w:r>
        <w:rPr>
          <w:rFonts w:ascii="Arial" w:cs="Arial" w:eastAsia="Arial" w:hAnsi="Arial"/>
          <w:sz w:val="18"/>
          <w:szCs w:val="18"/>
          <w:color w:val="auto"/>
        </w:rPr>
        <w:t>who will bear the burden of the</w:t>
      </w:r>
    </w:p>
    <w:p>
      <w:pPr>
        <w:spacing w:after="0" w:line="9" w:lineRule="exact"/>
        <w:rPr>
          <w:sz w:val="20"/>
          <w:szCs w:val="20"/>
          <w:color w:val="auto"/>
        </w:rPr>
      </w:pPr>
    </w:p>
    <w:p>
      <w:pPr>
        <w:ind w:left="2640"/>
        <w:spacing w:after="0"/>
        <w:rPr>
          <w:sz w:val="20"/>
          <w:szCs w:val="20"/>
          <w:color w:val="auto"/>
        </w:rPr>
      </w:pPr>
      <w:r>
        <w:rPr>
          <w:rFonts w:ascii="Arial" w:cs="Arial" w:eastAsia="Arial" w:hAnsi="Arial"/>
          <w:sz w:val="16"/>
          <w:szCs w:val="16"/>
          <w:color w:val="auto"/>
        </w:rPr>
        <w:t>deferred underwriting commissions</w:t>
      </w:r>
    </w:p>
    <w:p>
      <w:pPr>
        <w:spacing w:after="0" w:line="32" w:lineRule="exact"/>
        <w:rPr>
          <w:sz w:val="20"/>
          <w:szCs w:val="20"/>
          <w:color w:val="auto"/>
        </w:rPr>
      </w:pPr>
    </w:p>
    <w:p>
      <w:pPr>
        <w:ind w:left="2640"/>
        <w:spacing w:after="0"/>
        <w:rPr>
          <w:sz w:val="20"/>
          <w:szCs w:val="20"/>
          <w:color w:val="auto"/>
        </w:rPr>
      </w:pPr>
      <w:r>
        <w:rPr>
          <w:rFonts w:ascii="Arial" w:cs="Arial" w:eastAsia="Arial" w:hAnsi="Arial"/>
          <w:sz w:val="17"/>
          <w:szCs w:val="17"/>
          <w:color w:val="auto"/>
        </w:rPr>
        <w:t>and interest withdrawn in order to</w:t>
      </w:r>
    </w:p>
    <w:p>
      <w:pPr>
        <w:spacing w:after="0" w:line="21" w:lineRule="exact"/>
        <w:rPr>
          <w:sz w:val="20"/>
          <w:szCs w:val="20"/>
          <w:color w:val="auto"/>
        </w:rPr>
      </w:pPr>
    </w:p>
    <w:p>
      <w:pPr>
        <w:ind w:left="2640"/>
        <w:spacing w:after="0"/>
        <w:rPr>
          <w:sz w:val="20"/>
          <w:szCs w:val="20"/>
          <w:color w:val="auto"/>
        </w:rPr>
      </w:pPr>
      <w:r>
        <w:rPr>
          <w:rFonts w:ascii="Arial" w:cs="Arial" w:eastAsia="Arial" w:hAnsi="Arial"/>
          <w:sz w:val="16"/>
          <w:szCs w:val="16"/>
          <w:color w:val="auto"/>
        </w:rPr>
        <w:t>pay our taxes (to the extent not paid</w:t>
      </w:r>
    </w:p>
    <w:p>
      <w:pPr>
        <w:spacing w:after="0" w:line="32" w:lineRule="exact"/>
        <w:rPr>
          <w:sz w:val="20"/>
          <w:szCs w:val="20"/>
          <w:color w:val="auto"/>
        </w:rPr>
      </w:pPr>
    </w:p>
    <w:p>
      <w:pPr>
        <w:ind w:left="2640"/>
        <w:spacing w:after="0"/>
        <w:rPr>
          <w:sz w:val="20"/>
          <w:szCs w:val="20"/>
          <w:color w:val="auto"/>
        </w:rPr>
      </w:pPr>
      <w:r>
        <w:rPr>
          <w:rFonts w:ascii="Arial" w:cs="Arial" w:eastAsia="Arial" w:hAnsi="Arial"/>
          <w:sz w:val="16"/>
          <w:szCs w:val="16"/>
          <w:color w:val="auto"/>
        </w:rPr>
        <w:t>from amounts accrued as interest on</w:t>
      </w:r>
    </w:p>
    <w:p>
      <w:pPr>
        <w:spacing w:after="0" w:line="32" w:lineRule="exact"/>
        <w:rPr>
          <w:sz w:val="20"/>
          <w:szCs w:val="20"/>
          <w:color w:val="auto"/>
        </w:rPr>
      </w:pPr>
    </w:p>
    <w:p>
      <w:pPr>
        <w:ind w:left="2640"/>
        <w:spacing w:after="0"/>
        <w:rPr>
          <w:sz w:val="20"/>
          <w:szCs w:val="20"/>
          <w:color w:val="auto"/>
        </w:rPr>
      </w:pPr>
      <w:r>
        <w:rPr>
          <w:rFonts w:ascii="Arial" w:cs="Arial" w:eastAsia="Arial" w:hAnsi="Arial"/>
          <w:sz w:val="16"/>
          <w:szCs w:val="16"/>
          <w:color w:val="auto"/>
        </w:rPr>
        <w:t>the funds held in the trust account).</w:t>
      </w:r>
    </w:p>
    <w:p>
      <w:pPr>
        <w:spacing w:after="0" w:line="20" w:lineRule="exact"/>
        <w:rPr>
          <w:sz w:val="20"/>
          <w:szCs w:val="20"/>
          <w:color w:val="auto"/>
        </w:rPr>
      </w:pPr>
      <w:r>
        <w:rPr>
          <w:sz w:val="20"/>
          <w:szCs w:val="20"/>
          <w:color w:val="auto"/>
        </w:rPr>
        <w:br w:type="column"/>
      </w:r>
    </w:p>
    <w:p>
      <w:pPr>
        <w:ind w:left="160"/>
        <w:spacing w:after="0" w:line="296" w:lineRule="auto"/>
        <w:rPr>
          <w:sz w:val="20"/>
          <w:szCs w:val="20"/>
          <w:color w:val="auto"/>
        </w:rPr>
      </w:pPr>
      <w:r>
        <w:rPr>
          <w:rFonts w:ascii="Arial" w:cs="Arial" w:eastAsia="Arial" w:hAnsi="Arial"/>
          <w:sz w:val="16"/>
          <w:szCs w:val="16"/>
          <w:color w:val="auto"/>
        </w:rPr>
        <w:t>If the permitted purchases described above are made, there would be no impact to our remaining shareholders because the purchase price would not be paid by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-3461385</wp:posOffset>
            </wp:positionH>
            <wp:positionV relativeFrom="paragraph">
              <wp:posOffset>14605</wp:posOffset>
            </wp:positionV>
            <wp:extent cx="713232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40"/>
        <w:spacing w:after="0" w:line="291" w:lineRule="auto"/>
        <w:rPr>
          <w:sz w:val="20"/>
          <w:szCs w:val="20"/>
          <w:color w:val="auto"/>
        </w:rPr>
      </w:pPr>
      <w:r>
        <w:rPr>
          <w:rFonts w:ascii="Arial" w:cs="Arial" w:eastAsia="Arial" w:hAnsi="Arial"/>
          <w:sz w:val="16"/>
          <w:szCs w:val="16"/>
          <w:color w:val="auto"/>
        </w:rPr>
        <w:t>The redemption of our public shares if we fail to complete our initial business combination will reduce the book value per share for the shares held by our initial shareholders, who will be our only remaining shareholders after such redemptions.</w:t>
      </w:r>
    </w:p>
    <w:p>
      <w:pPr>
        <w:sectPr>
          <w:pgSz w:w="11900" w:h="16838" w:orient="portrait"/>
          <w:cols w:equalWidth="0" w:num="3">
            <w:col w:w="5240" w:space="40"/>
            <w:col w:w="2780" w:space="200"/>
            <w:col w:w="2700"/>
          </w:cols>
          <w:pgMar w:left="500" w:top="661" w:right="439" w:bottom="1440" w:gutter="0" w:footer="0" w:header="0"/>
          <w:type w:val="continuous"/>
        </w:sectPr>
      </w:pPr>
    </w:p>
    <w:bookmarkStart w:id="107" w:name="page108"/>
    <w:bookmarkEnd w:id="107"/>
    <w:p>
      <w:pPr>
        <w:jc w:val="center"/>
        <w:ind w:right="-119"/>
        <w:spacing w:after="0"/>
        <w:rPr>
          <w:sz w:val="20"/>
          <w:szCs w:val="20"/>
          <w:color w:val="auto"/>
        </w:rPr>
      </w:pPr>
      <w:r>
        <w:rPr>
          <w:rFonts w:ascii="Arial" w:cs="Arial" w:eastAsia="Arial" w:hAnsi="Arial"/>
          <w:sz w:val="18"/>
          <w:szCs w:val="18"/>
          <w:b w:val="1"/>
          <w:bCs w:val="1"/>
          <w:color w:val="auto"/>
        </w:rPr>
        <w:t>Comparison of This Offering to Those of Blank Check Companies Subject to Rule 419</w:t>
      </w:r>
    </w:p>
    <w:p>
      <w:pPr>
        <w:spacing w:after="0" w:line="229" w:lineRule="exact"/>
        <w:rPr>
          <w:sz w:val="20"/>
          <w:szCs w:val="20"/>
          <w:color w:val="auto"/>
        </w:rPr>
      </w:pPr>
    </w:p>
    <w:p>
      <w:pPr>
        <w:jc w:val="both"/>
        <w:ind w:right="120" w:firstLine="324"/>
        <w:spacing w:after="0" w:line="259" w:lineRule="auto"/>
        <w:rPr>
          <w:sz w:val="20"/>
          <w:szCs w:val="20"/>
          <w:color w:val="auto"/>
        </w:rPr>
      </w:pPr>
      <w:r>
        <w:rPr>
          <w:rFonts w:ascii="Arial" w:cs="Arial" w:eastAsia="Arial" w:hAnsi="Arial"/>
          <w:sz w:val="18"/>
          <w:szCs w:val="18"/>
          <w:color w:val="auto"/>
        </w:rPr>
        <w:t>The following table compares the terms of this offering to the terms of an offering by a blank check company subject to the provisions of Rule 419. This comparison assumes that the gross proceeds, underwriting commissions and underwriting expenses of our offering would be identical to those of an offering undertaken by a company subject to Rule 419, and that the underwriters will not exercise their over-allotment option. None of the provisions of Rule 419 apply to our offering.</w:t>
      </w:r>
    </w:p>
    <w:p>
      <w:pPr>
        <w:sectPr>
          <w:pgSz w:w="11900" w:h="16838" w:orient="portrait"/>
          <w:cols w:equalWidth="0" w:num="1">
            <w:col w:w="11140"/>
          </w:cols>
          <w:pgMar w:left="320" w:top="796" w:right="439" w:bottom="1440" w:gutter="0" w:footer="0" w:header="0"/>
        </w:sectPr>
      </w:pPr>
    </w:p>
    <w:p>
      <w:pPr>
        <w:spacing w:after="0" w:line="264" w:lineRule="exact"/>
        <w:rPr>
          <w:sz w:val="20"/>
          <w:szCs w:val="20"/>
          <w:color w:val="auto"/>
        </w:rPr>
      </w:pPr>
    </w:p>
    <w:tbl>
      <w:tblPr>
        <w:tblLayout w:type="fixed"/>
        <w:tblInd w:w="180" w:type="dxa"/>
        <w:tblCellMar>
          <w:top w:w="0" w:type="dxa"/>
          <w:left w:w="0" w:type="dxa"/>
          <w:bottom w:w="0" w:type="dxa"/>
          <w:right w:w="0" w:type="dxa"/>
        </w:tblCellMar>
      </w:tblPr>
      <w:tr>
        <w:trPr>
          <w:trHeight w:val="234"/>
        </w:trPr>
        <w:tc>
          <w:tcPr>
            <w:tcW w:w="28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620" w:type="dxa"/>
            <w:vAlign w:val="bottom"/>
            <w:tcBorders>
              <w:bottom w:val="single" w:sz="8" w:color="auto"/>
            </w:tcBorders>
          </w:tcPr>
          <w:p>
            <w:pPr>
              <w:ind w:left="920"/>
              <w:spacing w:after="0"/>
              <w:rPr>
                <w:sz w:val="20"/>
                <w:szCs w:val="20"/>
                <w:color w:val="auto"/>
              </w:rPr>
            </w:pPr>
            <w:r>
              <w:rPr>
                <w:rFonts w:ascii="Arial" w:cs="Arial" w:eastAsia="Arial" w:hAnsi="Arial"/>
                <w:sz w:val="18"/>
                <w:szCs w:val="18"/>
                <w:b w:val="1"/>
                <w:bCs w:val="1"/>
                <w:color w:val="auto"/>
              </w:rPr>
              <w:t>Terms of Our Offering</w:t>
            </w:r>
          </w:p>
        </w:tc>
      </w:tr>
      <w:tr>
        <w:trPr>
          <w:trHeight w:val="357"/>
        </w:trPr>
        <w:tc>
          <w:tcPr>
            <w:tcW w:w="2840" w:type="dxa"/>
            <w:vAlign w:val="bottom"/>
          </w:tcPr>
          <w:p>
            <w:pPr>
              <w:spacing w:after="0"/>
              <w:rPr>
                <w:sz w:val="20"/>
                <w:szCs w:val="20"/>
                <w:color w:val="auto"/>
              </w:rPr>
            </w:pPr>
            <w:r>
              <w:rPr>
                <w:rFonts w:ascii="Arial" w:cs="Arial" w:eastAsia="Arial" w:hAnsi="Arial"/>
                <w:sz w:val="18"/>
                <w:szCs w:val="18"/>
                <w:b w:val="1"/>
                <w:bCs w:val="1"/>
                <w:color w:val="auto"/>
              </w:rPr>
              <w:t>Escrow of offering proceeds</w:t>
            </w:r>
          </w:p>
        </w:tc>
        <w:tc>
          <w:tcPr>
            <w:tcW w:w="4320" w:type="dxa"/>
            <w:vAlign w:val="bottom"/>
            <w:gridSpan w:val="2"/>
          </w:tcPr>
          <w:p>
            <w:pPr>
              <w:ind w:left="700"/>
              <w:spacing w:after="0"/>
              <w:rPr>
                <w:sz w:val="20"/>
                <w:szCs w:val="20"/>
                <w:color w:val="auto"/>
              </w:rPr>
            </w:pPr>
            <w:r>
              <w:rPr>
                <w:rFonts w:ascii="Arial" w:cs="Arial" w:eastAsia="Arial" w:hAnsi="Arial"/>
                <w:sz w:val="18"/>
                <w:szCs w:val="18"/>
                <w:color w:val="auto"/>
                <w:w w:val="92"/>
              </w:rPr>
              <w:t>$250,000,000 of the net proceeds of this offering</w:t>
            </w:r>
          </w:p>
        </w:tc>
      </w:tr>
      <w:tr>
        <w:trPr>
          <w:trHeight w:val="216"/>
        </w:trPr>
        <w:tc>
          <w:tcPr>
            <w:tcW w:w="2840" w:type="dxa"/>
            <w:vAlign w:val="bottom"/>
          </w:tcPr>
          <w:p>
            <w:pPr>
              <w:spacing w:after="0"/>
              <w:rPr>
                <w:sz w:val="18"/>
                <w:szCs w:val="18"/>
                <w:color w:val="auto"/>
              </w:rPr>
            </w:pPr>
          </w:p>
        </w:tc>
        <w:tc>
          <w:tcPr>
            <w:tcW w:w="4320" w:type="dxa"/>
            <w:vAlign w:val="bottom"/>
            <w:gridSpan w:val="2"/>
          </w:tcPr>
          <w:p>
            <w:pPr>
              <w:ind w:left="700"/>
              <w:spacing w:after="0"/>
              <w:rPr>
                <w:sz w:val="20"/>
                <w:szCs w:val="20"/>
                <w:color w:val="auto"/>
              </w:rPr>
            </w:pPr>
            <w:r>
              <w:rPr>
                <w:rFonts w:ascii="Arial" w:cs="Arial" w:eastAsia="Arial" w:hAnsi="Arial"/>
                <w:sz w:val="18"/>
                <w:szCs w:val="18"/>
                <w:color w:val="auto"/>
                <w:w w:val="97"/>
              </w:rPr>
              <w:t>and the sale of the private placement warrants</w:t>
            </w:r>
          </w:p>
        </w:tc>
      </w:tr>
      <w:tr>
        <w:trPr>
          <w:trHeight w:val="216"/>
        </w:trPr>
        <w:tc>
          <w:tcPr>
            <w:tcW w:w="2840" w:type="dxa"/>
            <w:vAlign w:val="bottom"/>
          </w:tcPr>
          <w:p>
            <w:pPr>
              <w:spacing w:after="0"/>
              <w:rPr>
                <w:sz w:val="18"/>
                <w:szCs w:val="18"/>
                <w:color w:val="auto"/>
              </w:rPr>
            </w:pPr>
          </w:p>
        </w:tc>
        <w:tc>
          <w:tcPr>
            <w:tcW w:w="4320" w:type="dxa"/>
            <w:vAlign w:val="bottom"/>
            <w:gridSpan w:val="2"/>
          </w:tcPr>
          <w:p>
            <w:pPr>
              <w:ind w:left="700"/>
              <w:spacing w:after="0"/>
              <w:rPr>
                <w:sz w:val="20"/>
                <w:szCs w:val="20"/>
                <w:color w:val="auto"/>
              </w:rPr>
            </w:pPr>
            <w:r>
              <w:rPr>
                <w:rFonts w:ascii="Arial" w:cs="Arial" w:eastAsia="Arial" w:hAnsi="Arial"/>
                <w:sz w:val="18"/>
                <w:szCs w:val="18"/>
                <w:color w:val="auto"/>
              </w:rPr>
              <w:t>will be deposited into a trust account at J.P.</w:t>
            </w:r>
          </w:p>
        </w:tc>
      </w:tr>
      <w:tr>
        <w:trPr>
          <w:trHeight w:val="216"/>
        </w:trPr>
        <w:tc>
          <w:tcPr>
            <w:tcW w:w="2840" w:type="dxa"/>
            <w:vAlign w:val="bottom"/>
          </w:tcPr>
          <w:p>
            <w:pPr>
              <w:spacing w:after="0"/>
              <w:rPr>
                <w:sz w:val="18"/>
                <w:szCs w:val="18"/>
                <w:color w:val="auto"/>
              </w:rPr>
            </w:pPr>
          </w:p>
        </w:tc>
        <w:tc>
          <w:tcPr>
            <w:tcW w:w="4320" w:type="dxa"/>
            <w:vAlign w:val="bottom"/>
            <w:gridSpan w:val="2"/>
          </w:tcPr>
          <w:p>
            <w:pPr>
              <w:ind w:left="700"/>
              <w:spacing w:after="0"/>
              <w:rPr>
                <w:sz w:val="20"/>
                <w:szCs w:val="20"/>
                <w:color w:val="auto"/>
              </w:rPr>
            </w:pPr>
            <w:r>
              <w:rPr>
                <w:rFonts w:ascii="Arial" w:cs="Arial" w:eastAsia="Arial" w:hAnsi="Arial"/>
                <w:sz w:val="18"/>
                <w:szCs w:val="18"/>
                <w:color w:val="auto"/>
                <w:w w:val="93"/>
              </w:rPr>
              <w:t>Morgan Chase Bank, N.A., located in the United</w:t>
            </w:r>
          </w:p>
        </w:tc>
      </w:tr>
      <w:tr>
        <w:trPr>
          <w:trHeight w:val="216"/>
        </w:trPr>
        <w:tc>
          <w:tcPr>
            <w:tcW w:w="2840" w:type="dxa"/>
            <w:vAlign w:val="bottom"/>
          </w:tcPr>
          <w:p>
            <w:pPr>
              <w:spacing w:after="0"/>
              <w:rPr>
                <w:sz w:val="18"/>
                <w:szCs w:val="18"/>
                <w:color w:val="auto"/>
              </w:rPr>
            </w:pPr>
          </w:p>
        </w:tc>
        <w:tc>
          <w:tcPr>
            <w:tcW w:w="4320" w:type="dxa"/>
            <w:vAlign w:val="bottom"/>
            <w:gridSpan w:val="2"/>
          </w:tcPr>
          <w:p>
            <w:pPr>
              <w:ind w:left="700"/>
              <w:spacing w:after="0"/>
              <w:rPr>
                <w:sz w:val="20"/>
                <w:szCs w:val="20"/>
                <w:color w:val="auto"/>
              </w:rPr>
            </w:pPr>
            <w:r>
              <w:rPr>
                <w:rFonts w:ascii="Arial" w:cs="Arial" w:eastAsia="Arial" w:hAnsi="Arial"/>
                <w:sz w:val="18"/>
                <w:szCs w:val="18"/>
                <w:color w:val="auto"/>
                <w:w w:val="97"/>
              </w:rPr>
              <w:t>States with Continental Stock Transfer &amp; Trust</w:t>
            </w:r>
          </w:p>
        </w:tc>
      </w:tr>
      <w:tr>
        <w:trPr>
          <w:trHeight w:val="230"/>
        </w:trPr>
        <w:tc>
          <w:tcPr>
            <w:tcW w:w="2840" w:type="dxa"/>
            <w:vAlign w:val="bottom"/>
          </w:tcPr>
          <w:p>
            <w:pPr>
              <w:spacing w:after="0"/>
              <w:rPr>
                <w:sz w:val="20"/>
                <w:szCs w:val="20"/>
                <w:color w:val="auto"/>
              </w:rPr>
            </w:pPr>
          </w:p>
        </w:tc>
        <w:tc>
          <w:tcPr>
            <w:tcW w:w="4320" w:type="dxa"/>
            <w:vAlign w:val="bottom"/>
            <w:gridSpan w:val="2"/>
          </w:tcPr>
          <w:p>
            <w:pPr>
              <w:ind w:left="700"/>
              <w:spacing w:after="0"/>
              <w:rPr>
                <w:sz w:val="20"/>
                <w:szCs w:val="20"/>
                <w:color w:val="auto"/>
              </w:rPr>
            </w:pPr>
            <w:r>
              <w:rPr>
                <w:rFonts w:ascii="Arial" w:cs="Arial" w:eastAsia="Arial" w:hAnsi="Arial"/>
                <w:sz w:val="18"/>
                <w:szCs w:val="18"/>
                <w:color w:val="auto"/>
              </w:rPr>
              <w:t>Company acting as trustee.</w:t>
            </w:r>
          </w:p>
        </w:tc>
      </w:tr>
    </w:tbl>
    <w:p>
      <w:pPr>
        <w:spacing w:after="0" w:line="20" w:lineRule="exact"/>
        <w:rPr>
          <w:sz w:val="20"/>
          <w:szCs w:val="20"/>
          <w:color w:val="auto"/>
        </w:rPr>
      </w:pPr>
      <w:r>
        <w:rPr>
          <w:sz w:val="20"/>
          <w:szCs w:val="20"/>
          <w:color w:val="auto"/>
        </w:rPr>
        <w:br w:type="column"/>
      </w:r>
    </w:p>
    <w:p>
      <w:pPr>
        <w:spacing w:after="0" w:line="244"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Terms Under a Rule 419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17145</wp:posOffset>
            </wp:positionV>
            <wp:extent cx="228917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2289175" cy="8255"/>
                    </a:xfrm>
                    <a:prstGeom prst="rect">
                      <a:avLst/>
                    </a:prstGeom>
                    <a:noFill/>
                  </pic:spPr>
                </pic:pic>
              </a:graphicData>
            </a:graphic>
          </wp:anchor>
        </w:drawing>
      </w:r>
    </w:p>
    <w:p>
      <w:pPr>
        <w:spacing w:after="0" w:line="169"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Approximately $213,070,500 of the offering proceeds, representing the gross proceeds of this offering less allowable underwriting commissions, expenses and company deductions under Rule 419, would be required to be deposited into either an escrow account with an insured depositary institution or in a separate bank account established by a broker-dealer in which the broker-dealer acts as trustee for persons having the beneficial interests in the account.</w:t>
      </w:r>
    </w:p>
    <w:p>
      <w:pPr>
        <w:spacing w:after="0" w:line="110" w:lineRule="exact"/>
        <w:rPr>
          <w:sz w:val="20"/>
          <w:szCs w:val="20"/>
          <w:color w:val="auto"/>
        </w:rPr>
      </w:pPr>
    </w:p>
    <w:p>
      <w:pPr>
        <w:sectPr>
          <w:pgSz w:w="11900" w:h="16838" w:orient="portrait"/>
          <w:cols w:equalWidth="0" w:num="2">
            <w:col w:w="7340" w:space="200"/>
            <w:col w:w="3600"/>
          </w:cols>
          <w:pgMar w:left="320" w:top="796" w:right="439" w:bottom="1440" w:gutter="0" w:footer="0" w:header="0"/>
          <w:type w:val="continuous"/>
        </w:sectPr>
      </w:pPr>
    </w:p>
    <w:p>
      <w:pPr>
        <w:ind w:left="180"/>
        <w:spacing w:after="0"/>
        <w:tabs>
          <w:tab w:leader="none" w:pos="3700" w:val="left"/>
        </w:tabs>
        <w:rPr>
          <w:sz w:val="20"/>
          <w:szCs w:val="20"/>
          <w:color w:val="auto"/>
        </w:rPr>
      </w:pPr>
      <w:r>
        <w:rPr>
          <w:rFonts w:ascii="Arial" w:cs="Arial" w:eastAsia="Arial" w:hAnsi="Arial"/>
          <w:sz w:val="18"/>
          <w:szCs w:val="18"/>
          <w:b w:val="1"/>
          <w:bCs w:val="1"/>
          <w:color w:val="auto"/>
        </w:rPr>
        <w:t>Investment of net proceeds</w:t>
      </w:r>
      <w:r>
        <w:rPr>
          <w:sz w:val="20"/>
          <w:szCs w:val="20"/>
          <w:color w:val="auto"/>
        </w:rPr>
        <w:tab/>
      </w:r>
      <w:r>
        <w:rPr>
          <w:rFonts w:ascii="Arial" w:cs="Arial" w:eastAsia="Arial" w:hAnsi="Arial"/>
          <w:sz w:val="16"/>
          <w:szCs w:val="16"/>
          <w:color w:val="auto"/>
        </w:rPr>
        <w:t>$250,000,000 of the net proceeds of this offering</w:t>
      </w:r>
    </w:p>
    <w:p>
      <w:pPr>
        <w:spacing w:after="0" w:line="27" w:lineRule="exact"/>
        <w:rPr>
          <w:sz w:val="20"/>
          <w:szCs w:val="20"/>
          <w:color w:val="auto"/>
        </w:rPr>
      </w:pPr>
    </w:p>
    <w:p>
      <w:pPr>
        <w:ind w:left="3720"/>
        <w:spacing w:after="0"/>
        <w:rPr>
          <w:sz w:val="20"/>
          <w:szCs w:val="20"/>
          <w:color w:val="auto"/>
        </w:rPr>
      </w:pPr>
      <w:r>
        <w:rPr>
          <w:rFonts w:ascii="Arial" w:cs="Arial" w:eastAsia="Arial" w:hAnsi="Arial"/>
          <w:sz w:val="17"/>
          <w:szCs w:val="17"/>
          <w:color w:val="auto"/>
        </w:rPr>
        <w:t>and the sale of the private placement warrants</w:t>
      </w:r>
    </w:p>
    <w:p>
      <w:pPr>
        <w:spacing w:after="0" w:line="21"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held in trust will be invested only in U.S.</w:t>
      </w:r>
    </w:p>
    <w:p>
      <w:pPr>
        <w:spacing w:after="0" w:line="9" w:lineRule="exact"/>
        <w:rPr>
          <w:sz w:val="20"/>
          <w:szCs w:val="20"/>
          <w:color w:val="auto"/>
        </w:rPr>
      </w:pPr>
    </w:p>
    <w:p>
      <w:pPr>
        <w:ind w:left="3720"/>
        <w:spacing w:after="0"/>
        <w:rPr>
          <w:sz w:val="20"/>
          <w:szCs w:val="20"/>
          <w:color w:val="auto"/>
        </w:rPr>
      </w:pPr>
      <w:r>
        <w:rPr>
          <w:rFonts w:ascii="Arial" w:cs="Arial" w:eastAsia="Arial" w:hAnsi="Arial"/>
          <w:sz w:val="17"/>
          <w:szCs w:val="17"/>
          <w:color w:val="auto"/>
        </w:rPr>
        <w:t>government treasury obligations with a maturity</w:t>
      </w:r>
    </w:p>
    <w:p>
      <w:pPr>
        <w:spacing w:after="0" w:line="21"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of 185 days or less or in money market funds</w:t>
      </w:r>
    </w:p>
    <w:p>
      <w:pPr>
        <w:spacing w:after="0" w:line="9" w:lineRule="exact"/>
        <w:rPr>
          <w:sz w:val="20"/>
          <w:szCs w:val="20"/>
          <w:color w:val="auto"/>
        </w:rPr>
      </w:pPr>
    </w:p>
    <w:p>
      <w:pPr>
        <w:ind w:left="3720"/>
        <w:spacing w:after="0"/>
        <w:rPr>
          <w:sz w:val="20"/>
          <w:szCs w:val="20"/>
          <w:color w:val="auto"/>
        </w:rPr>
      </w:pPr>
      <w:r>
        <w:rPr>
          <w:rFonts w:ascii="Arial" w:cs="Arial" w:eastAsia="Arial" w:hAnsi="Arial"/>
          <w:sz w:val="16"/>
          <w:szCs w:val="16"/>
          <w:color w:val="auto"/>
        </w:rPr>
        <w:t>meeting certain conditions under Rule 2a-7 under</w:t>
      </w:r>
    </w:p>
    <w:p>
      <w:pPr>
        <w:spacing w:after="0" w:line="32" w:lineRule="exact"/>
        <w:rPr>
          <w:sz w:val="20"/>
          <w:szCs w:val="20"/>
          <w:color w:val="auto"/>
        </w:rPr>
      </w:pPr>
    </w:p>
    <w:p>
      <w:pPr>
        <w:ind w:left="3720"/>
        <w:spacing w:after="0"/>
        <w:rPr>
          <w:sz w:val="20"/>
          <w:szCs w:val="20"/>
          <w:color w:val="auto"/>
        </w:rPr>
      </w:pPr>
      <w:r>
        <w:rPr>
          <w:rFonts w:ascii="Arial" w:cs="Arial" w:eastAsia="Arial" w:hAnsi="Arial"/>
          <w:sz w:val="16"/>
          <w:szCs w:val="16"/>
          <w:color w:val="auto"/>
        </w:rPr>
        <w:t>the Investment Company Act which invest only in</w:t>
      </w:r>
    </w:p>
    <w:p>
      <w:pPr>
        <w:spacing w:after="0" w:line="32"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direct U.S. government treasury obligations.</w:t>
      </w:r>
    </w:p>
    <w:p>
      <w:pPr>
        <w:spacing w:after="0" w:line="20" w:lineRule="exact"/>
        <w:rPr>
          <w:sz w:val="20"/>
          <w:szCs w:val="20"/>
          <w:color w:val="auto"/>
        </w:rPr>
      </w:pPr>
      <w:r>
        <w:rPr>
          <w:sz w:val="20"/>
          <w:szCs w:val="20"/>
          <w:color w:val="auto"/>
        </w:rPr>
        <w:br w:type="column"/>
      </w:r>
    </w:p>
    <w:p>
      <w:pPr>
        <w:ind w:right="120"/>
        <w:spacing w:after="0" w:line="273" w:lineRule="auto"/>
        <w:rPr>
          <w:sz w:val="20"/>
          <w:szCs w:val="20"/>
          <w:color w:val="auto"/>
        </w:rPr>
      </w:pPr>
      <w:r>
        <w:rPr>
          <w:rFonts w:ascii="Arial" w:cs="Arial" w:eastAsia="Arial" w:hAnsi="Arial"/>
          <w:sz w:val="17"/>
          <w:szCs w:val="17"/>
          <w:color w:val="auto"/>
        </w:rPr>
        <w:t>Proceeds could be invested only in specified securities such as a money market fund meeting conditions of the Investment Company Act or in securities that are direct obligations of, or obligations guaranteed as to principal or interest by, the United States.</w:t>
      </w:r>
    </w:p>
    <w:p>
      <w:pPr>
        <w:spacing w:after="0" w:line="552" w:lineRule="exact"/>
        <w:rPr>
          <w:sz w:val="20"/>
          <w:szCs w:val="20"/>
          <w:color w:val="auto"/>
        </w:rPr>
      </w:pPr>
    </w:p>
    <w:p>
      <w:pPr>
        <w:sectPr>
          <w:pgSz w:w="11900" w:h="16838" w:orient="portrait"/>
          <w:cols w:equalWidth="0" w:num="2">
            <w:col w:w="7340" w:space="200"/>
            <w:col w:w="3600"/>
          </w:cols>
          <w:pgMar w:left="320" w:top="796" w:right="439" w:bottom="1440" w:gutter="0" w:footer="0" w:header="0"/>
          <w:type w:val="continuous"/>
        </w:sectPr>
      </w:pPr>
    </w:p>
    <w:p>
      <w:pPr>
        <w:ind w:left="180"/>
        <w:spacing w:after="0"/>
        <w:tabs>
          <w:tab w:leader="none" w:pos="3700" w:val="left"/>
        </w:tabs>
        <w:rPr>
          <w:sz w:val="20"/>
          <w:szCs w:val="20"/>
          <w:color w:val="auto"/>
        </w:rPr>
      </w:pPr>
      <w:r>
        <w:rPr>
          <w:rFonts w:ascii="Arial" w:cs="Arial" w:eastAsia="Arial" w:hAnsi="Arial"/>
          <w:sz w:val="18"/>
          <w:szCs w:val="18"/>
          <w:b w:val="1"/>
          <w:bCs w:val="1"/>
          <w:color w:val="auto"/>
        </w:rPr>
        <w:t>Receipt of interest on escrowed funds</w:t>
      </w:r>
      <w:r>
        <w:rPr>
          <w:sz w:val="20"/>
          <w:szCs w:val="20"/>
          <w:color w:val="auto"/>
        </w:rPr>
        <w:tab/>
      </w:r>
      <w:r>
        <w:rPr>
          <w:rFonts w:ascii="Arial" w:cs="Arial" w:eastAsia="Arial" w:hAnsi="Arial"/>
          <w:sz w:val="16"/>
          <w:szCs w:val="16"/>
          <w:color w:val="auto"/>
        </w:rPr>
        <w:t>Interest on proceeds from the trust account to be</w:t>
      </w:r>
    </w:p>
    <w:p>
      <w:pPr>
        <w:spacing w:after="0" w:line="27" w:lineRule="exact"/>
        <w:rPr>
          <w:sz w:val="20"/>
          <w:szCs w:val="20"/>
          <w:color w:val="auto"/>
        </w:rPr>
      </w:pPr>
    </w:p>
    <w:p>
      <w:pPr>
        <w:ind w:left="3720"/>
        <w:spacing w:after="0"/>
        <w:rPr>
          <w:sz w:val="20"/>
          <w:szCs w:val="20"/>
          <w:color w:val="auto"/>
        </w:rPr>
      </w:pPr>
      <w:r>
        <w:rPr>
          <w:rFonts w:ascii="Arial" w:cs="Arial" w:eastAsia="Arial" w:hAnsi="Arial"/>
          <w:sz w:val="17"/>
          <w:szCs w:val="17"/>
          <w:color w:val="auto"/>
        </w:rPr>
        <w:t>paid to shareholders is reduced by (i) any taxes</w:t>
      </w:r>
    </w:p>
    <w:p>
      <w:pPr>
        <w:spacing w:after="0" w:line="21"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paid or payable and (ii) in the event of our</w:t>
      </w:r>
    </w:p>
    <w:p>
      <w:pPr>
        <w:spacing w:after="0" w:line="9"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liquidation for failure to complete our initial</w:t>
      </w:r>
    </w:p>
    <w:p>
      <w:pPr>
        <w:spacing w:after="0" w:line="9" w:lineRule="exact"/>
        <w:rPr>
          <w:sz w:val="20"/>
          <w:szCs w:val="20"/>
          <w:color w:val="auto"/>
        </w:rPr>
      </w:pPr>
    </w:p>
    <w:p>
      <w:pPr>
        <w:ind w:left="3720"/>
        <w:spacing w:after="0"/>
        <w:rPr>
          <w:sz w:val="20"/>
          <w:szCs w:val="20"/>
          <w:color w:val="auto"/>
        </w:rPr>
      </w:pPr>
      <w:r>
        <w:rPr>
          <w:rFonts w:ascii="Arial" w:cs="Arial" w:eastAsia="Arial" w:hAnsi="Arial"/>
          <w:sz w:val="16"/>
          <w:szCs w:val="16"/>
          <w:color w:val="auto"/>
        </w:rPr>
        <w:t>business combination within the allotted time, up</w:t>
      </w:r>
    </w:p>
    <w:p>
      <w:pPr>
        <w:spacing w:after="0" w:line="32" w:lineRule="exact"/>
        <w:rPr>
          <w:sz w:val="20"/>
          <w:szCs w:val="20"/>
          <w:color w:val="auto"/>
        </w:rPr>
      </w:pPr>
    </w:p>
    <w:p>
      <w:pPr>
        <w:ind w:left="3720"/>
        <w:spacing w:after="0"/>
        <w:rPr>
          <w:sz w:val="20"/>
          <w:szCs w:val="20"/>
          <w:color w:val="auto"/>
        </w:rPr>
      </w:pPr>
      <w:r>
        <w:rPr>
          <w:rFonts w:ascii="Arial" w:cs="Arial" w:eastAsia="Arial" w:hAnsi="Arial"/>
          <w:sz w:val="16"/>
          <w:szCs w:val="16"/>
          <w:color w:val="auto"/>
        </w:rPr>
        <w:t>to $100,000 of net interest that may be released to</w:t>
      </w:r>
    </w:p>
    <w:p>
      <w:pPr>
        <w:spacing w:after="0" w:line="32"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us should we have no or insufficient working</w:t>
      </w:r>
    </w:p>
    <w:p>
      <w:pPr>
        <w:spacing w:after="0" w:line="9"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capital to fund the costs and expenses of our</w:t>
      </w:r>
    </w:p>
    <w:p>
      <w:pPr>
        <w:spacing w:after="0" w:line="9"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dissolution and liquidation.</w:t>
      </w:r>
    </w:p>
    <w:p>
      <w:pPr>
        <w:spacing w:after="0" w:line="20" w:lineRule="exact"/>
        <w:rPr>
          <w:sz w:val="20"/>
          <w:szCs w:val="20"/>
          <w:color w:val="auto"/>
        </w:rPr>
      </w:pPr>
      <w:r>
        <w:rPr>
          <w:sz w:val="20"/>
          <w:szCs w:val="20"/>
          <w:color w:val="auto"/>
        </w:rPr>
        <w:br w:type="column"/>
      </w:r>
    </w:p>
    <w:p>
      <w:pPr>
        <w:ind w:right="80"/>
        <w:spacing w:after="0" w:line="275" w:lineRule="auto"/>
        <w:rPr>
          <w:sz w:val="20"/>
          <w:szCs w:val="20"/>
          <w:color w:val="auto"/>
        </w:rPr>
      </w:pPr>
      <w:r>
        <w:rPr>
          <w:rFonts w:ascii="Arial" w:cs="Arial" w:eastAsia="Arial" w:hAnsi="Arial"/>
          <w:sz w:val="17"/>
          <w:szCs w:val="17"/>
          <w:color w:val="auto"/>
        </w:rPr>
        <w:t>Interest on funds in escrow account would be held for the sole benefit of investors, unless and only after the funds held in escrow were released to us in connection with our completion of a business combination.</w:t>
      </w:r>
    </w:p>
    <w:p>
      <w:pPr>
        <w:spacing w:after="0" w:line="1029" w:lineRule="exact"/>
        <w:rPr>
          <w:sz w:val="20"/>
          <w:szCs w:val="20"/>
          <w:color w:val="auto"/>
        </w:rPr>
      </w:pPr>
    </w:p>
    <w:p>
      <w:pPr>
        <w:sectPr>
          <w:pgSz w:w="11900" w:h="16838" w:orient="portrait"/>
          <w:cols w:equalWidth="0" w:num="2">
            <w:col w:w="7320" w:space="220"/>
            <w:col w:w="3600"/>
          </w:cols>
          <w:pgMar w:left="320" w:top="796" w:right="439" w:bottom="1440" w:gutter="0" w:footer="0" w:header="0"/>
          <w:type w:val="continuous"/>
        </w:sectPr>
      </w:pPr>
    </w:p>
    <w:p>
      <w:pPr>
        <w:spacing w:after="0" w:line="200"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40"/>
          </w:cols>
          <w:pgMar w:left="320" w:top="796" w:right="439" w:bottom="1440" w:gutter="0" w:footer="0" w:header="0"/>
          <w:type w:val="continuous"/>
        </w:sectPr>
      </w:pPr>
    </w:p>
    <w:bookmarkStart w:id="108" w:name="page109"/>
    <w:bookmarkEnd w:id="108"/>
    <w:p>
      <w:pPr>
        <w:ind w:left="4460"/>
        <w:spacing w:after="0"/>
        <w:tabs>
          <w:tab w:leader="none" w:pos="7840" w:val="left"/>
        </w:tabs>
        <w:rPr>
          <w:sz w:val="20"/>
          <w:szCs w:val="20"/>
          <w:color w:val="auto"/>
        </w:rPr>
      </w:pPr>
      <w:r>
        <w:rPr>
          <w:rFonts w:ascii="Arial" w:cs="Arial" w:eastAsia="Arial" w:hAnsi="Arial"/>
          <w:sz w:val="18"/>
          <w:szCs w:val="18"/>
          <w:b w:val="1"/>
          <w:bCs w:val="1"/>
          <w:color w:val="auto"/>
        </w:rPr>
        <w:t>Terms of Our Offering</w:t>
      </w:r>
      <w:r>
        <w:rPr>
          <w:sz w:val="20"/>
          <w:szCs w:val="20"/>
          <w:color w:val="auto"/>
        </w:rPr>
        <w:tab/>
      </w:r>
      <w:r>
        <w:rPr>
          <w:rFonts w:ascii="Arial" w:cs="Arial" w:eastAsia="Arial" w:hAnsi="Arial"/>
          <w:sz w:val="16"/>
          <w:szCs w:val="16"/>
          <w:b w:val="1"/>
          <w:bCs w:val="1"/>
          <w:color w:val="auto"/>
        </w:rPr>
        <w:t>Terms Under a Rule 419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2247900</wp:posOffset>
            </wp:positionH>
            <wp:positionV relativeFrom="paragraph">
              <wp:posOffset>17145</wp:posOffset>
            </wp:positionV>
            <wp:extent cx="471487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4714875" cy="8255"/>
                    </a:xfrm>
                    <a:prstGeom prst="rect">
                      <a:avLst/>
                    </a:prstGeom>
                    <a:noFill/>
                  </pic:spPr>
                </pic:pic>
              </a:graphicData>
            </a:graphic>
          </wp:anchor>
        </w:drawing>
      </w:r>
    </w:p>
    <w:p>
      <w:pPr>
        <w:sectPr>
          <w:pgSz w:w="11900" w:h="16838" w:orient="portrait"/>
          <w:cols w:equalWidth="0" w:num="1">
            <w:col w:w="10960"/>
          </w:cols>
          <w:pgMar w:left="500" w:top="661" w:right="439" w:bottom="1440" w:gutter="0" w:footer="0" w:header="0"/>
        </w:sectPr>
      </w:pPr>
    </w:p>
    <w:p>
      <w:pPr>
        <w:spacing w:after="0" w:line="185" w:lineRule="exact"/>
        <w:rPr>
          <w:sz w:val="20"/>
          <w:szCs w:val="20"/>
          <w:color w:val="auto"/>
        </w:rPr>
      </w:pPr>
    </w:p>
    <w:p>
      <w:pPr>
        <w:ind w:left="320" w:hanging="323"/>
        <w:spacing w:after="0" w:line="282" w:lineRule="auto"/>
        <w:rPr>
          <w:sz w:val="20"/>
          <w:szCs w:val="20"/>
          <w:color w:val="auto"/>
        </w:rPr>
      </w:pPr>
      <w:r>
        <w:rPr>
          <w:rFonts w:ascii="Arial" w:cs="Arial" w:eastAsia="Arial" w:hAnsi="Arial"/>
          <w:sz w:val="18"/>
          <w:szCs w:val="18"/>
          <w:b w:val="1"/>
          <w:bCs w:val="1"/>
          <w:color w:val="auto"/>
        </w:rPr>
        <w:t>Limitation on fair value or net assets of target business</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We must complete one or more business combinations having an aggregate fair market value of at least 80% of our assets held in the trust account (excluding the deferred underwriting commissions and taxes payable on the income earned on the trust account) as determined at the time of the agreement to enter into the initial business combination.</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The fair value or net assets of a target business must represent at least 80% of the maximum offering proceeds.</w:t>
      </w:r>
    </w:p>
    <w:p>
      <w:pPr>
        <w:spacing w:after="0" w:line="1205" w:lineRule="exact"/>
        <w:rPr>
          <w:sz w:val="20"/>
          <w:szCs w:val="20"/>
          <w:color w:val="auto"/>
        </w:rPr>
      </w:pPr>
    </w:p>
    <w:p>
      <w:pPr>
        <w:sectPr>
          <w:pgSz w:w="11900" w:h="16838" w:orient="portrait"/>
          <w:cols w:equalWidth="0" w:num="3">
            <w:col w:w="3000" w:space="540"/>
            <w:col w:w="3620" w:space="200"/>
            <w:col w:w="3600"/>
          </w:cols>
          <w:pgMar w:left="500" w:top="661" w:right="43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Trading of securities issued</w:t>
      </w:r>
    </w:p>
    <w:p>
      <w:pPr>
        <w:spacing w:after="0" w:line="20" w:lineRule="exact"/>
        <w:rPr>
          <w:sz w:val="20"/>
          <w:szCs w:val="20"/>
          <w:color w:val="auto"/>
        </w:rPr>
      </w:pPr>
      <w:r>
        <w:rPr>
          <w:sz w:val="20"/>
          <w:szCs w:val="20"/>
          <w:color w:val="auto"/>
        </w:rPr>
        <w:br w:type="column"/>
      </w:r>
    </w:p>
    <w:p>
      <w:pPr>
        <w:spacing w:after="0" w:line="285" w:lineRule="auto"/>
        <w:rPr>
          <w:sz w:val="20"/>
          <w:szCs w:val="20"/>
          <w:color w:val="auto"/>
        </w:rPr>
      </w:pPr>
      <w:r>
        <w:rPr>
          <w:rFonts w:ascii="Arial" w:cs="Arial" w:eastAsia="Arial" w:hAnsi="Arial"/>
          <w:sz w:val="16"/>
          <w:szCs w:val="16"/>
          <w:color w:val="auto"/>
        </w:rPr>
        <w:t>The units are expected to begin trading on or promptly after the date of this prospectus. The Class A ordinary shares and warrants comprising the units will begin separate trading on the 52nd day following the date of this prospectus (or the immediately following business day if such 52nd day is not a business day) unless J.P. Morgan Securities LLC informs us of its decision to allow earlier separate trading, subject to our having filed the Current Report on Form 8-K described below and having issued a press release announcing when such separate trading will begin. We will file the Current Report on Form 8-K promptly after the closing of this offering. If the over-allotment option is exercised following the initial filing of such Current Report on Form 8-K, a second or amended Current Report on Form 8-K will be filed to provide updated financial information to reflect the exercise of the over-allotment option.</w:t>
      </w:r>
    </w:p>
    <w:p>
      <w:pPr>
        <w:spacing w:after="0" w:line="20" w:lineRule="exact"/>
        <w:rPr>
          <w:sz w:val="20"/>
          <w:szCs w:val="20"/>
          <w:color w:val="auto"/>
        </w:rPr>
      </w:pPr>
      <w:r>
        <w:rPr>
          <w:sz w:val="20"/>
          <w:szCs w:val="20"/>
          <w:color w:val="auto"/>
        </w:rPr>
        <w:br w:type="column"/>
      </w:r>
    </w:p>
    <w:p>
      <w:pPr>
        <w:jc w:val="both"/>
        <w:ind w:right="80"/>
        <w:spacing w:after="0" w:line="287" w:lineRule="auto"/>
        <w:rPr>
          <w:sz w:val="20"/>
          <w:szCs w:val="20"/>
          <w:color w:val="auto"/>
        </w:rPr>
      </w:pPr>
      <w:r>
        <w:rPr>
          <w:rFonts w:ascii="Arial" w:cs="Arial" w:eastAsia="Arial" w:hAnsi="Arial"/>
          <w:sz w:val="16"/>
          <w:szCs w:val="16"/>
          <w:color w:val="auto"/>
        </w:rPr>
        <w:t>No trading of the units or the underlying Class A ordinary shares and warrants would be permitted until the completion of a business combination.</w:t>
      </w:r>
    </w:p>
    <w:p>
      <w:pPr>
        <w:spacing w:after="0" w:line="2"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During this period, the securities would be held in the escrow or trust account.</w:t>
      </w:r>
    </w:p>
    <w:p>
      <w:pPr>
        <w:spacing w:after="0" w:line="3240" w:lineRule="exact"/>
        <w:rPr>
          <w:sz w:val="20"/>
          <w:szCs w:val="20"/>
          <w:color w:val="auto"/>
        </w:rPr>
      </w:pPr>
    </w:p>
    <w:p>
      <w:pPr>
        <w:sectPr>
          <w:pgSz w:w="11900" w:h="16838" w:orient="portrait"/>
          <w:cols w:equalWidth="0" w:num="3">
            <w:col w:w="2820" w:space="720"/>
            <w:col w:w="3580" w:space="240"/>
            <w:col w:w="3600"/>
          </w:cols>
          <w:pgMar w:left="500" w:top="661" w:right="439" w:bottom="1440" w:gutter="0" w:footer="0" w:header="0"/>
          <w:type w:val="continuous"/>
        </w:sectPr>
      </w:pP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Exercise of the warrants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Election to remain an investor</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warrants cannot be exercised until the later of 30 days after the completion of our initial business combination and 12 months from the closing of this offering.</w:t>
      </w:r>
    </w:p>
    <w:p>
      <w:pPr>
        <w:spacing w:after="0" w:line="349"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We will provide our public shareholders with the opportunity to redeem their public shares for cash at a per-share price equal to the aggregate amount then on deposit in the trust account calculated as of two business days prior to the consummation of our initial business combination, including interest earned on the funds held in the trust account and not previously released</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The warrants could be exercised prior to the completion of a business combination, but securities received and cash paid in connection with the exercise would be deposited in the escrow or trust account.</w:t>
      </w:r>
    </w:p>
    <w:p>
      <w:pPr>
        <w:spacing w:after="0" w:line="134"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A prospectus containing information pertaining to the business combination required by the SEC would be sent to each investor. Each investor would be given the opportunity to notify the company in writing, within a period of no less than 20 business days and no more than 45 business days from the effective date of a post-effective amendment to the company’s</w:t>
      </w:r>
    </w:p>
    <w:p>
      <w:pPr>
        <w:spacing w:after="0" w:line="212" w:lineRule="exact"/>
        <w:rPr>
          <w:sz w:val="20"/>
          <w:szCs w:val="20"/>
          <w:color w:val="auto"/>
        </w:rPr>
      </w:pPr>
    </w:p>
    <w:p>
      <w:pPr>
        <w:sectPr>
          <w:pgSz w:w="11900" w:h="16838" w:orient="portrait"/>
          <w:cols w:equalWidth="0" w:num="3">
            <w:col w:w="2820" w:space="720"/>
            <w:col w:w="3600" w:space="220"/>
            <w:col w:w="3600"/>
          </w:cols>
          <w:pgMar w:left="500" w:top="661" w:right="439" w:bottom="1440" w:gutter="0" w:footer="0" w:header="0"/>
          <w:type w:val="continuous"/>
        </w:sectPr>
      </w:pPr>
    </w:p>
    <w:p>
      <w:pPr>
        <w:spacing w:after="0" w:line="154" w:lineRule="exact"/>
        <w:rPr>
          <w:sz w:val="20"/>
          <w:szCs w:val="20"/>
          <w:color w:val="auto"/>
        </w:rPr>
      </w:pPr>
    </w:p>
    <w:p>
      <w:pPr>
        <w:jc w:val="center"/>
        <w:ind w:right="120"/>
        <w:spacing w:after="0"/>
        <w:rPr>
          <w:sz w:val="20"/>
          <w:szCs w:val="20"/>
          <w:color w:val="auto"/>
        </w:rPr>
      </w:pPr>
      <w:r>
        <w:rPr>
          <w:rFonts w:ascii="Arial" w:cs="Arial" w:eastAsia="Arial" w:hAnsi="Arial"/>
          <w:sz w:val="16"/>
          <w:szCs w:val="16"/>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29210</wp:posOffset>
            </wp:positionV>
            <wp:extent cx="713232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60"/>
          </w:cols>
          <w:pgMar w:left="500" w:top="661" w:right="439" w:bottom="1440" w:gutter="0" w:footer="0" w:header="0"/>
          <w:type w:val="continuous"/>
        </w:sectPr>
      </w:pPr>
    </w:p>
    <w:bookmarkStart w:id="109" w:name="page110"/>
    <w:bookmarkEnd w:id="109"/>
    <w:p>
      <w:pPr>
        <w:ind w:left="4460"/>
        <w:spacing w:after="0"/>
        <w:tabs>
          <w:tab w:leader="none" w:pos="7840" w:val="left"/>
        </w:tabs>
        <w:rPr>
          <w:sz w:val="20"/>
          <w:szCs w:val="20"/>
          <w:color w:val="auto"/>
        </w:rPr>
      </w:pPr>
      <w:r>
        <w:rPr>
          <w:rFonts w:ascii="Arial" w:cs="Arial" w:eastAsia="Arial" w:hAnsi="Arial"/>
          <w:sz w:val="18"/>
          <w:szCs w:val="18"/>
          <w:b w:val="1"/>
          <w:bCs w:val="1"/>
          <w:color w:val="auto"/>
        </w:rPr>
        <w:t>Terms of Our Offering</w:t>
      </w:r>
      <w:r>
        <w:rPr>
          <w:sz w:val="20"/>
          <w:szCs w:val="20"/>
          <w:color w:val="auto"/>
        </w:rPr>
        <w:tab/>
      </w:r>
      <w:r>
        <w:rPr>
          <w:rFonts w:ascii="Arial" w:cs="Arial" w:eastAsia="Arial" w:hAnsi="Arial"/>
          <w:sz w:val="16"/>
          <w:szCs w:val="16"/>
          <w:b w:val="1"/>
          <w:bCs w:val="1"/>
          <w:color w:val="auto"/>
        </w:rPr>
        <w:t>Terms Under a Rule 419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2247900</wp:posOffset>
            </wp:positionH>
            <wp:positionV relativeFrom="paragraph">
              <wp:posOffset>17145</wp:posOffset>
            </wp:positionV>
            <wp:extent cx="471487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4714875" cy="8255"/>
                    </a:xfrm>
                    <a:prstGeom prst="rect">
                      <a:avLst/>
                    </a:prstGeom>
                    <a:noFill/>
                  </pic:spPr>
                </pic:pic>
              </a:graphicData>
            </a:graphic>
          </wp:anchor>
        </w:drawing>
      </w:r>
    </w:p>
    <w:p>
      <w:pPr>
        <w:sectPr>
          <w:pgSz w:w="11900" w:h="16838" w:orient="portrait"/>
          <w:cols w:equalWidth="0" w:num="1">
            <w:col w:w="10920"/>
          </w:cols>
          <w:pgMar w:left="500" w:top="661" w:right="479" w:bottom="1440" w:gutter="0" w:footer="0" w:header="0"/>
        </w:sectPr>
      </w:pPr>
    </w:p>
    <w:p>
      <w:pPr>
        <w:spacing w:after="0" w:line="189" w:lineRule="exact"/>
        <w:rPr>
          <w:sz w:val="20"/>
          <w:szCs w:val="20"/>
          <w:color w:val="auto"/>
        </w:rPr>
      </w:pPr>
    </w:p>
    <w:p>
      <w:pPr>
        <w:ind w:left="3540"/>
        <w:spacing w:after="0"/>
        <w:rPr>
          <w:sz w:val="20"/>
          <w:szCs w:val="20"/>
          <w:color w:val="auto"/>
        </w:rPr>
      </w:pPr>
      <w:r>
        <w:rPr>
          <w:rFonts w:ascii="Arial" w:cs="Arial" w:eastAsia="Arial" w:hAnsi="Arial"/>
          <w:sz w:val="17"/>
          <w:szCs w:val="17"/>
          <w:color w:val="auto"/>
        </w:rPr>
        <w:t>to us to pay our taxes, divided by the number of</w:t>
      </w:r>
    </w:p>
    <w:p>
      <w:pPr>
        <w:spacing w:after="0" w:line="35"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then outstanding public shares, upon the</w:t>
      </w:r>
    </w:p>
    <w:p>
      <w:pPr>
        <w:spacing w:after="0" w:line="9" w:lineRule="exact"/>
        <w:rPr>
          <w:sz w:val="20"/>
          <w:szCs w:val="20"/>
          <w:color w:val="auto"/>
        </w:rPr>
      </w:pPr>
    </w:p>
    <w:p>
      <w:pPr>
        <w:ind w:left="3540"/>
        <w:spacing w:after="0"/>
        <w:rPr>
          <w:sz w:val="20"/>
          <w:szCs w:val="20"/>
          <w:color w:val="auto"/>
        </w:rPr>
      </w:pPr>
      <w:r>
        <w:rPr>
          <w:rFonts w:ascii="Arial" w:cs="Arial" w:eastAsia="Arial" w:hAnsi="Arial"/>
          <w:sz w:val="17"/>
          <w:szCs w:val="17"/>
          <w:color w:val="auto"/>
        </w:rPr>
        <w:t>completion of our initial business combination,</w:t>
      </w:r>
    </w:p>
    <w:p>
      <w:pPr>
        <w:spacing w:after="0" w:line="21" w:lineRule="exact"/>
        <w:rPr>
          <w:sz w:val="20"/>
          <w:szCs w:val="20"/>
          <w:color w:val="auto"/>
        </w:rPr>
      </w:pPr>
    </w:p>
    <w:p>
      <w:pPr>
        <w:ind w:left="3540"/>
        <w:spacing w:after="0"/>
        <w:rPr>
          <w:sz w:val="20"/>
          <w:szCs w:val="20"/>
          <w:color w:val="auto"/>
        </w:rPr>
      </w:pPr>
      <w:r>
        <w:rPr>
          <w:rFonts w:ascii="Arial" w:cs="Arial" w:eastAsia="Arial" w:hAnsi="Arial"/>
          <w:sz w:val="17"/>
          <w:szCs w:val="17"/>
          <w:color w:val="auto"/>
        </w:rPr>
        <w:t>subject to the limitations and on the conditions</w:t>
      </w:r>
    </w:p>
    <w:p>
      <w:pPr>
        <w:spacing w:after="0" w:line="21" w:lineRule="exact"/>
        <w:rPr>
          <w:sz w:val="20"/>
          <w:szCs w:val="20"/>
          <w:color w:val="auto"/>
        </w:rPr>
      </w:pPr>
    </w:p>
    <w:p>
      <w:pPr>
        <w:ind w:left="3540"/>
        <w:spacing w:after="0"/>
        <w:rPr>
          <w:sz w:val="20"/>
          <w:szCs w:val="20"/>
          <w:color w:val="auto"/>
        </w:rPr>
      </w:pPr>
      <w:r>
        <w:rPr>
          <w:rFonts w:ascii="Arial" w:cs="Arial" w:eastAsia="Arial" w:hAnsi="Arial"/>
          <w:sz w:val="16"/>
          <w:szCs w:val="16"/>
          <w:color w:val="auto"/>
        </w:rPr>
        <w:t>described herein. We may not be required by law</w:t>
      </w:r>
    </w:p>
    <w:p>
      <w:pPr>
        <w:spacing w:after="0" w:line="32" w:lineRule="exact"/>
        <w:rPr>
          <w:sz w:val="20"/>
          <w:szCs w:val="20"/>
          <w:color w:val="auto"/>
        </w:rPr>
      </w:pPr>
    </w:p>
    <w:p>
      <w:pPr>
        <w:ind w:left="3540"/>
        <w:spacing w:after="0"/>
        <w:rPr>
          <w:sz w:val="20"/>
          <w:szCs w:val="20"/>
          <w:color w:val="auto"/>
        </w:rPr>
      </w:pPr>
      <w:r>
        <w:rPr>
          <w:rFonts w:ascii="Arial" w:cs="Arial" w:eastAsia="Arial" w:hAnsi="Arial"/>
          <w:sz w:val="16"/>
          <w:szCs w:val="16"/>
          <w:color w:val="auto"/>
        </w:rPr>
        <w:t>to hold a shareholder vote. If we are not required</w:t>
      </w:r>
    </w:p>
    <w:p>
      <w:pPr>
        <w:spacing w:after="0" w:line="32"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by law and do not otherwise decide to hold a</w:t>
      </w:r>
    </w:p>
    <w:p>
      <w:pPr>
        <w:spacing w:after="0" w:line="9"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shareholder vote, we will, pursuant to our</w:t>
      </w:r>
    </w:p>
    <w:p>
      <w:pPr>
        <w:spacing w:after="0" w:line="9" w:lineRule="exact"/>
        <w:rPr>
          <w:sz w:val="20"/>
          <w:szCs w:val="20"/>
          <w:color w:val="auto"/>
        </w:rPr>
      </w:pPr>
    </w:p>
    <w:p>
      <w:pPr>
        <w:ind w:left="3540"/>
        <w:spacing w:after="0"/>
        <w:rPr>
          <w:sz w:val="20"/>
          <w:szCs w:val="20"/>
          <w:color w:val="auto"/>
        </w:rPr>
      </w:pPr>
      <w:r>
        <w:rPr>
          <w:rFonts w:ascii="Arial" w:cs="Arial" w:eastAsia="Arial" w:hAnsi="Arial"/>
          <w:sz w:val="16"/>
          <w:szCs w:val="16"/>
          <w:color w:val="auto"/>
        </w:rPr>
        <w:t>amended and restated memorandum and articles</w:t>
      </w:r>
    </w:p>
    <w:p>
      <w:pPr>
        <w:spacing w:after="0" w:line="32" w:lineRule="exact"/>
        <w:rPr>
          <w:sz w:val="20"/>
          <w:szCs w:val="20"/>
          <w:color w:val="auto"/>
        </w:rPr>
      </w:pPr>
    </w:p>
    <w:p>
      <w:pPr>
        <w:ind w:left="3540"/>
        <w:spacing w:after="0"/>
        <w:rPr>
          <w:sz w:val="20"/>
          <w:szCs w:val="20"/>
          <w:color w:val="auto"/>
        </w:rPr>
      </w:pPr>
      <w:r>
        <w:rPr>
          <w:rFonts w:ascii="Arial" w:cs="Arial" w:eastAsia="Arial" w:hAnsi="Arial"/>
          <w:sz w:val="16"/>
          <w:szCs w:val="16"/>
          <w:color w:val="auto"/>
        </w:rPr>
        <w:t>of association, conduct the redemptions pursuant</w:t>
      </w:r>
    </w:p>
    <w:p>
      <w:pPr>
        <w:spacing w:after="0" w:line="32" w:lineRule="exact"/>
        <w:rPr>
          <w:sz w:val="20"/>
          <w:szCs w:val="20"/>
          <w:color w:val="auto"/>
        </w:rPr>
      </w:pPr>
    </w:p>
    <w:p>
      <w:pPr>
        <w:ind w:left="3540"/>
        <w:spacing w:after="0"/>
        <w:rPr>
          <w:sz w:val="20"/>
          <w:szCs w:val="20"/>
          <w:color w:val="auto"/>
        </w:rPr>
      </w:pPr>
      <w:r>
        <w:rPr>
          <w:rFonts w:ascii="Arial" w:cs="Arial" w:eastAsia="Arial" w:hAnsi="Arial"/>
          <w:sz w:val="16"/>
          <w:szCs w:val="16"/>
          <w:color w:val="auto"/>
        </w:rPr>
        <w:t>to the tender offer rules of the SEC and file tender</w:t>
      </w:r>
    </w:p>
    <w:p>
      <w:pPr>
        <w:spacing w:after="0" w:line="32" w:lineRule="exact"/>
        <w:rPr>
          <w:sz w:val="20"/>
          <w:szCs w:val="20"/>
          <w:color w:val="auto"/>
        </w:rPr>
      </w:pPr>
    </w:p>
    <w:p>
      <w:pPr>
        <w:ind w:left="3540"/>
        <w:spacing w:after="0"/>
        <w:rPr>
          <w:sz w:val="20"/>
          <w:szCs w:val="20"/>
          <w:color w:val="auto"/>
        </w:rPr>
      </w:pPr>
      <w:r>
        <w:rPr>
          <w:rFonts w:ascii="Arial" w:cs="Arial" w:eastAsia="Arial" w:hAnsi="Arial"/>
          <w:sz w:val="17"/>
          <w:szCs w:val="17"/>
          <w:color w:val="auto"/>
        </w:rPr>
        <w:t>offer documents with the SEC which will contain</w:t>
      </w:r>
    </w:p>
    <w:p>
      <w:pPr>
        <w:spacing w:after="0" w:line="21"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substantially the same financial and other</w:t>
      </w:r>
    </w:p>
    <w:p>
      <w:pPr>
        <w:spacing w:after="0" w:line="9" w:lineRule="exact"/>
        <w:rPr>
          <w:sz w:val="20"/>
          <w:szCs w:val="20"/>
          <w:color w:val="auto"/>
        </w:rPr>
      </w:pPr>
    </w:p>
    <w:p>
      <w:pPr>
        <w:ind w:left="3540"/>
        <w:spacing w:after="0"/>
        <w:rPr>
          <w:sz w:val="20"/>
          <w:szCs w:val="20"/>
          <w:color w:val="auto"/>
        </w:rPr>
      </w:pPr>
      <w:r>
        <w:rPr>
          <w:rFonts w:ascii="Arial" w:cs="Arial" w:eastAsia="Arial" w:hAnsi="Arial"/>
          <w:sz w:val="16"/>
          <w:szCs w:val="16"/>
          <w:color w:val="auto"/>
        </w:rPr>
        <w:t>information about the initial business combination</w:t>
      </w:r>
    </w:p>
    <w:p>
      <w:pPr>
        <w:spacing w:after="0" w:line="32" w:lineRule="exact"/>
        <w:rPr>
          <w:sz w:val="20"/>
          <w:szCs w:val="20"/>
          <w:color w:val="auto"/>
        </w:rPr>
      </w:pPr>
    </w:p>
    <w:p>
      <w:pPr>
        <w:ind w:left="3540"/>
        <w:spacing w:after="0"/>
        <w:rPr>
          <w:sz w:val="20"/>
          <w:szCs w:val="20"/>
          <w:color w:val="auto"/>
        </w:rPr>
      </w:pPr>
      <w:r>
        <w:rPr>
          <w:rFonts w:ascii="Arial" w:cs="Arial" w:eastAsia="Arial" w:hAnsi="Arial"/>
          <w:sz w:val="16"/>
          <w:szCs w:val="16"/>
          <w:color w:val="auto"/>
        </w:rPr>
        <w:t>and the redemption rights as is required under the</w:t>
      </w:r>
    </w:p>
    <w:p>
      <w:pPr>
        <w:spacing w:after="0" w:line="32"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SEC’s proxy rules. If, however, we hold a</w:t>
      </w:r>
    </w:p>
    <w:p>
      <w:pPr>
        <w:spacing w:after="0" w:line="9" w:lineRule="exact"/>
        <w:rPr>
          <w:sz w:val="20"/>
          <w:szCs w:val="20"/>
          <w:color w:val="auto"/>
        </w:rPr>
      </w:pPr>
    </w:p>
    <w:p>
      <w:pPr>
        <w:ind w:left="3540"/>
        <w:spacing w:after="0"/>
        <w:rPr>
          <w:sz w:val="20"/>
          <w:szCs w:val="20"/>
          <w:color w:val="auto"/>
        </w:rPr>
      </w:pPr>
      <w:r>
        <w:rPr>
          <w:rFonts w:ascii="Arial" w:cs="Arial" w:eastAsia="Arial" w:hAnsi="Arial"/>
          <w:sz w:val="17"/>
          <w:szCs w:val="17"/>
          <w:color w:val="auto"/>
        </w:rPr>
        <w:t>shareholder vote, we will, like many blank check</w:t>
      </w:r>
    </w:p>
    <w:p>
      <w:pPr>
        <w:spacing w:after="0" w:line="21" w:lineRule="exact"/>
        <w:rPr>
          <w:sz w:val="20"/>
          <w:szCs w:val="20"/>
          <w:color w:val="auto"/>
        </w:rPr>
      </w:pPr>
    </w:p>
    <w:p>
      <w:pPr>
        <w:ind w:left="3540"/>
        <w:spacing w:after="0"/>
        <w:rPr>
          <w:sz w:val="20"/>
          <w:szCs w:val="20"/>
          <w:color w:val="auto"/>
        </w:rPr>
      </w:pPr>
      <w:r>
        <w:rPr>
          <w:rFonts w:ascii="Arial" w:cs="Arial" w:eastAsia="Arial" w:hAnsi="Arial"/>
          <w:sz w:val="16"/>
          <w:szCs w:val="16"/>
          <w:color w:val="auto"/>
        </w:rPr>
        <w:t>companies, offer to redeem shares in conjunction</w:t>
      </w:r>
    </w:p>
    <w:p>
      <w:pPr>
        <w:spacing w:after="0" w:line="32"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with a proxy solicitation pursuant to the proxy</w:t>
      </w:r>
    </w:p>
    <w:p>
      <w:pPr>
        <w:spacing w:after="0" w:line="9" w:lineRule="exact"/>
        <w:rPr>
          <w:sz w:val="20"/>
          <w:szCs w:val="20"/>
          <w:color w:val="auto"/>
        </w:rPr>
      </w:pPr>
    </w:p>
    <w:p>
      <w:pPr>
        <w:ind w:left="3540"/>
        <w:spacing w:after="0"/>
        <w:rPr>
          <w:sz w:val="20"/>
          <w:szCs w:val="20"/>
          <w:color w:val="auto"/>
        </w:rPr>
      </w:pPr>
      <w:r>
        <w:rPr>
          <w:rFonts w:ascii="Arial" w:cs="Arial" w:eastAsia="Arial" w:hAnsi="Arial"/>
          <w:sz w:val="16"/>
          <w:szCs w:val="16"/>
          <w:color w:val="auto"/>
        </w:rPr>
        <w:t>rules and not pursuant to the tender offer rules. If</w:t>
      </w:r>
    </w:p>
    <w:p>
      <w:pPr>
        <w:spacing w:after="0" w:line="32" w:lineRule="exact"/>
        <w:rPr>
          <w:sz w:val="20"/>
          <w:szCs w:val="20"/>
          <w:color w:val="auto"/>
        </w:rPr>
      </w:pPr>
    </w:p>
    <w:p>
      <w:pPr>
        <w:ind w:left="3540"/>
        <w:spacing w:after="0"/>
        <w:rPr>
          <w:sz w:val="20"/>
          <w:szCs w:val="20"/>
          <w:color w:val="auto"/>
        </w:rPr>
      </w:pPr>
      <w:r>
        <w:rPr>
          <w:rFonts w:ascii="Arial" w:cs="Arial" w:eastAsia="Arial" w:hAnsi="Arial"/>
          <w:sz w:val="17"/>
          <w:szCs w:val="17"/>
          <w:color w:val="auto"/>
        </w:rPr>
        <w:t>we seek shareholder approval, we will complete</w:t>
      </w:r>
    </w:p>
    <w:p>
      <w:pPr>
        <w:spacing w:after="0" w:line="21"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our initial business combination only if we</w:t>
      </w:r>
    </w:p>
    <w:p>
      <w:pPr>
        <w:spacing w:after="0" w:line="9"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receive an ordinary resolution under Cayman</w:t>
      </w:r>
    </w:p>
    <w:p>
      <w:pPr>
        <w:spacing w:after="0" w:line="9" w:lineRule="exact"/>
        <w:rPr>
          <w:sz w:val="20"/>
          <w:szCs w:val="20"/>
          <w:color w:val="auto"/>
        </w:rPr>
      </w:pPr>
    </w:p>
    <w:p>
      <w:pPr>
        <w:ind w:left="3540"/>
        <w:spacing w:after="0"/>
        <w:rPr>
          <w:sz w:val="20"/>
          <w:szCs w:val="20"/>
          <w:color w:val="auto"/>
        </w:rPr>
      </w:pPr>
      <w:r>
        <w:rPr>
          <w:rFonts w:ascii="Arial" w:cs="Arial" w:eastAsia="Arial" w:hAnsi="Arial"/>
          <w:sz w:val="16"/>
          <w:szCs w:val="16"/>
          <w:color w:val="auto"/>
        </w:rPr>
        <w:t>Islands law, which requires the affirmative vote of</w:t>
      </w:r>
    </w:p>
    <w:p>
      <w:pPr>
        <w:spacing w:after="0" w:line="32" w:lineRule="exact"/>
        <w:rPr>
          <w:sz w:val="20"/>
          <w:szCs w:val="20"/>
          <w:color w:val="auto"/>
        </w:rPr>
      </w:pPr>
    </w:p>
    <w:p>
      <w:pPr>
        <w:ind w:left="3540"/>
        <w:spacing w:after="0"/>
        <w:rPr>
          <w:sz w:val="20"/>
          <w:szCs w:val="20"/>
          <w:color w:val="auto"/>
        </w:rPr>
      </w:pPr>
      <w:r>
        <w:rPr>
          <w:rFonts w:ascii="Arial" w:cs="Arial" w:eastAsia="Arial" w:hAnsi="Arial"/>
          <w:sz w:val="17"/>
          <w:szCs w:val="17"/>
          <w:color w:val="auto"/>
        </w:rPr>
        <w:t>a majority of the shareholders who attend and</w:t>
      </w:r>
    </w:p>
    <w:p>
      <w:pPr>
        <w:spacing w:after="0" w:line="21"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vote at a general meeting of the company.</w:t>
      </w:r>
    </w:p>
    <w:p>
      <w:pPr>
        <w:spacing w:after="0" w:line="9" w:lineRule="exact"/>
        <w:rPr>
          <w:sz w:val="20"/>
          <w:szCs w:val="20"/>
          <w:color w:val="auto"/>
        </w:rPr>
      </w:pPr>
    </w:p>
    <w:p>
      <w:pPr>
        <w:ind w:left="3540"/>
        <w:spacing w:after="0"/>
        <w:rPr>
          <w:sz w:val="20"/>
          <w:szCs w:val="20"/>
          <w:color w:val="auto"/>
        </w:rPr>
      </w:pPr>
      <w:r>
        <w:rPr>
          <w:rFonts w:ascii="Arial" w:cs="Arial" w:eastAsia="Arial" w:hAnsi="Arial"/>
          <w:sz w:val="16"/>
          <w:szCs w:val="16"/>
          <w:color w:val="auto"/>
        </w:rPr>
        <w:t>Additionally, each public shareholder may elect to</w:t>
      </w:r>
    </w:p>
    <w:p>
      <w:pPr>
        <w:spacing w:after="0" w:line="32" w:lineRule="exact"/>
        <w:rPr>
          <w:sz w:val="20"/>
          <w:szCs w:val="20"/>
          <w:color w:val="auto"/>
        </w:rPr>
      </w:pPr>
    </w:p>
    <w:p>
      <w:pPr>
        <w:ind w:left="3540"/>
        <w:spacing w:after="0"/>
        <w:rPr>
          <w:sz w:val="20"/>
          <w:szCs w:val="20"/>
          <w:color w:val="auto"/>
        </w:rPr>
      </w:pPr>
      <w:r>
        <w:rPr>
          <w:rFonts w:ascii="Arial" w:cs="Arial" w:eastAsia="Arial" w:hAnsi="Arial"/>
          <w:sz w:val="17"/>
          <w:szCs w:val="17"/>
          <w:color w:val="auto"/>
        </w:rPr>
        <w:t>redeem their public shares without voting and, if</w:t>
      </w:r>
    </w:p>
    <w:p>
      <w:pPr>
        <w:spacing w:after="0" w:line="21" w:lineRule="exact"/>
        <w:rPr>
          <w:sz w:val="20"/>
          <w:szCs w:val="20"/>
          <w:color w:val="auto"/>
        </w:rPr>
      </w:pPr>
    </w:p>
    <w:p>
      <w:pPr>
        <w:ind w:left="3540"/>
        <w:spacing w:after="0"/>
        <w:rPr>
          <w:sz w:val="20"/>
          <w:szCs w:val="20"/>
          <w:color w:val="auto"/>
        </w:rPr>
      </w:pPr>
      <w:r>
        <w:rPr>
          <w:rFonts w:ascii="Arial" w:cs="Arial" w:eastAsia="Arial" w:hAnsi="Arial"/>
          <w:sz w:val="16"/>
          <w:szCs w:val="16"/>
          <w:color w:val="auto"/>
        </w:rPr>
        <w:t>they do vote, irrespective of whether they vote for</w:t>
      </w:r>
    </w:p>
    <w:p>
      <w:pPr>
        <w:spacing w:after="0" w:line="32"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or against the proposed transaction.</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registration statement, to decide if he, she or it elects to remain a shareholder of the company or require the return of his, her or its investment. If the company has not received the notification by the end of the 45th business day, funds and interest or dividends, if any, held in the trust or escrow account are automatically returned to the shareholder. Unless a sufficient number of investors elect to remain investors, all funds on deposit in the escrow account must be returned to all of the investors and none of the securities are issued.</w:t>
      </w:r>
    </w:p>
    <w:p>
      <w:pPr>
        <w:spacing w:after="0" w:line="4009" w:lineRule="exact"/>
        <w:rPr>
          <w:sz w:val="20"/>
          <w:szCs w:val="20"/>
          <w:color w:val="auto"/>
        </w:rPr>
      </w:pPr>
    </w:p>
    <w:p>
      <w:pPr>
        <w:sectPr>
          <w:pgSz w:w="11900" w:h="16838" w:orient="portrait"/>
          <w:cols w:equalWidth="0" w:num="2">
            <w:col w:w="7160" w:space="200"/>
            <w:col w:w="3560"/>
          </w:cols>
          <w:pgMar w:left="500" w:top="661" w:right="479" w:bottom="1440" w:gutter="0" w:footer="0" w:header="0"/>
          <w:type w:val="continuous"/>
        </w:sectPr>
      </w:pPr>
    </w:p>
    <w:p>
      <w:pPr>
        <w:spacing w:after="0"/>
        <w:tabs>
          <w:tab w:leader="none" w:pos="3520" w:val="left"/>
        </w:tabs>
        <w:rPr>
          <w:sz w:val="20"/>
          <w:szCs w:val="20"/>
          <w:color w:val="auto"/>
        </w:rPr>
      </w:pPr>
      <w:r>
        <w:rPr>
          <w:rFonts w:ascii="Arial" w:cs="Arial" w:eastAsia="Arial" w:hAnsi="Arial"/>
          <w:sz w:val="18"/>
          <w:szCs w:val="18"/>
          <w:b w:val="1"/>
          <w:bCs w:val="1"/>
          <w:color w:val="auto"/>
        </w:rPr>
        <w:t>Business combination deadline</w:t>
      </w:r>
      <w:r>
        <w:rPr>
          <w:sz w:val="20"/>
          <w:szCs w:val="20"/>
          <w:color w:val="auto"/>
        </w:rPr>
        <w:tab/>
      </w:r>
      <w:r>
        <w:rPr>
          <w:rFonts w:ascii="Arial" w:cs="Arial" w:eastAsia="Arial" w:hAnsi="Arial"/>
          <w:sz w:val="16"/>
          <w:szCs w:val="16"/>
          <w:color w:val="auto"/>
        </w:rPr>
        <w:t>If we have not completed an initial business</w:t>
      </w:r>
    </w:p>
    <w:p>
      <w:pPr>
        <w:spacing w:after="0" w:line="27" w:lineRule="exact"/>
        <w:rPr>
          <w:sz w:val="20"/>
          <w:szCs w:val="20"/>
          <w:color w:val="auto"/>
        </w:rPr>
      </w:pPr>
    </w:p>
    <w:p>
      <w:pPr>
        <w:ind w:left="3540"/>
        <w:spacing w:after="0"/>
        <w:rPr>
          <w:sz w:val="20"/>
          <w:szCs w:val="20"/>
          <w:color w:val="auto"/>
        </w:rPr>
      </w:pPr>
      <w:r>
        <w:rPr>
          <w:rFonts w:ascii="Arial" w:cs="Arial" w:eastAsia="Arial" w:hAnsi="Arial"/>
          <w:sz w:val="17"/>
          <w:szCs w:val="17"/>
          <w:color w:val="auto"/>
        </w:rPr>
        <w:t>combination within 24 months from the closing</w:t>
      </w:r>
    </w:p>
    <w:p>
      <w:pPr>
        <w:spacing w:after="0" w:line="21" w:lineRule="exact"/>
        <w:rPr>
          <w:sz w:val="20"/>
          <w:szCs w:val="20"/>
          <w:color w:val="auto"/>
        </w:rPr>
      </w:pPr>
    </w:p>
    <w:p>
      <w:pPr>
        <w:ind w:left="3540"/>
        <w:spacing w:after="0"/>
        <w:rPr>
          <w:sz w:val="20"/>
          <w:szCs w:val="20"/>
          <w:color w:val="auto"/>
        </w:rPr>
      </w:pPr>
      <w:r>
        <w:rPr>
          <w:rFonts w:ascii="Arial" w:cs="Arial" w:eastAsia="Arial" w:hAnsi="Arial"/>
          <w:sz w:val="17"/>
          <w:szCs w:val="17"/>
          <w:color w:val="auto"/>
        </w:rPr>
        <w:t>of this offering or during any Extension Period,</w:t>
      </w:r>
    </w:p>
    <w:p>
      <w:pPr>
        <w:spacing w:after="0" w:line="21"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we will (i) cease all operations except for the</w:t>
      </w:r>
    </w:p>
    <w:p>
      <w:pPr>
        <w:spacing w:after="0" w:line="9"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purpose of winding up, (ii) as promptly as</w:t>
      </w:r>
    </w:p>
    <w:p>
      <w:pPr>
        <w:spacing w:after="0" w:line="9"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reasonably possible but not more than ten</w:t>
      </w:r>
    </w:p>
    <w:p>
      <w:pPr>
        <w:spacing w:after="0" w:line="9"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business days thereafter, redeem the public</w:t>
      </w:r>
    </w:p>
    <w:p>
      <w:pPr>
        <w:spacing w:after="0" w:line="9" w:lineRule="exact"/>
        <w:rPr>
          <w:sz w:val="20"/>
          <w:szCs w:val="20"/>
          <w:color w:val="auto"/>
        </w:rPr>
      </w:pPr>
    </w:p>
    <w:p>
      <w:pPr>
        <w:ind w:left="3540"/>
        <w:spacing w:after="0"/>
        <w:rPr>
          <w:sz w:val="20"/>
          <w:szCs w:val="20"/>
          <w:color w:val="auto"/>
        </w:rPr>
      </w:pPr>
      <w:r>
        <w:rPr>
          <w:rFonts w:ascii="Arial" w:cs="Arial" w:eastAsia="Arial" w:hAnsi="Arial"/>
          <w:sz w:val="15"/>
          <w:szCs w:val="15"/>
          <w:color w:val="auto"/>
        </w:rPr>
        <w:t>shares, at a per-share price, payable in cash, equal</w:t>
      </w:r>
    </w:p>
    <w:p>
      <w:pPr>
        <w:spacing w:after="0" w:line="44" w:lineRule="exact"/>
        <w:rPr>
          <w:sz w:val="20"/>
          <w:szCs w:val="20"/>
          <w:color w:val="auto"/>
        </w:rPr>
      </w:pPr>
    </w:p>
    <w:p>
      <w:pPr>
        <w:ind w:left="3540"/>
        <w:spacing w:after="0"/>
        <w:rPr>
          <w:sz w:val="20"/>
          <w:szCs w:val="20"/>
          <w:color w:val="auto"/>
        </w:rPr>
      </w:pPr>
      <w:r>
        <w:rPr>
          <w:rFonts w:ascii="Arial" w:cs="Arial" w:eastAsia="Arial" w:hAnsi="Arial"/>
          <w:sz w:val="17"/>
          <w:szCs w:val="17"/>
          <w:color w:val="auto"/>
        </w:rPr>
        <w:t>to the aggregate amount then on deposit in the</w:t>
      </w:r>
    </w:p>
    <w:p>
      <w:pPr>
        <w:spacing w:after="0" w:line="21" w:lineRule="exact"/>
        <w:rPr>
          <w:sz w:val="20"/>
          <w:szCs w:val="20"/>
          <w:color w:val="auto"/>
        </w:rPr>
      </w:pPr>
    </w:p>
    <w:p>
      <w:pPr>
        <w:ind w:left="3540"/>
        <w:spacing w:after="0"/>
        <w:rPr>
          <w:sz w:val="20"/>
          <w:szCs w:val="20"/>
          <w:color w:val="auto"/>
        </w:rPr>
      </w:pPr>
      <w:r>
        <w:rPr>
          <w:rFonts w:ascii="Arial" w:cs="Arial" w:eastAsia="Arial" w:hAnsi="Arial"/>
          <w:sz w:val="17"/>
          <w:szCs w:val="17"/>
          <w:color w:val="auto"/>
        </w:rPr>
        <w:t>trust account, including interest earned on the</w:t>
      </w:r>
    </w:p>
    <w:p>
      <w:pPr>
        <w:spacing w:after="0" w:line="21"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funds held in the trust</w:t>
      </w:r>
    </w:p>
    <w:p>
      <w:pPr>
        <w:spacing w:after="0" w:line="400"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14605</wp:posOffset>
            </wp:positionV>
            <wp:extent cx="713232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140"/>
        <w:spacing w:after="0" w:line="257" w:lineRule="auto"/>
        <w:rPr>
          <w:sz w:val="20"/>
          <w:szCs w:val="20"/>
          <w:color w:val="auto"/>
        </w:rPr>
      </w:pPr>
      <w:r>
        <w:rPr>
          <w:rFonts w:ascii="Arial" w:cs="Arial" w:eastAsia="Arial" w:hAnsi="Arial"/>
          <w:sz w:val="18"/>
          <w:szCs w:val="18"/>
          <w:color w:val="auto"/>
        </w:rPr>
        <w:t>If an acquisition has not been completed within 18 months after the effective date of the company’s registration statement, funds held in the trust or escrow account are returned to investors.</w:t>
      </w:r>
    </w:p>
    <w:p>
      <w:pPr>
        <w:sectPr>
          <w:pgSz w:w="11900" w:h="16838" w:orient="portrait"/>
          <w:cols w:equalWidth="0" w:num="2">
            <w:col w:w="7120" w:space="240"/>
            <w:col w:w="3560"/>
          </w:cols>
          <w:pgMar w:left="500" w:top="661" w:right="479" w:bottom="1440" w:gutter="0" w:footer="0" w:header="0"/>
          <w:type w:val="continuous"/>
        </w:sectPr>
      </w:pPr>
    </w:p>
    <w:bookmarkStart w:id="110" w:name="page111"/>
    <w:bookmarkEnd w:id="110"/>
    <w:p>
      <w:pPr>
        <w:ind w:left="4460"/>
        <w:spacing w:after="0"/>
        <w:tabs>
          <w:tab w:leader="none" w:pos="7840" w:val="left"/>
        </w:tabs>
        <w:rPr>
          <w:sz w:val="20"/>
          <w:szCs w:val="20"/>
          <w:color w:val="auto"/>
        </w:rPr>
      </w:pPr>
      <w:r>
        <w:rPr>
          <w:rFonts w:ascii="Arial" w:cs="Arial" w:eastAsia="Arial" w:hAnsi="Arial"/>
          <w:sz w:val="18"/>
          <w:szCs w:val="18"/>
          <w:b w:val="1"/>
          <w:bCs w:val="1"/>
          <w:color w:val="auto"/>
        </w:rPr>
        <w:t>Terms of Our Offering</w:t>
      </w:r>
      <w:r>
        <w:rPr>
          <w:sz w:val="20"/>
          <w:szCs w:val="20"/>
          <w:color w:val="auto"/>
        </w:rPr>
        <w:tab/>
      </w:r>
      <w:r>
        <w:rPr>
          <w:rFonts w:ascii="Arial" w:cs="Arial" w:eastAsia="Arial" w:hAnsi="Arial"/>
          <w:sz w:val="16"/>
          <w:szCs w:val="16"/>
          <w:b w:val="1"/>
          <w:bCs w:val="1"/>
          <w:color w:val="auto"/>
        </w:rPr>
        <w:t>Terms Under a Rule 419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2247900</wp:posOffset>
            </wp:positionH>
            <wp:positionV relativeFrom="paragraph">
              <wp:posOffset>17145</wp:posOffset>
            </wp:positionV>
            <wp:extent cx="471487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4714875" cy="8255"/>
                    </a:xfrm>
                    <a:prstGeom prst="rect">
                      <a:avLst/>
                    </a:prstGeom>
                    <a:noFill/>
                  </pic:spPr>
                </pic:pic>
              </a:graphicData>
            </a:graphic>
          </wp:anchor>
        </w:drawing>
      </w:r>
    </w:p>
    <w:p>
      <w:pPr>
        <w:sectPr>
          <w:pgSz w:w="11900" w:h="16838" w:orient="portrait"/>
          <w:cols w:equalWidth="0" w:num="1">
            <w:col w:w="10820"/>
          </w:cols>
          <w:pgMar w:left="500" w:top="661" w:right="579" w:bottom="1440" w:gutter="0" w:footer="0" w:header="0"/>
        </w:sectPr>
      </w:pPr>
    </w:p>
    <w:p>
      <w:pPr>
        <w:spacing w:after="0" w:line="189" w:lineRule="exact"/>
        <w:rPr>
          <w:sz w:val="20"/>
          <w:szCs w:val="20"/>
          <w:color w:val="auto"/>
        </w:rPr>
      </w:pPr>
    </w:p>
    <w:p>
      <w:pPr>
        <w:ind w:left="3540"/>
        <w:spacing w:after="0"/>
        <w:rPr>
          <w:sz w:val="20"/>
          <w:szCs w:val="20"/>
          <w:color w:val="auto"/>
        </w:rPr>
      </w:pPr>
      <w:r>
        <w:rPr>
          <w:rFonts w:ascii="Arial" w:cs="Arial" w:eastAsia="Arial" w:hAnsi="Arial"/>
          <w:sz w:val="16"/>
          <w:szCs w:val="16"/>
          <w:color w:val="auto"/>
        </w:rPr>
        <w:t>account (less taxes payable and up to $100,000 of</w:t>
      </w:r>
    </w:p>
    <w:p>
      <w:pPr>
        <w:spacing w:after="0" w:line="46" w:lineRule="exact"/>
        <w:rPr>
          <w:sz w:val="20"/>
          <w:szCs w:val="20"/>
          <w:color w:val="auto"/>
        </w:rPr>
      </w:pPr>
    </w:p>
    <w:p>
      <w:pPr>
        <w:ind w:left="3540"/>
        <w:spacing w:after="0"/>
        <w:rPr>
          <w:sz w:val="20"/>
          <w:szCs w:val="20"/>
          <w:color w:val="auto"/>
        </w:rPr>
      </w:pPr>
      <w:r>
        <w:rPr>
          <w:rFonts w:ascii="Arial" w:cs="Arial" w:eastAsia="Arial" w:hAnsi="Arial"/>
          <w:sz w:val="17"/>
          <w:szCs w:val="17"/>
          <w:color w:val="auto"/>
        </w:rPr>
        <w:t>interest income to pay dissolution expenses),</w:t>
      </w:r>
    </w:p>
    <w:p>
      <w:pPr>
        <w:spacing w:after="0" w:line="21" w:lineRule="exact"/>
        <w:rPr>
          <w:sz w:val="20"/>
          <w:szCs w:val="20"/>
          <w:color w:val="auto"/>
        </w:rPr>
      </w:pPr>
    </w:p>
    <w:p>
      <w:pPr>
        <w:ind w:left="3540"/>
        <w:spacing w:after="0"/>
        <w:rPr>
          <w:sz w:val="20"/>
          <w:szCs w:val="20"/>
          <w:color w:val="auto"/>
        </w:rPr>
      </w:pPr>
      <w:r>
        <w:rPr>
          <w:rFonts w:ascii="Arial" w:cs="Arial" w:eastAsia="Arial" w:hAnsi="Arial"/>
          <w:sz w:val="16"/>
          <w:szCs w:val="16"/>
          <w:color w:val="auto"/>
        </w:rPr>
        <w:t>divided by the number of then outstanding public</w:t>
      </w:r>
    </w:p>
    <w:p>
      <w:pPr>
        <w:spacing w:after="0" w:line="32"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shares, which redemption will completely</w:t>
      </w:r>
    </w:p>
    <w:p>
      <w:pPr>
        <w:spacing w:after="0" w:line="9"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extinguish public shareholders’ rights as</w:t>
      </w:r>
    </w:p>
    <w:p>
      <w:pPr>
        <w:spacing w:after="0" w:line="9"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shareholders (including the right to receive</w:t>
      </w:r>
    </w:p>
    <w:p>
      <w:pPr>
        <w:spacing w:after="0" w:line="9" w:lineRule="exact"/>
        <w:rPr>
          <w:sz w:val="20"/>
          <w:szCs w:val="20"/>
          <w:color w:val="auto"/>
        </w:rPr>
      </w:pPr>
    </w:p>
    <w:p>
      <w:pPr>
        <w:ind w:left="3540"/>
        <w:spacing w:after="0"/>
        <w:rPr>
          <w:sz w:val="20"/>
          <w:szCs w:val="20"/>
          <w:color w:val="auto"/>
        </w:rPr>
      </w:pPr>
      <w:r>
        <w:rPr>
          <w:rFonts w:ascii="Arial" w:cs="Arial" w:eastAsia="Arial" w:hAnsi="Arial"/>
          <w:sz w:val="17"/>
          <w:szCs w:val="17"/>
          <w:color w:val="auto"/>
        </w:rPr>
        <w:t>further liquidation distributions, if any) and (iii)</w:t>
      </w:r>
    </w:p>
    <w:p>
      <w:pPr>
        <w:spacing w:after="0" w:line="21"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as promptly as reasonably possible following</w:t>
      </w:r>
    </w:p>
    <w:p>
      <w:pPr>
        <w:spacing w:after="0" w:line="9" w:lineRule="exact"/>
        <w:rPr>
          <w:sz w:val="20"/>
          <w:szCs w:val="20"/>
          <w:color w:val="auto"/>
        </w:rPr>
      </w:pPr>
    </w:p>
    <w:p>
      <w:pPr>
        <w:ind w:left="3540"/>
        <w:spacing w:after="0"/>
        <w:rPr>
          <w:sz w:val="20"/>
          <w:szCs w:val="20"/>
          <w:color w:val="auto"/>
        </w:rPr>
      </w:pPr>
      <w:r>
        <w:rPr>
          <w:rFonts w:ascii="Arial" w:cs="Arial" w:eastAsia="Arial" w:hAnsi="Arial"/>
          <w:sz w:val="17"/>
          <w:szCs w:val="17"/>
          <w:color w:val="auto"/>
        </w:rPr>
        <w:t>such redemption, subject to the approval of our</w:t>
      </w:r>
    </w:p>
    <w:p>
      <w:pPr>
        <w:spacing w:after="0" w:line="21"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remaining shareholders and our board of</w:t>
      </w:r>
    </w:p>
    <w:p>
      <w:pPr>
        <w:spacing w:after="0" w:line="9" w:lineRule="exact"/>
        <w:rPr>
          <w:sz w:val="20"/>
          <w:szCs w:val="20"/>
          <w:color w:val="auto"/>
        </w:rPr>
      </w:pPr>
    </w:p>
    <w:p>
      <w:pPr>
        <w:ind w:left="3540"/>
        <w:spacing w:after="0"/>
        <w:rPr>
          <w:sz w:val="20"/>
          <w:szCs w:val="20"/>
          <w:color w:val="auto"/>
        </w:rPr>
      </w:pPr>
      <w:r>
        <w:rPr>
          <w:rFonts w:ascii="Arial" w:cs="Arial" w:eastAsia="Arial" w:hAnsi="Arial"/>
          <w:sz w:val="16"/>
          <w:szCs w:val="16"/>
          <w:color w:val="auto"/>
        </w:rPr>
        <w:t>directors, liquidate and dissolve, subject, in each</w:t>
      </w:r>
    </w:p>
    <w:p>
      <w:pPr>
        <w:spacing w:after="0" w:line="32" w:lineRule="exact"/>
        <w:rPr>
          <w:sz w:val="20"/>
          <w:szCs w:val="20"/>
          <w:color w:val="auto"/>
        </w:rPr>
      </w:pPr>
    </w:p>
    <w:p>
      <w:pPr>
        <w:ind w:left="3540"/>
        <w:spacing w:after="0"/>
        <w:rPr>
          <w:sz w:val="20"/>
          <w:szCs w:val="20"/>
          <w:color w:val="auto"/>
        </w:rPr>
      </w:pPr>
      <w:r>
        <w:rPr>
          <w:rFonts w:ascii="Arial" w:cs="Arial" w:eastAsia="Arial" w:hAnsi="Arial"/>
          <w:sz w:val="17"/>
          <w:szCs w:val="17"/>
          <w:color w:val="auto"/>
        </w:rPr>
        <w:t>case, to our obligations under Cayman Islands</w:t>
      </w:r>
    </w:p>
    <w:p>
      <w:pPr>
        <w:spacing w:after="0" w:line="21" w:lineRule="exact"/>
        <w:rPr>
          <w:sz w:val="20"/>
          <w:szCs w:val="20"/>
          <w:color w:val="auto"/>
        </w:rPr>
      </w:pPr>
    </w:p>
    <w:p>
      <w:pPr>
        <w:ind w:left="3540"/>
        <w:spacing w:after="0"/>
        <w:rPr>
          <w:sz w:val="20"/>
          <w:szCs w:val="20"/>
          <w:color w:val="auto"/>
        </w:rPr>
      </w:pPr>
      <w:r>
        <w:rPr>
          <w:rFonts w:ascii="Arial" w:cs="Arial" w:eastAsia="Arial" w:hAnsi="Arial"/>
          <w:sz w:val="17"/>
          <w:szCs w:val="17"/>
          <w:color w:val="auto"/>
        </w:rPr>
        <w:t>law to provide for claims of creditors and in all</w:t>
      </w:r>
    </w:p>
    <w:p>
      <w:pPr>
        <w:spacing w:after="0" w:line="21"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cases subject to the other requirements of</w:t>
      </w:r>
    </w:p>
    <w:p>
      <w:pPr>
        <w:spacing w:after="0" w:line="9"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applicable law.</w:t>
      </w:r>
    </w:p>
    <w:p>
      <w:pPr>
        <w:spacing w:after="0" w:line="328" w:lineRule="exact"/>
        <w:rPr>
          <w:sz w:val="20"/>
          <w:szCs w:val="20"/>
          <w:color w:val="auto"/>
        </w:rPr>
      </w:pPr>
    </w:p>
    <w:p>
      <w:pPr>
        <w:spacing w:after="0"/>
        <w:tabs>
          <w:tab w:leader="none" w:pos="3520" w:val="left"/>
        </w:tabs>
        <w:rPr>
          <w:sz w:val="20"/>
          <w:szCs w:val="20"/>
          <w:color w:val="auto"/>
        </w:rPr>
      </w:pPr>
      <w:r>
        <w:rPr>
          <w:rFonts w:ascii="Arial" w:cs="Arial" w:eastAsia="Arial" w:hAnsi="Arial"/>
          <w:sz w:val="18"/>
          <w:szCs w:val="18"/>
          <w:b w:val="1"/>
          <w:bCs w:val="1"/>
          <w:color w:val="auto"/>
        </w:rPr>
        <w:t>Release of funds</w:t>
      </w:r>
      <w:r>
        <w:rPr>
          <w:sz w:val="20"/>
          <w:szCs w:val="20"/>
          <w:color w:val="auto"/>
        </w:rPr>
        <w:tab/>
      </w:r>
      <w:r>
        <w:rPr>
          <w:rFonts w:ascii="Arial" w:cs="Arial" w:eastAsia="Arial" w:hAnsi="Arial"/>
          <w:sz w:val="16"/>
          <w:szCs w:val="16"/>
          <w:color w:val="auto"/>
        </w:rPr>
        <w:t>Except for the withdrawal of interest income to</w:t>
      </w:r>
    </w:p>
    <w:p>
      <w:pPr>
        <w:spacing w:after="0" w:line="27" w:lineRule="exact"/>
        <w:rPr>
          <w:sz w:val="20"/>
          <w:szCs w:val="20"/>
          <w:color w:val="auto"/>
        </w:rPr>
      </w:pPr>
    </w:p>
    <w:p>
      <w:pPr>
        <w:ind w:left="3540"/>
        <w:spacing w:after="0"/>
        <w:rPr>
          <w:sz w:val="20"/>
          <w:szCs w:val="20"/>
          <w:color w:val="auto"/>
        </w:rPr>
      </w:pPr>
      <w:r>
        <w:rPr>
          <w:rFonts w:ascii="Arial" w:cs="Arial" w:eastAsia="Arial" w:hAnsi="Arial"/>
          <w:sz w:val="17"/>
          <w:szCs w:val="17"/>
          <w:color w:val="auto"/>
        </w:rPr>
        <w:t>pay our taxes, if any, none of the funds held in</w:t>
      </w:r>
    </w:p>
    <w:p>
      <w:pPr>
        <w:spacing w:after="0" w:line="21" w:lineRule="exact"/>
        <w:rPr>
          <w:sz w:val="20"/>
          <w:szCs w:val="20"/>
          <w:color w:val="auto"/>
        </w:rPr>
      </w:pPr>
    </w:p>
    <w:p>
      <w:pPr>
        <w:ind w:left="3540"/>
        <w:spacing w:after="0"/>
        <w:rPr>
          <w:sz w:val="20"/>
          <w:szCs w:val="20"/>
          <w:color w:val="auto"/>
        </w:rPr>
      </w:pPr>
      <w:r>
        <w:rPr>
          <w:rFonts w:ascii="Arial" w:cs="Arial" w:eastAsia="Arial" w:hAnsi="Arial"/>
          <w:sz w:val="16"/>
          <w:szCs w:val="16"/>
          <w:color w:val="auto"/>
        </w:rPr>
        <w:t>trust will be released from the trust account until</w:t>
      </w:r>
    </w:p>
    <w:p>
      <w:pPr>
        <w:spacing w:after="0" w:line="32"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the earliest of (i) the completion of our initial</w:t>
      </w:r>
    </w:p>
    <w:p>
      <w:pPr>
        <w:spacing w:after="0" w:line="9" w:lineRule="exact"/>
        <w:rPr>
          <w:sz w:val="20"/>
          <w:szCs w:val="20"/>
          <w:color w:val="auto"/>
        </w:rPr>
      </w:pPr>
    </w:p>
    <w:p>
      <w:pPr>
        <w:ind w:left="3540"/>
        <w:spacing w:after="0"/>
        <w:rPr>
          <w:sz w:val="20"/>
          <w:szCs w:val="20"/>
          <w:color w:val="auto"/>
        </w:rPr>
      </w:pPr>
      <w:r>
        <w:rPr>
          <w:rFonts w:ascii="Arial" w:cs="Arial" w:eastAsia="Arial" w:hAnsi="Arial"/>
          <w:sz w:val="16"/>
          <w:szCs w:val="16"/>
          <w:color w:val="auto"/>
        </w:rPr>
        <w:t>business combination, (ii) the redemption of our</w:t>
      </w:r>
    </w:p>
    <w:p>
      <w:pPr>
        <w:spacing w:after="0" w:line="32" w:lineRule="exact"/>
        <w:rPr>
          <w:sz w:val="20"/>
          <w:szCs w:val="20"/>
          <w:color w:val="auto"/>
        </w:rPr>
      </w:pPr>
    </w:p>
    <w:p>
      <w:pPr>
        <w:ind w:left="3540"/>
        <w:spacing w:after="0"/>
        <w:rPr>
          <w:sz w:val="20"/>
          <w:szCs w:val="20"/>
          <w:color w:val="auto"/>
        </w:rPr>
      </w:pPr>
      <w:r>
        <w:rPr>
          <w:rFonts w:ascii="Arial" w:cs="Arial" w:eastAsia="Arial" w:hAnsi="Arial"/>
          <w:sz w:val="16"/>
          <w:szCs w:val="16"/>
          <w:color w:val="auto"/>
        </w:rPr>
        <w:t>public shares if we have not completed our initial</w:t>
      </w:r>
    </w:p>
    <w:p>
      <w:pPr>
        <w:spacing w:after="0" w:line="32" w:lineRule="exact"/>
        <w:rPr>
          <w:sz w:val="20"/>
          <w:szCs w:val="20"/>
          <w:color w:val="auto"/>
        </w:rPr>
      </w:pPr>
    </w:p>
    <w:p>
      <w:pPr>
        <w:ind w:left="3540"/>
        <w:spacing w:after="0"/>
        <w:rPr>
          <w:sz w:val="20"/>
          <w:szCs w:val="20"/>
          <w:color w:val="auto"/>
        </w:rPr>
      </w:pPr>
      <w:r>
        <w:rPr>
          <w:rFonts w:ascii="Arial" w:cs="Arial" w:eastAsia="Arial" w:hAnsi="Arial"/>
          <w:sz w:val="16"/>
          <w:szCs w:val="16"/>
          <w:color w:val="auto"/>
        </w:rPr>
        <w:t>business combination within 24 months from the</w:t>
      </w:r>
    </w:p>
    <w:p>
      <w:pPr>
        <w:spacing w:after="0" w:line="32" w:lineRule="exact"/>
        <w:rPr>
          <w:sz w:val="20"/>
          <w:szCs w:val="20"/>
          <w:color w:val="auto"/>
        </w:rPr>
      </w:pPr>
    </w:p>
    <w:p>
      <w:pPr>
        <w:ind w:left="3540"/>
        <w:spacing w:after="0"/>
        <w:rPr>
          <w:sz w:val="20"/>
          <w:szCs w:val="20"/>
          <w:color w:val="auto"/>
        </w:rPr>
      </w:pPr>
      <w:r>
        <w:rPr>
          <w:rFonts w:ascii="Arial" w:cs="Arial" w:eastAsia="Arial" w:hAnsi="Arial"/>
          <w:sz w:val="16"/>
          <w:szCs w:val="16"/>
          <w:color w:val="auto"/>
        </w:rPr>
        <w:t>closing of this offering, subject to applicable law,</w:t>
      </w:r>
    </w:p>
    <w:p>
      <w:pPr>
        <w:spacing w:after="0" w:line="32"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and (iii) the redemption of our public shares</w:t>
      </w:r>
    </w:p>
    <w:p>
      <w:pPr>
        <w:spacing w:after="0" w:line="9"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properly submitted in connection with a</w:t>
      </w:r>
    </w:p>
    <w:p>
      <w:pPr>
        <w:spacing w:after="0" w:line="9" w:lineRule="exact"/>
        <w:rPr>
          <w:sz w:val="20"/>
          <w:szCs w:val="20"/>
          <w:color w:val="auto"/>
        </w:rPr>
      </w:pPr>
    </w:p>
    <w:p>
      <w:pPr>
        <w:ind w:left="3540"/>
        <w:spacing w:after="0"/>
        <w:rPr>
          <w:sz w:val="20"/>
          <w:szCs w:val="20"/>
          <w:color w:val="auto"/>
        </w:rPr>
      </w:pPr>
      <w:r>
        <w:rPr>
          <w:rFonts w:ascii="Arial" w:cs="Arial" w:eastAsia="Arial" w:hAnsi="Arial"/>
          <w:sz w:val="16"/>
          <w:szCs w:val="16"/>
          <w:color w:val="auto"/>
        </w:rPr>
        <w:t>shareholder vote to approve an amendment to our</w:t>
      </w:r>
    </w:p>
    <w:p>
      <w:pPr>
        <w:spacing w:after="0" w:line="32" w:lineRule="exact"/>
        <w:rPr>
          <w:sz w:val="20"/>
          <w:szCs w:val="20"/>
          <w:color w:val="auto"/>
        </w:rPr>
      </w:pPr>
    </w:p>
    <w:p>
      <w:pPr>
        <w:ind w:left="3540"/>
        <w:spacing w:after="0"/>
        <w:rPr>
          <w:sz w:val="20"/>
          <w:szCs w:val="20"/>
          <w:color w:val="auto"/>
        </w:rPr>
      </w:pPr>
      <w:r>
        <w:rPr>
          <w:rFonts w:ascii="Arial" w:cs="Arial" w:eastAsia="Arial" w:hAnsi="Arial"/>
          <w:sz w:val="16"/>
          <w:szCs w:val="16"/>
          <w:color w:val="auto"/>
        </w:rPr>
        <w:t>amended and restated memorandum and articles</w:t>
      </w:r>
    </w:p>
    <w:p>
      <w:pPr>
        <w:spacing w:after="0" w:line="32"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of association (A) to modify the substance or</w:t>
      </w:r>
    </w:p>
    <w:p>
      <w:pPr>
        <w:spacing w:after="0" w:line="9" w:lineRule="exact"/>
        <w:rPr>
          <w:sz w:val="20"/>
          <w:szCs w:val="20"/>
          <w:color w:val="auto"/>
        </w:rPr>
      </w:pPr>
    </w:p>
    <w:p>
      <w:pPr>
        <w:ind w:left="3540"/>
        <w:spacing w:after="0"/>
        <w:rPr>
          <w:sz w:val="20"/>
          <w:szCs w:val="20"/>
          <w:color w:val="auto"/>
        </w:rPr>
      </w:pPr>
      <w:r>
        <w:rPr>
          <w:rFonts w:ascii="Arial" w:cs="Arial" w:eastAsia="Arial" w:hAnsi="Arial"/>
          <w:sz w:val="17"/>
          <w:szCs w:val="17"/>
          <w:color w:val="auto"/>
        </w:rPr>
        <w:t>timing of our obligation to allow redemption in</w:t>
      </w:r>
    </w:p>
    <w:p>
      <w:pPr>
        <w:spacing w:after="0" w:line="21" w:lineRule="exact"/>
        <w:rPr>
          <w:sz w:val="20"/>
          <w:szCs w:val="20"/>
          <w:color w:val="auto"/>
        </w:rPr>
      </w:pPr>
    </w:p>
    <w:p>
      <w:pPr>
        <w:ind w:left="3540"/>
        <w:spacing w:after="0"/>
        <w:rPr>
          <w:sz w:val="20"/>
          <w:szCs w:val="20"/>
          <w:color w:val="auto"/>
        </w:rPr>
      </w:pPr>
      <w:r>
        <w:rPr>
          <w:rFonts w:ascii="Arial" w:cs="Arial" w:eastAsia="Arial" w:hAnsi="Arial"/>
          <w:sz w:val="16"/>
          <w:szCs w:val="16"/>
          <w:color w:val="auto"/>
        </w:rPr>
        <w:t>connection with our initial business combination</w:t>
      </w:r>
    </w:p>
    <w:p>
      <w:pPr>
        <w:spacing w:after="0" w:line="32"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or to redeem 100% of our public shares if we</w:t>
      </w:r>
    </w:p>
    <w:p>
      <w:pPr>
        <w:spacing w:after="0" w:line="9"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have not consummated an initial business</w:t>
      </w:r>
    </w:p>
    <w:p>
      <w:pPr>
        <w:spacing w:after="0" w:line="9" w:lineRule="exact"/>
        <w:rPr>
          <w:sz w:val="20"/>
          <w:szCs w:val="20"/>
          <w:color w:val="auto"/>
        </w:rPr>
      </w:pPr>
    </w:p>
    <w:p>
      <w:pPr>
        <w:ind w:left="3540"/>
        <w:spacing w:after="0"/>
        <w:rPr>
          <w:sz w:val="20"/>
          <w:szCs w:val="20"/>
          <w:color w:val="auto"/>
        </w:rPr>
      </w:pPr>
      <w:r>
        <w:rPr>
          <w:rFonts w:ascii="Arial" w:cs="Arial" w:eastAsia="Arial" w:hAnsi="Arial"/>
          <w:sz w:val="17"/>
          <w:szCs w:val="17"/>
          <w:color w:val="auto"/>
        </w:rPr>
        <w:t>combination within 24 months from the closing</w:t>
      </w:r>
    </w:p>
    <w:p>
      <w:pPr>
        <w:spacing w:after="0" w:line="21" w:lineRule="exact"/>
        <w:rPr>
          <w:sz w:val="20"/>
          <w:szCs w:val="20"/>
          <w:color w:val="auto"/>
        </w:rPr>
      </w:pPr>
    </w:p>
    <w:p>
      <w:pPr>
        <w:ind w:left="3540"/>
        <w:spacing w:after="0"/>
        <w:rPr>
          <w:sz w:val="20"/>
          <w:szCs w:val="20"/>
          <w:color w:val="auto"/>
        </w:rPr>
      </w:pPr>
      <w:r>
        <w:rPr>
          <w:rFonts w:ascii="Arial" w:cs="Arial" w:eastAsia="Arial" w:hAnsi="Arial"/>
          <w:sz w:val="17"/>
          <w:szCs w:val="17"/>
          <w:color w:val="auto"/>
        </w:rPr>
        <w:t>of this offering or (B) with respect to any other</w:t>
      </w:r>
    </w:p>
    <w:p>
      <w:pPr>
        <w:spacing w:after="0" w:line="21"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material provisions relating to shareholders’</w:t>
      </w:r>
    </w:p>
    <w:p>
      <w:pPr>
        <w:spacing w:after="0" w:line="9" w:lineRule="exact"/>
        <w:rPr>
          <w:sz w:val="20"/>
          <w:szCs w:val="20"/>
          <w:color w:val="auto"/>
        </w:rPr>
      </w:pPr>
    </w:p>
    <w:p>
      <w:pPr>
        <w:ind w:left="3540"/>
        <w:spacing w:after="0"/>
        <w:rPr>
          <w:sz w:val="20"/>
          <w:szCs w:val="20"/>
          <w:color w:val="auto"/>
        </w:rPr>
      </w:pPr>
      <w:r>
        <w:rPr>
          <w:rFonts w:ascii="Arial" w:cs="Arial" w:eastAsia="Arial" w:hAnsi="Arial"/>
          <w:sz w:val="16"/>
          <w:szCs w:val="16"/>
          <w:color w:val="auto"/>
        </w:rPr>
        <w:t>rights or pre-initial business combination activity.</w:t>
      </w:r>
    </w:p>
    <w:p>
      <w:pPr>
        <w:spacing w:after="0" w:line="200" w:lineRule="exact"/>
        <w:rPr>
          <w:sz w:val="20"/>
          <w:szCs w:val="20"/>
          <w:color w:val="auto"/>
        </w:rPr>
      </w:pPr>
    </w:p>
    <w:p>
      <w:pPr>
        <w:spacing w:after="0" w:line="22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14605</wp:posOffset>
            </wp:positionV>
            <wp:extent cx="713232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The proceeds held in the escrow account are not released until the earlier of the completion of a business combination or the failure to effect a business combination within the allotted time.</w:t>
      </w:r>
    </w:p>
    <w:p>
      <w:pPr>
        <w:sectPr>
          <w:pgSz w:w="11900" w:h="16838" w:orient="portrait"/>
          <w:cols w:equalWidth="0" w:num="2">
            <w:col w:w="7120" w:space="240"/>
            <w:col w:w="3460"/>
          </w:cols>
          <w:pgMar w:left="500" w:top="661" w:right="579" w:bottom="1440" w:gutter="0" w:footer="0" w:header="0"/>
          <w:type w:val="continuous"/>
        </w:sectPr>
      </w:pPr>
    </w:p>
    <w:bookmarkStart w:id="111" w:name="page112"/>
    <w:bookmarkEnd w:id="111"/>
    <w:p>
      <w:pPr>
        <w:ind w:left="4460"/>
        <w:spacing w:after="0"/>
        <w:tabs>
          <w:tab w:leader="none" w:pos="7840" w:val="left"/>
        </w:tabs>
        <w:rPr>
          <w:sz w:val="20"/>
          <w:szCs w:val="20"/>
          <w:color w:val="auto"/>
        </w:rPr>
      </w:pPr>
      <w:r>
        <w:rPr>
          <w:rFonts w:ascii="Arial" w:cs="Arial" w:eastAsia="Arial" w:hAnsi="Arial"/>
          <w:sz w:val="18"/>
          <w:szCs w:val="18"/>
          <w:b w:val="1"/>
          <w:bCs w:val="1"/>
          <w:color w:val="auto"/>
        </w:rPr>
        <w:t>Terms of Our Offering</w:t>
      </w:r>
      <w:r>
        <w:rPr>
          <w:sz w:val="20"/>
          <w:szCs w:val="20"/>
          <w:color w:val="auto"/>
        </w:rPr>
        <w:tab/>
      </w:r>
      <w:r>
        <w:rPr>
          <w:rFonts w:ascii="Arial" w:cs="Arial" w:eastAsia="Arial" w:hAnsi="Arial"/>
          <w:sz w:val="16"/>
          <w:szCs w:val="16"/>
          <w:b w:val="1"/>
          <w:bCs w:val="1"/>
          <w:color w:val="auto"/>
        </w:rPr>
        <w:t>Terms Under a Rule 419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2247900</wp:posOffset>
            </wp:positionH>
            <wp:positionV relativeFrom="paragraph">
              <wp:posOffset>17145</wp:posOffset>
            </wp:positionV>
            <wp:extent cx="471487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4714875" cy="8255"/>
                    </a:xfrm>
                    <a:prstGeom prst="rect">
                      <a:avLst/>
                    </a:prstGeom>
                    <a:noFill/>
                  </pic:spPr>
                </pic:pic>
              </a:graphicData>
            </a:graphic>
          </wp:anchor>
        </w:drawing>
      </w:r>
    </w:p>
    <w:p>
      <w:pPr>
        <w:sectPr>
          <w:pgSz w:w="11900" w:h="16838" w:orient="portrait"/>
          <w:cols w:equalWidth="0" w:num="1">
            <w:col w:w="10960"/>
          </w:cols>
          <w:pgMar w:left="500" w:top="661" w:right="439" w:bottom="1440" w:gutter="0" w:footer="0" w:header="0"/>
        </w:sectPr>
      </w:pPr>
    </w:p>
    <w:p>
      <w:pPr>
        <w:spacing w:after="0" w:line="185" w:lineRule="exact"/>
        <w:rPr>
          <w:sz w:val="20"/>
          <w:szCs w:val="20"/>
          <w:color w:val="auto"/>
        </w:rPr>
      </w:pPr>
    </w:p>
    <w:p>
      <w:pPr>
        <w:jc w:val="center"/>
        <w:ind w:right="180"/>
        <w:spacing w:after="0" w:line="386" w:lineRule="auto"/>
        <w:rPr>
          <w:sz w:val="20"/>
          <w:szCs w:val="20"/>
          <w:color w:val="auto"/>
        </w:rPr>
      </w:pPr>
      <w:r>
        <w:rPr>
          <w:rFonts w:ascii="Arial" w:cs="Arial" w:eastAsia="Arial" w:hAnsi="Arial"/>
          <w:sz w:val="15"/>
          <w:szCs w:val="15"/>
          <w:b w:val="1"/>
          <w:bCs w:val="1"/>
          <w:color w:val="auto"/>
        </w:rPr>
        <w:t>Delivering share certificates in connection with the exercise of redemption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160" w:hanging="161"/>
        <w:spacing w:after="0" w:line="261" w:lineRule="auto"/>
        <w:rPr>
          <w:sz w:val="20"/>
          <w:szCs w:val="20"/>
          <w:color w:val="auto"/>
        </w:rPr>
      </w:pPr>
      <w:r>
        <w:rPr>
          <w:rFonts w:ascii="Arial" w:cs="Arial" w:eastAsia="Arial" w:hAnsi="Arial"/>
          <w:sz w:val="18"/>
          <w:szCs w:val="18"/>
          <w:b w:val="1"/>
          <w:bCs w:val="1"/>
          <w:color w:val="auto"/>
        </w:rPr>
        <w:t>Limitation on redemption rights of shareholders holding more than 15% of the shares sold in this offering if we hold a shareholder vote</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We intend to require our public shareholders seeking to exercise their redemption rights, whether they are record holders or hold their shares in “street name,” to, at the holder’s option, either deliver their share certificates to our transfer agent or deliver their shares to our transfer agent electronically using The Depository Trust Company’s DWAC (Deposit/Withdrawal At Custodian) system, prior to the date set forth in the proxy materials or tender offer documents, as applicable. In the case of proxy materials, this date may be up to two business days prior to the scheduled vote on the proposal to approve the initial business combination. In addition, if we conduct redemptions in connection with a shareholder vote, we intend to require a public shareholder seeking redemption of its public shares to also submit a written request for redemption to our transfer agent two business days prior to the scheduled vote in which the name of the beneficial owner of such shares is included. The proxy materials or tender offer documents, as applicable, that we will furnish to holders of our public shares in connection with our initial business combination will indicate whether we are requiring public shareholders to satisfy such delivery requirements.</w:t>
      </w:r>
    </w:p>
    <w:p>
      <w:pPr>
        <w:spacing w:after="0" w:line="17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Accordingly, a public shareholder would have up to two business days prior to the scheduled vote on the initial business combination if we distribute proxy materials, or from the time we send out our tender offer materials until the close of the tender offer period, as applicable, to submit or tender its shares if it wishes to seek to exercise its redemption rights.</w:t>
      </w:r>
    </w:p>
    <w:p>
      <w:pPr>
        <w:spacing w:after="0" w:line="138"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If we seek shareholder approval of our initial business combination and we do not conduct redemptions in connection with our initial business combination pursuant to the tender offer rules, our amended and restated memorandum and articles of association provide that a public</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Many blank check companies provide that a shareholder can vote against a proposed business combination and check a box on the proxy card indicating that such shareholder is seeking to exercise its redemption rights.</w:t>
      </w:r>
    </w:p>
    <w:p>
      <w:pPr>
        <w:spacing w:after="0" w:line="176"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After the business combination is approved, the company would contact such shareholder to arrange for delivery of its share certificates to verify ownership.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Many blank check companies provide no restrictions on the ability of shareholders to redeem shares based on the number of shares held by such shareholders in connection with an initial business combination.</w:t>
      </w:r>
    </w:p>
    <w:p>
      <w:pPr>
        <w:spacing w:after="0" w:line="427" w:lineRule="exact"/>
        <w:rPr>
          <w:sz w:val="20"/>
          <w:szCs w:val="20"/>
          <w:color w:val="auto"/>
        </w:rPr>
      </w:pPr>
    </w:p>
    <w:p>
      <w:pPr>
        <w:sectPr>
          <w:pgSz w:w="11900" w:h="16838" w:orient="portrait"/>
          <w:cols w:equalWidth="0" w:num="3">
            <w:col w:w="3380" w:space="160"/>
            <w:col w:w="3720" w:space="100"/>
            <w:col w:w="3600"/>
          </w:cols>
          <w:pgMar w:left="500" w:top="661" w:right="439" w:bottom="1440" w:gutter="0" w:footer="0" w:header="0"/>
          <w:type w:val="continuous"/>
        </w:sectPr>
      </w:pPr>
    </w:p>
    <w:p>
      <w:pPr>
        <w:spacing w:after="0" w:line="153" w:lineRule="exact"/>
        <w:rPr>
          <w:sz w:val="20"/>
          <w:szCs w:val="20"/>
          <w:color w:val="auto"/>
        </w:rPr>
      </w:pPr>
    </w:p>
    <w:p>
      <w:pPr>
        <w:jc w:val="center"/>
        <w:ind w:right="120"/>
        <w:spacing w:after="0"/>
        <w:rPr>
          <w:sz w:val="20"/>
          <w:szCs w:val="20"/>
          <w:color w:val="auto"/>
        </w:rPr>
      </w:pPr>
      <w:r>
        <w:rPr>
          <w:rFonts w:ascii="Arial" w:cs="Arial" w:eastAsia="Arial" w:hAnsi="Arial"/>
          <w:sz w:val="16"/>
          <w:szCs w:val="16"/>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29210</wp:posOffset>
            </wp:positionV>
            <wp:extent cx="713232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60"/>
          </w:cols>
          <w:pgMar w:left="500" w:top="661" w:right="439" w:bottom="1440" w:gutter="0" w:footer="0" w:header="0"/>
          <w:type w:val="continuous"/>
        </w:sectPr>
      </w:pPr>
    </w:p>
    <w:bookmarkStart w:id="112" w:name="page113"/>
    <w:bookmarkEnd w:id="112"/>
    <w:p>
      <w:pPr>
        <w:ind w:left="4640"/>
        <w:spacing w:after="0"/>
        <w:tabs>
          <w:tab w:leader="none" w:pos="8020" w:val="left"/>
        </w:tabs>
        <w:rPr>
          <w:sz w:val="20"/>
          <w:szCs w:val="20"/>
          <w:color w:val="auto"/>
        </w:rPr>
      </w:pPr>
      <w:r>
        <w:rPr>
          <w:rFonts w:ascii="Arial" w:cs="Arial" w:eastAsia="Arial" w:hAnsi="Arial"/>
          <w:sz w:val="18"/>
          <w:szCs w:val="18"/>
          <w:b w:val="1"/>
          <w:bCs w:val="1"/>
          <w:color w:val="auto"/>
        </w:rPr>
        <w:t>Terms of Our Offering</w:t>
      </w:r>
      <w:r>
        <w:rPr>
          <w:sz w:val="20"/>
          <w:szCs w:val="20"/>
          <w:color w:val="auto"/>
        </w:rPr>
        <w:tab/>
      </w:r>
      <w:r>
        <w:rPr>
          <w:rFonts w:ascii="Arial" w:cs="Arial" w:eastAsia="Arial" w:hAnsi="Arial"/>
          <w:sz w:val="16"/>
          <w:szCs w:val="16"/>
          <w:b w:val="1"/>
          <w:bCs w:val="1"/>
          <w:color w:val="auto"/>
        </w:rPr>
        <w:t>Terms Under a Rule 419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2362200</wp:posOffset>
            </wp:positionH>
            <wp:positionV relativeFrom="paragraph">
              <wp:posOffset>17145</wp:posOffset>
            </wp:positionV>
            <wp:extent cx="471487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4714875" cy="8255"/>
                    </a:xfrm>
                    <a:prstGeom prst="rect">
                      <a:avLst/>
                    </a:prstGeom>
                    <a:noFill/>
                  </pic:spPr>
                </pic:pic>
              </a:graphicData>
            </a:graphic>
          </wp:anchor>
        </w:drawing>
      </w:r>
    </w:p>
    <w:p>
      <w:pPr>
        <w:spacing w:after="0" w:line="88"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shareholder, together with any affiliate of such</w:t>
      </w:r>
    </w:p>
    <w:p>
      <w:pPr>
        <w:spacing w:after="0" w:line="23"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shareholder or any other person with whom such</w:t>
      </w:r>
    </w:p>
    <w:p>
      <w:pPr>
        <w:spacing w:after="0" w:line="9"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shareholder is acting in concert as a “group” (as</w:t>
      </w:r>
    </w:p>
    <w:p>
      <w:pPr>
        <w:spacing w:after="0" w:line="9"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defined under Section 13 of the Exchange Act),</w:t>
      </w:r>
    </w:p>
    <w:p>
      <w:pPr>
        <w:spacing w:after="0" w:line="9"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will be restricted from seeking redemption rights</w:t>
      </w:r>
    </w:p>
    <w:p>
      <w:pPr>
        <w:spacing w:after="0" w:line="9"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with respect to Excess Shares without our prior</w:t>
      </w:r>
    </w:p>
    <w:p>
      <w:pPr>
        <w:spacing w:after="0" w:line="9"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consent. However, we would not restrict our</w:t>
      </w:r>
    </w:p>
    <w:p>
      <w:pPr>
        <w:spacing w:after="0" w:line="9"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shareholders’ ability to vote all of their shares</w:t>
      </w:r>
    </w:p>
    <w:p>
      <w:pPr>
        <w:spacing w:after="0" w:line="9"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(including Excess Shares) for or against our initial</w:t>
      </w:r>
    </w:p>
    <w:p>
      <w:pPr>
        <w:spacing w:after="0" w:line="9"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business combination.</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ind w:right="20" w:firstLine="324"/>
        <w:spacing w:after="0" w:line="289" w:lineRule="auto"/>
        <w:rPr>
          <w:sz w:val="20"/>
          <w:szCs w:val="20"/>
          <w:color w:val="auto"/>
        </w:rPr>
      </w:pPr>
      <w:r>
        <w:rPr>
          <w:rFonts w:ascii="Arial" w:cs="Arial" w:eastAsia="Arial" w:hAnsi="Arial"/>
          <w:sz w:val="16"/>
          <w:szCs w:val="16"/>
          <w:color w:val="auto"/>
        </w:rPr>
        <w:t>In identifying, evaluating and selecting a target business for our initial business combination, we may encounter competition from other entities having a business objective similar to ours, including other special purpose acquisition companies, private equity groups and leveraged buyout funds, public companies and operating businesses seeking strategic acquisitions. Many of these entities are well established and have extensive experience identifying and effecting business combinations directly or through affiliates. Moreover, many of these competitors possess similar or greater financial, technical, human and other resources than us. Our ability to acquire larger target businesses will be limited by our available financial resources. This inherent limitation gives others an advantage in pursuing the acquisition of a target business. Furthermore, our obligation to pay cash in connection with our public shareholders who exercise their redemption rights may reduce the resources available to us for our initial business combination and our issued and outstanding warrants, and the future dilution they potentially represent, may not be viewed favorably by certain target businesses. Either of these factors may place us at a competitive disadvantage in successfully negotiating an initial business combination.</w:t>
      </w:r>
    </w:p>
    <w:p>
      <w:pPr>
        <w:spacing w:after="0" w:line="16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Facilities</w:t>
      </w:r>
    </w:p>
    <w:p>
      <w:pPr>
        <w:spacing w:after="0" w:line="229" w:lineRule="exact"/>
        <w:rPr>
          <w:sz w:val="20"/>
          <w:szCs w:val="20"/>
          <w:color w:val="auto"/>
        </w:rPr>
      </w:pPr>
    </w:p>
    <w:p>
      <w:pPr>
        <w:ind w:right="600" w:firstLine="324"/>
        <w:spacing w:after="0" w:line="277" w:lineRule="auto"/>
        <w:rPr>
          <w:sz w:val="20"/>
          <w:szCs w:val="20"/>
          <w:color w:val="auto"/>
        </w:rPr>
      </w:pPr>
      <w:r>
        <w:rPr>
          <w:rFonts w:ascii="Arial" w:cs="Arial" w:eastAsia="Arial" w:hAnsi="Arial"/>
          <w:sz w:val="18"/>
          <w:szCs w:val="18"/>
          <w:color w:val="auto"/>
        </w:rPr>
        <w:t>We currently utilize office space at 14 Wall Street, 20th Floor, New York, 10005. We consider our current office space adequate for our current operations.</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We currently have one officer, Adam Gishen. Mr. Gishen and any additional officers that may be appointed are not obligated to devote any specific number of hours to our matters but they intend to devote as much of their time as they deem necessary to our affairs until we have completed our initial business combination. The amount of time they will devote in any time period will vary based on whether a target business has been selected for our initial business combination and the stage of the business combination process we are in. We expect to hire up to three employees prior to or shortly after the consummation of this offering.</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Periodic Reporting and Financial Information</w:t>
      </w:r>
    </w:p>
    <w:p>
      <w:pPr>
        <w:spacing w:after="0" w:line="229"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We will register our units, Class A ordinary shares and warrants under the Exchange Act and have reporting obligations, including the requirement that we file annual, quarterly and current reports with the SEC. In accordance with the requirements of the Exchange Act, our annual reports will contain financial statements audited and reported on by our independent registered public accountants.</w:t>
      </w:r>
    </w:p>
    <w:p>
      <w:pPr>
        <w:spacing w:after="0" w:line="184" w:lineRule="exact"/>
        <w:rPr>
          <w:sz w:val="20"/>
          <w:szCs w:val="20"/>
          <w:color w:val="auto"/>
        </w:rPr>
      </w:pPr>
    </w:p>
    <w:p>
      <w:pPr>
        <w:ind w:right="40" w:firstLine="324"/>
        <w:spacing w:after="0" w:line="279" w:lineRule="auto"/>
        <w:rPr>
          <w:sz w:val="20"/>
          <w:szCs w:val="20"/>
          <w:color w:val="auto"/>
        </w:rPr>
      </w:pPr>
      <w:r>
        <w:rPr>
          <w:rFonts w:ascii="Arial" w:cs="Arial" w:eastAsia="Arial" w:hAnsi="Arial"/>
          <w:sz w:val="17"/>
          <w:szCs w:val="17"/>
          <w:color w:val="auto"/>
        </w:rPr>
        <w:t>We will provide shareholders with audited financial statements of the prospective target business as part of the proxy solicitation materials or tender offer documents sent to shareholders to assist them in assessing the target business. In all likelihood, these financial statements will need to be prepared in accordance with, or reconciled to, GAAP or IFRS, depending on the circumstances, and the historical financial statements may be required to be audited in accordance with the standards of the PCAOB. These financial statement requirements may limit the pool</w:t>
      </w:r>
    </w:p>
    <w:p>
      <w:pPr>
        <w:spacing w:after="0" w:line="27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661" w:right="359" w:bottom="1440" w:gutter="0" w:footer="0" w:header="0"/>
        </w:sectPr>
      </w:pPr>
    </w:p>
    <w:bookmarkStart w:id="113" w:name="page114"/>
    <w:bookmarkEnd w:id="113"/>
    <w:p>
      <w:pPr>
        <w:ind w:right="120"/>
        <w:spacing w:after="0" w:line="293" w:lineRule="auto"/>
        <w:rPr>
          <w:sz w:val="20"/>
          <w:szCs w:val="20"/>
          <w:color w:val="auto"/>
        </w:rPr>
      </w:pPr>
      <w:r>
        <w:rPr>
          <w:rFonts w:ascii="Arial" w:cs="Arial" w:eastAsia="Arial" w:hAnsi="Arial"/>
          <w:sz w:val="16"/>
          <w:szCs w:val="16"/>
          <w:color w:val="auto"/>
        </w:rPr>
        <w:t>of potential target businesses we may conduct an initial business combination with because some targets may be unable to provide such statements in time for us to disclose such statements in accordance with federal proxy rules and complete our initial business combination within the prescribed time frame. We cannot assure you that any particular target business identified by us as a potential business combination candidate will have financial statements prepared in accordance with the requirements outlined above, or that the potential target business will be able to prepare its financial statements in accordance with the requirements outlined above. To the extent that these requirements cannot be met, we may not be able to acquire the proposed target business. While this may limit the pool of potential business combination candidates, we do not believe that this limitation will be material.</w:t>
      </w:r>
    </w:p>
    <w:p>
      <w:pPr>
        <w:spacing w:after="0" w:line="164"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We will be required to evaluate our internal control procedures for the fiscal year ending December 31, 2022 as required by the Sarbanes-Oxley Act. Only in the event that we are deemed to be a large accelerated filer or an accelerated filer and no longer qualify as an emerging growth company would we be required to comply with the independent registered public accounting firm attestation requirement on our internal control over financial reporting. A target business may not be in compliance with the provisions of the Sarbanes-Oxley Act regarding adequacy of their internal controls. The development of the internal controls of any such entity to achieve compliance with the Sarbanes-Oxley Act may increase the time and costs necessary to complete any such business combination.</w:t>
      </w:r>
    </w:p>
    <w:p>
      <w:pPr>
        <w:spacing w:after="0" w:line="192"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Prior to the effectiveness of the registration statement of which this prospectus forms a part, we will file a Registration Statement on Form 8-A with the SEC to voluntarily register our securities under Section 12 of the Exchange Act. As a result, we will be subject to the rules and regulations promulgated under the Exchange Act. We have no current intention of filing a Form 15 to suspend our reporting or other obligations under the Exchange Act prior or subsequent to the consummation of our initial business combination.</w:t>
      </w:r>
    </w:p>
    <w:p>
      <w:pPr>
        <w:spacing w:after="0" w:line="187" w:lineRule="exact"/>
        <w:rPr>
          <w:sz w:val="20"/>
          <w:szCs w:val="20"/>
          <w:color w:val="auto"/>
        </w:rPr>
      </w:pPr>
    </w:p>
    <w:p>
      <w:pPr>
        <w:ind w:right="60" w:firstLine="324"/>
        <w:spacing w:after="0" w:line="271" w:lineRule="auto"/>
        <w:rPr>
          <w:sz w:val="20"/>
          <w:szCs w:val="20"/>
          <w:color w:val="auto"/>
        </w:rPr>
      </w:pPr>
      <w:r>
        <w:rPr>
          <w:rFonts w:ascii="Arial" w:cs="Arial" w:eastAsia="Arial" w:hAnsi="Arial"/>
          <w:sz w:val="17"/>
          <w:szCs w:val="17"/>
          <w:color w:val="auto"/>
        </w:rPr>
        <w:t>We are a Cayman Islands exempted company. Exempted companies are Cayman Islands companies conducting business mainly outside the Cayman Islands and, as such, are exempted from complying with certain provisions of the Companies Act. As an exempted company, we have received a tax exemption undertaking from the Cayman Islands government that, in accordance with Section 6 of the Tax Concessions Act (As Revised) of the Cayman Islands, for a period of 20 years from the date of the undertaking, no law which is enacted in the Cayman Islands imposing any tax to be levied on profits, income, gains or appreciations will apply to us or our operations and, in addition, that no tax to be levied on profits, income, gains or appreciations or which is in the nature of estate duty or inheritance tax will be payable (i) on or in respect of our shares, debentures or other obligations or (ii) by way of the withholding in whole or in part of a payment of dividend or other distribution of income or capital by us to our shareholders or a payment of principal or interest or other sums due under a debenture or other obligation of us.</w:t>
      </w:r>
    </w:p>
    <w:p>
      <w:pPr>
        <w:spacing w:after="0" w:line="178" w:lineRule="exact"/>
        <w:rPr>
          <w:sz w:val="20"/>
          <w:szCs w:val="20"/>
          <w:color w:val="auto"/>
        </w:rPr>
      </w:pPr>
    </w:p>
    <w:p>
      <w:pPr>
        <w:ind w:right="80" w:firstLine="324"/>
        <w:spacing w:after="0" w:line="254" w:lineRule="auto"/>
        <w:rPr>
          <w:sz w:val="20"/>
          <w:szCs w:val="20"/>
          <w:color w:val="auto"/>
        </w:rPr>
      </w:pPr>
      <w:r>
        <w:rPr>
          <w:rFonts w:ascii="Arial" w:cs="Arial" w:eastAsia="Arial" w:hAnsi="Arial"/>
          <w:sz w:val="18"/>
          <w:szCs w:val="18"/>
          <w:color w:val="auto"/>
        </w:rPr>
        <w:t>We are an “emerging growth company,” as defined in Section 2(a) of the Securities Act, as modified by the JOBS Act. As such, we are eligible to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shareholder approval of any golden parachute payments not previously approved. If some investors find our securities less attractive as a result, there may be a less active trading market for our securities and the prices of our securities may be more volatile.</w:t>
      </w:r>
    </w:p>
    <w:p>
      <w:pPr>
        <w:spacing w:after="0" w:line="195" w:lineRule="exact"/>
        <w:rPr>
          <w:sz w:val="20"/>
          <w:szCs w:val="20"/>
          <w:color w:val="auto"/>
        </w:rPr>
      </w:pPr>
    </w:p>
    <w:p>
      <w:pPr>
        <w:ind w:right="440" w:firstLine="324"/>
        <w:spacing w:after="0" w:line="259" w:lineRule="auto"/>
        <w:rPr>
          <w:sz w:val="20"/>
          <w:szCs w:val="20"/>
          <w:color w:val="auto"/>
        </w:rPr>
      </w:pPr>
      <w:r>
        <w:rPr>
          <w:rFonts w:ascii="Arial" w:cs="Arial" w:eastAsia="Arial" w:hAnsi="Arial"/>
          <w:sz w:val="18"/>
          <w:szCs w:val="18"/>
          <w:color w:val="auto"/>
        </w:rPr>
        <w:t>In addition, Section 107 of the JOBS Act also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 We intend to take advantage of the benefits of this extended transition period.</w:t>
      </w:r>
    </w:p>
    <w:p>
      <w:pPr>
        <w:spacing w:after="0" w:line="187" w:lineRule="exact"/>
        <w:rPr>
          <w:sz w:val="20"/>
          <w:szCs w:val="20"/>
          <w:color w:val="auto"/>
        </w:rPr>
      </w:pPr>
    </w:p>
    <w:p>
      <w:pPr>
        <w:ind w:right="80" w:firstLine="324"/>
        <w:spacing w:after="0" w:line="279" w:lineRule="auto"/>
        <w:rPr>
          <w:sz w:val="20"/>
          <w:szCs w:val="20"/>
          <w:color w:val="auto"/>
        </w:rPr>
      </w:pPr>
      <w:r>
        <w:rPr>
          <w:rFonts w:ascii="Arial" w:cs="Arial" w:eastAsia="Arial" w:hAnsi="Arial"/>
          <w:sz w:val="17"/>
          <w:szCs w:val="17"/>
          <w:color w:val="auto"/>
        </w:rPr>
        <w:t>We will remain an emerging growth company until the earlier of (1) the last day of the fiscal year (a) following the fifth anniversary of the completion of this offering, (b) in which we have total annual gross revenue of at least $1.07 billion, or (c) in which we are deemed to be a large accelerated filer, which means the market value of our Class A ordinary shares that is held by non-affiliates exceeds $700 million as of the prior June 30, and (2) the date on which we have issued more than $1.0 billion in non-convertible debt securities during the prior three-year period.</w:t>
      </w:r>
    </w:p>
    <w:p>
      <w:pPr>
        <w:spacing w:after="0" w:line="27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14" w:name="page115"/>
    <w:bookmarkEnd w:id="114"/>
    <w:p>
      <w:pPr>
        <w:jc w:val="center"/>
        <w:ind w:right="-179"/>
        <w:spacing w:after="0"/>
        <w:rPr>
          <w:sz w:val="20"/>
          <w:szCs w:val="20"/>
          <w:color w:val="auto"/>
        </w:rPr>
      </w:pPr>
      <w:r>
        <w:rPr>
          <w:rFonts w:ascii="Arial" w:cs="Arial" w:eastAsia="Arial" w:hAnsi="Arial"/>
          <w:sz w:val="18"/>
          <w:szCs w:val="18"/>
          <w:b w:val="1"/>
          <w:bCs w:val="1"/>
          <w:color w:val="auto"/>
        </w:rPr>
        <w:t>Legal Proceedings</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There is no material litigation, arbitration or governmental proceeding currently pending against us or any members of our management team in their capacity as such.</w:t>
      </w:r>
    </w:p>
    <w:p>
      <w:pPr>
        <w:spacing w:after="0" w:line="200" w:lineRule="exact"/>
        <w:rPr>
          <w:sz w:val="20"/>
          <w:szCs w:val="20"/>
          <w:color w:val="auto"/>
        </w:rPr>
      </w:pPr>
    </w:p>
    <w:p>
      <w:pPr>
        <w:spacing w:after="0" w:line="29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60"/>
          </w:cols>
          <w:pgMar w:left="320" w:top="580" w:right="519" w:bottom="1440" w:gutter="0" w:footer="0" w:header="0"/>
        </w:sectPr>
      </w:pPr>
    </w:p>
    <w:bookmarkStart w:id="115" w:name="page116"/>
    <w:bookmarkEnd w:id="115"/>
    <w:tbl>
      <w:tblPr>
        <w:tblLayout w:type="fixed"/>
        <w:tblInd w:w="0" w:type="dxa"/>
        <w:tblCellMar>
          <w:top w:w="0" w:type="dxa"/>
          <w:left w:w="0" w:type="dxa"/>
          <w:bottom w:w="0" w:type="dxa"/>
          <w:right w:w="0" w:type="dxa"/>
        </w:tblCellMar>
      </w:tblPr>
      <w:tr>
        <w:trPr>
          <w:trHeight w:val="234"/>
        </w:trPr>
        <w:tc>
          <w:tcPr>
            <w:tcW w:w="4020" w:type="dxa"/>
            <w:vAlign w:val="bottom"/>
          </w:tcPr>
          <w:p>
            <w:pPr>
              <w:spacing w:after="0"/>
              <w:rPr>
                <w:sz w:val="20"/>
                <w:szCs w:val="20"/>
                <w:color w:val="auto"/>
              </w:rPr>
            </w:pPr>
          </w:p>
        </w:tc>
        <w:tc>
          <w:tcPr>
            <w:tcW w:w="7220" w:type="dxa"/>
            <w:vAlign w:val="bottom"/>
            <w:gridSpan w:val="2"/>
          </w:tcPr>
          <w:p>
            <w:pPr>
              <w:jc w:val="center"/>
              <w:ind w:right="3930"/>
              <w:spacing w:after="0"/>
              <w:rPr>
                <w:sz w:val="20"/>
                <w:szCs w:val="20"/>
                <w:color w:val="auto"/>
              </w:rPr>
            </w:pPr>
            <w:r>
              <w:rPr>
                <w:rFonts w:ascii="Arial" w:cs="Arial" w:eastAsia="Arial" w:hAnsi="Arial"/>
                <w:sz w:val="18"/>
                <w:szCs w:val="18"/>
                <w:b w:val="1"/>
                <w:bCs w:val="1"/>
                <w:color w:val="auto"/>
              </w:rPr>
              <w:t>MANAGEMENT</w:t>
            </w:r>
          </w:p>
        </w:tc>
      </w:tr>
      <w:tr>
        <w:trPr>
          <w:trHeight w:val="432"/>
        </w:trPr>
        <w:tc>
          <w:tcPr>
            <w:tcW w:w="4020" w:type="dxa"/>
            <w:vAlign w:val="bottom"/>
          </w:tcPr>
          <w:p>
            <w:pPr>
              <w:spacing w:after="0"/>
              <w:rPr>
                <w:sz w:val="24"/>
                <w:szCs w:val="24"/>
                <w:color w:val="auto"/>
              </w:rPr>
            </w:pPr>
          </w:p>
        </w:tc>
        <w:tc>
          <w:tcPr>
            <w:tcW w:w="7220" w:type="dxa"/>
            <w:vAlign w:val="bottom"/>
            <w:gridSpan w:val="2"/>
          </w:tcPr>
          <w:p>
            <w:pPr>
              <w:jc w:val="center"/>
              <w:ind w:right="3930"/>
              <w:spacing w:after="0"/>
              <w:rPr>
                <w:sz w:val="20"/>
                <w:szCs w:val="20"/>
                <w:color w:val="auto"/>
              </w:rPr>
            </w:pPr>
            <w:r>
              <w:rPr>
                <w:rFonts w:ascii="Arial" w:cs="Arial" w:eastAsia="Arial" w:hAnsi="Arial"/>
                <w:sz w:val="18"/>
                <w:szCs w:val="18"/>
                <w:b w:val="1"/>
                <w:bCs w:val="1"/>
                <w:color w:val="auto"/>
                <w:w w:val="90"/>
              </w:rPr>
              <w:t>Officers and Directors</w:t>
            </w:r>
          </w:p>
        </w:tc>
      </w:tr>
      <w:tr>
        <w:trPr>
          <w:trHeight w:val="432"/>
        </w:trPr>
        <w:tc>
          <w:tcPr>
            <w:tcW w:w="4020" w:type="dxa"/>
            <w:vAlign w:val="bottom"/>
          </w:tcPr>
          <w:p>
            <w:pPr>
              <w:ind w:left="340"/>
              <w:spacing w:after="0"/>
              <w:rPr>
                <w:sz w:val="20"/>
                <w:szCs w:val="20"/>
                <w:color w:val="auto"/>
              </w:rPr>
            </w:pPr>
            <w:r>
              <w:rPr>
                <w:rFonts w:ascii="Arial" w:cs="Arial" w:eastAsia="Arial" w:hAnsi="Arial"/>
                <w:sz w:val="18"/>
                <w:szCs w:val="18"/>
                <w:color w:val="auto"/>
              </w:rPr>
              <w:t>Our officers and directors are as follows:</w:t>
            </w:r>
          </w:p>
        </w:tc>
        <w:tc>
          <w:tcPr>
            <w:tcW w:w="196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432"/>
        </w:trPr>
        <w:tc>
          <w:tcPr>
            <w:tcW w:w="4020" w:type="dxa"/>
            <w:vAlign w:val="bottom"/>
            <w:tcBorders>
              <w:bottom w:val="single" w:sz="8" w:color="auto"/>
            </w:tcBorders>
          </w:tcPr>
          <w:p>
            <w:pPr>
              <w:ind w:left="2300"/>
              <w:spacing w:after="0"/>
              <w:rPr>
                <w:sz w:val="20"/>
                <w:szCs w:val="20"/>
                <w:color w:val="auto"/>
              </w:rPr>
            </w:pPr>
            <w:r>
              <w:rPr>
                <w:rFonts w:ascii="Arial" w:cs="Arial" w:eastAsia="Arial" w:hAnsi="Arial"/>
                <w:sz w:val="18"/>
                <w:szCs w:val="18"/>
                <w:b w:val="1"/>
                <w:bCs w:val="1"/>
                <w:color w:val="auto"/>
              </w:rPr>
              <w:t>Name</w:t>
            </w:r>
          </w:p>
        </w:tc>
        <w:tc>
          <w:tcPr>
            <w:tcW w:w="1960" w:type="dxa"/>
            <w:vAlign w:val="bottom"/>
            <w:tcBorders>
              <w:bottom w:val="single" w:sz="8" w:color="auto"/>
            </w:tcBorders>
          </w:tcPr>
          <w:p>
            <w:pPr>
              <w:jc w:val="center"/>
              <w:ind w:left="1130"/>
              <w:spacing w:after="0"/>
              <w:rPr>
                <w:sz w:val="20"/>
                <w:szCs w:val="20"/>
                <w:color w:val="auto"/>
              </w:rPr>
            </w:pPr>
            <w:r>
              <w:rPr>
                <w:rFonts w:ascii="Arial" w:cs="Arial" w:eastAsia="Arial" w:hAnsi="Arial"/>
                <w:sz w:val="18"/>
                <w:szCs w:val="18"/>
                <w:b w:val="1"/>
                <w:bCs w:val="1"/>
                <w:color w:val="auto"/>
                <w:w w:val="88"/>
              </w:rPr>
              <w:t>Age</w:t>
            </w:r>
          </w:p>
        </w:tc>
        <w:tc>
          <w:tcPr>
            <w:tcW w:w="5260" w:type="dxa"/>
            <w:vAlign w:val="bottom"/>
            <w:tcBorders>
              <w:bottom w:val="single" w:sz="8" w:color="auto"/>
            </w:tcBorders>
          </w:tcPr>
          <w:p>
            <w:pPr>
              <w:ind w:left="2400"/>
              <w:spacing w:after="0"/>
              <w:rPr>
                <w:sz w:val="20"/>
                <w:szCs w:val="20"/>
                <w:color w:val="auto"/>
              </w:rPr>
            </w:pPr>
            <w:r>
              <w:rPr>
                <w:rFonts w:ascii="Arial" w:cs="Arial" w:eastAsia="Arial" w:hAnsi="Arial"/>
                <w:sz w:val="18"/>
                <w:szCs w:val="18"/>
                <w:b w:val="1"/>
                <w:bCs w:val="1"/>
                <w:color w:val="auto"/>
              </w:rPr>
              <w:t>Position</w:t>
            </w:r>
          </w:p>
        </w:tc>
      </w:tr>
      <w:tr>
        <w:trPr>
          <w:trHeight w:val="209"/>
        </w:trPr>
        <w:tc>
          <w:tcPr>
            <w:tcW w:w="4020" w:type="dxa"/>
            <w:vAlign w:val="bottom"/>
            <w:shd w:val="clear" w:color="auto" w:fill="D5EAEA"/>
          </w:tcPr>
          <w:p>
            <w:pPr>
              <w:spacing w:after="0"/>
              <w:rPr>
                <w:sz w:val="20"/>
                <w:szCs w:val="20"/>
                <w:color w:val="auto"/>
              </w:rPr>
            </w:pPr>
            <w:r>
              <w:rPr>
                <w:rFonts w:ascii="Arial" w:cs="Arial" w:eastAsia="Arial" w:hAnsi="Arial"/>
                <w:sz w:val="18"/>
                <w:szCs w:val="18"/>
                <w:color w:val="auto"/>
              </w:rPr>
              <w:t>Tidjane Thiam</w:t>
            </w:r>
          </w:p>
        </w:tc>
        <w:tc>
          <w:tcPr>
            <w:tcW w:w="1960" w:type="dxa"/>
            <w:vAlign w:val="bottom"/>
            <w:shd w:val="clear" w:color="auto" w:fill="D5EAEA"/>
          </w:tcPr>
          <w:p>
            <w:pPr>
              <w:jc w:val="center"/>
              <w:ind w:left="1170"/>
              <w:spacing w:after="0"/>
              <w:rPr>
                <w:sz w:val="20"/>
                <w:szCs w:val="20"/>
                <w:color w:val="auto"/>
              </w:rPr>
            </w:pPr>
            <w:r>
              <w:rPr>
                <w:rFonts w:ascii="Arial" w:cs="Arial" w:eastAsia="Arial" w:hAnsi="Arial"/>
                <w:sz w:val="18"/>
                <w:szCs w:val="18"/>
                <w:color w:val="auto"/>
                <w:w w:val="89"/>
              </w:rPr>
              <w:t>58</w:t>
            </w:r>
          </w:p>
        </w:tc>
        <w:tc>
          <w:tcPr>
            <w:tcW w:w="5260" w:type="dxa"/>
            <w:vAlign w:val="bottom"/>
            <w:shd w:val="clear" w:color="auto" w:fill="D5EAEA"/>
          </w:tcPr>
          <w:p>
            <w:pPr>
              <w:ind w:left="220"/>
              <w:spacing w:after="0"/>
              <w:rPr>
                <w:sz w:val="20"/>
                <w:szCs w:val="20"/>
                <w:color w:val="auto"/>
              </w:rPr>
            </w:pPr>
            <w:r>
              <w:rPr>
                <w:rFonts w:ascii="Arial" w:cs="Arial" w:eastAsia="Arial" w:hAnsi="Arial"/>
                <w:sz w:val="18"/>
                <w:szCs w:val="18"/>
                <w:color w:val="auto"/>
              </w:rPr>
              <w:t>Executive Chairman</w:t>
            </w: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Adam Gishen</w:t>
            </w:r>
          </w:p>
        </w:tc>
        <w:tc>
          <w:tcPr>
            <w:tcW w:w="1960" w:type="dxa"/>
            <w:vAlign w:val="bottom"/>
          </w:tcPr>
          <w:p>
            <w:pPr>
              <w:jc w:val="center"/>
              <w:ind w:left="1170"/>
              <w:spacing w:after="0"/>
              <w:rPr>
                <w:sz w:val="20"/>
                <w:szCs w:val="20"/>
                <w:color w:val="auto"/>
              </w:rPr>
            </w:pPr>
            <w:r>
              <w:rPr>
                <w:rFonts w:ascii="Arial" w:cs="Arial" w:eastAsia="Arial" w:hAnsi="Arial"/>
                <w:sz w:val="18"/>
                <w:szCs w:val="18"/>
                <w:color w:val="auto"/>
                <w:w w:val="89"/>
              </w:rPr>
              <w:t>45</w:t>
            </w:r>
          </w:p>
        </w:tc>
        <w:tc>
          <w:tcPr>
            <w:tcW w:w="5260" w:type="dxa"/>
            <w:vAlign w:val="bottom"/>
          </w:tcPr>
          <w:p>
            <w:pPr>
              <w:ind w:left="220"/>
              <w:spacing w:after="0"/>
              <w:rPr>
                <w:sz w:val="20"/>
                <w:szCs w:val="20"/>
                <w:color w:val="auto"/>
              </w:rPr>
            </w:pPr>
            <w:r>
              <w:rPr>
                <w:rFonts w:ascii="Arial" w:cs="Arial" w:eastAsia="Arial" w:hAnsi="Arial"/>
                <w:sz w:val="18"/>
                <w:szCs w:val="18"/>
                <w:color w:val="auto"/>
              </w:rPr>
              <w:t>Chief Executive Officer and Board Observer Nominee</w:t>
            </w:r>
          </w:p>
        </w:tc>
      </w:tr>
      <w:tr>
        <w:trPr>
          <w:trHeight w:val="216"/>
        </w:trPr>
        <w:tc>
          <w:tcPr>
            <w:tcW w:w="4020" w:type="dxa"/>
            <w:vAlign w:val="bottom"/>
            <w:shd w:val="clear" w:color="auto" w:fill="D5EAEA"/>
          </w:tcPr>
          <w:p>
            <w:pPr>
              <w:spacing w:after="0"/>
              <w:rPr>
                <w:sz w:val="20"/>
                <w:szCs w:val="20"/>
                <w:color w:val="auto"/>
              </w:rPr>
            </w:pPr>
            <w:r>
              <w:rPr>
                <w:rFonts w:ascii="Arial" w:cs="Arial" w:eastAsia="Arial" w:hAnsi="Arial"/>
                <w:sz w:val="18"/>
                <w:szCs w:val="18"/>
                <w:color w:val="auto"/>
              </w:rPr>
              <w:t>Jamie Weinstein</w:t>
            </w:r>
          </w:p>
        </w:tc>
        <w:tc>
          <w:tcPr>
            <w:tcW w:w="1960" w:type="dxa"/>
            <w:vAlign w:val="bottom"/>
            <w:shd w:val="clear" w:color="auto" w:fill="D5EAEA"/>
          </w:tcPr>
          <w:p>
            <w:pPr>
              <w:jc w:val="center"/>
              <w:ind w:left="1170"/>
              <w:spacing w:after="0"/>
              <w:rPr>
                <w:sz w:val="20"/>
                <w:szCs w:val="20"/>
                <w:color w:val="auto"/>
              </w:rPr>
            </w:pPr>
            <w:r>
              <w:rPr>
                <w:rFonts w:ascii="Arial" w:cs="Arial" w:eastAsia="Arial" w:hAnsi="Arial"/>
                <w:sz w:val="18"/>
                <w:szCs w:val="18"/>
                <w:color w:val="auto"/>
                <w:w w:val="89"/>
              </w:rPr>
              <w:t>44</w:t>
            </w:r>
          </w:p>
        </w:tc>
        <w:tc>
          <w:tcPr>
            <w:tcW w:w="5260" w:type="dxa"/>
            <w:vAlign w:val="bottom"/>
            <w:shd w:val="clear" w:color="auto" w:fill="D5EAEA"/>
          </w:tcPr>
          <w:p>
            <w:pPr>
              <w:ind w:left="220"/>
              <w:spacing w:after="0"/>
              <w:rPr>
                <w:sz w:val="20"/>
                <w:szCs w:val="20"/>
                <w:color w:val="auto"/>
              </w:rPr>
            </w:pPr>
            <w:r>
              <w:rPr>
                <w:rFonts w:ascii="Arial" w:cs="Arial" w:eastAsia="Arial" w:hAnsi="Arial"/>
                <w:sz w:val="18"/>
                <w:szCs w:val="18"/>
                <w:color w:val="auto"/>
              </w:rPr>
              <w:t>Director Nominee</w:t>
            </w: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Noreen Doyle</w:t>
            </w:r>
          </w:p>
        </w:tc>
        <w:tc>
          <w:tcPr>
            <w:tcW w:w="1960" w:type="dxa"/>
            <w:vAlign w:val="bottom"/>
          </w:tcPr>
          <w:p>
            <w:pPr>
              <w:jc w:val="center"/>
              <w:ind w:left="1170"/>
              <w:spacing w:after="0"/>
              <w:rPr>
                <w:sz w:val="20"/>
                <w:szCs w:val="20"/>
                <w:color w:val="auto"/>
              </w:rPr>
            </w:pPr>
            <w:r>
              <w:rPr>
                <w:rFonts w:ascii="Arial" w:cs="Arial" w:eastAsia="Arial" w:hAnsi="Arial"/>
                <w:sz w:val="18"/>
                <w:szCs w:val="18"/>
                <w:color w:val="auto"/>
                <w:w w:val="89"/>
              </w:rPr>
              <w:t>71</w:t>
            </w:r>
          </w:p>
        </w:tc>
        <w:tc>
          <w:tcPr>
            <w:tcW w:w="5260" w:type="dxa"/>
            <w:vAlign w:val="bottom"/>
          </w:tcPr>
          <w:p>
            <w:pPr>
              <w:ind w:left="220"/>
              <w:spacing w:after="0"/>
              <w:rPr>
                <w:sz w:val="20"/>
                <w:szCs w:val="20"/>
                <w:color w:val="auto"/>
              </w:rPr>
            </w:pPr>
            <w:r>
              <w:rPr>
                <w:rFonts w:ascii="Arial" w:cs="Arial" w:eastAsia="Arial" w:hAnsi="Arial"/>
                <w:sz w:val="18"/>
                <w:szCs w:val="18"/>
                <w:color w:val="auto"/>
              </w:rPr>
              <w:t>Director Nominee</w:t>
            </w:r>
          </w:p>
        </w:tc>
      </w:tr>
      <w:tr>
        <w:trPr>
          <w:trHeight w:val="216"/>
        </w:trPr>
        <w:tc>
          <w:tcPr>
            <w:tcW w:w="4020" w:type="dxa"/>
            <w:vAlign w:val="bottom"/>
            <w:shd w:val="clear" w:color="auto" w:fill="D5EAEA"/>
          </w:tcPr>
          <w:p>
            <w:pPr>
              <w:spacing w:after="0"/>
              <w:rPr>
                <w:sz w:val="20"/>
                <w:szCs w:val="20"/>
                <w:color w:val="auto"/>
              </w:rPr>
            </w:pPr>
            <w:r>
              <w:rPr>
                <w:rFonts w:ascii="Arial" w:cs="Arial" w:eastAsia="Arial" w:hAnsi="Arial"/>
                <w:sz w:val="18"/>
                <w:szCs w:val="18"/>
                <w:color w:val="auto"/>
              </w:rPr>
              <w:t>William Janetschek</w:t>
            </w:r>
          </w:p>
        </w:tc>
        <w:tc>
          <w:tcPr>
            <w:tcW w:w="1960" w:type="dxa"/>
            <w:vAlign w:val="bottom"/>
            <w:shd w:val="clear" w:color="auto" w:fill="D5EAEA"/>
          </w:tcPr>
          <w:p>
            <w:pPr>
              <w:jc w:val="center"/>
              <w:ind w:left="1170"/>
              <w:spacing w:after="0"/>
              <w:rPr>
                <w:sz w:val="20"/>
                <w:szCs w:val="20"/>
                <w:color w:val="auto"/>
              </w:rPr>
            </w:pPr>
            <w:r>
              <w:rPr>
                <w:rFonts w:ascii="Arial" w:cs="Arial" w:eastAsia="Arial" w:hAnsi="Arial"/>
                <w:sz w:val="18"/>
                <w:szCs w:val="18"/>
                <w:color w:val="auto"/>
                <w:w w:val="89"/>
              </w:rPr>
              <w:t>59</w:t>
            </w:r>
          </w:p>
        </w:tc>
        <w:tc>
          <w:tcPr>
            <w:tcW w:w="5260" w:type="dxa"/>
            <w:vAlign w:val="bottom"/>
            <w:shd w:val="clear" w:color="auto" w:fill="D5EAEA"/>
          </w:tcPr>
          <w:p>
            <w:pPr>
              <w:ind w:left="220"/>
              <w:spacing w:after="0"/>
              <w:rPr>
                <w:sz w:val="20"/>
                <w:szCs w:val="20"/>
                <w:color w:val="auto"/>
              </w:rPr>
            </w:pPr>
            <w:r>
              <w:rPr>
                <w:rFonts w:ascii="Arial" w:cs="Arial" w:eastAsia="Arial" w:hAnsi="Arial"/>
                <w:sz w:val="18"/>
                <w:szCs w:val="18"/>
                <w:color w:val="auto"/>
              </w:rPr>
              <w:t>Director Nominee</w:t>
            </w:r>
          </w:p>
        </w:tc>
      </w:tr>
      <w:tr>
        <w:trPr>
          <w:trHeight w:val="230"/>
        </w:trPr>
        <w:tc>
          <w:tcPr>
            <w:tcW w:w="4020" w:type="dxa"/>
            <w:vAlign w:val="bottom"/>
          </w:tcPr>
          <w:p>
            <w:pPr>
              <w:spacing w:after="0"/>
              <w:rPr>
                <w:sz w:val="20"/>
                <w:szCs w:val="20"/>
                <w:color w:val="auto"/>
              </w:rPr>
            </w:pPr>
            <w:r>
              <w:rPr>
                <w:rFonts w:ascii="Arial" w:cs="Arial" w:eastAsia="Arial" w:hAnsi="Arial"/>
                <w:sz w:val="18"/>
                <w:szCs w:val="18"/>
                <w:color w:val="auto"/>
              </w:rPr>
              <w:t>David Poritz</w:t>
            </w:r>
          </w:p>
        </w:tc>
        <w:tc>
          <w:tcPr>
            <w:tcW w:w="1960" w:type="dxa"/>
            <w:vAlign w:val="bottom"/>
          </w:tcPr>
          <w:p>
            <w:pPr>
              <w:jc w:val="center"/>
              <w:ind w:left="1170"/>
              <w:spacing w:after="0"/>
              <w:rPr>
                <w:sz w:val="20"/>
                <w:szCs w:val="20"/>
                <w:color w:val="auto"/>
              </w:rPr>
            </w:pPr>
            <w:r>
              <w:rPr>
                <w:rFonts w:ascii="Arial" w:cs="Arial" w:eastAsia="Arial" w:hAnsi="Arial"/>
                <w:sz w:val="18"/>
                <w:szCs w:val="18"/>
                <w:color w:val="auto"/>
                <w:w w:val="89"/>
              </w:rPr>
              <w:t>32</w:t>
            </w:r>
          </w:p>
        </w:tc>
        <w:tc>
          <w:tcPr>
            <w:tcW w:w="5260" w:type="dxa"/>
            <w:vAlign w:val="bottom"/>
          </w:tcPr>
          <w:p>
            <w:pPr>
              <w:ind w:left="220"/>
              <w:spacing w:after="0"/>
              <w:rPr>
                <w:sz w:val="20"/>
                <w:szCs w:val="20"/>
                <w:color w:val="auto"/>
              </w:rPr>
            </w:pPr>
            <w:r>
              <w:rPr>
                <w:rFonts w:ascii="Arial" w:cs="Arial" w:eastAsia="Arial" w:hAnsi="Arial"/>
                <w:sz w:val="18"/>
                <w:szCs w:val="18"/>
                <w:color w:val="auto"/>
              </w:rPr>
              <w:t>Director Nominee</w:t>
            </w:r>
          </w:p>
        </w:tc>
      </w:tr>
    </w:tbl>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Tidjane Thiam, Executive Chairman</w:t>
      </w:r>
    </w:p>
    <w:p>
      <w:pPr>
        <w:spacing w:after="0" w:line="225" w:lineRule="exact"/>
        <w:rPr>
          <w:sz w:val="20"/>
          <w:szCs w:val="20"/>
          <w:color w:val="auto"/>
        </w:rPr>
      </w:pPr>
    </w:p>
    <w:p>
      <w:pPr>
        <w:jc w:val="both"/>
        <w:ind w:right="20" w:firstLine="324"/>
        <w:spacing w:after="0" w:line="291" w:lineRule="auto"/>
        <w:rPr>
          <w:sz w:val="20"/>
          <w:szCs w:val="20"/>
          <w:color w:val="auto"/>
        </w:rPr>
      </w:pPr>
      <w:r>
        <w:rPr>
          <w:rFonts w:ascii="Arial" w:cs="Arial" w:eastAsia="Arial" w:hAnsi="Arial"/>
          <w:sz w:val="16"/>
          <w:szCs w:val="16"/>
          <w:color w:val="auto"/>
        </w:rPr>
        <w:t>Tidjane Thiam has served as our Executive Chairman since inception. Since 2020, Mr. Thiam has been a Director and Chair of the Audit Committee of Kering S.A., the French luxury group. From 2015 to 2020, Mr. Thiam was Chief Executive Officer of Credit Suisse Group AG. From 2014 to 2019,</w:t>
      </w:r>
    </w:p>
    <w:p>
      <w:pPr>
        <w:ind w:right="40"/>
        <w:spacing w:after="0" w:line="271" w:lineRule="auto"/>
        <w:rPr>
          <w:sz w:val="20"/>
          <w:szCs w:val="20"/>
          <w:color w:val="auto"/>
        </w:rPr>
      </w:pPr>
      <w:r>
        <w:rPr>
          <w:rFonts w:ascii="Arial" w:cs="Arial" w:eastAsia="Arial" w:hAnsi="Arial"/>
          <w:sz w:val="17"/>
          <w:szCs w:val="17"/>
          <w:color w:val="auto"/>
        </w:rPr>
        <w:t>Mr. Thiam was a Director of 21st Century Fox and served on its Nominating and Corporate Governance Committee. Mr. Thiam previously served at Prudential plc, a global insurance company based on London, as the Group Chief Executive from 2009 to 2015, a Director from 2008 to 2015 and Group Chief Financial Officer from 2008 to 2009. Mr. Thiam holds an MBA from INSEAD and graduated from École Nationale Supérieure des Mines de Paris in 1986 and from École Polytechnique in Paris in 1984. We believe Mr. Thiam's extensive leadership experience, broad network and deep understanding of the financial services sector make him a valuable addition to our board of directors.</w:t>
      </w:r>
    </w:p>
    <w:p>
      <w:pPr>
        <w:spacing w:after="0" w:line="17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Adam Gishen, Chief Executive Officer and Board Observer Nominee</w:t>
      </w:r>
    </w:p>
    <w:p>
      <w:pPr>
        <w:spacing w:after="0" w:line="225" w:lineRule="exact"/>
        <w:rPr>
          <w:sz w:val="20"/>
          <w:szCs w:val="20"/>
          <w:color w:val="auto"/>
        </w:rPr>
      </w:pPr>
    </w:p>
    <w:p>
      <w:pPr>
        <w:ind w:right="60" w:firstLine="324"/>
        <w:spacing w:after="0" w:line="301" w:lineRule="auto"/>
        <w:rPr>
          <w:sz w:val="20"/>
          <w:szCs w:val="20"/>
          <w:color w:val="auto"/>
        </w:rPr>
      </w:pPr>
      <w:r>
        <w:rPr>
          <w:rFonts w:ascii="Arial" w:cs="Arial" w:eastAsia="Arial" w:hAnsi="Arial"/>
          <w:sz w:val="16"/>
          <w:szCs w:val="16"/>
          <w:color w:val="auto"/>
        </w:rPr>
        <w:t>Adam Gishen has served as our Chief Executive Officer since February 2021 and is expected to serve as one of our initial board observers. From 2015 to 2020, Mr. Gishen served in several senior roles at Credit Suisse Group AG, including Global Head of Investor Relations, Corporate Communications and Marketing and Branding. Prior to 2015, Mr. Gishen was a partner at Ondra Partners, a financial advisory firm and previous to this worked as a Managing Director at Nomura and at Lehman Brothers in the area of Equity Capital Markets. Mr. Gishen graduated from the University of Leeds.</w:t>
      </w:r>
    </w:p>
    <w:p>
      <w:pPr>
        <w:spacing w:after="0" w:line="15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Jamie Weinstein, Director Nominee</w:t>
      </w:r>
    </w:p>
    <w:p>
      <w:pPr>
        <w:spacing w:after="0" w:line="225" w:lineRule="exact"/>
        <w:rPr>
          <w:sz w:val="20"/>
          <w:szCs w:val="20"/>
          <w:color w:val="auto"/>
        </w:rPr>
      </w:pPr>
    </w:p>
    <w:p>
      <w:pPr>
        <w:jc w:val="both"/>
        <w:ind w:right="80" w:firstLine="324"/>
        <w:spacing w:after="0" w:line="287" w:lineRule="auto"/>
        <w:rPr>
          <w:sz w:val="20"/>
          <w:szCs w:val="20"/>
          <w:color w:val="auto"/>
        </w:rPr>
      </w:pPr>
      <w:r>
        <w:rPr>
          <w:rFonts w:ascii="Arial" w:cs="Arial" w:eastAsia="Arial" w:hAnsi="Arial"/>
          <w:sz w:val="16"/>
          <w:szCs w:val="16"/>
          <w:color w:val="auto"/>
        </w:rPr>
        <w:t>Jamie Weinstein is expected to serve on our board of directors. Mr. Weinstein is a managing director, portfolio manager and head of corporate special situations at PIMCO, focusing on PIMCO’s opportunistic and alternative strategies within corporate credit. Prior to joining PIMCO in 2019, Mr. Weinstein worked for KKR as a portfolio manager for the firm’s special situations funds and portfolios, which he managed from their inception in 2009. Mr.</w:t>
      </w:r>
    </w:p>
    <w:p>
      <w:pPr>
        <w:spacing w:after="0" w:line="2"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Weinstein was also a member of KKR’s special situations, real estate, and India NBFC investment committees and the KKR credit portfolio management committee. Previously, Mr. Weinstein was a portfolio manager with responsibility across KKR’s credit strategies. Prior to joining KKR, Mr. Weinstein was with Tishman Speyer Properties as director of acquisitions for Northern California and at Boston Consulting Group as a consultant. Mr. Weinstein serves on the boards of directors of CRIS I, CRIS II, Capstar Special Purpose Acquisition Corp and Sandbridge Acquisition Corporation. Mr. Weinstein has 18 years of investment experience and received an M.B.A. from the Stanford Graduate School of Business and a B.S. in Civil Engineering and Operations Research from Princeton University. We believe Mr. Weinstein is well qualified to serve on our board of directors based on his extensive leadership and business experience, including his expertise in investment management and acquisitions.</w:t>
      </w:r>
    </w:p>
    <w:p>
      <w:pPr>
        <w:spacing w:after="0" w:line="16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Noreen Doyle, Director Nominee</w:t>
      </w:r>
    </w:p>
    <w:p>
      <w:pPr>
        <w:spacing w:after="0" w:line="225" w:lineRule="exact"/>
        <w:rPr>
          <w:sz w:val="20"/>
          <w:szCs w:val="20"/>
          <w:color w:val="auto"/>
        </w:rPr>
      </w:pPr>
    </w:p>
    <w:p>
      <w:pPr>
        <w:ind w:right="20" w:firstLine="324"/>
        <w:spacing w:after="0" w:line="289" w:lineRule="auto"/>
        <w:rPr>
          <w:sz w:val="20"/>
          <w:szCs w:val="20"/>
          <w:color w:val="auto"/>
        </w:rPr>
      </w:pPr>
      <w:r>
        <w:rPr>
          <w:rFonts w:ascii="Arial" w:cs="Arial" w:eastAsia="Arial" w:hAnsi="Arial"/>
          <w:sz w:val="16"/>
          <w:szCs w:val="16"/>
          <w:color w:val="auto"/>
        </w:rPr>
        <w:t>Noreen Doyle is expected to serve on our board of directors. Since 2005, Ms. Doyle has been a member of the Board of Directors of Newmont Corporation, the world’s largest gold producer. Since 2016, she has served as Chair of the Board and of the Nominating and Corporate Governance Committee, having previously served as Chair of the Audit Committee. From 2004 to 2017, she served on the Board of Directors of Credit Suisse Group AG, including as Vice Chair and Senior Independent Director from 2014 to 2017. Ms. Doyle has also served on the boards of Rexam PLC and QinetiQ plc. In her executive career, Ms. Doyle was First Vice President of the European Bank for Reconstruction and Development (EBRD) from 2001 to 2005, having previously served as head of Risk Management and of Syndications. Prior to EBRD, Ms. Doyle was a senior officer at Bankers Trust Company (now Deutsche Bank) specializing in leveraged finance and natural resources. Ms. Doyle holds an MBA from Tuck School at Dartmouth, where she served on its Board of Overseers, and a B.A. from the College of Mount Saint Vincent, where she served on and chaired its Board of Trustees. We believe Ms. Doyle is well qualified to serve on our board of directors based on her experience and network in the financial services industry.</w:t>
      </w:r>
    </w:p>
    <w:p>
      <w:pPr>
        <w:spacing w:after="0" w:line="16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William Janetschek, Director Nominee</w:t>
      </w:r>
    </w:p>
    <w:p>
      <w:pPr>
        <w:spacing w:after="0" w:line="225"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William Janetschek is expected to serve on our board of directors. Mr. Janetschek joined KKR in 1997 and retired in 2020 as a Partner and its Chief Financial Officer. Mr. Janetschek was also a member of KKR’s Balance Sheet Committee, Global Valuation Committee and Risk and Operations Committee. Prior to joining KKR, he was a Tax Partner at Deloitte &amp; Touche LLP. He serves as a sponsor and member of a variety of non-profit organizations including Student Sponsor Partners and St. Brigid Catholic Church. Mr. Janetschek holds a M.S. from Pace University and a B.S. from St. John’s University, where he is now the Chairman of the Board of Trustees. We believe Mr. Janetschek’s finance and operations experience makes him well qualified to serve on our board of directors.</w:t>
      </w:r>
    </w:p>
    <w:p>
      <w:pPr>
        <w:spacing w:after="0" w:line="19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David Poritz, Director Nominee</w:t>
      </w:r>
    </w:p>
    <w:p>
      <w:pPr>
        <w:spacing w:after="0" w:line="225"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David Poritz is expected to serve on our board of directors. Since 2015, Mr. Poritz has served as Co-CEO and Co-Founder of Credijusto, a leading Mexican financial technology company focused on small business lending. Since 2008, Mr. Poritz has served as President and Co-Founder of Equitable Origin, an NGO dedicated to improving social, environmental and governance practices in the global energy industry. Mr. Poritz currently serves as a board member of Credijusto and Equitable Origin. Mr. Poritz has a B.A. from Brown University, where he was a Harry S. Truman and Henry David Thoreau scholar as well as an MSc. from Oxford University, where he was a Rhodes scholar. We believe Mr. Poritz’s experience founding and leading Credijusto makes him well qualified to serve on our board of directors.</w:t>
      </w:r>
    </w:p>
    <w:p>
      <w:pPr>
        <w:sectPr>
          <w:pgSz w:w="11900" w:h="16838" w:orient="portrait"/>
          <w:cols w:equalWidth="0" w:num="1">
            <w:col w:w="11240"/>
          </w:cols>
          <w:pgMar w:left="320" w:top="580" w:right="339" w:bottom="0" w:gutter="0" w:footer="0" w:header="0"/>
        </w:sectPr>
      </w:pPr>
    </w:p>
    <w:bookmarkStart w:id="116" w:name="page117"/>
    <w:bookmarkEnd w:id="116"/>
    <w:p>
      <w:pPr>
        <w:spacing w:after="0"/>
        <w:rPr>
          <w:sz w:val="20"/>
          <w:szCs w:val="20"/>
          <w:color w:val="auto"/>
        </w:rPr>
      </w:pPr>
      <w:r>
        <w:rPr>
          <w:rFonts w:ascii="Arial" w:cs="Arial" w:eastAsia="Arial" w:hAnsi="Arial"/>
          <w:sz w:val="18"/>
          <w:szCs w:val="18"/>
          <w:b w:val="1"/>
          <w:bCs w:val="1"/>
          <w:color w:val="auto"/>
        </w:rPr>
        <w:t>Special Advisors and Board Observers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Abhishek Bhatia, Board Observer Nominee</w:t>
      </w:r>
    </w:p>
    <w:p>
      <w:pPr>
        <w:spacing w:after="0" w:line="225"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Abhishek Bhatia is expected to serve as one of our initial board observers. From 2015 to 2020, Mr. Bhatia served as Chief Executive Officer of FWD Singapore Pte Ltd, a full-stack online insurance business based in Singapore, and from 2018 to 2020, Mr. Bhatia also served as Group Chief Officer, New Business Models of FWD Group. Prior to 2015, Mr. Bhatia served in several senior roles at Prudential plc, including Chief Executive Officer of Prudential Poland. Mr. Bhatia received a post-graduate in management from the Indian Institute of Management in 1998 and graduated with a degree in economics from Delhi University.</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Daniel Ballen, Board Observer Nominee</w:t>
      </w:r>
    </w:p>
    <w:p>
      <w:pPr>
        <w:spacing w:after="0" w:line="225" w:lineRule="exact"/>
        <w:rPr>
          <w:sz w:val="20"/>
          <w:szCs w:val="20"/>
          <w:color w:val="auto"/>
        </w:rPr>
      </w:pPr>
    </w:p>
    <w:p>
      <w:pPr>
        <w:ind w:right="20" w:firstLine="324"/>
        <w:spacing w:after="0" w:line="289" w:lineRule="auto"/>
        <w:rPr>
          <w:sz w:val="20"/>
          <w:szCs w:val="20"/>
          <w:color w:val="auto"/>
        </w:rPr>
      </w:pPr>
      <w:r>
        <w:rPr>
          <w:rFonts w:ascii="Arial" w:cs="Arial" w:eastAsia="Arial" w:hAnsi="Arial"/>
          <w:sz w:val="16"/>
          <w:szCs w:val="16"/>
          <w:color w:val="auto"/>
        </w:rPr>
        <w:t>Daniel Ballen is expected to serve as one of PIMCO’s initial board observers. Since June 2014, Mr. Ballen has served as a Portfolio Manager and Executive Vice President at PIMCO, where he helps lead the corporate private equity investment strategy for the firm’s alternative investment complex. He has led numerous private equity investments in both the U.S. and Europe and currently serves as a board member on a wide range of both private and public companies in the financial services and technology sectors. Prior to joining PIMCO, Mr. Ballen was a member of the private equity investment teams at Pine Brook Partners from 2011 to April 2014 and at Bain Capital, LP from 2007 to 2010, where he executed and managed private equity investments in the U.S. across a variety of sectors. Mr. Ballen started his career in the investment banking division of Bear, Stearns &amp; Co., where he was a member of the U.S. financial institutions advisory team. Mr. Ballen currently serves on the boards of directors of Velocity Financial (NYSE: VEL), Cardholder Management Services, Inc., Finance Ireland Ltd, Great Rock Capital Partners, LLC and Amur Equipment Finance, Inc. Mr. Ballen received a bachelor’s degree from Emory University. Mr. Ballen has no employment, consulting fee or other similar compensation arrangements with us.</w:t>
      </w:r>
    </w:p>
    <w:p>
      <w:pPr>
        <w:spacing w:after="0" w:line="16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Dan Degtyar, Board Observer Nominee</w:t>
      </w:r>
    </w:p>
    <w:p>
      <w:pPr>
        <w:spacing w:after="0" w:line="225"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color w:val="auto"/>
        </w:rPr>
        <w:t>Dan Degtyar is expected to serve as one of PIMCO’s initial board observers. Mr. Degtyar is an Executive Vice President, portfolio manager and senior analyst for PIMCO’s Global Credit Opportunity Strategy, where he focuses on credit relative value opportunities and special situations. Prior to joining PIMCO, Mr. Degtyar was a senior analyst at Beach Point Capital, a private equity associate at Ares Management and an investment banking associate at Credit Suisse. Mr. Degtyar is a CFA charterholder with 14 years of investment experience and holds an undergraduate degree in business economics from the University of California, Los Angeles. Mr. Degtyar serves as a board observer for CRIS I, CRIS II, Sandbridge and Capstone. Mr. Degtyar has no employment, consulting fee or other similar compensation arrangements with us.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Designated Directors and Board Observers</w:t>
      </w:r>
    </w:p>
    <w:p>
      <w:pPr>
        <w:spacing w:after="0" w:line="229"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The PIMCO private fund and Freedom Acquisition LLC each have the right to designate one director to our board of directors. Freedom Acquisition LLC’s initial designee on our board of directors is Tidjane Thiam, and the PIMCO private fund’s initial designee on our board of directors is expected to be Jamie Weinstein. We will nominate the designee of each of Freedom Acquisition LLC and the PIMCO private fund for election by the holders of the founder shares until the earlier to occur of (i) any business combination and (ii) either Freedom Acquisition LLC or the PIMCO private fund transfers or disposes of its membership interest in the sponsor, other than a transfer to its affiliates. Each of Freedom Acquisition LLC and the PIMCO private fund will also have the right to have two board observers attend all of the meetings of our board of directors and receive all information provided to our board of directors during the period in which it has the right to designate a board member. Freedom Acquisition LLC’s initial board observers are expected to be Mr. Gishen and Mr. Bhatia. The PIMCO private fund’s initial board observers are expected to be Mr. Ballen and Mr. Degtyar.</w:t>
      </w:r>
    </w:p>
    <w:p>
      <w:pPr>
        <w:spacing w:after="0" w:line="200" w:lineRule="exact"/>
        <w:rPr>
          <w:sz w:val="20"/>
          <w:szCs w:val="20"/>
          <w:color w:val="auto"/>
        </w:rPr>
      </w:pPr>
    </w:p>
    <w:p>
      <w:pPr>
        <w:spacing w:after="0" w:line="28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117" w:name="page118"/>
    <w:bookmarkEnd w:id="117"/>
    <w:p>
      <w:pPr>
        <w:jc w:val="center"/>
        <w:ind w:right="-19"/>
        <w:spacing w:after="0"/>
        <w:rPr>
          <w:sz w:val="20"/>
          <w:szCs w:val="20"/>
          <w:color w:val="auto"/>
        </w:rPr>
      </w:pPr>
      <w:r>
        <w:rPr>
          <w:rFonts w:ascii="Arial" w:cs="Arial" w:eastAsia="Arial" w:hAnsi="Arial"/>
          <w:sz w:val="18"/>
          <w:szCs w:val="18"/>
          <w:b w:val="1"/>
          <w:bCs w:val="1"/>
          <w:color w:val="auto"/>
        </w:rPr>
        <w:t>Number and Terms of Office of Officers and Directors</w:t>
      </w:r>
    </w:p>
    <w:p>
      <w:pPr>
        <w:spacing w:after="0" w:line="229" w:lineRule="exact"/>
        <w:rPr>
          <w:sz w:val="20"/>
          <w:szCs w:val="20"/>
          <w:color w:val="auto"/>
        </w:rPr>
      </w:pPr>
    </w:p>
    <w:p>
      <w:pPr>
        <w:ind w:right="160" w:firstLine="324"/>
        <w:spacing w:after="0" w:line="272" w:lineRule="auto"/>
        <w:rPr>
          <w:sz w:val="20"/>
          <w:szCs w:val="20"/>
          <w:color w:val="auto"/>
        </w:rPr>
      </w:pPr>
      <w:r>
        <w:rPr>
          <w:rFonts w:ascii="Arial" w:cs="Arial" w:eastAsia="Arial" w:hAnsi="Arial"/>
          <w:sz w:val="17"/>
          <w:szCs w:val="17"/>
          <w:color w:val="auto"/>
        </w:rPr>
        <w:t>Upon the effectiveness of the registration statement of which this prospectus forms a part, we expect that our board of directors will consist of five members and be divided into three classes with only one class of directors being appointed in each year, and with each class (except for those directors appointed prior to our first general meeting) serving a three-year term. In accordance with the NYSE corporate governance requirements, we are not required to hold an annual general meeting until one year after our first fiscal year end following our listing on the NYSE. The term of office of the first class of directors, consisting of David Poritz, will expire at our first annual general meeting. The term of office of the second class of directors, consisting of Noreen Doyle and William Janetschek, will expire at the second annual general meeting. The term of office of the third class of directors, consisting of Tidjane Thiam and Jamie Weinstein, will expire at the third annual general meeting.</w:t>
      </w:r>
    </w:p>
    <w:p>
      <w:pPr>
        <w:spacing w:after="0" w:line="177" w:lineRule="exact"/>
        <w:rPr>
          <w:sz w:val="20"/>
          <w:szCs w:val="20"/>
          <w:color w:val="auto"/>
        </w:rPr>
      </w:pPr>
    </w:p>
    <w:p>
      <w:pPr>
        <w:ind w:right="160" w:firstLine="324"/>
        <w:spacing w:after="0" w:line="254" w:lineRule="auto"/>
        <w:rPr>
          <w:sz w:val="20"/>
          <w:szCs w:val="20"/>
          <w:color w:val="auto"/>
        </w:rPr>
      </w:pPr>
      <w:r>
        <w:rPr>
          <w:rFonts w:ascii="Arial" w:cs="Arial" w:eastAsia="Arial" w:hAnsi="Arial"/>
          <w:sz w:val="18"/>
          <w:szCs w:val="18"/>
          <w:color w:val="auto"/>
        </w:rPr>
        <w:t>Only holders of Class B ordinary shares will have the right to appoint or remove directors in any general meeting held prior to or in connection with the completion of our initial business combination. Holders of our public shares will not be entitled to vote on the appointment of directors during such time. These provisions of our amended and restated memorandum and articles of association relating to the rights of holders of Class B ordinary shares to appoint or remove directors may be amended by a special resolution passed by a majority of at least 90% of our ordinary shares voting in a general meeting. Our officers are appointed by the board of directors and serve at the discretion of the board of directors, rather than for specific terms of office. Our board of directors is authorized to appoint officers as it deems appropriate pursuant to our amended and restated memorandum and articles of association.</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Director Independence</w:t>
      </w:r>
    </w:p>
    <w:p>
      <w:pPr>
        <w:spacing w:after="0" w:line="229" w:lineRule="exact"/>
        <w:rPr>
          <w:sz w:val="20"/>
          <w:szCs w:val="20"/>
          <w:color w:val="auto"/>
        </w:rPr>
      </w:pPr>
    </w:p>
    <w:p>
      <w:pPr>
        <w:ind w:right="120" w:firstLine="324"/>
        <w:spacing w:after="0" w:line="254" w:lineRule="auto"/>
        <w:rPr>
          <w:sz w:val="20"/>
          <w:szCs w:val="20"/>
          <w:color w:val="auto"/>
        </w:rPr>
      </w:pPr>
      <w:r>
        <w:rPr>
          <w:rFonts w:ascii="Arial" w:cs="Arial" w:eastAsia="Arial" w:hAnsi="Arial"/>
          <w:sz w:val="18"/>
          <w:szCs w:val="18"/>
          <w:color w:val="auto"/>
        </w:rPr>
        <w:t>The rules of the NYSE require that a majority of our board of directors be independent within one year of our initial public offering. An “independent director” is defined generally as a person who, in the opinion of the company’s board of directors, has no material relationship with the listed company (either directly or as a partner, shareholder, stockholder or officer of an organization that has a relationship with the company). Upon the effectiveness of the registration statement of which this prospectus forms a part, we expect to have three “independent directors” as defined in the NYSE rules and applicable SEC rules prior to completion of this offering. Our board of directors has determined that Noreen Doyle, William Janetschek and David Poritz are “independent directors” as defined in the NYSE listing standards and applicable SEC rules. Our independent directors will have regularly scheduled meetings at which only independent directors are present.</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Officer and Director Compensation</w:t>
      </w:r>
    </w:p>
    <w:p>
      <w:pPr>
        <w:spacing w:after="0" w:line="229"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None of our officers or directors have received any cash compensation for services rendered to us. Commencing on the date that our securities are first listed on the NYSE through the earlier of consummation of our initial business combination and our liquidation, we will pay our sponsor or an affiliate thereof up to $10,000 per month for office space, utilities, secretarial and administrative support services provided to members of our management team and other expenses and obligations of our sponsor. In addition, our sponsor, officers and directors, or any of their respective affiliates will be reimbursed for any out-of-pocket expenses incurred in connection with activities on our behalf such as identifying potential target businesses and performing due diligence on suitable business combinations. Our audit committee will review on a quarterly basis all payments that were made by us to our sponsor, officers or directors, or our or their affiliates. Any such payments prior to an initial business combination will be made from funds held outside the trust account. Other than quarterly audit committee review of such reimbursements, we do not expect to have any additional controls in place governing our reimbursement payments to our directors and officers for their out-of-pocket expenses incurred in connection with our activities on our behalf in connection with identifying and consummating an initial business combination. Other than these payments and reimbursements, no compensation of any kind, including finder’s and consulting fees, will be paid by the company to our sponsor, officers and directors, or any of their respective affiliates, prior to completion of our initial business combination.</w:t>
      </w:r>
    </w:p>
    <w:p>
      <w:pPr>
        <w:spacing w:after="0" w:line="179"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After the completion of our initial business combination, directors or members of our management team who remain with us may be paid consulting or management fees from the combined company. All of these fees will be fully disclosed to shareholders, to the extent then known, in the proxy solicitation materials or tender offer materials furnished to our shareholders in connection with a proposed initial business combination. We have not established any limit on the amount of such fees that may be paid by the combined company to our directors or members of management. It is unlikely the amount of such compensation will be known at the time of the proposed initial business combination, because the directors of the post-combination business will be responsible for determining officer and director compensation. Any compensation to be paid to our officers will be determined, or recommended to the board of directors for determination, either by a compensation committee constituted solely by independent directors or by a majority of the independent directors on our board of directors.</w:t>
      </w:r>
    </w:p>
    <w:p>
      <w:pPr>
        <w:spacing w:after="0" w:line="178"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We do not intend to take any action to ensure that members of our management team maintain their positions with us after the consummation of our initial business combination, although it is possible that some or all of our officers and directors may negotiate employment or consulting arrangements to remain with us after our initial business combination. The existence or terms of any such employment or consulting arrangements to retain their positions with us may influence our management’s motivation in identifying or selecting a target business but we do not believe that the ability of our management to remain with us after the consummation of our initial business combination will be a determining factor in our decision to proceed with any potential business combination. We are not party to any agreements with our officers and directors that provide for benefits upon termination of employment.</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Committees of the Board of Directors</w:t>
      </w:r>
    </w:p>
    <w:p>
      <w:pPr>
        <w:spacing w:after="0" w:line="229" w:lineRule="exact"/>
        <w:rPr>
          <w:sz w:val="20"/>
          <w:szCs w:val="20"/>
          <w:color w:val="auto"/>
        </w:rPr>
      </w:pPr>
    </w:p>
    <w:p>
      <w:pPr>
        <w:ind w:right="20" w:firstLine="324"/>
        <w:spacing w:after="0" w:line="311" w:lineRule="auto"/>
        <w:rPr>
          <w:sz w:val="20"/>
          <w:szCs w:val="20"/>
          <w:color w:val="auto"/>
        </w:rPr>
      </w:pPr>
      <w:r>
        <w:rPr>
          <w:rFonts w:ascii="Arial" w:cs="Arial" w:eastAsia="Arial" w:hAnsi="Arial"/>
          <w:sz w:val="16"/>
          <w:szCs w:val="16"/>
          <w:color w:val="auto"/>
        </w:rPr>
        <w:t>Upon the effectiveness of the registration statement of which this prospectus forms a part, we expect that our board of directors will have three standing committees: an audit committee, a compensation committee and a nominating and corporate governance committee. Both our audit committee and our compensation committee will be composed solely of independent directors. Subject to phase-in rules, the rules of the NYSE and Rule 10A-3 of the</w:t>
      </w:r>
    </w:p>
    <w:p>
      <w:pPr>
        <w:spacing w:after="0" w:line="25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18" w:name="page119"/>
    <w:bookmarkEnd w:id="118"/>
    <w:p>
      <w:pPr>
        <w:spacing w:after="0" w:line="279" w:lineRule="auto"/>
        <w:rPr>
          <w:sz w:val="20"/>
          <w:szCs w:val="20"/>
          <w:color w:val="auto"/>
        </w:rPr>
      </w:pPr>
      <w:r>
        <w:rPr>
          <w:rFonts w:ascii="Arial" w:cs="Arial" w:eastAsia="Arial" w:hAnsi="Arial"/>
          <w:sz w:val="17"/>
          <w:szCs w:val="17"/>
          <w:color w:val="auto"/>
        </w:rPr>
        <w:t>Exchange Act require that the audit committee of a listed company be comprised solely of independent directors, and the rules of the NYSE require that the compensation committee and the nominating and corporate governance committee of a listed company be comprised solely of independent directors. Each committee will operate under a charter that will be approved by our board of directors and will have the composition and responsibilities described below. The charter of each committee will be available on our website following the closing of this offering.</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w:t>
      </w:r>
    </w:p>
    <w:p>
      <w:pPr>
        <w:spacing w:after="0" w:line="229"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Upon the effectiveness of the registration statement of which this prospectus forms a part, we will establish an audit committee of the board of directors. Noreen Doyle, William Janetschek and David Poritz will serve as the members and William Janetschek will serve as chair of the audit committee. Noreen Doyle, William Janetschek and David Poritz are independent of and unaffiliated with our sponsor and our underwriters. Under the NYSE listing standards and applicable SEC rules, all the directors on the audit committee must be independent.</w:t>
      </w:r>
    </w:p>
    <w:p>
      <w:pPr>
        <w:spacing w:after="0" w:line="187" w:lineRule="exact"/>
        <w:rPr>
          <w:sz w:val="20"/>
          <w:szCs w:val="20"/>
          <w:color w:val="auto"/>
        </w:rPr>
      </w:pPr>
    </w:p>
    <w:p>
      <w:pPr>
        <w:ind w:right="20" w:firstLine="324"/>
        <w:spacing w:after="0" w:line="308" w:lineRule="auto"/>
        <w:rPr>
          <w:sz w:val="20"/>
          <w:szCs w:val="20"/>
          <w:color w:val="auto"/>
        </w:rPr>
      </w:pPr>
      <w:r>
        <w:rPr>
          <w:rFonts w:ascii="Arial" w:cs="Arial" w:eastAsia="Arial" w:hAnsi="Arial"/>
          <w:sz w:val="17"/>
          <w:szCs w:val="17"/>
          <w:color w:val="auto"/>
        </w:rPr>
        <w:t>Noreen Doyle, William Janetschek and David Poritz are financially literate and our board of directors has determined that William Janetschek qualifies as an “audit committee financial expert” as defined in applicable SEC rules and has accounting or related financial management expertise.</w:t>
      </w:r>
    </w:p>
    <w:p>
      <w:pPr>
        <w:spacing w:after="0" w:line="146"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Prior to the completion of this offering, we will adopt an audit committee charter, which will detail the purpose and principal functions of the audit committee, including:</w:t>
      </w:r>
    </w:p>
    <w:p>
      <w:pPr>
        <w:spacing w:after="0" w:line="170" w:lineRule="exact"/>
        <w:rPr>
          <w:sz w:val="20"/>
          <w:szCs w:val="20"/>
          <w:color w:val="auto"/>
        </w:rPr>
      </w:pPr>
    </w:p>
    <w:p>
      <w:pPr>
        <w:ind w:left="660" w:right="520" w:hanging="328"/>
        <w:spacing w:after="0" w:line="301" w:lineRule="auto"/>
        <w:tabs>
          <w:tab w:leader="none" w:pos="6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assisting board oversight of (1) the integrity of our financial statements, (2) our compliance with legal and regulatory requirements, (3) our independent registered public accounting firm’s qualifications and independence, and (4) the performance of our internal audit function and independent registered public accounting firm; the appointment, compensation, retention, replacement, and oversight of the work of the independent registered public accounting firm and any other independent registered public accounting firm engaged by us;</w:t>
      </w:r>
    </w:p>
    <w:p>
      <w:pPr>
        <w:spacing w:after="0" w:line="157" w:lineRule="exact"/>
        <w:rPr>
          <w:rFonts w:ascii="Arial" w:cs="Arial" w:eastAsia="Arial" w:hAnsi="Arial"/>
          <w:sz w:val="16"/>
          <w:szCs w:val="16"/>
          <w:color w:val="auto"/>
        </w:rPr>
      </w:pPr>
    </w:p>
    <w:p>
      <w:pPr>
        <w:jc w:val="both"/>
        <w:ind w:left="660" w:right="160" w:hanging="328"/>
        <w:spacing w:after="0" w:line="311" w:lineRule="auto"/>
        <w:tabs>
          <w:tab w:leader="none" w:pos="6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pre-approving all audit and non-audit services to be provided by the independent registered public accounting firm or any other registered public accounting firm engaged by us, and establishing pre-approval policies and procedures; reviewing and discussing with the independent registered public accounting firm all relationships the registered public accounting firm has with us in order to evaluate their continued independence;</w:t>
      </w:r>
    </w:p>
    <w:p>
      <w:pPr>
        <w:spacing w:after="0" w:line="148" w:lineRule="exact"/>
        <w:rPr>
          <w:rFonts w:ascii="Arial" w:cs="Arial" w:eastAsia="Arial" w:hAnsi="Arial"/>
          <w:sz w:val="16"/>
          <w:szCs w:val="16"/>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setting clear hiring policies for employees or former employees of the independent registered public accounting firm;</w:t>
      </w:r>
    </w:p>
    <w:p>
      <w:pPr>
        <w:spacing w:after="0" w:line="225" w:lineRule="exact"/>
        <w:rPr>
          <w:rFonts w:ascii="Arial" w:cs="Arial" w:eastAsia="Arial" w:hAnsi="Arial"/>
          <w:sz w:val="18"/>
          <w:szCs w:val="18"/>
          <w:color w:val="auto"/>
        </w:rPr>
      </w:pPr>
    </w:p>
    <w:p>
      <w:pPr>
        <w:ind w:left="660" w:right="60" w:hanging="328"/>
        <w:spacing w:after="0" w:line="275" w:lineRule="auto"/>
        <w:tabs>
          <w:tab w:leader="none" w:pos="6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setting clear policies for audit partner rotation in compliance with applicable laws and regulations; obtaining and reviewing a report, at least annually, from the independent registered public accounting firm describing (1) the independent registered public accounting firm’s internal quality-control procedures and (2) any material issues raised by the most recent internal quality-control review, or peer review, of the independent registered public accounting firm, or by any inquiry or investigation by governmental or professional authorities, within the preceding five years respecting one or more independent audits carried out by the firm and any steps taken to deal with such issues;</w:t>
      </w:r>
    </w:p>
    <w:p>
      <w:pPr>
        <w:spacing w:after="0" w:line="176" w:lineRule="exact"/>
        <w:rPr>
          <w:rFonts w:ascii="Arial" w:cs="Arial" w:eastAsia="Arial" w:hAnsi="Arial"/>
          <w:sz w:val="17"/>
          <w:szCs w:val="17"/>
          <w:color w:val="auto"/>
        </w:rPr>
      </w:pPr>
    </w:p>
    <w:p>
      <w:pPr>
        <w:ind w:left="660" w:right="240" w:hanging="328"/>
        <w:spacing w:after="0" w:line="259"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meeting to review and discuss our annual audited financial statements and quarterly financial statements with management and the independent registered public accounting firm, including reviewing our specific disclosures under “Management’s Discussion and Analysis of Financial Condition and Results of Operations”; reviewing and approving any related party transaction required to be disclosed pursuant to Item 404 of Regulation S-K promulgated by the SEC prior to us entering into such transaction; and</w:t>
      </w:r>
    </w:p>
    <w:p>
      <w:pPr>
        <w:spacing w:after="0" w:line="186" w:lineRule="exact"/>
        <w:rPr>
          <w:rFonts w:ascii="Arial" w:cs="Arial" w:eastAsia="Arial" w:hAnsi="Arial"/>
          <w:sz w:val="18"/>
          <w:szCs w:val="18"/>
          <w:color w:val="auto"/>
        </w:rPr>
      </w:pPr>
    </w:p>
    <w:p>
      <w:pPr>
        <w:ind w:left="660" w:right="40" w:hanging="328"/>
        <w:spacing w:after="0" w:line="279" w:lineRule="auto"/>
        <w:tabs>
          <w:tab w:leader="none" w:pos="6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reviewing with management, the independent registered public accounting firm, and our legal advisors, as appropriate, any legal, regulatory or compliance matters, including any correspondence with regulators or government agencies and any employee complaints or published reports that raise material issues regarding our financial statements or accounting policies and any significant changes in accounting standards or rules promulgated by the Financial Accounting Standards Board, the SEC or other regulatory authorities.</w:t>
      </w:r>
    </w:p>
    <w:p>
      <w:pPr>
        <w:spacing w:after="0" w:line="27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119" w:name="page120"/>
    <w:bookmarkEnd w:id="119"/>
    <w:p>
      <w:pPr>
        <w:spacing w:after="0"/>
        <w:rPr>
          <w:sz w:val="20"/>
          <w:szCs w:val="20"/>
          <w:color w:val="auto"/>
        </w:rPr>
      </w:pPr>
      <w:r>
        <w:rPr>
          <w:rFonts w:ascii="Arial" w:cs="Arial" w:eastAsia="Arial" w:hAnsi="Arial"/>
          <w:sz w:val="18"/>
          <w:szCs w:val="18"/>
          <w:b w:val="1"/>
          <w:bCs w:val="1"/>
          <w:color w:val="auto"/>
        </w:rPr>
        <w:t>Compensation Committee</w:t>
      </w:r>
    </w:p>
    <w:p>
      <w:pPr>
        <w:spacing w:after="0" w:line="2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Upon the effectiveness of the registration statement of which this prospectus forms a part, we will establish a compensation committee of the board of directors. Noreen Doyle, William Janetschek and David Poritz will serve as the members and David Poritz as chair of the compensation committee. Under the NYSE listing standards, all the directors on the compensation committee must be independent.</w:t>
      </w:r>
    </w:p>
    <w:p>
      <w:pPr>
        <w:spacing w:after="0" w:line="184"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Prior to the completion of this offering, we will adopt a compensation committee charter, which will detail the purpose and responsibilities of the compensation committee, including:</w:t>
      </w:r>
    </w:p>
    <w:p>
      <w:pPr>
        <w:spacing w:after="0" w:line="170" w:lineRule="exact"/>
        <w:rPr>
          <w:sz w:val="20"/>
          <w:szCs w:val="20"/>
          <w:color w:val="auto"/>
        </w:rPr>
      </w:pPr>
    </w:p>
    <w:p>
      <w:pPr>
        <w:ind w:left="660" w:right="60" w:hanging="328"/>
        <w:spacing w:after="0" w:line="263"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reviewing and approving on an annual basis the corporate goals and objectives relevant to our chief executive officer’s compensation, evaluating our chief executive officer’s performance in light of such goals and objectives and determining and approving the remuneration (if any) of our chief executive officer’s based on such evaluation;</w:t>
      </w:r>
    </w:p>
    <w:p>
      <w:pPr>
        <w:spacing w:after="0" w:line="183" w:lineRule="exact"/>
        <w:rPr>
          <w:rFonts w:ascii="Arial" w:cs="Arial" w:eastAsia="Arial" w:hAnsi="Arial"/>
          <w:sz w:val="18"/>
          <w:szCs w:val="18"/>
          <w:color w:val="auto"/>
        </w:rPr>
      </w:pPr>
    </w:p>
    <w:p>
      <w:pPr>
        <w:ind w:left="660" w:right="140" w:hanging="328"/>
        <w:spacing w:after="0" w:line="277"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reviewing and making recommendations to our board of directors with respect to the compensation, and any incentive compensation and equity based plans that are subject to board approval of all of our other officers;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reviewing our executive compensation policies and plans;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implementing and administering our incentive compensation equity-based remuneration plans;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assisting management in complying with our proxy statement and annual report disclosure requirements;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approving all special perquisites, special cash payments and other special compensation and benefit arrangements for our officers and employees;</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producing a report on executive compensation to be included in our annual proxy statement;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reviewing, evaluating and recommending changes, if appropriate, to the remuneration for directors.</w:t>
      </w:r>
    </w:p>
    <w:p>
      <w:pPr>
        <w:spacing w:after="0" w:line="225"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Notwithstanding the foregoing, as indicated above, other than the payment to an affiliate of our sponsor of up to $10,000 per month, for up to 24 months, for office space, utilities, secretarial and administrative support, other expenses and obligations of our sponsor and reimbursement of expenses, no compensation of any kind, including finders, consulting or other similar fees, will be paid to any of our existing shareholders, officers, directors or any of their respective affiliates, prior to, or for any services they render in order to effectuate the consummation of an initial business combination. Accordingly, it is likely that prior to the consummation of an initial business combination, the compensation committee will only be responsible for the review and recommendation of any compensation arrangements to be entered into in connection with such initial business combination.</w:t>
      </w:r>
    </w:p>
    <w:p>
      <w:pPr>
        <w:spacing w:after="0" w:line="164" w:lineRule="exact"/>
        <w:rPr>
          <w:sz w:val="20"/>
          <w:szCs w:val="20"/>
          <w:color w:val="auto"/>
        </w:rPr>
      </w:pPr>
    </w:p>
    <w:p>
      <w:pPr>
        <w:ind w:right="260" w:firstLine="324"/>
        <w:spacing w:after="0" w:line="301" w:lineRule="auto"/>
        <w:rPr>
          <w:sz w:val="20"/>
          <w:szCs w:val="20"/>
          <w:color w:val="auto"/>
        </w:rPr>
      </w:pPr>
      <w:r>
        <w:rPr>
          <w:rFonts w:ascii="Arial" w:cs="Arial" w:eastAsia="Arial" w:hAnsi="Arial"/>
          <w:sz w:val="16"/>
          <w:szCs w:val="16"/>
          <w:color w:val="auto"/>
        </w:rPr>
        <w:t>The charter will also provide that the compensation committee may, in its sole discretion, retain or obtain the advice of a compensation consultant, independent legal counsel or other adviser and will be directly responsible for the appointment, compensation and oversight of the work of any such adviser. However, before engaging or receiving advice from a compensation consultant, external legal counsel or any other adviser, the compensation committee will consider the independence of each such adviser, including the factors required by the NYSE and the SEC.</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Nominating and Corporate Governance Committee</w:t>
      </w:r>
    </w:p>
    <w:p>
      <w:pPr>
        <w:spacing w:after="0" w:line="229" w:lineRule="exact"/>
        <w:rPr>
          <w:sz w:val="20"/>
          <w:szCs w:val="20"/>
          <w:color w:val="auto"/>
        </w:rPr>
      </w:pPr>
    </w:p>
    <w:p>
      <w:pPr>
        <w:ind w:right="200" w:firstLine="324"/>
        <w:spacing w:after="0" w:line="279" w:lineRule="auto"/>
        <w:rPr>
          <w:sz w:val="20"/>
          <w:szCs w:val="20"/>
          <w:color w:val="auto"/>
        </w:rPr>
      </w:pPr>
      <w:r>
        <w:rPr>
          <w:rFonts w:ascii="Arial" w:cs="Arial" w:eastAsia="Arial" w:hAnsi="Arial"/>
          <w:sz w:val="17"/>
          <w:szCs w:val="17"/>
          <w:color w:val="auto"/>
        </w:rPr>
        <w:t>Upon the effectiveness of the registration statement of which this prospectus forms a part, we will establish a nominating and corporate governance committee of the board of directors. The members of our nominating and corporate governance committee will be Noreen Doyle, William Janetschek and David Poritz. Noreen Doyle will serve as chair of the nominating and corporate governance committee. Under the NYSE listing standards, all the directors on the nominating and corporate governance committee must be independent.</w:t>
      </w:r>
    </w:p>
    <w:p>
      <w:pPr>
        <w:spacing w:after="0" w:line="171"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Prior to the completion of this offering, we will adopt a nominating and corporate governance committee charter, which will detail the purpose and responsibilities of the nominating and corporate governance committee, including:</w:t>
      </w:r>
    </w:p>
    <w:p>
      <w:pPr>
        <w:spacing w:after="0" w:line="27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40"/>
          </w:cols>
          <w:pgMar w:left="320" w:top="580" w:right="439" w:bottom="1440" w:gutter="0" w:footer="0" w:header="0"/>
        </w:sectPr>
      </w:pPr>
    </w:p>
    <w:bookmarkStart w:id="120" w:name="page121"/>
    <w:bookmarkEnd w:id="120"/>
    <w:p>
      <w:pPr>
        <w:ind w:left="660" w:right="120" w:hanging="328"/>
        <w:spacing w:after="0" w:line="263"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identifying, screening and reviewing individuals qualified to serve as directors, consistent with criteria approved by the board of directors, and recommending to the board of directors candidates for nomination for appointment at the annual general meeting or to fill vacancies on the board of directors;</w:t>
      </w:r>
    </w:p>
    <w:p>
      <w:pPr>
        <w:spacing w:after="0" w:line="183"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developing and recommending to the board of directors and overseeing implementation of our corporate governance guidelines;</w:t>
      </w:r>
    </w:p>
    <w:p>
      <w:pPr>
        <w:spacing w:after="0" w:line="225" w:lineRule="exact"/>
        <w:rPr>
          <w:rFonts w:ascii="Arial" w:cs="Arial" w:eastAsia="Arial" w:hAnsi="Arial"/>
          <w:sz w:val="18"/>
          <w:szCs w:val="18"/>
          <w:color w:val="auto"/>
        </w:rPr>
      </w:pPr>
    </w:p>
    <w:p>
      <w:pPr>
        <w:ind w:left="660" w:right="520" w:hanging="328"/>
        <w:spacing w:after="0" w:line="277"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coordinating and overseeing the annual self-evaluation of the board of directors, its committees, individual directors and management in the governance of the company;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reviewing on a regular basis our overall corporate governance and recommending improvements as and when necessary.</w:t>
      </w:r>
    </w:p>
    <w:p>
      <w:pPr>
        <w:spacing w:after="0" w:line="225"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The charter will also provide that the nominating and corporate governance committee may, in its sole discretion, retain or obtain the advice of, and terminate, any search firm to be used to identify director candidates, and will be directly responsible for approving the search firm’s fees and other retention terms.</w:t>
      </w:r>
    </w:p>
    <w:p>
      <w:pPr>
        <w:spacing w:after="0" w:line="184"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We have not formally established any specific, minimum qualifications that must be met or skills that are necessary for directors to possess. In general, in identifying and evaluating nominees for director, the board of directors considers educational background, diversity of professional experience, knowledge of our business, integrity, professional reputation, independence, wisdom, and the ability to represent the best interests of our shareholders. Prior to our initial business combination, holders of our public shares will not have the right to recommend director candidates for nomination to our board of directors.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229"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None of our officers currently serves, or in the past year has served, as a member of the compensation committee of any entity that has one or more officers serving on our board of directors.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Code of Business Conduct and Ethics</w:t>
      </w:r>
    </w:p>
    <w:p>
      <w:pPr>
        <w:spacing w:after="0" w:line="229" w:lineRule="exact"/>
        <w:rPr>
          <w:sz w:val="20"/>
          <w:szCs w:val="20"/>
          <w:color w:val="auto"/>
        </w:rPr>
      </w:pPr>
    </w:p>
    <w:p>
      <w:pPr>
        <w:ind w:right="60" w:firstLine="324"/>
        <w:spacing w:after="0" w:line="288" w:lineRule="auto"/>
        <w:rPr>
          <w:sz w:val="20"/>
          <w:szCs w:val="20"/>
          <w:color w:val="auto"/>
        </w:rPr>
      </w:pPr>
      <w:r>
        <w:rPr>
          <w:rFonts w:ascii="Arial" w:cs="Arial" w:eastAsia="Arial" w:hAnsi="Arial"/>
          <w:sz w:val="16"/>
          <w:szCs w:val="16"/>
          <w:color w:val="auto"/>
        </w:rPr>
        <w:t>Prior to the consummation of this offering, we adopted a Code of Business Conduct and Ethics applicable to our directors, officers and employees. We have filed a copy of our Code of Business Conduct and Ethics as an exhibit to the registration statement of which this prospectus is a part. You will be able to review this document by accessing our public filings at the SEC’s web site at www.sec.gov. In addition, a copy of the Code of Business Conduct and Ethics and the charters of the committees of our board of directors will be provided without charge upon request from us. See the section of this prospectus entitled “Where You Can Find Additional Information.” If we make any amendments to our Code of Business Conduct and Ethics other than technical, administrative or other non-substantive amendments, or grant any waiver, including any implicit waiver, from a provision of the Code of Business Conduct and Ethics applicable to our principal executive officer, principal financial officer principal accounting officer or controller or persons performing similar functions requiring disclosure under applicable SEC or NYSE rules, we will disclose the nature of such amendment or waiver on our website. Our website and the information contained on, or that can be accessed through, the website is not deemed to be incorporated by reference in, and is not considered part of, this prospectus or the registration statement of which this prospectus is a part.</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Conflicts of Interest</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Under Cayman Islands law, directors and officers owe the following fiduciary duties:</w:t>
      </w:r>
    </w:p>
    <w:p>
      <w:pPr>
        <w:spacing w:after="0" w:line="225" w:lineRule="exact"/>
        <w:rPr>
          <w:sz w:val="20"/>
          <w:szCs w:val="20"/>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duty to act in good faith in what the director or officer believes to be in the best interests of the company as a whole;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duty to exercise powers for the purposes for which those powers were conferred and not for a collateral purpose;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directors should not improperly fetter the exercise of future discretion;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duty to exercise powers fairly as between different sections of shareholders;</w:t>
      </w:r>
    </w:p>
    <w:p>
      <w:pPr>
        <w:spacing w:after="0" w:line="33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21" w:name="page122"/>
    <w:bookmarkEnd w:id="121"/>
    <w:p>
      <w:pPr>
        <w:ind w:left="660" w:hanging="328"/>
        <w:spacing w:after="0"/>
        <w:tabs>
          <w:tab w:leader="none" w:pos="6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duty not to put themselves in a position in which there is a conflict between their duty to the company and their personal interests; and</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duty to exercise independent judgment.</w:t>
      </w:r>
    </w:p>
    <w:p>
      <w:pPr>
        <w:spacing w:after="0" w:line="225" w:lineRule="exact"/>
        <w:rPr>
          <w:sz w:val="20"/>
          <w:szCs w:val="20"/>
          <w:color w:val="auto"/>
        </w:rPr>
      </w:pPr>
    </w:p>
    <w:p>
      <w:pPr>
        <w:jc w:val="both"/>
        <w:ind w:right="380" w:firstLine="324"/>
        <w:spacing w:after="0" w:line="311" w:lineRule="auto"/>
        <w:rPr>
          <w:sz w:val="20"/>
          <w:szCs w:val="20"/>
          <w:color w:val="auto"/>
        </w:rPr>
      </w:pPr>
      <w:r>
        <w:rPr>
          <w:rFonts w:ascii="Arial" w:cs="Arial" w:eastAsia="Arial" w:hAnsi="Arial"/>
          <w:sz w:val="16"/>
          <w:szCs w:val="16"/>
          <w:color w:val="auto"/>
        </w:rPr>
        <w:t>In addition to the above, directors also owe a duty of care which is not fiduciary in nature. This duty has been defined as a requirement to act as a reasonably diligent person having both the general knowledge, skill and experience that may reasonably be expected of a person carrying out the same functions as are carried out by that director in relation to the company and the general knowledge skill and experience of that director.</w:t>
      </w:r>
    </w:p>
    <w:p>
      <w:pPr>
        <w:spacing w:after="0" w:line="149"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As set out above, directors have a duty not to put themselves in a position of conflict and this includes a duty not to engage in self-dealing, or to otherwise benefit as a result of their position. However, in some instances what would otherwise be a breach of this duty can be forgiven and/or authorized in advance by the shareholders provided that there is full disclosure by the directors. This can be done by way of permission granted in the memorandum and articles of association or alternatively by shareholder approval at general meetings.</w:t>
      </w:r>
    </w:p>
    <w:p>
      <w:pPr>
        <w:spacing w:after="0" w:line="187"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Each of our officers and directors presently has, and any of them in the future may have additional, fiduciary or contractual obligations to another entity pursuant to which such officer or director is or will be required to present a business combination opportunity to such entity. Accordingly, if any of our officers or directors becomes aware of a business combination opportunity which is suitable for an entity to which he or she has then-current fiduciary or contractual obligations, he or she will honor his or her fiduciary or contractual obligations to present such business combination opportunity to such entity, subject to their fiduciary duties under Cayman Islands law. Our amended and restated memorandum and articles of association provide that, to the fullest extent permitted by applicable law: (i) no individual serving as a director or an officer shall have any duty, except and to the extent expressly assumed by contract, to refrain from engaging directly or indirectly in the same or similar business activities or lines of business as us; and (ii) we renounce any interest or expectancy in, or in being offered an opportunity to participate in, any potential transaction or matter which may be a corporate opportunity for any director or officer on the one hand, and us, on the other. We do not believe, however, that the fiduciary duties or contractual obligations of our officers or directors will materially affect our ability to complete our initial business combination.</w:t>
      </w:r>
    </w:p>
    <w:p>
      <w:pPr>
        <w:spacing w:after="0" w:line="16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Below is a table summarizing the other entities to which our officers and directors currently have fiduciary duties or contractual obligations:</w:t>
      </w:r>
    </w:p>
    <w:p>
      <w:pPr>
        <w:spacing w:after="0" w:line="273"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2140" w:type="dxa"/>
            <w:vAlign w:val="bottom"/>
            <w:tcBorders>
              <w:bottom w:val="single" w:sz="8" w:color="auto"/>
            </w:tcBorders>
          </w:tcPr>
          <w:p>
            <w:pPr>
              <w:ind w:left="640"/>
              <w:spacing w:after="0"/>
              <w:rPr>
                <w:sz w:val="20"/>
                <w:szCs w:val="20"/>
                <w:color w:val="auto"/>
              </w:rPr>
            </w:pPr>
            <w:r>
              <w:rPr>
                <w:rFonts w:ascii="Arial" w:cs="Arial" w:eastAsia="Arial" w:hAnsi="Arial"/>
                <w:sz w:val="18"/>
                <w:szCs w:val="18"/>
                <w:b w:val="1"/>
                <w:bCs w:val="1"/>
                <w:color w:val="auto"/>
              </w:rPr>
              <w:t>Individual</w:t>
            </w:r>
          </w:p>
        </w:tc>
        <w:tc>
          <w:tcPr>
            <w:tcW w:w="120" w:type="dxa"/>
            <w:vAlign w:val="bottom"/>
          </w:tcPr>
          <w:p>
            <w:pPr>
              <w:spacing w:after="0"/>
              <w:rPr>
                <w:sz w:val="20"/>
                <w:szCs w:val="20"/>
                <w:color w:val="auto"/>
              </w:rPr>
            </w:pPr>
          </w:p>
        </w:tc>
        <w:tc>
          <w:tcPr>
            <w:tcW w:w="2480" w:type="dxa"/>
            <w:vAlign w:val="bottom"/>
            <w:tcBorders>
              <w:bottom w:val="single" w:sz="8" w:color="auto"/>
            </w:tcBorders>
          </w:tcPr>
          <w:p>
            <w:pPr>
              <w:ind w:left="420"/>
              <w:spacing w:after="0"/>
              <w:rPr>
                <w:sz w:val="20"/>
                <w:szCs w:val="20"/>
                <w:color w:val="auto"/>
              </w:rPr>
            </w:pPr>
            <w:r>
              <w:rPr>
                <w:rFonts w:ascii="Arial" w:cs="Arial" w:eastAsia="Arial" w:hAnsi="Arial"/>
                <w:sz w:val="18"/>
                <w:szCs w:val="18"/>
                <w:b w:val="1"/>
                <w:bCs w:val="1"/>
                <w:color w:val="auto"/>
              </w:rPr>
              <w:t>Entity/Organization</w:t>
            </w:r>
          </w:p>
        </w:tc>
        <w:tc>
          <w:tcPr>
            <w:tcW w:w="100" w:type="dxa"/>
            <w:vAlign w:val="bottom"/>
          </w:tcPr>
          <w:p>
            <w:pPr>
              <w:spacing w:after="0"/>
              <w:rPr>
                <w:sz w:val="20"/>
                <w:szCs w:val="20"/>
                <w:color w:val="auto"/>
              </w:rPr>
            </w:pPr>
          </w:p>
        </w:tc>
        <w:tc>
          <w:tcPr>
            <w:tcW w:w="3700" w:type="dxa"/>
            <w:vAlign w:val="bottom"/>
            <w:tcBorders>
              <w:bottom w:val="single" w:sz="8" w:color="auto"/>
            </w:tcBorders>
          </w:tcPr>
          <w:p>
            <w:pPr>
              <w:ind w:left="1160"/>
              <w:spacing w:after="0"/>
              <w:rPr>
                <w:sz w:val="20"/>
                <w:szCs w:val="20"/>
                <w:color w:val="auto"/>
              </w:rPr>
            </w:pPr>
            <w:r>
              <w:rPr>
                <w:rFonts w:ascii="Arial" w:cs="Arial" w:eastAsia="Arial" w:hAnsi="Arial"/>
                <w:sz w:val="18"/>
                <w:szCs w:val="18"/>
                <w:b w:val="1"/>
                <w:bCs w:val="1"/>
                <w:color w:val="auto"/>
              </w:rPr>
              <w:t>Entity’s Business</w:t>
            </w:r>
          </w:p>
        </w:tc>
        <w:tc>
          <w:tcPr>
            <w:tcW w:w="120" w:type="dxa"/>
            <w:vAlign w:val="bottom"/>
          </w:tcPr>
          <w:p>
            <w:pPr>
              <w:spacing w:after="0"/>
              <w:rPr>
                <w:sz w:val="20"/>
                <w:szCs w:val="20"/>
                <w:color w:val="auto"/>
              </w:rPr>
            </w:pPr>
          </w:p>
        </w:tc>
        <w:tc>
          <w:tcPr>
            <w:tcW w:w="2460" w:type="dxa"/>
            <w:vAlign w:val="bottom"/>
            <w:tcBorders>
              <w:bottom w:val="single" w:sz="8" w:color="auto"/>
            </w:tcBorders>
          </w:tcPr>
          <w:p>
            <w:pPr>
              <w:ind w:left="800"/>
              <w:spacing w:after="0"/>
              <w:rPr>
                <w:sz w:val="20"/>
                <w:szCs w:val="20"/>
                <w:color w:val="auto"/>
              </w:rPr>
            </w:pPr>
            <w:r>
              <w:rPr>
                <w:rFonts w:ascii="Arial" w:cs="Arial" w:eastAsia="Arial" w:hAnsi="Arial"/>
                <w:sz w:val="18"/>
                <w:szCs w:val="18"/>
                <w:b w:val="1"/>
                <w:bCs w:val="1"/>
                <w:color w:val="auto"/>
              </w:rPr>
              <w:t>Affiliation</w:t>
            </w:r>
          </w:p>
        </w:tc>
      </w:tr>
      <w:tr>
        <w:trPr>
          <w:trHeight w:val="276"/>
        </w:trPr>
        <w:tc>
          <w:tcPr>
            <w:tcW w:w="2140" w:type="dxa"/>
            <w:vAlign w:val="bottom"/>
          </w:tcPr>
          <w:p>
            <w:pPr>
              <w:spacing w:after="0"/>
              <w:rPr>
                <w:sz w:val="20"/>
                <w:szCs w:val="20"/>
                <w:color w:val="auto"/>
              </w:rPr>
            </w:pPr>
            <w:r>
              <w:rPr>
                <w:rFonts w:ascii="Arial" w:cs="Arial" w:eastAsia="Arial" w:hAnsi="Arial"/>
                <w:sz w:val="18"/>
                <w:szCs w:val="18"/>
                <w:color w:val="auto"/>
              </w:rPr>
              <w:t>Tidjane Thiam</w:t>
            </w:r>
          </w:p>
        </w:tc>
        <w:tc>
          <w:tcPr>
            <w:tcW w:w="2600" w:type="dxa"/>
            <w:vAlign w:val="bottom"/>
            <w:gridSpan w:val="2"/>
          </w:tcPr>
          <w:p>
            <w:pPr>
              <w:ind w:left="120"/>
              <w:spacing w:after="0"/>
              <w:rPr>
                <w:sz w:val="20"/>
                <w:szCs w:val="20"/>
                <w:color w:val="auto"/>
              </w:rPr>
            </w:pPr>
            <w:r>
              <w:rPr>
                <w:rFonts w:ascii="Arial" w:cs="Arial" w:eastAsia="Arial" w:hAnsi="Arial"/>
                <w:sz w:val="18"/>
                <w:szCs w:val="18"/>
                <w:color w:val="auto"/>
              </w:rPr>
              <w:t>Kering S.A.</w:t>
            </w:r>
          </w:p>
        </w:tc>
        <w:tc>
          <w:tcPr>
            <w:tcW w:w="3800" w:type="dxa"/>
            <w:vAlign w:val="bottom"/>
            <w:gridSpan w:val="2"/>
          </w:tcPr>
          <w:p>
            <w:pPr>
              <w:ind w:left="100"/>
              <w:spacing w:after="0"/>
              <w:rPr>
                <w:sz w:val="20"/>
                <w:szCs w:val="20"/>
                <w:color w:val="auto"/>
              </w:rPr>
            </w:pPr>
            <w:r>
              <w:rPr>
                <w:rFonts w:ascii="Arial" w:cs="Arial" w:eastAsia="Arial" w:hAnsi="Arial"/>
                <w:sz w:val="18"/>
                <w:szCs w:val="18"/>
                <w:color w:val="auto"/>
              </w:rPr>
              <w:t>Luxury goods</w:t>
            </w:r>
          </w:p>
        </w:tc>
        <w:tc>
          <w:tcPr>
            <w:tcW w:w="2580" w:type="dxa"/>
            <w:vAlign w:val="bottom"/>
            <w:gridSpan w:val="2"/>
          </w:tcPr>
          <w:p>
            <w:pPr>
              <w:ind w:left="120"/>
              <w:spacing w:after="0"/>
              <w:rPr>
                <w:sz w:val="20"/>
                <w:szCs w:val="20"/>
                <w:color w:val="auto"/>
              </w:rPr>
            </w:pPr>
            <w:r>
              <w:rPr>
                <w:rFonts w:ascii="Arial" w:cs="Arial" w:eastAsia="Arial" w:hAnsi="Arial"/>
                <w:sz w:val="18"/>
                <w:szCs w:val="18"/>
                <w:color w:val="auto"/>
              </w:rPr>
              <w:t>Director and Chair of Audit</w:t>
            </w:r>
          </w:p>
        </w:tc>
      </w:tr>
      <w:tr>
        <w:trPr>
          <w:trHeight w:val="230"/>
        </w:trPr>
        <w:tc>
          <w:tcPr>
            <w:tcW w:w="2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2580" w:type="dxa"/>
            <w:vAlign w:val="bottom"/>
            <w:gridSpan w:val="2"/>
          </w:tcPr>
          <w:p>
            <w:pPr>
              <w:ind w:left="120"/>
              <w:spacing w:after="0"/>
              <w:rPr>
                <w:sz w:val="20"/>
                <w:szCs w:val="20"/>
                <w:color w:val="auto"/>
              </w:rPr>
            </w:pPr>
            <w:r>
              <w:rPr>
                <w:rFonts w:ascii="Arial" w:cs="Arial" w:eastAsia="Arial" w:hAnsi="Arial"/>
                <w:sz w:val="18"/>
                <w:szCs w:val="18"/>
                <w:color w:val="auto"/>
              </w:rPr>
              <w:t>Committee</w:t>
            </w:r>
          </w:p>
        </w:tc>
      </w:tr>
      <w:tr>
        <w:trPr>
          <w:trHeight w:val="283"/>
        </w:trPr>
        <w:tc>
          <w:tcPr>
            <w:tcW w:w="2140" w:type="dxa"/>
            <w:vAlign w:val="bottom"/>
          </w:tcPr>
          <w:p>
            <w:pPr>
              <w:spacing w:after="0"/>
              <w:rPr>
                <w:sz w:val="24"/>
                <w:szCs w:val="24"/>
                <w:color w:val="auto"/>
              </w:rPr>
            </w:pPr>
          </w:p>
        </w:tc>
        <w:tc>
          <w:tcPr>
            <w:tcW w:w="2600" w:type="dxa"/>
            <w:vAlign w:val="bottom"/>
            <w:gridSpan w:val="2"/>
          </w:tcPr>
          <w:p>
            <w:pPr>
              <w:ind w:left="120"/>
              <w:spacing w:after="0"/>
              <w:rPr>
                <w:sz w:val="20"/>
                <w:szCs w:val="20"/>
                <w:color w:val="auto"/>
              </w:rPr>
            </w:pPr>
            <w:r>
              <w:rPr>
                <w:rFonts w:ascii="Arial" w:cs="Arial" w:eastAsia="Arial" w:hAnsi="Arial"/>
                <w:sz w:val="18"/>
                <w:szCs w:val="18"/>
                <w:color w:val="auto"/>
              </w:rPr>
              <w:t>Rwanda Finance Limited</w:t>
            </w:r>
          </w:p>
        </w:tc>
        <w:tc>
          <w:tcPr>
            <w:tcW w:w="3800" w:type="dxa"/>
            <w:vAlign w:val="bottom"/>
            <w:gridSpan w:val="2"/>
          </w:tcPr>
          <w:p>
            <w:pPr>
              <w:ind w:left="100"/>
              <w:spacing w:after="0"/>
              <w:rPr>
                <w:sz w:val="20"/>
                <w:szCs w:val="20"/>
                <w:color w:val="auto"/>
              </w:rPr>
            </w:pPr>
            <w:r>
              <w:rPr>
                <w:rFonts w:ascii="Arial" w:cs="Arial" w:eastAsia="Arial" w:hAnsi="Arial"/>
                <w:sz w:val="18"/>
                <w:szCs w:val="18"/>
                <w:color w:val="auto"/>
                <w:w w:val="96"/>
              </w:rPr>
              <w:t>State-owned enterprise to promote and develop</w:t>
            </w:r>
          </w:p>
        </w:tc>
        <w:tc>
          <w:tcPr>
            <w:tcW w:w="2580" w:type="dxa"/>
            <w:vAlign w:val="bottom"/>
            <w:gridSpan w:val="2"/>
          </w:tcPr>
          <w:p>
            <w:pPr>
              <w:ind w:left="120"/>
              <w:spacing w:after="0"/>
              <w:rPr>
                <w:sz w:val="20"/>
                <w:szCs w:val="20"/>
                <w:color w:val="auto"/>
              </w:rPr>
            </w:pPr>
            <w:r>
              <w:rPr>
                <w:rFonts w:ascii="Arial" w:cs="Arial" w:eastAsia="Arial" w:hAnsi="Arial"/>
                <w:sz w:val="18"/>
                <w:szCs w:val="18"/>
                <w:color w:val="auto"/>
              </w:rPr>
              <w:t>Chairman</w:t>
            </w:r>
          </w:p>
        </w:tc>
      </w:tr>
      <w:tr>
        <w:trPr>
          <w:trHeight w:val="230"/>
        </w:trPr>
        <w:tc>
          <w:tcPr>
            <w:tcW w:w="2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3800" w:type="dxa"/>
            <w:vAlign w:val="bottom"/>
            <w:gridSpan w:val="2"/>
          </w:tcPr>
          <w:p>
            <w:pPr>
              <w:ind w:left="100"/>
              <w:spacing w:after="0"/>
              <w:rPr>
                <w:sz w:val="20"/>
                <w:szCs w:val="20"/>
                <w:color w:val="auto"/>
              </w:rPr>
            </w:pPr>
            <w:r>
              <w:rPr>
                <w:rFonts w:ascii="Arial" w:cs="Arial" w:eastAsia="Arial" w:hAnsi="Arial"/>
                <w:sz w:val="18"/>
                <w:szCs w:val="18"/>
                <w:color w:val="auto"/>
              </w:rPr>
              <w:t>Rwanda as a business and financial center</w:t>
            </w:r>
          </w:p>
        </w:tc>
        <w:tc>
          <w:tcPr>
            <w:tcW w:w="120" w:type="dxa"/>
            <w:vAlign w:val="bottom"/>
          </w:tcPr>
          <w:p>
            <w:pPr>
              <w:spacing w:after="0"/>
              <w:rPr>
                <w:sz w:val="20"/>
                <w:szCs w:val="20"/>
                <w:color w:val="auto"/>
              </w:rPr>
            </w:pPr>
          </w:p>
        </w:tc>
        <w:tc>
          <w:tcPr>
            <w:tcW w:w="2460" w:type="dxa"/>
            <w:vAlign w:val="bottom"/>
          </w:tcPr>
          <w:p>
            <w:pPr>
              <w:spacing w:after="0"/>
              <w:rPr>
                <w:sz w:val="20"/>
                <w:szCs w:val="20"/>
                <w:color w:val="auto"/>
              </w:rPr>
            </w:pPr>
          </w:p>
        </w:tc>
      </w:tr>
      <w:tr>
        <w:trPr>
          <w:trHeight w:val="297"/>
        </w:trPr>
        <w:tc>
          <w:tcPr>
            <w:tcW w:w="2140" w:type="dxa"/>
            <w:vAlign w:val="bottom"/>
          </w:tcPr>
          <w:p>
            <w:pPr>
              <w:spacing w:after="0"/>
              <w:rPr>
                <w:sz w:val="20"/>
                <w:szCs w:val="20"/>
                <w:color w:val="auto"/>
              </w:rPr>
            </w:pPr>
            <w:r>
              <w:rPr>
                <w:rFonts w:ascii="Arial" w:cs="Arial" w:eastAsia="Arial" w:hAnsi="Arial"/>
                <w:sz w:val="18"/>
                <w:szCs w:val="18"/>
                <w:color w:val="auto"/>
              </w:rPr>
              <w:t>Adam Gishen</w:t>
            </w:r>
          </w:p>
        </w:tc>
        <w:tc>
          <w:tcPr>
            <w:tcW w:w="2600" w:type="dxa"/>
            <w:vAlign w:val="bottom"/>
            <w:gridSpan w:val="2"/>
          </w:tcPr>
          <w:p>
            <w:pPr>
              <w:ind w:left="120"/>
              <w:spacing w:after="0"/>
              <w:rPr>
                <w:sz w:val="20"/>
                <w:szCs w:val="20"/>
                <w:color w:val="auto"/>
              </w:rPr>
            </w:pPr>
            <w:r>
              <w:rPr>
                <w:rFonts w:ascii="Arial" w:cs="Arial" w:eastAsia="Arial" w:hAnsi="Arial"/>
                <w:sz w:val="18"/>
                <w:szCs w:val="18"/>
                <w:color w:val="auto"/>
              </w:rPr>
              <w:t>N/A</w:t>
            </w:r>
          </w:p>
        </w:tc>
        <w:tc>
          <w:tcPr>
            <w:tcW w:w="3800" w:type="dxa"/>
            <w:vAlign w:val="bottom"/>
            <w:gridSpan w:val="2"/>
          </w:tcPr>
          <w:p>
            <w:pPr>
              <w:ind w:left="100"/>
              <w:spacing w:after="0"/>
              <w:rPr>
                <w:sz w:val="20"/>
                <w:szCs w:val="20"/>
                <w:color w:val="auto"/>
              </w:rPr>
            </w:pPr>
            <w:r>
              <w:rPr>
                <w:rFonts w:ascii="Arial" w:cs="Arial" w:eastAsia="Arial" w:hAnsi="Arial"/>
                <w:sz w:val="18"/>
                <w:szCs w:val="18"/>
                <w:color w:val="auto"/>
              </w:rPr>
              <w:t>N/A</w:t>
            </w:r>
          </w:p>
        </w:tc>
        <w:tc>
          <w:tcPr>
            <w:tcW w:w="2580" w:type="dxa"/>
            <w:vAlign w:val="bottom"/>
            <w:gridSpan w:val="2"/>
          </w:tcPr>
          <w:p>
            <w:pPr>
              <w:ind w:left="120"/>
              <w:spacing w:after="0"/>
              <w:rPr>
                <w:sz w:val="20"/>
                <w:szCs w:val="20"/>
                <w:color w:val="auto"/>
              </w:rPr>
            </w:pPr>
            <w:r>
              <w:rPr>
                <w:rFonts w:ascii="Arial" w:cs="Arial" w:eastAsia="Arial" w:hAnsi="Arial"/>
                <w:sz w:val="18"/>
                <w:szCs w:val="18"/>
                <w:color w:val="auto"/>
              </w:rPr>
              <w:t>N/A</w:t>
            </w:r>
          </w:p>
        </w:tc>
      </w:tr>
      <w:tr>
        <w:trPr>
          <w:trHeight w:val="297"/>
        </w:trPr>
        <w:tc>
          <w:tcPr>
            <w:tcW w:w="2140" w:type="dxa"/>
            <w:vAlign w:val="bottom"/>
          </w:tcPr>
          <w:p>
            <w:pPr>
              <w:spacing w:after="0"/>
              <w:rPr>
                <w:sz w:val="20"/>
                <w:szCs w:val="20"/>
                <w:color w:val="auto"/>
              </w:rPr>
            </w:pPr>
            <w:r>
              <w:rPr>
                <w:rFonts w:ascii="Arial" w:cs="Arial" w:eastAsia="Arial" w:hAnsi="Arial"/>
                <w:sz w:val="18"/>
                <w:szCs w:val="18"/>
                <w:color w:val="auto"/>
              </w:rPr>
              <w:t>Jamie Weinstein</w:t>
            </w:r>
          </w:p>
        </w:tc>
        <w:tc>
          <w:tcPr>
            <w:tcW w:w="2600" w:type="dxa"/>
            <w:vAlign w:val="bottom"/>
            <w:gridSpan w:val="2"/>
          </w:tcPr>
          <w:p>
            <w:pPr>
              <w:ind w:left="120"/>
              <w:spacing w:after="0"/>
              <w:rPr>
                <w:sz w:val="20"/>
                <w:szCs w:val="20"/>
                <w:color w:val="auto"/>
              </w:rPr>
            </w:pPr>
            <w:r>
              <w:rPr>
                <w:rFonts w:ascii="Arial" w:cs="Arial" w:eastAsia="Arial" w:hAnsi="Arial"/>
                <w:sz w:val="18"/>
                <w:szCs w:val="18"/>
                <w:color w:val="auto"/>
              </w:rPr>
              <w:t>PIMCO</w:t>
            </w:r>
          </w:p>
        </w:tc>
        <w:tc>
          <w:tcPr>
            <w:tcW w:w="3800" w:type="dxa"/>
            <w:vAlign w:val="bottom"/>
            <w:gridSpan w:val="2"/>
          </w:tcPr>
          <w:p>
            <w:pPr>
              <w:ind w:left="100"/>
              <w:spacing w:after="0"/>
              <w:rPr>
                <w:sz w:val="20"/>
                <w:szCs w:val="20"/>
                <w:color w:val="auto"/>
              </w:rPr>
            </w:pPr>
            <w:r>
              <w:rPr>
                <w:rFonts w:ascii="Arial" w:cs="Arial" w:eastAsia="Arial" w:hAnsi="Arial"/>
                <w:sz w:val="18"/>
                <w:szCs w:val="18"/>
                <w:color w:val="auto"/>
              </w:rPr>
              <w:t>Finance</w:t>
            </w:r>
          </w:p>
        </w:tc>
        <w:tc>
          <w:tcPr>
            <w:tcW w:w="2580" w:type="dxa"/>
            <w:vAlign w:val="bottom"/>
            <w:gridSpan w:val="2"/>
          </w:tcPr>
          <w:p>
            <w:pPr>
              <w:ind w:left="120"/>
              <w:spacing w:after="0"/>
              <w:rPr>
                <w:sz w:val="20"/>
                <w:szCs w:val="20"/>
                <w:color w:val="auto"/>
              </w:rPr>
            </w:pPr>
            <w:r>
              <w:rPr>
                <w:rFonts w:ascii="Arial" w:cs="Arial" w:eastAsia="Arial" w:hAnsi="Arial"/>
                <w:sz w:val="18"/>
                <w:szCs w:val="18"/>
                <w:color w:val="auto"/>
              </w:rPr>
              <w:t>Managing Director</w:t>
            </w:r>
          </w:p>
        </w:tc>
      </w:tr>
      <w:tr>
        <w:trPr>
          <w:trHeight w:val="283"/>
        </w:trPr>
        <w:tc>
          <w:tcPr>
            <w:tcW w:w="2140" w:type="dxa"/>
            <w:vAlign w:val="bottom"/>
          </w:tcPr>
          <w:p>
            <w:pPr>
              <w:spacing w:after="0"/>
              <w:rPr>
                <w:sz w:val="24"/>
                <w:szCs w:val="24"/>
                <w:color w:val="auto"/>
              </w:rPr>
            </w:pPr>
          </w:p>
        </w:tc>
        <w:tc>
          <w:tcPr>
            <w:tcW w:w="2600" w:type="dxa"/>
            <w:vAlign w:val="bottom"/>
            <w:gridSpan w:val="2"/>
          </w:tcPr>
          <w:p>
            <w:pPr>
              <w:ind w:left="120"/>
              <w:spacing w:after="0"/>
              <w:rPr>
                <w:sz w:val="20"/>
                <w:szCs w:val="20"/>
                <w:color w:val="auto"/>
              </w:rPr>
            </w:pPr>
            <w:r>
              <w:rPr>
                <w:rFonts w:ascii="Arial" w:cs="Arial" w:eastAsia="Arial" w:hAnsi="Arial"/>
                <w:sz w:val="18"/>
                <w:szCs w:val="18"/>
                <w:color w:val="auto"/>
              </w:rPr>
              <w:t>Capstar Special Purpose</w:t>
            </w:r>
          </w:p>
        </w:tc>
        <w:tc>
          <w:tcPr>
            <w:tcW w:w="3800" w:type="dxa"/>
            <w:vAlign w:val="bottom"/>
            <w:gridSpan w:val="2"/>
          </w:tcPr>
          <w:p>
            <w:pPr>
              <w:ind w:left="100"/>
              <w:spacing w:after="0"/>
              <w:rPr>
                <w:sz w:val="20"/>
                <w:szCs w:val="20"/>
                <w:color w:val="auto"/>
              </w:rPr>
            </w:pPr>
            <w:r>
              <w:rPr>
                <w:rFonts w:ascii="Arial" w:cs="Arial" w:eastAsia="Arial" w:hAnsi="Arial"/>
                <w:sz w:val="18"/>
                <w:szCs w:val="18"/>
                <w:color w:val="auto"/>
              </w:rPr>
              <w:t>SPAC</w:t>
            </w:r>
          </w:p>
        </w:tc>
        <w:tc>
          <w:tcPr>
            <w:tcW w:w="2580" w:type="dxa"/>
            <w:vAlign w:val="bottom"/>
            <w:gridSpan w:val="2"/>
          </w:tcPr>
          <w:p>
            <w:pPr>
              <w:ind w:left="120"/>
              <w:spacing w:after="0"/>
              <w:rPr>
                <w:sz w:val="20"/>
                <w:szCs w:val="20"/>
                <w:color w:val="auto"/>
              </w:rPr>
            </w:pPr>
            <w:r>
              <w:rPr>
                <w:rFonts w:ascii="Arial" w:cs="Arial" w:eastAsia="Arial" w:hAnsi="Arial"/>
                <w:sz w:val="18"/>
                <w:szCs w:val="18"/>
                <w:color w:val="auto"/>
              </w:rPr>
              <w:t>Director</w:t>
            </w:r>
          </w:p>
        </w:tc>
      </w:tr>
      <w:tr>
        <w:trPr>
          <w:trHeight w:val="230"/>
        </w:trPr>
        <w:tc>
          <w:tcPr>
            <w:tcW w:w="2140" w:type="dxa"/>
            <w:vAlign w:val="bottom"/>
          </w:tcPr>
          <w:p>
            <w:pPr>
              <w:spacing w:after="0"/>
              <w:rPr>
                <w:sz w:val="20"/>
                <w:szCs w:val="20"/>
                <w:color w:val="auto"/>
              </w:rPr>
            </w:pPr>
          </w:p>
        </w:tc>
        <w:tc>
          <w:tcPr>
            <w:tcW w:w="2600" w:type="dxa"/>
            <w:vAlign w:val="bottom"/>
            <w:gridSpan w:val="2"/>
          </w:tcPr>
          <w:p>
            <w:pPr>
              <w:ind w:left="120"/>
              <w:spacing w:after="0"/>
              <w:rPr>
                <w:sz w:val="20"/>
                <w:szCs w:val="20"/>
                <w:color w:val="auto"/>
              </w:rPr>
            </w:pPr>
            <w:r>
              <w:rPr>
                <w:rFonts w:ascii="Arial" w:cs="Arial" w:eastAsia="Arial" w:hAnsi="Arial"/>
                <w:sz w:val="18"/>
                <w:szCs w:val="18"/>
                <w:color w:val="auto"/>
              </w:rPr>
              <w:t>Acquisition Corp.</w:t>
            </w:r>
          </w:p>
        </w:tc>
        <w:tc>
          <w:tcPr>
            <w:tcW w:w="10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60" w:type="dxa"/>
            <w:vAlign w:val="bottom"/>
          </w:tcPr>
          <w:p>
            <w:pPr>
              <w:spacing w:after="0"/>
              <w:rPr>
                <w:sz w:val="20"/>
                <w:szCs w:val="20"/>
                <w:color w:val="auto"/>
              </w:rPr>
            </w:pPr>
          </w:p>
        </w:tc>
      </w:tr>
      <w:tr>
        <w:trPr>
          <w:trHeight w:val="283"/>
        </w:trPr>
        <w:tc>
          <w:tcPr>
            <w:tcW w:w="2140" w:type="dxa"/>
            <w:vAlign w:val="bottom"/>
          </w:tcPr>
          <w:p>
            <w:pPr>
              <w:spacing w:after="0"/>
              <w:rPr>
                <w:sz w:val="24"/>
                <w:szCs w:val="24"/>
                <w:color w:val="auto"/>
              </w:rPr>
            </w:pPr>
          </w:p>
        </w:tc>
        <w:tc>
          <w:tcPr>
            <w:tcW w:w="2600" w:type="dxa"/>
            <w:vAlign w:val="bottom"/>
            <w:gridSpan w:val="2"/>
          </w:tcPr>
          <w:p>
            <w:pPr>
              <w:ind w:left="120"/>
              <w:spacing w:after="0"/>
              <w:rPr>
                <w:sz w:val="20"/>
                <w:szCs w:val="20"/>
                <w:color w:val="auto"/>
              </w:rPr>
            </w:pPr>
            <w:r>
              <w:rPr>
                <w:rFonts w:ascii="Arial" w:cs="Arial" w:eastAsia="Arial" w:hAnsi="Arial"/>
                <w:sz w:val="18"/>
                <w:szCs w:val="18"/>
                <w:color w:val="auto"/>
              </w:rPr>
              <w:t>Sandbridge Acquisition</w:t>
            </w:r>
          </w:p>
        </w:tc>
        <w:tc>
          <w:tcPr>
            <w:tcW w:w="3800" w:type="dxa"/>
            <w:vAlign w:val="bottom"/>
            <w:gridSpan w:val="2"/>
          </w:tcPr>
          <w:p>
            <w:pPr>
              <w:ind w:left="100"/>
              <w:spacing w:after="0"/>
              <w:rPr>
                <w:sz w:val="20"/>
                <w:szCs w:val="20"/>
                <w:color w:val="auto"/>
              </w:rPr>
            </w:pPr>
            <w:r>
              <w:rPr>
                <w:rFonts w:ascii="Arial" w:cs="Arial" w:eastAsia="Arial" w:hAnsi="Arial"/>
                <w:sz w:val="18"/>
                <w:szCs w:val="18"/>
                <w:color w:val="auto"/>
              </w:rPr>
              <w:t>SPAC</w:t>
            </w:r>
          </w:p>
        </w:tc>
        <w:tc>
          <w:tcPr>
            <w:tcW w:w="2580" w:type="dxa"/>
            <w:vAlign w:val="bottom"/>
            <w:gridSpan w:val="2"/>
          </w:tcPr>
          <w:p>
            <w:pPr>
              <w:ind w:left="120"/>
              <w:spacing w:after="0"/>
              <w:rPr>
                <w:sz w:val="20"/>
                <w:szCs w:val="20"/>
                <w:color w:val="auto"/>
              </w:rPr>
            </w:pPr>
            <w:r>
              <w:rPr>
                <w:rFonts w:ascii="Arial" w:cs="Arial" w:eastAsia="Arial" w:hAnsi="Arial"/>
                <w:sz w:val="18"/>
                <w:szCs w:val="18"/>
                <w:color w:val="auto"/>
              </w:rPr>
              <w:t>Director</w:t>
            </w:r>
          </w:p>
        </w:tc>
      </w:tr>
      <w:tr>
        <w:trPr>
          <w:trHeight w:val="230"/>
        </w:trPr>
        <w:tc>
          <w:tcPr>
            <w:tcW w:w="2140" w:type="dxa"/>
            <w:vAlign w:val="bottom"/>
          </w:tcPr>
          <w:p>
            <w:pPr>
              <w:spacing w:after="0"/>
              <w:rPr>
                <w:sz w:val="20"/>
                <w:szCs w:val="20"/>
                <w:color w:val="auto"/>
              </w:rPr>
            </w:pPr>
          </w:p>
        </w:tc>
        <w:tc>
          <w:tcPr>
            <w:tcW w:w="2600" w:type="dxa"/>
            <w:vAlign w:val="bottom"/>
            <w:gridSpan w:val="2"/>
          </w:tcPr>
          <w:p>
            <w:pPr>
              <w:ind w:left="120"/>
              <w:spacing w:after="0"/>
              <w:rPr>
                <w:sz w:val="20"/>
                <w:szCs w:val="20"/>
                <w:color w:val="auto"/>
              </w:rPr>
            </w:pPr>
            <w:r>
              <w:rPr>
                <w:rFonts w:ascii="Arial" w:cs="Arial" w:eastAsia="Arial" w:hAnsi="Arial"/>
                <w:sz w:val="18"/>
                <w:szCs w:val="18"/>
                <w:color w:val="auto"/>
              </w:rPr>
              <w:t>Corporation</w:t>
            </w:r>
          </w:p>
        </w:tc>
        <w:tc>
          <w:tcPr>
            <w:tcW w:w="10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60" w:type="dxa"/>
            <w:vAlign w:val="bottom"/>
          </w:tcPr>
          <w:p>
            <w:pPr>
              <w:spacing w:after="0"/>
              <w:rPr>
                <w:sz w:val="20"/>
                <w:szCs w:val="20"/>
                <w:color w:val="auto"/>
              </w:rPr>
            </w:pPr>
          </w:p>
        </w:tc>
      </w:tr>
      <w:tr>
        <w:trPr>
          <w:trHeight w:val="283"/>
        </w:trPr>
        <w:tc>
          <w:tcPr>
            <w:tcW w:w="2140" w:type="dxa"/>
            <w:vAlign w:val="bottom"/>
          </w:tcPr>
          <w:p>
            <w:pPr>
              <w:spacing w:after="0"/>
              <w:rPr>
                <w:sz w:val="24"/>
                <w:szCs w:val="24"/>
                <w:color w:val="auto"/>
              </w:rPr>
            </w:pPr>
          </w:p>
        </w:tc>
        <w:tc>
          <w:tcPr>
            <w:tcW w:w="2600" w:type="dxa"/>
            <w:vAlign w:val="bottom"/>
            <w:gridSpan w:val="2"/>
          </w:tcPr>
          <w:p>
            <w:pPr>
              <w:ind w:left="120"/>
              <w:spacing w:after="0"/>
              <w:rPr>
                <w:sz w:val="20"/>
                <w:szCs w:val="20"/>
                <w:color w:val="auto"/>
              </w:rPr>
            </w:pPr>
            <w:r>
              <w:rPr>
                <w:rFonts w:ascii="Arial" w:cs="Arial" w:eastAsia="Arial" w:hAnsi="Arial"/>
                <w:sz w:val="18"/>
                <w:szCs w:val="18"/>
                <w:color w:val="auto"/>
              </w:rPr>
              <w:t>Climate Change Crisis Real</w:t>
            </w:r>
          </w:p>
        </w:tc>
        <w:tc>
          <w:tcPr>
            <w:tcW w:w="3800" w:type="dxa"/>
            <w:vAlign w:val="bottom"/>
            <w:gridSpan w:val="2"/>
          </w:tcPr>
          <w:p>
            <w:pPr>
              <w:ind w:left="100"/>
              <w:spacing w:after="0"/>
              <w:rPr>
                <w:sz w:val="20"/>
                <w:szCs w:val="20"/>
                <w:color w:val="auto"/>
              </w:rPr>
            </w:pPr>
            <w:r>
              <w:rPr>
                <w:rFonts w:ascii="Arial" w:cs="Arial" w:eastAsia="Arial" w:hAnsi="Arial"/>
                <w:sz w:val="18"/>
                <w:szCs w:val="18"/>
                <w:color w:val="auto"/>
              </w:rPr>
              <w:t>SPAC</w:t>
            </w:r>
          </w:p>
        </w:tc>
        <w:tc>
          <w:tcPr>
            <w:tcW w:w="2580" w:type="dxa"/>
            <w:vAlign w:val="bottom"/>
            <w:gridSpan w:val="2"/>
          </w:tcPr>
          <w:p>
            <w:pPr>
              <w:ind w:left="120"/>
              <w:spacing w:after="0"/>
              <w:rPr>
                <w:sz w:val="20"/>
                <w:szCs w:val="20"/>
                <w:color w:val="auto"/>
              </w:rPr>
            </w:pPr>
            <w:r>
              <w:rPr>
                <w:rFonts w:ascii="Arial" w:cs="Arial" w:eastAsia="Arial" w:hAnsi="Arial"/>
                <w:sz w:val="18"/>
                <w:szCs w:val="18"/>
                <w:color w:val="auto"/>
              </w:rPr>
              <w:t>Director</w:t>
            </w:r>
          </w:p>
        </w:tc>
      </w:tr>
      <w:tr>
        <w:trPr>
          <w:trHeight w:val="230"/>
        </w:trPr>
        <w:tc>
          <w:tcPr>
            <w:tcW w:w="2140" w:type="dxa"/>
            <w:vAlign w:val="bottom"/>
          </w:tcPr>
          <w:p>
            <w:pPr>
              <w:spacing w:after="0"/>
              <w:rPr>
                <w:sz w:val="20"/>
                <w:szCs w:val="20"/>
                <w:color w:val="auto"/>
              </w:rPr>
            </w:pPr>
          </w:p>
        </w:tc>
        <w:tc>
          <w:tcPr>
            <w:tcW w:w="2600" w:type="dxa"/>
            <w:vAlign w:val="bottom"/>
            <w:gridSpan w:val="2"/>
          </w:tcPr>
          <w:p>
            <w:pPr>
              <w:ind w:left="120"/>
              <w:spacing w:after="0"/>
              <w:rPr>
                <w:sz w:val="20"/>
                <w:szCs w:val="20"/>
                <w:color w:val="auto"/>
              </w:rPr>
            </w:pPr>
            <w:r>
              <w:rPr>
                <w:rFonts w:ascii="Arial" w:cs="Arial" w:eastAsia="Arial" w:hAnsi="Arial"/>
                <w:sz w:val="18"/>
                <w:szCs w:val="18"/>
                <w:color w:val="auto"/>
                <w:w w:val="96"/>
              </w:rPr>
              <w:t>Impact I Acquisition Corporation</w:t>
            </w:r>
          </w:p>
        </w:tc>
        <w:tc>
          <w:tcPr>
            <w:tcW w:w="10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60" w:type="dxa"/>
            <w:vAlign w:val="bottom"/>
          </w:tcPr>
          <w:p>
            <w:pPr>
              <w:spacing w:after="0"/>
              <w:rPr>
                <w:sz w:val="20"/>
                <w:szCs w:val="20"/>
                <w:color w:val="auto"/>
              </w:rPr>
            </w:pPr>
          </w:p>
        </w:tc>
      </w:tr>
      <w:tr>
        <w:trPr>
          <w:trHeight w:val="283"/>
        </w:trPr>
        <w:tc>
          <w:tcPr>
            <w:tcW w:w="2140" w:type="dxa"/>
            <w:vAlign w:val="bottom"/>
          </w:tcPr>
          <w:p>
            <w:pPr>
              <w:spacing w:after="0"/>
              <w:rPr>
                <w:sz w:val="24"/>
                <w:szCs w:val="24"/>
                <w:color w:val="auto"/>
              </w:rPr>
            </w:pPr>
          </w:p>
        </w:tc>
        <w:tc>
          <w:tcPr>
            <w:tcW w:w="2600" w:type="dxa"/>
            <w:vAlign w:val="bottom"/>
            <w:gridSpan w:val="2"/>
          </w:tcPr>
          <w:p>
            <w:pPr>
              <w:ind w:left="120"/>
              <w:spacing w:after="0"/>
              <w:rPr>
                <w:sz w:val="20"/>
                <w:szCs w:val="20"/>
                <w:color w:val="auto"/>
              </w:rPr>
            </w:pPr>
            <w:r>
              <w:rPr>
                <w:rFonts w:ascii="Arial" w:cs="Arial" w:eastAsia="Arial" w:hAnsi="Arial"/>
                <w:sz w:val="18"/>
                <w:szCs w:val="18"/>
                <w:color w:val="auto"/>
                <w:w w:val="96"/>
              </w:rPr>
              <w:t>Climate Real Impact Solutions II</w:t>
            </w:r>
          </w:p>
        </w:tc>
        <w:tc>
          <w:tcPr>
            <w:tcW w:w="3800" w:type="dxa"/>
            <w:vAlign w:val="bottom"/>
            <w:gridSpan w:val="2"/>
          </w:tcPr>
          <w:p>
            <w:pPr>
              <w:ind w:left="100"/>
              <w:spacing w:after="0"/>
              <w:rPr>
                <w:sz w:val="20"/>
                <w:szCs w:val="20"/>
                <w:color w:val="auto"/>
              </w:rPr>
            </w:pPr>
            <w:r>
              <w:rPr>
                <w:rFonts w:ascii="Arial" w:cs="Arial" w:eastAsia="Arial" w:hAnsi="Arial"/>
                <w:sz w:val="18"/>
                <w:szCs w:val="18"/>
                <w:color w:val="auto"/>
              </w:rPr>
              <w:t>SPAC</w:t>
            </w:r>
          </w:p>
        </w:tc>
        <w:tc>
          <w:tcPr>
            <w:tcW w:w="2580" w:type="dxa"/>
            <w:vAlign w:val="bottom"/>
            <w:gridSpan w:val="2"/>
          </w:tcPr>
          <w:p>
            <w:pPr>
              <w:ind w:left="120"/>
              <w:spacing w:after="0"/>
              <w:rPr>
                <w:sz w:val="20"/>
                <w:szCs w:val="20"/>
                <w:color w:val="auto"/>
              </w:rPr>
            </w:pPr>
            <w:r>
              <w:rPr>
                <w:rFonts w:ascii="Arial" w:cs="Arial" w:eastAsia="Arial" w:hAnsi="Arial"/>
                <w:sz w:val="18"/>
                <w:szCs w:val="18"/>
                <w:color w:val="auto"/>
              </w:rPr>
              <w:t>Director</w:t>
            </w:r>
          </w:p>
        </w:tc>
      </w:tr>
      <w:tr>
        <w:trPr>
          <w:trHeight w:val="230"/>
        </w:trPr>
        <w:tc>
          <w:tcPr>
            <w:tcW w:w="2140" w:type="dxa"/>
            <w:vAlign w:val="bottom"/>
          </w:tcPr>
          <w:p>
            <w:pPr>
              <w:spacing w:after="0"/>
              <w:rPr>
                <w:sz w:val="20"/>
                <w:szCs w:val="20"/>
                <w:color w:val="auto"/>
              </w:rPr>
            </w:pPr>
          </w:p>
        </w:tc>
        <w:tc>
          <w:tcPr>
            <w:tcW w:w="2600" w:type="dxa"/>
            <w:vAlign w:val="bottom"/>
            <w:gridSpan w:val="2"/>
          </w:tcPr>
          <w:p>
            <w:pPr>
              <w:ind w:left="120"/>
              <w:spacing w:after="0"/>
              <w:rPr>
                <w:sz w:val="20"/>
                <w:szCs w:val="20"/>
                <w:color w:val="auto"/>
              </w:rPr>
            </w:pPr>
            <w:r>
              <w:rPr>
                <w:rFonts w:ascii="Arial" w:cs="Arial" w:eastAsia="Arial" w:hAnsi="Arial"/>
                <w:sz w:val="18"/>
                <w:szCs w:val="18"/>
                <w:color w:val="auto"/>
              </w:rPr>
              <w:t>Acquisition Corporation</w:t>
            </w:r>
          </w:p>
        </w:tc>
        <w:tc>
          <w:tcPr>
            <w:tcW w:w="10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60" w:type="dxa"/>
            <w:vAlign w:val="bottom"/>
          </w:tcPr>
          <w:p>
            <w:pPr>
              <w:spacing w:after="0"/>
              <w:rPr>
                <w:sz w:val="20"/>
                <w:szCs w:val="20"/>
                <w:color w:val="auto"/>
              </w:rPr>
            </w:pPr>
          </w:p>
        </w:tc>
      </w:tr>
      <w:tr>
        <w:trPr>
          <w:trHeight w:val="283"/>
        </w:trPr>
        <w:tc>
          <w:tcPr>
            <w:tcW w:w="2140" w:type="dxa"/>
            <w:vAlign w:val="bottom"/>
          </w:tcPr>
          <w:p>
            <w:pPr>
              <w:spacing w:after="0"/>
              <w:rPr>
                <w:sz w:val="20"/>
                <w:szCs w:val="20"/>
                <w:color w:val="auto"/>
              </w:rPr>
            </w:pPr>
            <w:r>
              <w:rPr>
                <w:rFonts w:ascii="Arial" w:cs="Arial" w:eastAsia="Arial" w:hAnsi="Arial"/>
                <w:sz w:val="18"/>
                <w:szCs w:val="18"/>
                <w:color w:val="auto"/>
              </w:rPr>
              <w:t>Noreen Doyle</w:t>
            </w:r>
          </w:p>
        </w:tc>
        <w:tc>
          <w:tcPr>
            <w:tcW w:w="2600" w:type="dxa"/>
            <w:vAlign w:val="bottom"/>
            <w:gridSpan w:val="2"/>
          </w:tcPr>
          <w:p>
            <w:pPr>
              <w:ind w:left="120"/>
              <w:spacing w:after="0"/>
              <w:rPr>
                <w:sz w:val="20"/>
                <w:szCs w:val="20"/>
                <w:color w:val="auto"/>
              </w:rPr>
            </w:pPr>
            <w:r>
              <w:rPr>
                <w:rFonts w:ascii="Arial" w:cs="Arial" w:eastAsia="Arial" w:hAnsi="Arial"/>
                <w:sz w:val="18"/>
                <w:szCs w:val="18"/>
                <w:color w:val="auto"/>
              </w:rPr>
              <w:t>Newmont Corporation</w:t>
            </w:r>
          </w:p>
        </w:tc>
        <w:tc>
          <w:tcPr>
            <w:tcW w:w="3800" w:type="dxa"/>
            <w:vAlign w:val="bottom"/>
            <w:gridSpan w:val="2"/>
          </w:tcPr>
          <w:p>
            <w:pPr>
              <w:ind w:left="100"/>
              <w:spacing w:after="0"/>
              <w:rPr>
                <w:sz w:val="20"/>
                <w:szCs w:val="20"/>
                <w:color w:val="auto"/>
              </w:rPr>
            </w:pPr>
            <w:r>
              <w:rPr>
                <w:rFonts w:ascii="Arial" w:cs="Arial" w:eastAsia="Arial" w:hAnsi="Arial"/>
                <w:sz w:val="18"/>
                <w:szCs w:val="18"/>
                <w:color w:val="auto"/>
              </w:rPr>
              <w:t>Gold mining</w:t>
            </w:r>
          </w:p>
        </w:tc>
        <w:tc>
          <w:tcPr>
            <w:tcW w:w="2580" w:type="dxa"/>
            <w:vAlign w:val="bottom"/>
            <w:gridSpan w:val="2"/>
          </w:tcPr>
          <w:p>
            <w:pPr>
              <w:ind w:left="120"/>
              <w:spacing w:after="0"/>
              <w:rPr>
                <w:sz w:val="20"/>
                <w:szCs w:val="20"/>
                <w:color w:val="auto"/>
              </w:rPr>
            </w:pPr>
            <w:r>
              <w:rPr>
                <w:rFonts w:ascii="Arial" w:cs="Arial" w:eastAsia="Arial" w:hAnsi="Arial"/>
                <w:sz w:val="18"/>
                <w:szCs w:val="18"/>
                <w:color w:val="auto"/>
              </w:rPr>
              <w:t>Chair of Board and Chair of</w:t>
            </w:r>
          </w:p>
        </w:tc>
      </w:tr>
      <w:tr>
        <w:trPr>
          <w:trHeight w:val="216"/>
        </w:trPr>
        <w:tc>
          <w:tcPr>
            <w:tcW w:w="2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2580" w:type="dxa"/>
            <w:vAlign w:val="bottom"/>
            <w:gridSpan w:val="2"/>
          </w:tcPr>
          <w:p>
            <w:pPr>
              <w:ind w:left="120"/>
              <w:spacing w:after="0"/>
              <w:rPr>
                <w:sz w:val="20"/>
                <w:szCs w:val="20"/>
                <w:color w:val="auto"/>
              </w:rPr>
            </w:pPr>
            <w:r>
              <w:rPr>
                <w:rFonts w:ascii="Arial" w:cs="Arial" w:eastAsia="Arial" w:hAnsi="Arial"/>
                <w:sz w:val="18"/>
                <w:szCs w:val="18"/>
                <w:color w:val="auto"/>
              </w:rPr>
              <w:t>Nominating and Corporate</w:t>
            </w:r>
          </w:p>
        </w:tc>
      </w:tr>
      <w:tr>
        <w:trPr>
          <w:trHeight w:val="230"/>
        </w:trPr>
        <w:tc>
          <w:tcPr>
            <w:tcW w:w="2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2580" w:type="dxa"/>
            <w:vAlign w:val="bottom"/>
            <w:gridSpan w:val="2"/>
          </w:tcPr>
          <w:p>
            <w:pPr>
              <w:ind w:left="120"/>
              <w:spacing w:after="0"/>
              <w:rPr>
                <w:sz w:val="20"/>
                <w:szCs w:val="20"/>
                <w:color w:val="auto"/>
              </w:rPr>
            </w:pPr>
            <w:r>
              <w:rPr>
                <w:rFonts w:ascii="Arial" w:cs="Arial" w:eastAsia="Arial" w:hAnsi="Arial"/>
                <w:sz w:val="18"/>
                <w:szCs w:val="18"/>
                <w:color w:val="auto"/>
              </w:rPr>
              <w:t>Governance Committee</w:t>
            </w:r>
          </w:p>
        </w:tc>
      </w:tr>
      <w:tr>
        <w:trPr>
          <w:trHeight w:val="297"/>
        </w:trPr>
        <w:tc>
          <w:tcPr>
            <w:tcW w:w="2140" w:type="dxa"/>
            <w:vAlign w:val="bottom"/>
          </w:tcPr>
          <w:p>
            <w:pPr>
              <w:spacing w:after="0"/>
              <w:rPr>
                <w:sz w:val="20"/>
                <w:szCs w:val="20"/>
                <w:color w:val="auto"/>
              </w:rPr>
            </w:pPr>
            <w:r>
              <w:rPr>
                <w:rFonts w:ascii="Arial" w:cs="Arial" w:eastAsia="Arial" w:hAnsi="Arial"/>
                <w:sz w:val="18"/>
                <w:szCs w:val="18"/>
                <w:color w:val="auto"/>
              </w:rPr>
              <w:t>William Janetschek</w:t>
            </w:r>
          </w:p>
        </w:tc>
        <w:tc>
          <w:tcPr>
            <w:tcW w:w="2600" w:type="dxa"/>
            <w:vAlign w:val="bottom"/>
            <w:gridSpan w:val="2"/>
          </w:tcPr>
          <w:p>
            <w:pPr>
              <w:ind w:left="120"/>
              <w:spacing w:after="0"/>
              <w:rPr>
                <w:sz w:val="20"/>
                <w:szCs w:val="20"/>
                <w:color w:val="auto"/>
              </w:rPr>
            </w:pPr>
            <w:r>
              <w:rPr>
                <w:rFonts w:ascii="Arial" w:cs="Arial" w:eastAsia="Arial" w:hAnsi="Arial"/>
                <w:sz w:val="18"/>
                <w:szCs w:val="18"/>
                <w:color w:val="auto"/>
              </w:rPr>
              <w:t>N/A</w:t>
            </w:r>
          </w:p>
        </w:tc>
        <w:tc>
          <w:tcPr>
            <w:tcW w:w="3800" w:type="dxa"/>
            <w:vAlign w:val="bottom"/>
            <w:gridSpan w:val="2"/>
          </w:tcPr>
          <w:p>
            <w:pPr>
              <w:ind w:left="100"/>
              <w:spacing w:after="0"/>
              <w:rPr>
                <w:sz w:val="20"/>
                <w:szCs w:val="20"/>
                <w:color w:val="auto"/>
              </w:rPr>
            </w:pPr>
            <w:r>
              <w:rPr>
                <w:rFonts w:ascii="Arial" w:cs="Arial" w:eastAsia="Arial" w:hAnsi="Arial"/>
                <w:sz w:val="18"/>
                <w:szCs w:val="18"/>
                <w:color w:val="auto"/>
              </w:rPr>
              <w:t>N/A</w:t>
            </w:r>
          </w:p>
        </w:tc>
        <w:tc>
          <w:tcPr>
            <w:tcW w:w="2580" w:type="dxa"/>
            <w:vAlign w:val="bottom"/>
            <w:gridSpan w:val="2"/>
          </w:tcPr>
          <w:p>
            <w:pPr>
              <w:ind w:left="120"/>
              <w:spacing w:after="0"/>
              <w:rPr>
                <w:sz w:val="20"/>
                <w:szCs w:val="20"/>
                <w:color w:val="auto"/>
              </w:rPr>
            </w:pPr>
            <w:r>
              <w:rPr>
                <w:rFonts w:ascii="Arial" w:cs="Arial" w:eastAsia="Arial" w:hAnsi="Arial"/>
                <w:sz w:val="18"/>
                <w:szCs w:val="18"/>
                <w:color w:val="auto"/>
              </w:rPr>
              <w:t>N/A</w:t>
            </w:r>
          </w:p>
        </w:tc>
      </w:tr>
      <w:tr>
        <w:trPr>
          <w:trHeight w:val="297"/>
        </w:trPr>
        <w:tc>
          <w:tcPr>
            <w:tcW w:w="2140" w:type="dxa"/>
            <w:vAlign w:val="bottom"/>
          </w:tcPr>
          <w:p>
            <w:pPr>
              <w:spacing w:after="0"/>
              <w:rPr>
                <w:sz w:val="20"/>
                <w:szCs w:val="20"/>
                <w:color w:val="auto"/>
              </w:rPr>
            </w:pPr>
            <w:r>
              <w:rPr>
                <w:rFonts w:ascii="Arial" w:cs="Arial" w:eastAsia="Arial" w:hAnsi="Arial"/>
                <w:sz w:val="18"/>
                <w:szCs w:val="18"/>
                <w:color w:val="auto"/>
              </w:rPr>
              <w:t>David Poritz</w:t>
            </w:r>
          </w:p>
        </w:tc>
        <w:tc>
          <w:tcPr>
            <w:tcW w:w="2600" w:type="dxa"/>
            <w:vAlign w:val="bottom"/>
            <w:gridSpan w:val="2"/>
          </w:tcPr>
          <w:p>
            <w:pPr>
              <w:ind w:left="120"/>
              <w:spacing w:after="0"/>
              <w:rPr>
                <w:sz w:val="20"/>
                <w:szCs w:val="20"/>
                <w:color w:val="auto"/>
              </w:rPr>
            </w:pPr>
            <w:r>
              <w:rPr>
                <w:rFonts w:ascii="Arial" w:cs="Arial" w:eastAsia="Arial" w:hAnsi="Arial"/>
                <w:sz w:val="18"/>
                <w:szCs w:val="18"/>
                <w:color w:val="auto"/>
              </w:rPr>
              <w:t>Credijusto</w:t>
            </w:r>
          </w:p>
        </w:tc>
        <w:tc>
          <w:tcPr>
            <w:tcW w:w="3800" w:type="dxa"/>
            <w:vAlign w:val="bottom"/>
            <w:gridSpan w:val="2"/>
          </w:tcPr>
          <w:p>
            <w:pPr>
              <w:ind w:left="100"/>
              <w:spacing w:after="0"/>
              <w:rPr>
                <w:sz w:val="20"/>
                <w:szCs w:val="20"/>
                <w:color w:val="auto"/>
              </w:rPr>
            </w:pPr>
            <w:r>
              <w:rPr>
                <w:rFonts w:ascii="Arial" w:cs="Arial" w:eastAsia="Arial" w:hAnsi="Arial"/>
                <w:sz w:val="18"/>
                <w:szCs w:val="18"/>
                <w:color w:val="auto"/>
              </w:rPr>
              <w:t>Financial technology</w:t>
            </w:r>
          </w:p>
        </w:tc>
        <w:tc>
          <w:tcPr>
            <w:tcW w:w="2580" w:type="dxa"/>
            <w:vAlign w:val="bottom"/>
            <w:gridSpan w:val="2"/>
          </w:tcPr>
          <w:p>
            <w:pPr>
              <w:ind w:left="120"/>
              <w:spacing w:after="0"/>
              <w:rPr>
                <w:sz w:val="20"/>
                <w:szCs w:val="20"/>
                <w:color w:val="auto"/>
              </w:rPr>
            </w:pPr>
            <w:r>
              <w:rPr>
                <w:rFonts w:ascii="Arial" w:cs="Arial" w:eastAsia="Arial" w:hAnsi="Arial"/>
                <w:sz w:val="18"/>
                <w:szCs w:val="18"/>
                <w:color w:val="auto"/>
              </w:rPr>
              <w:t>Co-CEO and Co-Founder</w:t>
            </w:r>
          </w:p>
        </w:tc>
      </w:tr>
    </w:tbl>
    <w:p>
      <w:pPr>
        <w:spacing w:after="0" w:line="24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Potential investors should also be aware of the following other potential conflicts of interest:</w:t>
      </w:r>
    </w:p>
    <w:p>
      <w:pPr>
        <w:spacing w:after="0" w:line="225" w:lineRule="exact"/>
        <w:rPr>
          <w:sz w:val="20"/>
          <w:szCs w:val="20"/>
          <w:color w:val="auto"/>
        </w:rPr>
      </w:pPr>
    </w:p>
    <w:p>
      <w:pPr>
        <w:ind w:left="660" w:right="80" w:hanging="328"/>
        <w:spacing w:after="0" w:line="259"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officers and directors are not required to, and will not commit their full time to our affairs, which may result in a conflict of interest in allocating their time between our operations and our search for a business combination and their other businesses. Each of our officers is engaged in several other business endeavors for which he may be entitled to substantial compensation, and our officers are not obligated to contribute any specified amount of time to our affairs.</w:t>
      </w:r>
    </w:p>
    <w:p>
      <w:pPr>
        <w:spacing w:after="0" w:line="29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122" w:name="page123"/>
    <w:bookmarkEnd w:id="122"/>
    <w:p>
      <w:pPr>
        <w:ind w:left="660" w:right="40" w:hanging="328"/>
        <w:spacing w:after="0" w:line="286" w:lineRule="auto"/>
        <w:tabs>
          <w:tab w:leader="none" w:pos="6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Our initial shareholders purchased founder shares prior to the date of this prospectus and will purchase private placement warrants in a transaction that will close simultaneously with the closing of this offering. Our initial shareholders, sponsor, officers and directors have entered into a letter agreement with us, pursuant to which they have agreed to waive their redemption rights with respect to any founder shares and public shares held by them in connection with the completion of our initial business combination. Additionally, our initial shareholders, sponsor, officers and directors have agreed to waive their rights to liquidating distributions from the trust account with respect to any founder shares held by them if we fail to complete our initial business combination within the prescribed time frame. If we do not complete our initial business combination within the prescribed time frame, the private placement warrants will expire worthless. Furthermore, our initial shareholders, sponsor, officers and directors have agreed not to transfer, assign or sell any of any founder shares (including the Class A ordinary shares issuable upon conversion thereof) until the earlier to occur of: (i) one year after the completion of our initial business combination and (ii) the date following the completion of our initial business combination on which we complete a liquidation, merger, share exchange or other similar transaction that results in all of our shareholders having the right to exchange their ordinary shares for cash, securities or other property. Notwithstanding the foregoing, if the last reported sales price of our Class A ordinary shares equals or exceeds $12.00 per share (as adjusted for share sub-divisions, share capitalizations, reorganizations, recapitalizations and the like) for any 20 trading days within any 30-trading day period commencing at least 150 days after our initial business combination, the founder shares will be released from the lockup.</w:t>
      </w:r>
    </w:p>
    <w:p>
      <w:pPr>
        <w:spacing w:after="0" w:line="170" w:lineRule="exact"/>
        <w:rPr>
          <w:rFonts w:ascii="Arial" w:cs="Arial" w:eastAsia="Arial" w:hAnsi="Arial"/>
          <w:sz w:val="16"/>
          <w:szCs w:val="16"/>
          <w:color w:val="auto"/>
        </w:rPr>
      </w:pPr>
    </w:p>
    <w:p>
      <w:pPr>
        <w:ind w:left="660" w:right="420"/>
        <w:spacing w:after="0" w:line="279" w:lineRule="auto"/>
        <w:rPr>
          <w:rFonts w:ascii="Arial" w:cs="Arial" w:eastAsia="Arial" w:hAnsi="Arial"/>
          <w:sz w:val="16"/>
          <w:szCs w:val="16"/>
          <w:color w:val="auto"/>
        </w:rPr>
      </w:pPr>
      <w:r>
        <w:rPr>
          <w:rFonts w:ascii="Arial" w:cs="Arial" w:eastAsia="Arial" w:hAnsi="Arial"/>
          <w:sz w:val="17"/>
          <w:szCs w:val="17"/>
          <w:color w:val="auto"/>
        </w:rPr>
        <w:t>The private placement warrants (including the Class A ordinary shares issuable upon exercise of the private placement warrants) will not be transferable until 30 days following the completion of our initial business combination. Because each of our officers and directors will own ordinary shares or warrants directly or indirectly, they may have a conflict of interest in determining whether a particular target business is an appropriate business with which to effectuate our initial business combination.</w:t>
      </w:r>
    </w:p>
    <w:p>
      <w:pPr>
        <w:spacing w:after="0" w:line="171" w:lineRule="exact"/>
        <w:rPr>
          <w:rFonts w:ascii="Arial" w:cs="Arial" w:eastAsia="Arial" w:hAnsi="Arial"/>
          <w:sz w:val="16"/>
          <w:szCs w:val="16"/>
          <w:color w:val="auto"/>
        </w:rPr>
      </w:pPr>
    </w:p>
    <w:p>
      <w:pPr>
        <w:ind w:left="660" w:hanging="328"/>
        <w:spacing w:after="0" w:line="263"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Our officers and directors may have a conflict of interest with respect to evaluating a particular business combination if the retention or resignation of any such officers and directors was included by a target business as a condition to any agreement with respect to our initial business combination.</w:t>
      </w:r>
    </w:p>
    <w:p>
      <w:pPr>
        <w:spacing w:after="0" w:line="184" w:lineRule="exact"/>
        <w:rPr>
          <w:sz w:val="20"/>
          <w:szCs w:val="20"/>
          <w:color w:val="auto"/>
        </w:rPr>
      </w:pPr>
    </w:p>
    <w:p>
      <w:pPr>
        <w:ind w:right="40" w:firstLine="324"/>
        <w:spacing w:after="0" w:line="289" w:lineRule="auto"/>
        <w:rPr>
          <w:sz w:val="20"/>
          <w:szCs w:val="20"/>
          <w:color w:val="auto"/>
        </w:rPr>
      </w:pPr>
      <w:r>
        <w:rPr>
          <w:rFonts w:ascii="Arial" w:cs="Arial" w:eastAsia="Arial" w:hAnsi="Arial"/>
          <w:sz w:val="16"/>
          <w:szCs w:val="16"/>
          <w:color w:val="auto"/>
        </w:rPr>
        <w:t>We are not prohibited from pursuing an initial business combination with a company that is affiliated with our sponsor, officers or directors, or completing the business combination through a joint venture or other form of shared ownership with our sponsor, officers or directors. In the event we seek to complete an initial business combination with a target that is affiliated with our sponsor, officers or directors, we, or a committee of independent and disinterested directors, would obtain an opinion from an independent investment banking firm or a valuation or appraisal firm that such an initial business combination is fair to our company from a financial point of view. We are not required to obtain such an opinion in any other context. Furthermore, in no event will our sponsor or any of our existing officers or directors, or any of their respective affiliates, be paid by the company any finder’s fee, consulting fee or other compensation prior to, or for any services they render in order to effectuate, the completion of our initial business combination. Further, commencing on the date our securities are first listed on the NYSE, we will also pay our sponsor or an affiliate thereof up to $10,000 per month for office space, utilities, secretarial and administrative services provided to members of our management team and other expenses and obligations of our sponsor.</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cannot assure you that any of the above mentioned conflicts will be resolved in our favor.</w:t>
      </w:r>
    </w:p>
    <w:p>
      <w:pPr>
        <w:spacing w:after="0" w:line="225" w:lineRule="exact"/>
        <w:rPr>
          <w:sz w:val="20"/>
          <w:szCs w:val="20"/>
          <w:color w:val="auto"/>
        </w:rPr>
      </w:pPr>
    </w:p>
    <w:p>
      <w:pPr>
        <w:ind w:right="120" w:firstLine="324"/>
        <w:spacing w:after="0" w:line="263" w:lineRule="auto"/>
        <w:rPr>
          <w:sz w:val="20"/>
          <w:szCs w:val="20"/>
          <w:color w:val="auto"/>
        </w:rPr>
      </w:pPr>
      <w:r>
        <w:rPr>
          <w:rFonts w:ascii="Arial" w:cs="Arial" w:eastAsia="Arial" w:hAnsi="Arial"/>
          <w:sz w:val="18"/>
          <w:szCs w:val="18"/>
          <w:color w:val="auto"/>
        </w:rPr>
        <w:t>In the event that we submit our initial business combination to our public shareholders for a vote, our initial shareholders, sponsor, officers and directors have agreed to vote any founder shares held by them, and they have agreed to vote any founder shares and public shares held by them in favor of our initial business combination.</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Limitation on Liability and Indemnification of Officers and Directors</w:t>
      </w:r>
    </w:p>
    <w:p>
      <w:pPr>
        <w:spacing w:after="0" w:line="229" w:lineRule="exact"/>
        <w:rPr>
          <w:sz w:val="20"/>
          <w:szCs w:val="20"/>
          <w:color w:val="auto"/>
        </w:rPr>
      </w:pPr>
    </w:p>
    <w:p>
      <w:pPr>
        <w:ind w:right="500" w:firstLine="324"/>
        <w:spacing w:after="0" w:line="277" w:lineRule="auto"/>
        <w:rPr>
          <w:sz w:val="20"/>
          <w:szCs w:val="20"/>
          <w:color w:val="auto"/>
        </w:rPr>
      </w:pPr>
      <w:r>
        <w:rPr>
          <w:rFonts w:ascii="Arial" w:cs="Arial" w:eastAsia="Arial" w:hAnsi="Arial"/>
          <w:sz w:val="18"/>
          <w:szCs w:val="18"/>
          <w:color w:val="auto"/>
        </w:rPr>
        <w:t>Cayman Islands law does not limit the extent to which a company’s memorandum and articles of association may provide for indemnification of officers and directors, except to the extent any such provision may be held by</w:t>
      </w:r>
    </w:p>
    <w:p>
      <w:pPr>
        <w:spacing w:after="0" w:line="27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123" w:name="page124"/>
    <w:bookmarkEnd w:id="123"/>
    <w:p>
      <w:pPr>
        <w:ind w:right="40"/>
        <w:spacing w:after="0" w:line="255" w:lineRule="auto"/>
        <w:rPr>
          <w:sz w:val="20"/>
          <w:szCs w:val="20"/>
          <w:color w:val="auto"/>
        </w:rPr>
      </w:pPr>
      <w:r>
        <w:rPr>
          <w:rFonts w:ascii="Arial" w:cs="Arial" w:eastAsia="Arial" w:hAnsi="Arial"/>
          <w:sz w:val="18"/>
          <w:szCs w:val="18"/>
          <w:color w:val="auto"/>
        </w:rPr>
        <w:t>the Cayman Islands courts to be contrary to public policy, such as to provide indemnification against willful default, fraud or the consequences of committing a crime. Our amended and restated memorandum and articles of association provide for indemnification of our officers and directors to the maximum extent permitted by law, including for any liability incurred in their capacities as such, except through their own actual fraud, willful default or willful neglect. We expect to purchase a policy of directors’ and officers’ liability insurance that insures our officers and directors against the cost of defense, settlement or payment of a judgment in some circumstances and insures us against our obligations to indemnify our officers and directors. We also intend to enter into indemnity agreements with them.</w:t>
      </w:r>
    </w:p>
    <w:p>
      <w:pPr>
        <w:spacing w:after="0" w:line="192"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Our officers and directors have agreed to waive any right, title, interest or claim of any kind in or to any monies in the trust account, and have agreed to waive any right, title, interest or claim of any kind they may have in the future as a result of, or arising out of, any services provided to us and will not seek recourse against the trust account for any reason whatsoever. Accordingly, any indemnification provided will only be able to be satisfied by us if (i) we have sufficient funds outside of the trust account or (ii) we consummate an initial business combination.</w:t>
      </w:r>
    </w:p>
    <w:p>
      <w:pPr>
        <w:spacing w:after="0" w:line="171" w:lineRule="exact"/>
        <w:rPr>
          <w:sz w:val="20"/>
          <w:szCs w:val="20"/>
          <w:color w:val="auto"/>
        </w:rPr>
      </w:pPr>
    </w:p>
    <w:p>
      <w:pPr>
        <w:ind w:right="140" w:firstLine="324"/>
        <w:spacing w:after="0" w:line="301" w:lineRule="auto"/>
        <w:rPr>
          <w:sz w:val="20"/>
          <w:szCs w:val="20"/>
          <w:color w:val="auto"/>
        </w:rPr>
      </w:pPr>
      <w:r>
        <w:rPr>
          <w:rFonts w:ascii="Arial" w:cs="Arial" w:eastAsia="Arial" w:hAnsi="Arial"/>
          <w:sz w:val="16"/>
          <w:szCs w:val="16"/>
          <w:color w:val="auto"/>
        </w:rPr>
        <w:t>Our indemnification obligations may discourage shareholders from bringing a lawsuit against our officers or directors for breach of their fiduciary duty. These provisions also may have the effect of reducing the likelihood of derivative litigation against our officers and directors, even though such an action, if successful, might otherwise benefit us and our shareholders. Furthermore, a shareholder’s investment may be adversely affected to the extent we pay the costs of settlement and damage awards against our officers and directors pursuant to these indemnification provisions.</w:t>
      </w:r>
    </w:p>
    <w:p>
      <w:pPr>
        <w:spacing w:after="0" w:line="157"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We believe that these provisions, the insurance and the indemnity agreements are necessary to attract and retain talented and experienced officers and directors.</w:t>
      </w:r>
    </w:p>
    <w:p>
      <w:pPr>
        <w:spacing w:after="0" w:line="27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24" w:name="page125"/>
    <w:bookmarkEnd w:id="124"/>
    <w:p>
      <w:pPr>
        <w:jc w:val="center"/>
        <w:spacing w:after="0"/>
        <w:rPr>
          <w:sz w:val="20"/>
          <w:szCs w:val="20"/>
          <w:color w:val="auto"/>
        </w:rPr>
      </w:pPr>
      <w:r>
        <w:rPr>
          <w:rFonts w:ascii="Arial" w:cs="Arial" w:eastAsia="Arial" w:hAnsi="Arial"/>
          <w:sz w:val="18"/>
          <w:szCs w:val="18"/>
          <w:b w:val="1"/>
          <w:bCs w:val="1"/>
          <w:color w:val="auto"/>
        </w:rPr>
        <w:t>PRINCIPAL SHAREHOLDERS</w:t>
      </w:r>
    </w:p>
    <w:p>
      <w:pPr>
        <w:spacing w:after="0" w:line="229" w:lineRule="exact"/>
        <w:rPr>
          <w:sz w:val="20"/>
          <w:szCs w:val="20"/>
          <w:color w:val="auto"/>
        </w:rPr>
      </w:pPr>
    </w:p>
    <w:p>
      <w:pPr>
        <w:ind w:right="20" w:firstLine="324"/>
        <w:spacing w:after="0" w:line="342" w:lineRule="auto"/>
        <w:rPr>
          <w:sz w:val="20"/>
          <w:szCs w:val="20"/>
          <w:color w:val="auto"/>
        </w:rPr>
      </w:pPr>
      <w:r>
        <w:rPr>
          <w:rFonts w:ascii="Arial" w:cs="Arial" w:eastAsia="Arial" w:hAnsi="Arial"/>
          <w:sz w:val="16"/>
          <w:szCs w:val="16"/>
          <w:color w:val="auto"/>
        </w:rPr>
        <w:t>The following table sets forth information regarding the beneficial ownership of our ordinary shares as of the date of this prospectus, and as adjusted to reflect the sale of our Class A ordinary shares included in the units offered by this prospectus, and assuming no purchase of units in this offering, by:</w:t>
      </w:r>
    </w:p>
    <w:p>
      <w:pPr>
        <w:spacing w:after="0" w:line="124" w:lineRule="exact"/>
        <w:rPr>
          <w:sz w:val="20"/>
          <w:szCs w:val="20"/>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each person known by us to be the beneficial owner of more than 5% of our issued and outstanding ordinary shares;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each of our officers and directors;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all our officers and directors as a group.</w:t>
      </w:r>
    </w:p>
    <w:p>
      <w:pPr>
        <w:spacing w:after="0" w:line="225" w:lineRule="exact"/>
        <w:rPr>
          <w:sz w:val="20"/>
          <w:szCs w:val="20"/>
          <w:color w:val="auto"/>
        </w:rPr>
      </w:pPr>
    </w:p>
    <w:p>
      <w:pPr>
        <w:ind w:right="100" w:firstLine="324"/>
        <w:spacing w:after="0" w:line="263" w:lineRule="auto"/>
        <w:rPr>
          <w:sz w:val="20"/>
          <w:szCs w:val="20"/>
          <w:color w:val="auto"/>
        </w:rPr>
      </w:pPr>
      <w:r>
        <w:rPr>
          <w:rFonts w:ascii="Arial" w:cs="Arial" w:eastAsia="Arial" w:hAnsi="Arial"/>
          <w:sz w:val="18"/>
          <w:szCs w:val="18"/>
          <w:color w:val="auto"/>
        </w:rPr>
        <w:t>Unless otherwise indicated, we believe that all persons named in the table have sole voting and investment power with respect to all of our ordinary shares beneficially owned by them. The following table does not reflect record or beneficial ownership of the private placement warrants as these warrants are not exercisable within 60 days of the date of this prospectus.</w:t>
      </w:r>
    </w:p>
    <w:p>
      <w:pPr>
        <w:spacing w:after="0" w:line="184" w:lineRule="exact"/>
        <w:rPr>
          <w:sz w:val="20"/>
          <w:szCs w:val="20"/>
          <w:color w:val="auto"/>
        </w:rPr>
      </w:pPr>
    </w:p>
    <w:p>
      <w:pPr>
        <w:ind w:right="40" w:firstLine="324"/>
        <w:spacing w:after="0" w:line="268" w:lineRule="auto"/>
        <w:rPr>
          <w:sz w:val="20"/>
          <w:szCs w:val="20"/>
          <w:color w:val="auto"/>
        </w:rPr>
      </w:pPr>
      <w:r>
        <w:rPr>
          <w:rFonts w:ascii="Arial" w:cs="Arial" w:eastAsia="Arial" w:hAnsi="Arial"/>
          <w:sz w:val="17"/>
          <w:szCs w:val="17"/>
          <w:color w:val="auto"/>
        </w:rPr>
        <w:t>On December 30, 2020, we issued to our sponsor an aggregate of 7,187,500 founder shares in exchange for a capital contribution of $25,000, or approximately $0.003 per share, to cover certain of our expenses. Prior to this offering, our sponsor intends to transfer 25,000 of our founder shares to each of our three independent directors and an aggregate of up to 62,500 of our founder shares to certain employees. These 137,500 shares will not be subject to forfeiture in the event the underwriters’ over-allotment option is not exercised. Prior to the initial investment in the company of $25,000 by the sponsor, the company had no assets, tangible or intangible. The number of founder shares outstanding was determined based on the expectation that the total size of this offering would be a maximum of 28,750,000 units if the underwriters’ over-allotment option is exercised in full, and therefore that such founder shares would represent 20% of the outstanding shares after this offering. If we increase or decrease the size of this offering, we will effect a capitalization or share repurchase or redemption or other appropriate mechanism, as applicable, with respect to our Class B ordinary shares immediately prior to the consummation of this offering in such amount as to maintain the number of founder shares at 20% of our issued and outstanding ordinary shares upon the consummation of this offering. Up to 937,500 of the founder shares may be surrendered by our sponsor for no consideration depending on the extent to which the underwriters’ over-allotment is exercised. The post-offering percentages in the following table assume that the underwriters do not exercise their over-allotment option, that 937,500 founder shares have been surrendered to us for no consideration, and that there are 31,250,000 ordinary shares issued and outstanding after this offering.</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80" w:type="dxa"/>
            <w:vAlign w:val="bottom"/>
          </w:tcPr>
          <w:p>
            <w:pPr>
              <w:spacing w:after="0"/>
              <w:rPr>
                <w:sz w:val="18"/>
                <w:szCs w:val="18"/>
                <w:color w:val="auto"/>
              </w:rPr>
            </w:pPr>
          </w:p>
        </w:tc>
        <w:tc>
          <w:tcPr>
            <w:tcW w:w="310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88"/>
              </w:rPr>
              <w:t>Numbering of Shares</w:t>
            </w:r>
          </w:p>
        </w:tc>
        <w:tc>
          <w:tcPr>
            <w:tcW w:w="2860" w:type="dxa"/>
            <w:vAlign w:val="bottom"/>
            <w:gridSpan w:val="3"/>
          </w:tcPr>
          <w:p>
            <w:pPr>
              <w:jc w:val="right"/>
              <w:ind w:right="290"/>
              <w:spacing w:after="0"/>
              <w:rPr>
                <w:sz w:val="20"/>
                <w:szCs w:val="20"/>
                <w:color w:val="auto"/>
              </w:rPr>
            </w:pPr>
            <w:r>
              <w:rPr>
                <w:rFonts w:ascii="Arial" w:cs="Arial" w:eastAsia="Arial" w:hAnsi="Arial"/>
                <w:sz w:val="18"/>
                <w:szCs w:val="18"/>
                <w:b w:val="1"/>
                <w:bCs w:val="1"/>
                <w:color w:val="auto"/>
              </w:rPr>
              <w:t>Approximate Percentage of</w:t>
            </w:r>
          </w:p>
        </w:tc>
      </w:tr>
      <w:tr>
        <w:trPr>
          <w:trHeight w:val="234"/>
        </w:trPr>
        <w:tc>
          <w:tcPr>
            <w:tcW w:w="5280" w:type="dxa"/>
            <w:vAlign w:val="bottom"/>
          </w:tcPr>
          <w:p>
            <w:pPr>
              <w:spacing w:after="0"/>
              <w:rPr>
                <w:sz w:val="20"/>
                <w:szCs w:val="20"/>
                <w:color w:val="auto"/>
              </w:rPr>
            </w:pPr>
          </w:p>
        </w:tc>
        <w:tc>
          <w:tcPr>
            <w:tcW w:w="310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90"/>
              </w:rPr>
              <w:t>Beneficially Owned(2)</w:t>
            </w:r>
          </w:p>
        </w:tc>
        <w:tc>
          <w:tcPr>
            <w:tcW w:w="2860" w:type="dxa"/>
            <w:vAlign w:val="bottom"/>
            <w:gridSpan w:val="3"/>
          </w:tcPr>
          <w:p>
            <w:pPr>
              <w:jc w:val="right"/>
              <w:ind w:right="190"/>
              <w:spacing w:after="0"/>
              <w:rPr>
                <w:sz w:val="20"/>
                <w:szCs w:val="20"/>
                <w:color w:val="auto"/>
              </w:rPr>
            </w:pPr>
            <w:r>
              <w:rPr>
                <w:rFonts w:ascii="Arial" w:cs="Arial" w:eastAsia="Arial" w:hAnsi="Arial"/>
                <w:sz w:val="18"/>
                <w:szCs w:val="18"/>
                <w:b w:val="1"/>
                <w:bCs w:val="1"/>
                <w:color w:val="auto"/>
              </w:rPr>
              <w:t>Outstanding Ordinary Shares</w:t>
            </w:r>
          </w:p>
        </w:tc>
      </w:tr>
      <w:tr>
        <w:trPr>
          <w:trHeight w:val="210"/>
        </w:trPr>
        <w:tc>
          <w:tcPr>
            <w:tcW w:w="5280" w:type="dxa"/>
            <w:vAlign w:val="bottom"/>
          </w:tcPr>
          <w:p>
            <w:pPr>
              <w:spacing w:after="0"/>
              <w:rPr>
                <w:sz w:val="18"/>
                <w:szCs w:val="18"/>
                <w:color w:val="auto"/>
              </w:rPr>
            </w:pPr>
          </w:p>
        </w:tc>
        <w:tc>
          <w:tcPr>
            <w:tcW w:w="1540" w:type="dxa"/>
            <w:vAlign w:val="bottom"/>
            <w:tcBorders>
              <w:top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rPr>
              <w:t>Before Offering</w:t>
            </w:r>
          </w:p>
        </w:tc>
        <w:tc>
          <w:tcPr>
            <w:tcW w:w="14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After Offering</w:t>
            </w:r>
          </w:p>
        </w:tc>
        <w:tc>
          <w:tcPr>
            <w:tcW w:w="120" w:type="dxa"/>
            <w:vAlign w:val="bottom"/>
          </w:tcPr>
          <w:p>
            <w:pPr>
              <w:spacing w:after="0"/>
              <w:rPr>
                <w:sz w:val="18"/>
                <w:szCs w:val="18"/>
                <w:color w:val="auto"/>
              </w:rPr>
            </w:pPr>
          </w:p>
        </w:tc>
        <w:tc>
          <w:tcPr>
            <w:tcW w:w="1520" w:type="dxa"/>
            <w:vAlign w:val="bottom"/>
            <w:tcBorders>
              <w:top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rPr>
              <w:t>Before Offering</w:t>
            </w:r>
          </w:p>
        </w:tc>
        <w:tc>
          <w:tcPr>
            <w:tcW w:w="13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After Offering</w:t>
            </w:r>
          </w:p>
        </w:tc>
      </w:tr>
      <w:tr>
        <w:trPr>
          <w:trHeight w:val="209"/>
        </w:trPr>
        <w:tc>
          <w:tcPr>
            <w:tcW w:w="5280" w:type="dxa"/>
            <w:vAlign w:val="bottom"/>
            <w:tcBorders>
              <w:top w:val="single" w:sz="8" w:color="D5EAEA"/>
            </w:tcBorders>
            <w:shd w:val="clear" w:color="auto" w:fill="D5EAEA"/>
          </w:tcPr>
          <w:p>
            <w:pPr>
              <w:spacing w:after="0"/>
              <w:rPr>
                <w:sz w:val="20"/>
                <w:szCs w:val="20"/>
                <w:color w:val="auto"/>
              </w:rPr>
            </w:pPr>
            <w:r>
              <w:rPr>
                <w:rFonts w:ascii="Arial" w:cs="Arial" w:eastAsia="Arial" w:hAnsi="Arial"/>
                <w:sz w:val="18"/>
                <w:szCs w:val="18"/>
                <w:color w:val="auto"/>
              </w:rPr>
              <w:t>Freedom Acquisition I LLC(3)</w:t>
            </w:r>
          </w:p>
        </w:tc>
        <w:tc>
          <w:tcPr>
            <w:tcW w:w="1440" w:type="dxa"/>
            <w:vAlign w:val="bottom"/>
            <w:tcBorders>
              <w:top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7,050,000(4)</w:t>
            </w:r>
          </w:p>
        </w:tc>
        <w:tc>
          <w:tcPr>
            <w:tcW w:w="100" w:type="dxa"/>
            <w:vAlign w:val="bottom"/>
            <w:tcBorders>
              <w:top w:val="single" w:sz="8" w:color="D5EAEA"/>
            </w:tcBorders>
            <w:shd w:val="clear" w:color="auto" w:fill="D5EAEA"/>
          </w:tcPr>
          <w:p>
            <w:pPr>
              <w:spacing w:after="0"/>
              <w:rPr>
                <w:sz w:val="18"/>
                <w:szCs w:val="18"/>
                <w:color w:val="auto"/>
              </w:rPr>
            </w:pPr>
          </w:p>
        </w:tc>
        <w:tc>
          <w:tcPr>
            <w:tcW w:w="1440" w:type="dxa"/>
            <w:vAlign w:val="bottom"/>
            <w:tcBorders>
              <w:top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6,112,500(4)</w:t>
            </w:r>
          </w:p>
        </w:tc>
        <w:tc>
          <w:tcPr>
            <w:tcW w:w="120" w:type="dxa"/>
            <w:vAlign w:val="bottom"/>
            <w:tcBorders>
              <w:top w:val="single" w:sz="8" w:color="D5EAEA"/>
            </w:tcBorders>
            <w:shd w:val="clear" w:color="auto" w:fill="D5EAEA"/>
          </w:tcPr>
          <w:p>
            <w:pPr>
              <w:spacing w:after="0"/>
              <w:rPr>
                <w:sz w:val="18"/>
                <w:szCs w:val="18"/>
                <w:color w:val="auto"/>
              </w:rPr>
            </w:pPr>
          </w:p>
        </w:tc>
        <w:tc>
          <w:tcPr>
            <w:tcW w:w="1420" w:type="dxa"/>
            <w:vAlign w:val="bottom"/>
            <w:tcBorders>
              <w:top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98.1%</w:t>
            </w:r>
          </w:p>
        </w:tc>
        <w:tc>
          <w:tcPr>
            <w:tcW w:w="100" w:type="dxa"/>
            <w:vAlign w:val="bottom"/>
            <w:tcBorders>
              <w:top w:val="single" w:sz="8" w:color="D5EAEA"/>
            </w:tcBorders>
            <w:shd w:val="clear" w:color="auto" w:fill="D5EAEA"/>
          </w:tcPr>
          <w:p>
            <w:pPr>
              <w:spacing w:after="0"/>
              <w:rPr>
                <w:sz w:val="18"/>
                <w:szCs w:val="18"/>
                <w:color w:val="auto"/>
              </w:rPr>
            </w:pPr>
          </w:p>
        </w:tc>
        <w:tc>
          <w:tcPr>
            <w:tcW w:w="1340" w:type="dxa"/>
            <w:vAlign w:val="bottom"/>
            <w:tcBorders>
              <w:top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19.6%</w:t>
            </w: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Tidjane Thiam</w:t>
            </w: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5280" w:type="dxa"/>
            <w:vAlign w:val="bottom"/>
            <w:shd w:val="clear" w:color="auto" w:fill="D5EAEA"/>
          </w:tcPr>
          <w:p>
            <w:pPr>
              <w:spacing w:after="0"/>
              <w:rPr>
                <w:sz w:val="20"/>
                <w:szCs w:val="20"/>
                <w:color w:val="auto"/>
              </w:rPr>
            </w:pPr>
            <w:r>
              <w:rPr>
                <w:rFonts w:ascii="Arial" w:cs="Arial" w:eastAsia="Arial" w:hAnsi="Arial"/>
                <w:sz w:val="18"/>
                <w:szCs w:val="18"/>
                <w:color w:val="auto"/>
              </w:rPr>
              <w:t>Adam Gishen</w:t>
            </w:r>
          </w:p>
        </w:tc>
        <w:tc>
          <w:tcPr>
            <w:tcW w:w="1540" w:type="dxa"/>
            <w:vAlign w:val="bottom"/>
            <w:gridSpan w:val="2"/>
            <w:shd w:val="clear" w:color="auto" w:fill="D5EAEA"/>
          </w:tcPr>
          <w:p>
            <w:pPr>
              <w:jc w:val="right"/>
              <w:ind w:right="32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D5EAEA"/>
          </w:tcPr>
          <w:p>
            <w:pPr>
              <w:jc w:val="right"/>
              <w:ind w:right="32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D5EAEA"/>
          </w:tcPr>
          <w:p>
            <w:pPr>
              <w:jc w:val="right"/>
              <w:ind w:right="300"/>
              <w:spacing w:after="0"/>
              <w:rPr>
                <w:sz w:val="20"/>
                <w:szCs w:val="20"/>
                <w:color w:val="auto"/>
              </w:rPr>
            </w:pPr>
            <w:r>
              <w:rPr>
                <w:rFonts w:ascii="Arial" w:cs="Arial" w:eastAsia="Arial" w:hAnsi="Arial"/>
                <w:sz w:val="18"/>
                <w:szCs w:val="18"/>
                <w:color w:val="auto"/>
              </w:rPr>
              <w:t>—</w:t>
            </w:r>
          </w:p>
        </w:tc>
        <w:tc>
          <w:tcPr>
            <w:tcW w:w="13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Jamie Weinstein</w:t>
            </w: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5280" w:type="dxa"/>
            <w:vAlign w:val="bottom"/>
            <w:shd w:val="clear" w:color="auto" w:fill="D5EAEA"/>
          </w:tcPr>
          <w:p>
            <w:pPr>
              <w:spacing w:after="0"/>
              <w:rPr>
                <w:sz w:val="20"/>
                <w:szCs w:val="20"/>
                <w:color w:val="auto"/>
              </w:rPr>
            </w:pPr>
            <w:r>
              <w:rPr>
                <w:rFonts w:ascii="Arial" w:cs="Arial" w:eastAsia="Arial" w:hAnsi="Arial"/>
                <w:sz w:val="18"/>
                <w:szCs w:val="18"/>
                <w:color w:val="auto"/>
              </w:rPr>
              <w:t>Noreen Doyle</w:t>
            </w:r>
          </w:p>
        </w:tc>
        <w:tc>
          <w:tcPr>
            <w:tcW w:w="1440" w:type="dxa"/>
            <w:vAlign w:val="bottom"/>
            <w:shd w:val="clear" w:color="auto" w:fill="D5EAEA"/>
          </w:tcPr>
          <w:p>
            <w:pPr>
              <w:jc w:val="right"/>
              <w:ind w:right="130"/>
              <w:spacing w:after="0"/>
              <w:rPr>
                <w:sz w:val="20"/>
                <w:szCs w:val="20"/>
                <w:color w:val="auto"/>
              </w:rPr>
            </w:pPr>
            <w:r>
              <w:rPr>
                <w:rFonts w:ascii="Arial" w:cs="Arial" w:eastAsia="Arial" w:hAnsi="Arial"/>
                <w:sz w:val="18"/>
                <w:szCs w:val="18"/>
                <w:color w:val="auto"/>
              </w:rPr>
              <w:t>25,000</w:t>
            </w:r>
          </w:p>
        </w:tc>
        <w:tc>
          <w:tcPr>
            <w:tcW w:w="100" w:type="dxa"/>
            <w:vAlign w:val="bottom"/>
            <w:shd w:val="clear" w:color="auto" w:fill="D5EAEA"/>
          </w:tcPr>
          <w:p>
            <w:pPr>
              <w:spacing w:after="0"/>
              <w:rPr>
                <w:sz w:val="18"/>
                <w:szCs w:val="18"/>
                <w:color w:val="auto"/>
              </w:rPr>
            </w:pPr>
          </w:p>
        </w:tc>
        <w:tc>
          <w:tcPr>
            <w:tcW w:w="1440" w:type="dxa"/>
            <w:vAlign w:val="bottom"/>
            <w:shd w:val="clear" w:color="auto" w:fill="D5EAEA"/>
          </w:tcPr>
          <w:p>
            <w:pPr>
              <w:jc w:val="right"/>
              <w:ind w:right="110"/>
              <w:spacing w:after="0"/>
              <w:rPr>
                <w:sz w:val="20"/>
                <w:szCs w:val="20"/>
                <w:color w:val="auto"/>
              </w:rPr>
            </w:pPr>
            <w:r>
              <w:rPr>
                <w:rFonts w:ascii="Arial" w:cs="Arial" w:eastAsia="Arial" w:hAnsi="Arial"/>
                <w:sz w:val="18"/>
                <w:szCs w:val="18"/>
                <w:color w:val="auto"/>
              </w:rPr>
              <w:t>25,000</w:t>
            </w:r>
          </w:p>
        </w:tc>
        <w:tc>
          <w:tcPr>
            <w:tcW w:w="120" w:type="dxa"/>
            <w:vAlign w:val="bottom"/>
            <w:shd w:val="clear" w:color="auto" w:fill="D5EAEA"/>
          </w:tcPr>
          <w:p>
            <w:pPr>
              <w:spacing w:after="0"/>
              <w:rPr>
                <w:sz w:val="18"/>
                <w:szCs w:val="18"/>
                <w:color w:val="auto"/>
              </w:rPr>
            </w:pPr>
          </w:p>
        </w:tc>
        <w:tc>
          <w:tcPr>
            <w:tcW w:w="1420" w:type="dxa"/>
            <w:vAlign w:val="bottom"/>
            <w:shd w:val="clear" w:color="auto" w:fill="D5EAEA"/>
          </w:tcPr>
          <w:p>
            <w:pPr>
              <w:jc w:val="right"/>
              <w:ind w:right="110"/>
              <w:spacing w:after="0"/>
              <w:rPr>
                <w:sz w:val="20"/>
                <w:szCs w:val="20"/>
                <w:color w:val="auto"/>
              </w:rPr>
            </w:pPr>
            <w:r>
              <w:rPr>
                <w:rFonts w:ascii="Arial" w:cs="Arial" w:eastAsia="Arial" w:hAnsi="Arial"/>
                <w:sz w:val="18"/>
                <w:szCs w:val="18"/>
                <w:color w:val="auto"/>
              </w:rPr>
              <w:t>*</w:t>
            </w: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William Janetschek</w:t>
            </w:r>
          </w:p>
        </w:tc>
        <w:tc>
          <w:tcPr>
            <w:tcW w:w="1440" w:type="dxa"/>
            <w:vAlign w:val="bottom"/>
          </w:tcPr>
          <w:p>
            <w:pPr>
              <w:jc w:val="right"/>
              <w:ind w:right="130"/>
              <w:spacing w:after="0"/>
              <w:rPr>
                <w:sz w:val="20"/>
                <w:szCs w:val="20"/>
                <w:color w:val="auto"/>
              </w:rPr>
            </w:pPr>
            <w:r>
              <w:rPr>
                <w:rFonts w:ascii="Arial" w:cs="Arial" w:eastAsia="Arial" w:hAnsi="Arial"/>
                <w:sz w:val="18"/>
                <w:szCs w:val="18"/>
                <w:color w:val="auto"/>
              </w:rPr>
              <w:t>25,000</w:t>
            </w:r>
          </w:p>
        </w:tc>
        <w:tc>
          <w:tcPr>
            <w:tcW w:w="100" w:type="dxa"/>
            <w:vAlign w:val="bottom"/>
          </w:tcPr>
          <w:p>
            <w:pPr>
              <w:spacing w:after="0"/>
              <w:rPr>
                <w:sz w:val="18"/>
                <w:szCs w:val="18"/>
                <w:color w:val="auto"/>
              </w:rPr>
            </w:pPr>
          </w:p>
        </w:tc>
        <w:tc>
          <w:tcPr>
            <w:tcW w:w="1440" w:type="dxa"/>
            <w:vAlign w:val="bottom"/>
          </w:tcPr>
          <w:p>
            <w:pPr>
              <w:jc w:val="right"/>
              <w:ind w:right="110"/>
              <w:spacing w:after="0"/>
              <w:rPr>
                <w:sz w:val="20"/>
                <w:szCs w:val="20"/>
                <w:color w:val="auto"/>
              </w:rPr>
            </w:pPr>
            <w:r>
              <w:rPr>
                <w:rFonts w:ascii="Arial" w:cs="Arial" w:eastAsia="Arial" w:hAnsi="Arial"/>
                <w:sz w:val="18"/>
                <w:szCs w:val="18"/>
                <w:color w:val="auto"/>
              </w:rPr>
              <w:t>25,000</w:t>
            </w:r>
          </w:p>
        </w:tc>
        <w:tc>
          <w:tcPr>
            <w:tcW w:w="120" w:type="dxa"/>
            <w:vAlign w:val="bottom"/>
          </w:tcPr>
          <w:p>
            <w:pPr>
              <w:spacing w:after="0"/>
              <w:rPr>
                <w:sz w:val="18"/>
                <w:szCs w:val="18"/>
                <w:color w:val="auto"/>
              </w:rPr>
            </w:pPr>
          </w:p>
        </w:tc>
        <w:tc>
          <w:tcPr>
            <w:tcW w:w="14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5280" w:type="dxa"/>
            <w:vAlign w:val="bottom"/>
            <w:shd w:val="clear" w:color="auto" w:fill="D5EAEA"/>
          </w:tcPr>
          <w:p>
            <w:pPr>
              <w:spacing w:after="0"/>
              <w:rPr>
                <w:sz w:val="20"/>
                <w:szCs w:val="20"/>
                <w:color w:val="auto"/>
              </w:rPr>
            </w:pPr>
            <w:r>
              <w:rPr>
                <w:rFonts w:ascii="Arial" w:cs="Arial" w:eastAsia="Arial" w:hAnsi="Arial"/>
                <w:sz w:val="18"/>
                <w:szCs w:val="18"/>
                <w:color w:val="auto"/>
              </w:rPr>
              <w:t>David Poritz</w:t>
            </w:r>
          </w:p>
        </w:tc>
        <w:tc>
          <w:tcPr>
            <w:tcW w:w="1440" w:type="dxa"/>
            <w:vAlign w:val="bottom"/>
            <w:shd w:val="clear" w:color="auto" w:fill="D5EAEA"/>
          </w:tcPr>
          <w:p>
            <w:pPr>
              <w:jc w:val="right"/>
              <w:ind w:right="130"/>
              <w:spacing w:after="0"/>
              <w:rPr>
                <w:sz w:val="20"/>
                <w:szCs w:val="20"/>
                <w:color w:val="auto"/>
              </w:rPr>
            </w:pPr>
            <w:r>
              <w:rPr>
                <w:rFonts w:ascii="Arial" w:cs="Arial" w:eastAsia="Arial" w:hAnsi="Arial"/>
                <w:sz w:val="18"/>
                <w:szCs w:val="18"/>
                <w:color w:val="auto"/>
              </w:rPr>
              <w:t>25,000</w:t>
            </w:r>
          </w:p>
        </w:tc>
        <w:tc>
          <w:tcPr>
            <w:tcW w:w="100" w:type="dxa"/>
            <w:vAlign w:val="bottom"/>
            <w:shd w:val="clear" w:color="auto" w:fill="D5EAEA"/>
          </w:tcPr>
          <w:p>
            <w:pPr>
              <w:spacing w:after="0"/>
              <w:rPr>
                <w:sz w:val="18"/>
                <w:szCs w:val="18"/>
                <w:color w:val="auto"/>
              </w:rPr>
            </w:pPr>
          </w:p>
        </w:tc>
        <w:tc>
          <w:tcPr>
            <w:tcW w:w="1440" w:type="dxa"/>
            <w:vAlign w:val="bottom"/>
            <w:shd w:val="clear" w:color="auto" w:fill="D5EAEA"/>
          </w:tcPr>
          <w:p>
            <w:pPr>
              <w:jc w:val="right"/>
              <w:ind w:right="110"/>
              <w:spacing w:after="0"/>
              <w:rPr>
                <w:sz w:val="20"/>
                <w:szCs w:val="20"/>
                <w:color w:val="auto"/>
              </w:rPr>
            </w:pPr>
            <w:r>
              <w:rPr>
                <w:rFonts w:ascii="Arial" w:cs="Arial" w:eastAsia="Arial" w:hAnsi="Arial"/>
                <w:sz w:val="18"/>
                <w:szCs w:val="18"/>
                <w:color w:val="auto"/>
              </w:rPr>
              <w:t>25,000</w:t>
            </w:r>
          </w:p>
        </w:tc>
        <w:tc>
          <w:tcPr>
            <w:tcW w:w="120" w:type="dxa"/>
            <w:vAlign w:val="bottom"/>
            <w:shd w:val="clear" w:color="auto" w:fill="D5EAEA"/>
          </w:tcPr>
          <w:p>
            <w:pPr>
              <w:spacing w:after="0"/>
              <w:rPr>
                <w:sz w:val="18"/>
                <w:szCs w:val="18"/>
                <w:color w:val="auto"/>
              </w:rPr>
            </w:pPr>
          </w:p>
        </w:tc>
        <w:tc>
          <w:tcPr>
            <w:tcW w:w="1420" w:type="dxa"/>
            <w:vAlign w:val="bottom"/>
            <w:shd w:val="clear" w:color="auto" w:fill="D5EAEA"/>
          </w:tcPr>
          <w:p>
            <w:pPr>
              <w:jc w:val="right"/>
              <w:ind w:right="110"/>
              <w:spacing w:after="0"/>
              <w:rPr>
                <w:sz w:val="20"/>
                <w:szCs w:val="20"/>
                <w:color w:val="auto"/>
              </w:rPr>
            </w:pPr>
            <w:r>
              <w:rPr>
                <w:rFonts w:ascii="Arial" w:cs="Arial" w:eastAsia="Arial" w:hAnsi="Arial"/>
                <w:sz w:val="18"/>
                <w:szCs w:val="18"/>
                <w:color w:val="auto"/>
              </w:rPr>
              <w:t>*</w:t>
            </w: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w:t>
            </w:r>
          </w:p>
        </w:tc>
      </w:tr>
      <w:tr>
        <w:trPr>
          <w:trHeight w:val="202"/>
        </w:trPr>
        <w:tc>
          <w:tcPr>
            <w:tcW w:w="5280" w:type="dxa"/>
            <w:vAlign w:val="bottom"/>
          </w:tcPr>
          <w:p>
            <w:pPr>
              <w:spacing w:after="0" w:line="201" w:lineRule="exact"/>
              <w:rPr>
                <w:sz w:val="20"/>
                <w:szCs w:val="20"/>
                <w:color w:val="auto"/>
              </w:rPr>
            </w:pPr>
            <w:r>
              <w:rPr>
                <w:rFonts w:ascii="Arial" w:cs="Arial" w:eastAsia="Arial" w:hAnsi="Arial"/>
                <w:sz w:val="18"/>
                <w:szCs w:val="18"/>
                <w:color w:val="auto"/>
              </w:rPr>
              <w:t>All officers, directors and director nominees as a group</w:t>
            </w: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(six individuals)</w:t>
            </w:r>
          </w:p>
        </w:tc>
        <w:tc>
          <w:tcPr>
            <w:tcW w:w="1440" w:type="dxa"/>
            <w:vAlign w:val="bottom"/>
          </w:tcPr>
          <w:p>
            <w:pPr>
              <w:jc w:val="right"/>
              <w:ind w:right="130"/>
              <w:spacing w:after="0"/>
              <w:rPr>
                <w:sz w:val="20"/>
                <w:szCs w:val="20"/>
                <w:color w:val="auto"/>
              </w:rPr>
            </w:pPr>
            <w:r>
              <w:rPr>
                <w:rFonts w:ascii="Arial" w:cs="Arial" w:eastAsia="Arial" w:hAnsi="Arial"/>
                <w:sz w:val="18"/>
                <w:szCs w:val="18"/>
                <w:color w:val="auto"/>
              </w:rPr>
              <w:t>75,000</w:t>
            </w:r>
          </w:p>
        </w:tc>
        <w:tc>
          <w:tcPr>
            <w:tcW w:w="100" w:type="dxa"/>
            <w:vAlign w:val="bottom"/>
          </w:tcPr>
          <w:p>
            <w:pPr>
              <w:spacing w:after="0"/>
              <w:rPr>
                <w:sz w:val="20"/>
                <w:szCs w:val="20"/>
                <w:color w:val="auto"/>
              </w:rPr>
            </w:pPr>
          </w:p>
        </w:tc>
        <w:tc>
          <w:tcPr>
            <w:tcW w:w="1440" w:type="dxa"/>
            <w:vAlign w:val="bottom"/>
          </w:tcPr>
          <w:p>
            <w:pPr>
              <w:jc w:val="right"/>
              <w:ind w:right="110"/>
              <w:spacing w:after="0"/>
              <w:rPr>
                <w:sz w:val="20"/>
                <w:szCs w:val="20"/>
                <w:color w:val="auto"/>
              </w:rPr>
            </w:pPr>
            <w:r>
              <w:rPr>
                <w:rFonts w:ascii="Arial" w:cs="Arial" w:eastAsia="Arial" w:hAnsi="Arial"/>
                <w:sz w:val="18"/>
                <w:szCs w:val="18"/>
                <w:color w:val="auto"/>
              </w:rPr>
              <w:t>75,000</w:t>
            </w:r>
          </w:p>
        </w:tc>
        <w:tc>
          <w:tcPr>
            <w:tcW w:w="1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0"/>
                <w:szCs w:val="20"/>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260604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260604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188595</wp:posOffset>
            </wp:positionV>
            <wp:extent cx="17830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44" w:lineRule="exact"/>
        <w:rPr>
          <w:sz w:val="20"/>
          <w:szCs w:val="20"/>
          <w:color w:val="auto"/>
        </w:rPr>
      </w:pPr>
    </w:p>
    <w:p>
      <w:pPr>
        <w:ind w:left="340" w:hanging="332"/>
        <w:spacing w:after="0"/>
        <w:tabs>
          <w:tab w:leader="none" w:pos="3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Less than one percent.</w:t>
      </w:r>
    </w:p>
    <w:p>
      <w:pPr>
        <w:spacing w:after="0" w:line="225" w:lineRule="exact"/>
        <w:rPr>
          <w:sz w:val="20"/>
          <w:szCs w:val="20"/>
          <w:color w:val="auto"/>
        </w:rPr>
      </w:pPr>
    </w:p>
    <w:p>
      <w:pPr>
        <w:ind w:left="340" w:hanging="332"/>
        <w:spacing w:after="0"/>
        <w:tabs>
          <w:tab w:leader="none" w:pos="3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Unless otherwise noted, the business address of each of the following is 14 Wall Street, 20th Floor, New York, 10005.</w:t>
      </w:r>
    </w:p>
    <w:p>
      <w:pPr>
        <w:spacing w:after="0" w:line="225" w:lineRule="exact"/>
        <w:rPr>
          <w:rFonts w:ascii="Arial" w:cs="Arial" w:eastAsia="Arial" w:hAnsi="Arial"/>
          <w:sz w:val="18"/>
          <w:szCs w:val="18"/>
          <w:color w:val="auto"/>
        </w:rPr>
      </w:pPr>
    </w:p>
    <w:p>
      <w:pPr>
        <w:ind w:left="340" w:right="40" w:hanging="332"/>
        <w:spacing w:after="0" w:line="263" w:lineRule="auto"/>
        <w:tabs>
          <w:tab w:leader="none" w:pos="3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Interests shown consist solely of founder shares, classified as Class B ordinary shares. Such shares will automatically convert into Class A ordinary shares concurrently with or immediately following the consummation of our initial business combination on a one-for-one basis, subject to adjustment, as described in the section entitled “Description of Securities.”</w:t>
      </w:r>
    </w:p>
    <w:p>
      <w:pPr>
        <w:spacing w:after="0" w:line="183" w:lineRule="exact"/>
        <w:rPr>
          <w:rFonts w:ascii="Arial" w:cs="Arial" w:eastAsia="Arial" w:hAnsi="Arial"/>
          <w:sz w:val="18"/>
          <w:szCs w:val="18"/>
          <w:color w:val="auto"/>
        </w:rPr>
      </w:pPr>
    </w:p>
    <w:p>
      <w:pPr>
        <w:ind w:left="340" w:right="180" w:hanging="332"/>
        <w:spacing w:after="0" w:line="263" w:lineRule="auto"/>
        <w:tabs>
          <w:tab w:leader="none" w:pos="3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Freedom Acquisition I LLC, our sponsor, is the record holder of such shares. Mr. Thiam, Mr. Gishen and Mr. Bhatia are the three managers of our sponsor’s board of managers. Each manager of Freedom Acquisition I LLC has one vote, and the approval of a majority of the members of the board of managers is required to approve an</w:t>
      </w:r>
    </w:p>
    <w:p>
      <w:pPr>
        <w:spacing w:after="0" w:line="200" w:lineRule="exact"/>
        <w:rPr>
          <w:sz w:val="20"/>
          <w:szCs w:val="20"/>
          <w:color w:val="auto"/>
        </w:rPr>
      </w:pPr>
    </w:p>
    <w:p>
      <w:pPr>
        <w:spacing w:after="0" w:line="26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25" w:name="page126"/>
    <w:bookmarkEnd w:id="125"/>
    <w:p>
      <w:pPr>
        <w:ind w:left="340"/>
        <w:spacing w:after="0" w:line="254" w:lineRule="auto"/>
        <w:rPr>
          <w:sz w:val="20"/>
          <w:szCs w:val="20"/>
          <w:color w:val="auto"/>
        </w:rPr>
      </w:pPr>
      <w:r>
        <w:rPr>
          <w:rFonts w:ascii="Arial" w:cs="Arial" w:eastAsia="Arial" w:hAnsi="Arial"/>
          <w:sz w:val="18"/>
          <w:szCs w:val="18"/>
          <w:color w:val="auto"/>
        </w:rPr>
        <w:t>action of Freedom Acquisition I LLC. Under the so-called “rule of three,” if voting and dispositive decisions regarding an entity’s securities are made by three or more individuals, and a voting and dispositive decision requires the approval of a majority of those individuals, then none of the individuals is deemed a beneficial owner of the entity’s securities. This is the situation with regard to Freedom Acquisition I LLC. Based upon the foregoing analysis, no individual manager of Freedom Acquisition I LLC exercises voting or dispositive control over any of the securities held by Freedom Acquisition I LLC even those in which he directly holds a pecuniary interest. Accordingly, none of them will be deemed to have or share beneficial ownership of such shares and, for the avoidance of doubt, expressly disclaims any such beneficial interest to the extent of any pecuniary interest he may have therein, directly or indirectly.</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(4)  Excludes 62,500 founder shares expected to be transferred to certain employees.</w:t>
      </w:r>
    </w:p>
    <w:p>
      <w:pPr>
        <w:spacing w:after="0" w:line="225" w:lineRule="exact"/>
        <w:rPr>
          <w:sz w:val="20"/>
          <w:szCs w:val="20"/>
          <w:color w:val="auto"/>
        </w:rPr>
      </w:pPr>
    </w:p>
    <w:p>
      <w:pPr>
        <w:ind w:right="20" w:firstLine="324"/>
        <w:spacing w:after="0" w:line="293" w:lineRule="auto"/>
        <w:rPr>
          <w:sz w:val="20"/>
          <w:szCs w:val="20"/>
          <w:color w:val="auto"/>
        </w:rPr>
      </w:pPr>
      <w:r>
        <w:rPr>
          <w:rFonts w:ascii="Arial" w:cs="Arial" w:eastAsia="Arial" w:hAnsi="Arial"/>
          <w:sz w:val="16"/>
          <w:szCs w:val="16"/>
          <w:color w:val="auto"/>
        </w:rPr>
        <w:t>Immediately after this offering, our initial shareholders will beneficially own 20.0% of the then issued and outstanding ordinary shares (assuming they do not purchase any units in this offering). Only holders of Class B ordinary shares will have the right to appoint and remove directors in any general meeting held prior to or in connection with the completion of our initial business combination. Holders of our public shares will not have the right to appoint or remove any directors to our board of directors prior to our initial business combination. Because of this ownership block, our initial shareholders may be able to effectively influence the outcome of all other matters requiring approval by our shareholders, including amendments to our amended and restated memorandum and articles of association and approval of significant corporate transactions including our initial business combination.</w:t>
      </w:r>
    </w:p>
    <w:p>
      <w:pPr>
        <w:spacing w:after="0" w:line="164" w:lineRule="exact"/>
        <w:rPr>
          <w:sz w:val="20"/>
          <w:szCs w:val="20"/>
          <w:color w:val="auto"/>
        </w:rPr>
      </w:pPr>
    </w:p>
    <w:p>
      <w:pPr>
        <w:ind w:right="20" w:firstLine="324"/>
        <w:spacing w:after="0" w:line="289" w:lineRule="auto"/>
        <w:rPr>
          <w:sz w:val="20"/>
          <w:szCs w:val="20"/>
          <w:color w:val="auto"/>
        </w:rPr>
      </w:pPr>
      <w:r>
        <w:rPr>
          <w:rFonts w:ascii="Arial" w:cs="Arial" w:eastAsia="Arial" w:hAnsi="Arial"/>
          <w:sz w:val="16"/>
          <w:szCs w:val="16"/>
          <w:color w:val="auto"/>
        </w:rPr>
        <w:t>Our sponsor has committed, pursuant to a written agreement, to purchase an aggregate of 5,000,000 private placement warrants (or 5,500,000 private placement warrants if the underwriters’ over-allotment option is exercised in full), each exercisable to purchase one Class A ordinary share at $11.50 per share, subject to adjustment as described herein, at a price of $1.50 per warrant, or $7,500,000 in the aggregate (or $8,250,000 if the underwriters’ over-allotment option is exercised in full), in a private placement that will occur simultaneously with the closing of this offering. The private placement warrants will be identical to the warrants sold in this offering except that the private placement warrants, so long as they are held by our sponsor or its permitted transferees, (i) will not be redeemable by us (except as described under “Description of Securities—Warrants—Public Shareholders’ Warrants— Redemption of Warrants When the Price per Class A Ordinary Share Equals or Exceeds $18.00”), (ii) will be subject to the transfer restrictions described below, (iii) may be exercised by the holders on a cashless basis and (iv) will be entitled to registration rights. If we do not complete our initial business combination within 24 months from the closing of this offering or during any Extension Period, the private placement warrants will expire worthless.</w:t>
      </w:r>
    </w:p>
    <w:p>
      <w:pPr>
        <w:spacing w:after="0" w:line="166"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Freedom Acquisition I LLC, our sponsor, and our officers and directors are deemed to be our “promoters” as such term is defined under the federal securities laws.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Transfers of Founder Shares and Private Placement Warrants</w:t>
      </w:r>
    </w:p>
    <w:p>
      <w:pPr>
        <w:spacing w:after="0" w:line="229" w:lineRule="exact"/>
        <w:rPr>
          <w:sz w:val="20"/>
          <w:szCs w:val="20"/>
          <w:color w:val="auto"/>
        </w:rPr>
      </w:pPr>
    </w:p>
    <w:p>
      <w:pPr>
        <w:ind w:right="20" w:firstLine="324"/>
        <w:spacing w:after="0" w:line="283" w:lineRule="auto"/>
        <w:rPr>
          <w:sz w:val="20"/>
          <w:szCs w:val="20"/>
          <w:color w:val="auto"/>
        </w:rPr>
      </w:pPr>
      <w:r>
        <w:rPr>
          <w:rFonts w:ascii="Arial" w:cs="Arial" w:eastAsia="Arial" w:hAnsi="Arial"/>
          <w:sz w:val="16"/>
          <w:szCs w:val="16"/>
          <w:color w:val="auto"/>
        </w:rPr>
        <w:t>The founder shares, private placement warrants and any Class A ordinary shares issued upon conversion or exercise thereof are each subject to transfer restrictions pursuant to lock-up provisions in the agreement entered into by our sponsor and management team. Those lock-up provisions provide that such securities are not transferable or salable (i) in the case of the founder shares, until the earlier of (A) one year after the completion of our initial business combination or earlier if, subsequent to our initial business combination, the last reported sales price of the Class A ordinary shares equals or exceeds $12.00 per share (as adjusted for share sub-divisions, share capitalizations, reorganizations, recapitalizations and the like) for any 20 trading days within any 30-trading day period commencing at least 150 days after our initial business combination and (B) the date following the completion of our initial business combination on which we complete a liquidation, merger, share exchange or other similar transaction that results in all of our shareholders having the right to exchange their Class A ordinary shares for cash, securities or other property and (ii) in the case of the private placement warrants and any Class A ordinary shares issuable upon conversion or exercise thereof, until 30 days after the completion of our initial business combination except in each case</w:t>
      </w:r>
    </w:p>
    <w:p>
      <w:pPr>
        <w:spacing w:after="0" w:line="6" w:lineRule="exact"/>
        <w:rPr>
          <w:sz w:val="20"/>
          <w:szCs w:val="20"/>
          <w:color w:val="auto"/>
        </w:rPr>
      </w:pPr>
    </w:p>
    <w:p>
      <w:pPr>
        <w:ind w:right="420" w:firstLine="8"/>
        <w:spacing w:after="0" w:line="253" w:lineRule="auto"/>
        <w:tabs>
          <w:tab w:leader="none" w:pos="245" w:val="left"/>
        </w:tabs>
        <w:numPr>
          <w:ilvl w:val="0"/>
          <w:numId w:val="50"/>
        </w:numPr>
        <w:rPr>
          <w:rFonts w:ascii="Arial" w:cs="Arial" w:eastAsia="Arial" w:hAnsi="Arial"/>
          <w:sz w:val="18"/>
          <w:szCs w:val="18"/>
          <w:color w:val="auto"/>
        </w:rPr>
      </w:pPr>
      <w:r>
        <w:rPr>
          <w:rFonts w:ascii="Arial" w:cs="Arial" w:eastAsia="Arial" w:hAnsi="Arial"/>
          <w:sz w:val="18"/>
          <w:szCs w:val="18"/>
          <w:color w:val="auto"/>
        </w:rPr>
        <w:t>to our officers or directors, any affiliate or family member of any of our officers or directors, any affiliate of our sponsor or to any member of the sponsor or any affiliates of such members and funds and accounts advised by such members, (b) in the case of an individual, as a gift to such person’s immediate family or to a trust, the beneficiary of which is a member of such person’s immediate family, an affiliate of such person or to a charitable organization; (c) in the case of an individual, by virtue of laws of descent and distribution upon death of such person; (d) in the case of an individual, pursuant to a</w:t>
      </w:r>
    </w:p>
    <w:p>
      <w:pPr>
        <w:spacing w:after="0" w:line="29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126" w:name="page127"/>
    <w:bookmarkEnd w:id="126"/>
    <w:p>
      <w:pPr>
        <w:ind w:right="80"/>
        <w:spacing w:after="0" w:line="291" w:lineRule="auto"/>
        <w:rPr>
          <w:sz w:val="20"/>
          <w:szCs w:val="20"/>
          <w:color w:val="auto"/>
        </w:rPr>
      </w:pPr>
      <w:r>
        <w:rPr>
          <w:rFonts w:ascii="Arial" w:cs="Arial" w:eastAsia="Arial" w:hAnsi="Arial"/>
          <w:sz w:val="16"/>
          <w:szCs w:val="16"/>
          <w:color w:val="auto"/>
        </w:rPr>
        <w:t>qualified domestic relations order; (e) by private sales or transfers made in connection with any forward purchase agreement or similar arrangement or in connection with the consummation of a business combination at prices no greater than the price at which the shares or warrants were originally purchased;</w:t>
      </w:r>
    </w:p>
    <w:p>
      <w:pPr>
        <w:ind w:firstLine="8"/>
        <w:spacing w:after="0" w:line="252" w:lineRule="auto"/>
        <w:tabs>
          <w:tab w:leader="none" w:pos="225" w:val="left"/>
        </w:tabs>
        <w:numPr>
          <w:ilvl w:val="0"/>
          <w:numId w:val="51"/>
        </w:numPr>
        <w:rPr>
          <w:rFonts w:ascii="Arial" w:cs="Arial" w:eastAsia="Arial" w:hAnsi="Arial"/>
          <w:sz w:val="18"/>
          <w:szCs w:val="18"/>
          <w:color w:val="auto"/>
        </w:rPr>
      </w:pPr>
      <w:r>
        <w:rPr>
          <w:rFonts w:ascii="Arial" w:cs="Arial" w:eastAsia="Arial" w:hAnsi="Arial"/>
          <w:sz w:val="18"/>
          <w:szCs w:val="18"/>
          <w:color w:val="auto"/>
        </w:rPr>
        <w:t>by virtue of the laws of the Cayman Islands or our sponsor’s limited liability company agreement upon dissolution of our sponsor, (g) in the event of our liquidation prior to our consummation of our initial business combination; or (h) in the event that, subsequent to our consummation of an initial business combination, we complete a liquidation, merger, share exchange or other similar transaction which results in all of our shareholders having the right to exchange their Class A ordinary shares for cash, securities or other property; provided, however, that in the case of clauses (a) through (f) these permitted transferees must enter into a written agreement agreeing to be bound by these transfer restrictions and the other restrictions contained in the letter agreements.</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Registration Rights</w:t>
      </w:r>
    </w:p>
    <w:p>
      <w:pPr>
        <w:spacing w:after="0" w:line="229" w:lineRule="exact"/>
        <w:rPr>
          <w:sz w:val="20"/>
          <w:szCs w:val="20"/>
          <w:color w:val="auto"/>
        </w:rPr>
      </w:pPr>
    </w:p>
    <w:p>
      <w:pPr>
        <w:ind w:right="20" w:firstLine="324"/>
        <w:spacing w:after="0" w:line="268" w:lineRule="auto"/>
        <w:rPr>
          <w:sz w:val="20"/>
          <w:szCs w:val="20"/>
          <w:color w:val="auto"/>
        </w:rPr>
      </w:pPr>
      <w:r>
        <w:rPr>
          <w:rFonts w:ascii="Arial" w:cs="Arial" w:eastAsia="Arial" w:hAnsi="Arial"/>
          <w:sz w:val="17"/>
          <w:szCs w:val="17"/>
          <w:color w:val="auto"/>
        </w:rPr>
        <w:t>The holders of the (i) founder shares, which were issued in a private placement prior to the closing of this offering, (ii) private placement warrants, which will be issued in a private placement simultaneously with the closing of this offering and the Class A ordinary shares underlying such private placement warrants and (iii) private placement warrants that may be issued upon conversion of working capital loans will have registration rights to require us to register the resale of any of our securities held by them pursuant to a registration rights agreement. Pursuant to the registration rights agreement and assuming the underwriters exercise their over-allotment option in full and $2,000,000 of working capital loans are converted into private placement warrants, we will be obligated to register up to 14,020,833 Class A ordinary shares and 6,833,333 warrants. The number of Class A ordinary shares includes (i) 7,187,500 Class A ordinary shares to be issued upon conversion of the founder shares, (ii) 5,500,000 Class A ordinary shares underlying the private placement warrants and (iii) 1,333,333 Class A ordinary shares underlying the private placement warrants issuable upon conversion of working capital loans. The number of warrants includes 5,500,000 private placement warrants issued in a private placement simultaneously with the closing of this offering and 1,333,333 private placement warrants issuable upon conversion of working capital loans. The holders of these securities are entitled to make up to three demands, excluding short form demands, that we register such securities. In addition, the holders have certain “piggy-back” registration rights with respect to registration statements filed subsequent to our completion of our initial business combination. We will bear the expenses incurred in connection with the filing of any such registration statements.</w:t>
      </w:r>
    </w:p>
    <w:p>
      <w:pPr>
        <w:spacing w:after="0" w:line="29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127" w:name="page128"/>
    <w:bookmarkEnd w:id="127"/>
    <w:p>
      <w:pPr>
        <w:jc w:val="center"/>
        <w:ind w:right="-39"/>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229" w:lineRule="exact"/>
        <w:rPr>
          <w:sz w:val="20"/>
          <w:szCs w:val="20"/>
          <w:color w:val="auto"/>
        </w:rPr>
      </w:pPr>
    </w:p>
    <w:p>
      <w:pPr>
        <w:ind w:right="40" w:firstLine="324"/>
        <w:spacing w:after="0" w:line="271" w:lineRule="auto"/>
        <w:rPr>
          <w:sz w:val="20"/>
          <w:szCs w:val="20"/>
          <w:color w:val="auto"/>
        </w:rPr>
      </w:pPr>
      <w:r>
        <w:rPr>
          <w:rFonts w:ascii="Arial" w:cs="Arial" w:eastAsia="Arial" w:hAnsi="Arial"/>
          <w:sz w:val="17"/>
          <w:szCs w:val="17"/>
          <w:color w:val="auto"/>
        </w:rPr>
        <w:t>On December 30, 2020, we issued to our sponsor an aggregate of 7,187,500 founder shares in exchange for a capital contribution of $25,000, or approximately $0.003 per share, to cover certain of our expenses. Prior to this offering, our sponsor intends to transfer 25,000 of our founder shares to each of our three independent directors and an aggregate of up to 62,500 of our founder shares to certain employees. These 137,500 shares will not be subject to forfeiture in the event the underwriters’ over-allotment option is not exercised. If we increase or decrease the size of this offering, we will effect a capitalization or share repurchase or redemption or other appropriate mechanism, as applicable, with respect to our Class B ordinary shares immediately prior to the consummation of this offering in such amount as to maintain the number of founder shares at 20% of our issued and outstanding ordinary shares upon the consummation of this offering. Up to 937,500 of the founder shares may be surrendered by our sponsor for no consideration depending on the extent to which the underwriters’ over-allotment is exercised.</w:t>
      </w:r>
    </w:p>
    <w:p>
      <w:pPr>
        <w:spacing w:after="0" w:line="178" w:lineRule="exact"/>
        <w:rPr>
          <w:sz w:val="20"/>
          <w:szCs w:val="20"/>
          <w:color w:val="auto"/>
        </w:rPr>
      </w:pPr>
    </w:p>
    <w:p>
      <w:pPr>
        <w:ind w:right="40" w:firstLine="324"/>
        <w:spacing w:after="0" w:line="289" w:lineRule="auto"/>
        <w:rPr>
          <w:sz w:val="20"/>
          <w:szCs w:val="20"/>
          <w:color w:val="auto"/>
        </w:rPr>
      </w:pPr>
      <w:r>
        <w:rPr>
          <w:rFonts w:ascii="Arial" w:cs="Arial" w:eastAsia="Arial" w:hAnsi="Arial"/>
          <w:sz w:val="16"/>
          <w:szCs w:val="16"/>
          <w:color w:val="auto"/>
        </w:rPr>
        <w:t>Our sponsor has committed to, pursuant to a written agreement, to purchase an aggregate of 5,000,000 private placement warrants (or 5,500,000 private placement warrants if the underwriters’ over-allotment option is exercised in full), each exercisable to purchase one Class A ordinary share at $11.50 per share, subject to adjustment as described herein, at a price of $1.50 per warrant, or $7,500,000 in the aggregate (or $8,250,000 if the underwriters’ over-allotment option is exercised in full), in a private placement that will close simultaneously with the closing of this offering. The private placement warrants will be identical to the warrants sold in this offering except that the private placement warrants, so long as they are held by our sponsor or its permitted transferees, (i) will not be redeemable by us (except as described under “Description of Securities—Warrants—Public Shareholders’ Warrants—Redemption of Warrants When the Price per Class A Ordinary Share Equals or Exceeds $18.00”), (ii) may not (including the Class A ordinary shares issuable upon exercise of these warrants), subject to certain limited exceptions, be transferred, assigned or sold by the holders until 30 days after the completion of our initial business combination, (iii) may be exercised by the holders on a cashless basis and (iv) will be entitled to registration rights.</w:t>
      </w:r>
    </w:p>
    <w:p>
      <w:pPr>
        <w:spacing w:after="0" w:line="166" w:lineRule="exact"/>
        <w:rPr>
          <w:sz w:val="20"/>
          <w:szCs w:val="20"/>
          <w:color w:val="auto"/>
        </w:rPr>
      </w:pPr>
    </w:p>
    <w:p>
      <w:pPr>
        <w:ind w:right="20" w:firstLine="324"/>
        <w:spacing w:after="0" w:line="275" w:lineRule="auto"/>
        <w:rPr>
          <w:sz w:val="20"/>
          <w:szCs w:val="20"/>
          <w:color w:val="auto"/>
        </w:rPr>
      </w:pPr>
      <w:r>
        <w:rPr>
          <w:rFonts w:ascii="Arial" w:cs="Arial" w:eastAsia="Arial" w:hAnsi="Arial"/>
          <w:sz w:val="17"/>
          <w:szCs w:val="17"/>
          <w:color w:val="auto"/>
        </w:rPr>
        <w:t>The PIMCO private fund has expressed an intent to purchase, or to have one or more of its affiliates purchase, up to an aggregate of 2,475,000 units in this offering at the public offering price. Because this indication of interest is not a binding agreement or a commitment to purchase, such entities may elect to purchase fewer or no units in this offering, or the underwriters may elect to sell fewer or no units in this offering to such entities. The underwriters will not receive any upfront underwriting discount or commissions on any such units purchased by the PIMCO private fund or its affiliates but will receive deferred underwriting commissions with respect to such units in an amount of $0.35 per unit.</w:t>
      </w:r>
    </w:p>
    <w:p>
      <w:pPr>
        <w:spacing w:after="0" w:line="176"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We currently utilize office space at 14 Wall Street, 20th Floor, New York, 10005 as our executive offices. Commencing on the date of this prospectus, we will pay our sponsor or an affiliate thereof up to $10,000 per month for office space, utilities, secretarial and administrative support services provided to members of our management team and other expenses and obligations of our sponsor. Upon completion of our initial business combination or our liquidation, we will cease paying these monthly fees.</w:t>
      </w:r>
    </w:p>
    <w:p>
      <w:pPr>
        <w:spacing w:after="0" w:line="187"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No compensation of any kind, including finder’s and consulting fees, will be paid by the company to our sponsor, officers and directors, or any of their respective affiliates, for services rendered prior to or in connection with the completion of an initial business combination. However, these individuals will be reimbursed for any out-of-pocket expenses incurred in connection with activities on our behalf such as identifying potential target businesses and performing due diligence on suitable business combinations. Our audit committee will review on a quarterly basis all payments that were made by us to our sponsor, officers, directors or our or their affiliates.</w:t>
      </w:r>
    </w:p>
    <w:p>
      <w:pPr>
        <w:spacing w:after="0" w:line="188"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Prior to the closing of this offering, our sponsor may loan us funds to be used for a portion of the expenses of this offering. These loans would be non-interest bearing, unsecured and are due at the earlier of December 31, 2021 or the closing of this offering.</w:t>
      </w:r>
    </w:p>
    <w:p>
      <w:pPr>
        <w:spacing w:after="0" w:line="170" w:lineRule="exact"/>
        <w:rPr>
          <w:sz w:val="20"/>
          <w:szCs w:val="20"/>
          <w:color w:val="auto"/>
        </w:rPr>
      </w:pPr>
    </w:p>
    <w:p>
      <w:pPr>
        <w:ind w:right="80" w:firstLine="324"/>
        <w:spacing w:after="0" w:line="269" w:lineRule="auto"/>
        <w:rPr>
          <w:sz w:val="20"/>
          <w:szCs w:val="20"/>
          <w:color w:val="auto"/>
        </w:rPr>
      </w:pPr>
      <w:r>
        <w:rPr>
          <w:rFonts w:ascii="Arial" w:cs="Arial" w:eastAsia="Arial" w:hAnsi="Arial"/>
          <w:sz w:val="17"/>
          <w:szCs w:val="17"/>
          <w:color w:val="auto"/>
        </w:rPr>
        <w:t>In addition, in order to fund working capital deficiencies or finance transaction costs in connection with an intended initial business combination, our initial shareholders, sponsor or an affiliate of our sponsor or certain of our officers and directors may, but are not obligated to, loan us funds as may be required on a non-interest basis. If we complete an initial business combination, we would repay such loaned amounts. In the event that the initial business combination does not close, we may use a portion of the working capital held outside the trust account to repay such loaned amounts but no proceeds from our trust account would be used for such repayment. Up to $2,000,000 of such loans may be convertible into private placement warrants of the post business combination entity at a price of $1.50 per warrant at the option of the lender. Such warrants would be identical to the private placement warrants described above. Except as set forth above, the terms of such loans, if any, have not been determined and no written agreements exist with respect to such loans. Prior to the completion of our initial business combination, we do not expect to seek loans from parties other than our sponsor or an affiliate of our sponsor as we do not believe third parties will be willing to loan such funds and provide a waiver against any and all rights to seek access to funds in our trust account.</w:t>
      </w:r>
    </w:p>
    <w:p>
      <w:pPr>
        <w:spacing w:after="0" w:line="29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128" w:name="page129"/>
    <w:bookmarkEnd w:id="128"/>
    <w:p>
      <w:pPr>
        <w:ind w:right="560" w:firstLine="324"/>
        <w:spacing w:after="0" w:line="277" w:lineRule="auto"/>
        <w:rPr>
          <w:sz w:val="20"/>
          <w:szCs w:val="20"/>
          <w:color w:val="auto"/>
        </w:rPr>
      </w:pPr>
      <w:r>
        <w:rPr>
          <w:rFonts w:ascii="Arial" w:cs="Arial" w:eastAsia="Arial" w:hAnsi="Arial"/>
          <w:sz w:val="18"/>
          <w:szCs w:val="18"/>
          <w:color w:val="auto"/>
        </w:rPr>
        <w:t>Any of the foregoing payments to our sponsor, repayments of loans from our sponsor or repayments of working capital loans prior to our initial business combination will be made using funds held outside the trust account.</w:t>
      </w:r>
    </w:p>
    <w:p>
      <w:pPr>
        <w:spacing w:after="0" w:line="170" w:lineRule="exact"/>
        <w:rPr>
          <w:sz w:val="20"/>
          <w:szCs w:val="20"/>
          <w:color w:val="auto"/>
        </w:rPr>
      </w:pPr>
    </w:p>
    <w:p>
      <w:pPr>
        <w:ind w:right="40" w:firstLine="324"/>
        <w:spacing w:after="0" w:line="275" w:lineRule="auto"/>
        <w:rPr>
          <w:sz w:val="20"/>
          <w:szCs w:val="20"/>
          <w:color w:val="auto"/>
        </w:rPr>
      </w:pPr>
      <w:r>
        <w:rPr>
          <w:rFonts w:ascii="Arial" w:cs="Arial" w:eastAsia="Arial" w:hAnsi="Arial"/>
          <w:sz w:val="17"/>
          <w:szCs w:val="17"/>
          <w:color w:val="auto"/>
        </w:rPr>
        <w:t>After our initial business combination, members of our management team who remain with us may be paid consulting, management or other fees from the combined company with any and all amounts being fully disclosed to our shareholders, to the extent then known, in the proxy solicitation or tender offer materials, as applicable, furnished to our shareholders. It is unlikely the amount of such compensation will be known at the time of distribution of such tender offer materials or at the time of a general meeting held to consider our initial business combination, as applicable, as it will be up to the directors of the post-combination business to determine executive and director compensation.</w:t>
      </w:r>
    </w:p>
    <w:p>
      <w:pPr>
        <w:spacing w:after="0" w:line="176"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We have entered into a registration rights agreement with respect to the founder shares and private placement warrants, which is described under the heading “Principal Shareholders—Registration Rights.”</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Policy for Approval of Related Party Transactions</w:t>
      </w:r>
    </w:p>
    <w:p>
      <w:pPr>
        <w:spacing w:after="0" w:line="229"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The audit committee of our board of directors will adopt a policy setting forth the policies and procedures for its review and approval or ratification of “related party transactions.” A “related party transaction” is any consummated or proposed transaction or series of transactions: (i) in which the company was or is to be a participant; (ii) the amount of which exceeds (or is reasonably expected to exceed) the lesser of $120,000 or 1% of the average of the company’s total assets at year end for the prior two completed fiscal years in the aggregate over the duration of the transaction (without regard to profit or loss); and (iii) in which a “related party” had, has or will have a direct or indirect material interest. “Related parties” under this policy will include: (i) our directors, nominees for director or officers; (ii) any record or beneficial owner of more than 5% of any class of our voting securities; (iii) any immediate family member of any of the foregoing if the foregoing person is a natural person; and (iv) any other person who maybe a “related person” pursuant to Item 404 of Regulation S-K under the Exchange Act. Pursuant to the policy, the audit committee will consider (i) the relevant facts and circumstances of each related party transaction, including if the transaction is on terms comparable to those that could be obtained in arm’s-length dealings with an unrelated third party, (ii) the extent of the related party’s interest in the transaction, (iii) whether the transaction contravenes our code of ethics or other policies, (iv) whether the audit committee believes the relationship underlying the transaction to be in the best interests of the company and its shareholders and (v) the effect that the transaction may have on a director’s status as an independent member of the board and on his or her eligibility to serve on the board’s committees. Management will present to the audit committee each proposed related party transaction, including all relevant facts and circumstances relating thereto. Under the policy, we may consummate related party transactions only if our audit committee approves or ratifies the transaction in accordance with the guidelines set forth in the policy. The policy will not permit any director or officer to participate in the discussion of, or decision concerning, a related person transaction in which he or she is the related party.</w:t>
      </w:r>
    </w:p>
    <w:p>
      <w:pPr>
        <w:spacing w:after="0" w:line="28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129" w:name="page130"/>
    <w:bookmarkEnd w:id="129"/>
    <w:p>
      <w:pPr>
        <w:jc w:val="center"/>
        <w:ind w:right="-19"/>
        <w:spacing w:after="0"/>
        <w:rPr>
          <w:sz w:val="20"/>
          <w:szCs w:val="20"/>
          <w:color w:val="auto"/>
        </w:rPr>
      </w:pPr>
      <w:r>
        <w:rPr>
          <w:rFonts w:ascii="Arial" w:cs="Arial" w:eastAsia="Arial" w:hAnsi="Arial"/>
          <w:sz w:val="18"/>
          <w:szCs w:val="18"/>
          <w:b w:val="1"/>
          <w:bCs w:val="1"/>
          <w:color w:val="auto"/>
        </w:rPr>
        <w:t>DESCRIPTION OF SECURITIES</w:t>
      </w:r>
    </w:p>
    <w:p>
      <w:pPr>
        <w:spacing w:after="0" w:line="229" w:lineRule="exact"/>
        <w:rPr>
          <w:sz w:val="20"/>
          <w:szCs w:val="20"/>
          <w:color w:val="auto"/>
        </w:rPr>
      </w:pPr>
    </w:p>
    <w:p>
      <w:pPr>
        <w:ind w:right="80" w:firstLine="324"/>
        <w:spacing w:after="0" w:line="293" w:lineRule="auto"/>
        <w:rPr>
          <w:sz w:val="20"/>
          <w:szCs w:val="20"/>
          <w:color w:val="auto"/>
        </w:rPr>
      </w:pPr>
      <w:r>
        <w:rPr>
          <w:rFonts w:ascii="Arial" w:cs="Arial" w:eastAsia="Arial" w:hAnsi="Arial"/>
          <w:sz w:val="16"/>
          <w:szCs w:val="16"/>
          <w:color w:val="auto"/>
        </w:rPr>
        <w:t>We are a Cayman Islands exempted company (company number 369502) and our affairs will be governed by our amended and restated memorandum and articles of association, the Companies Act and the common law of the Cayman Islands. Pursuant to our amended and restated memorandum and articles of association which will be adopted upon the consummation of this offering, we will be authorized to issue 220,000,000 ordinary shares, $0.0001 par value each, including 200,000,000 Class A ordinary shares and 20,000,000 Class B ordinary shares, as well as 1,000,000 preferred shares, $0.0001 par value each. The following description summarizes the material terms of our shares as set out more particularly in our amended and restated memorandum and articles of association. Because it is only a summary, it may not contain all the information that is important to you.</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Public Units</w:t>
      </w:r>
    </w:p>
    <w:p>
      <w:pPr>
        <w:spacing w:after="0" w:line="229" w:lineRule="exact"/>
        <w:rPr>
          <w:sz w:val="20"/>
          <w:szCs w:val="20"/>
          <w:color w:val="auto"/>
        </w:rPr>
      </w:pPr>
    </w:p>
    <w:p>
      <w:pPr>
        <w:ind w:right="20" w:firstLine="324"/>
        <w:spacing w:after="0" w:line="268" w:lineRule="auto"/>
        <w:rPr>
          <w:sz w:val="20"/>
          <w:szCs w:val="20"/>
          <w:color w:val="auto"/>
        </w:rPr>
      </w:pPr>
      <w:r>
        <w:rPr>
          <w:rFonts w:ascii="Arial" w:cs="Arial" w:eastAsia="Arial" w:hAnsi="Arial"/>
          <w:sz w:val="17"/>
          <w:szCs w:val="17"/>
          <w:color w:val="auto"/>
        </w:rPr>
        <w:t>Each unit has an offering price of $10.00 and consists of one Class A ordinary share and one-fourth of one redeemable warrant. Each whole warrant entitles the holder thereof to purchase one Class A ordinary share at a price of $11.50 per share, subject to adjustment as described in this prospectus. Pursuant to the warrant agreement, a warrant holder may exercise its warrants only for a whole number of the Company’s Class A ordinary shares. This means only a whole warrant may be exercised at any given time by a warrant holder. For example, if a warrant holder holds one-fourth of one warrant to purchase a Class A ordinary share, such warrant will not be exercisable. If a warrant holder holds four-fourths of one warrant, such whole warrant will be exercisable for one Class A ordinary share at a price of $11.50 per share. The Class A ordinary shares and warrants comprising the units are expected to begin separate trading on the 52nd day following the date of this prospectus (or the immediately following business day if such 52nd day is not a business day) unless J.P. Morgan Securities LLC informs us of its decision to allow earlier separate trading, subject to our having filed the Current Report on Form 8-K described below and having issued a press release announcing when such separate trading will begin. Once the Class A ordinary shares and warrants commence separate trading, holders will have the option to continue to hold units or separate their units into the component securities. Holders will need to have their brokers contact our transfer agent in order to separate the units into Class A ordinary shares and warrants. Additionally, the units will automatically separate into their component parts and will not be traded after completion of our initial business combination. No fractional warrants will be issued upon separation of the units and only whole warrants will trade. Accordingly, unless you purchase at least four units, you will not be able to receive or trade a whole warrant.</w:t>
      </w:r>
    </w:p>
    <w:p>
      <w:pPr>
        <w:spacing w:after="0" w:line="184" w:lineRule="exact"/>
        <w:rPr>
          <w:sz w:val="20"/>
          <w:szCs w:val="20"/>
          <w:color w:val="auto"/>
        </w:rPr>
      </w:pPr>
    </w:p>
    <w:p>
      <w:pPr>
        <w:ind w:right="160" w:firstLine="324"/>
        <w:spacing w:after="0" w:line="257" w:lineRule="auto"/>
        <w:rPr>
          <w:sz w:val="20"/>
          <w:szCs w:val="20"/>
          <w:color w:val="auto"/>
        </w:rPr>
      </w:pPr>
      <w:r>
        <w:rPr>
          <w:rFonts w:ascii="Arial" w:cs="Arial" w:eastAsia="Arial" w:hAnsi="Arial"/>
          <w:sz w:val="18"/>
          <w:szCs w:val="18"/>
          <w:color w:val="auto"/>
        </w:rPr>
        <w:t>In no event will the Class A ordinary shares and warrants be traded separately until we have filed with the SEC a Current Report on Form 8-K which includes an audited balance sheet reflecting our receipt of the gross proceeds of this offering. We will file a Current Report on Form 8-K which includes this audited balance sheet upon the completion of this offering. If the underwriters’ over-allotment option is exercised following the initial filing of such Current Report on Form 8-K, a second or amended Current Report on Form 8-K will be filed to provide updated financial information to reflect the exercise of the underwriters’ over-allotment option.</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Ordinary Shares</w:t>
      </w:r>
    </w:p>
    <w:p>
      <w:pPr>
        <w:spacing w:after="0" w:line="229" w:lineRule="exact"/>
        <w:rPr>
          <w:sz w:val="20"/>
          <w:szCs w:val="20"/>
          <w:color w:val="auto"/>
        </w:rPr>
      </w:pPr>
    </w:p>
    <w:p>
      <w:pPr>
        <w:ind w:firstLine="324"/>
        <w:spacing w:after="0" w:line="296" w:lineRule="auto"/>
        <w:rPr>
          <w:sz w:val="20"/>
          <w:szCs w:val="20"/>
          <w:color w:val="auto"/>
        </w:rPr>
      </w:pPr>
      <w:r>
        <w:rPr>
          <w:rFonts w:ascii="Arial" w:cs="Arial" w:eastAsia="Arial" w:hAnsi="Arial"/>
          <w:sz w:val="16"/>
          <w:szCs w:val="16"/>
          <w:color w:val="auto"/>
        </w:rPr>
        <w:t>Prior to the date of this prospectus, there were 7,187,500 Class B ordinary shares outstanding, all of which were held of record by our initial shareholders, so that our initial shareholders will own 20% of our issued and outstanding shares after this offering (assuming our initial shareholders do not purchase any units in this offering). Up to 937,500 of the founder shares may be surrendered by our sponsor for no consideration depending on the extent to which the underwriters’ over-allotment is exercised. Upon the closing of this offering, 31,250,000 of our ordinary shares will be outstanding (assuming no exercise of the underwriters’ over-allotment option and the corresponding surrender for no consideration of 937,500 founder shares) including:</w:t>
      </w:r>
    </w:p>
    <w:p>
      <w:pPr>
        <w:spacing w:after="0" w:line="161" w:lineRule="exact"/>
        <w:rPr>
          <w:sz w:val="20"/>
          <w:szCs w:val="20"/>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25,000,000 Class A ordinary shares underlying units issued as part of this offering;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6,250,000 Class B ordinary shares held by our initial shareholders.</w:t>
      </w:r>
    </w:p>
    <w:p>
      <w:pPr>
        <w:spacing w:after="0" w:line="225"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If we increase or decrease the size of this offering, we will effect a capitalization or share repurchase or redemption or other appropriate mechanism, as applicable, with respect to our Class B ordinary shares immediately prior to the consummation of this offering in such amount as to maintain the number of founder shares at 20% of our issued and outstanding ordinary shares upon the consummation of this offering.</w:t>
      </w:r>
    </w:p>
    <w:p>
      <w:pPr>
        <w:spacing w:after="0" w:line="29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130" w:name="page131"/>
    <w:bookmarkEnd w:id="130"/>
    <w:p>
      <w:pPr>
        <w:ind w:firstLine="324"/>
        <w:spacing w:after="0" w:line="286" w:lineRule="auto"/>
        <w:rPr>
          <w:sz w:val="20"/>
          <w:szCs w:val="20"/>
          <w:color w:val="auto"/>
        </w:rPr>
      </w:pPr>
      <w:r>
        <w:rPr>
          <w:rFonts w:ascii="Arial" w:cs="Arial" w:eastAsia="Arial" w:hAnsi="Arial"/>
          <w:sz w:val="16"/>
          <w:szCs w:val="16"/>
          <w:color w:val="auto"/>
        </w:rPr>
        <w:t>Except as described below, ordinary shareholders of record are entitled to one vote for each share held on all matters to be voted on by shareholders. Holders of Class A ordinary shares and holders of Class B ordinary shares will vote together as a single class on all matters submitted to a vote of our shareholders except as required by law; provided that only holders of Class B ordinary shares will have the right to appoint and remove directors in any general meeting held prior to or in connection with the completion of our initial business combination, meaning that holders of Class A ordinary shares will not have the right to appoint and remove any directors until after the completion of our initial business combination. Unless specified in our amended and restated memorandum and articles of association, or as required by applicable provisions of the Companies Act or applicable stock exchange rules, the affirmative vote of a majority of our ordinary shares that are voted is required to approve any such matter voted on by our shareholders. Approval of certain actions will require a special resolution under Cayman Islands law, which requires the affirmative vote of a majority of at least two-thirds of the shareholders who attend and vote at a general meeting of the company, and pursuant to our amended and restated memorandum and articles of association; such actions include amending our amended and restated memorandum and articles of association and approving a statutory merger or consolidation with another company. Our board of directors is divided into three classes, each of which will generally serve for a term of three years with only one class of directors being appointed in each year. There is no cumulative voting with respect to the appointment of directors, with the result that the holders of more than 50% of the Class B ordinary shares voted for the appointment of directors can appoint all of the directors prior to our initial business combination. Our shareholders are entitled to receive ratable dividends when, as and if declared by the board of directors out of funds legally available therefor.</w:t>
      </w:r>
    </w:p>
    <w:p>
      <w:pPr>
        <w:spacing w:after="0" w:line="171" w:lineRule="exact"/>
        <w:rPr>
          <w:sz w:val="20"/>
          <w:szCs w:val="20"/>
          <w:color w:val="auto"/>
        </w:rPr>
      </w:pPr>
    </w:p>
    <w:p>
      <w:pPr>
        <w:ind w:right="60" w:firstLine="324"/>
        <w:spacing w:after="0" w:line="296" w:lineRule="auto"/>
        <w:rPr>
          <w:sz w:val="20"/>
          <w:szCs w:val="20"/>
          <w:color w:val="auto"/>
        </w:rPr>
      </w:pPr>
      <w:r>
        <w:rPr>
          <w:rFonts w:ascii="Arial" w:cs="Arial" w:eastAsia="Arial" w:hAnsi="Arial"/>
          <w:sz w:val="16"/>
          <w:szCs w:val="16"/>
          <w:color w:val="auto"/>
        </w:rPr>
        <w:t>Because our amended and restated memorandum and articles of association authorize the issuance of up to 200,000,000 Class A ordinary shares, if we were to enter into a business combination, we may (depending on the terms of such a business combination) be required to increase the number of Class A ordinary shares which we are authorized to issue at the same time as our shareholders vote on the business combination to the extent we seek shareholder approval in connection with our initial business combination. Our board of directors is divided into three classes with only one class of directors being appointed in each year and each class (except for those directors appointed prior to our first annual general meeting) serving a three-year term.</w:t>
      </w:r>
    </w:p>
    <w:p>
      <w:pPr>
        <w:spacing w:after="0" w:line="161" w:lineRule="exact"/>
        <w:rPr>
          <w:sz w:val="20"/>
          <w:szCs w:val="20"/>
          <w:color w:val="auto"/>
        </w:rPr>
      </w:pPr>
    </w:p>
    <w:p>
      <w:pPr>
        <w:ind w:right="160" w:firstLine="324"/>
        <w:spacing w:after="0" w:line="286" w:lineRule="auto"/>
        <w:rPr>
          <w:sz w:val="20"/>
          <w:szCs w:val="20"/>
          <w:color w:val="auto"/>
        </w:rPr>
      </w:pPr>
      <w:r>
        <w:rPr>
          <w:rFonts w:ascii="Arial" w:cs="Arial" w:eastAsia="Arial" w:hAnsi="Arial"/>
          <w:sz w:val="17"/>
          <w:szCs w:val="17"/>
          <w:color w:val="auto"/>
        </w:rPr>
        <w:t>In accordance with the NYSE corporate governance requirements, we are not required to hold an annual general meeting until one year after our first fiscal year end following our listing on the NYSE. There is no requirement under the Companies Act for us to hold annual or extraordinary general meetings to appoint directors. We may not hold an annual general meeting prior to the consummation of our initial business combination.</w:t>
      </w:r>
    </w:p>
    <w:p>
      <w:pPr>
        <w:spacing w:after="0" w:line="165" w:lineRule="exact"/>
        <w:rPr>
          <w:sz w:val="20"/>
          <w:szCs w:val="20"/>
          <w:color w:val="auto"/>
        </w:rPr>
      </w:pPr>
    </w:p>
    <w:p>
      <w:pPr>
        <w:ind w:firstLine="324"/>
        <w:spacing w:after="0" w:line="285" w:lineRule="auto"/>
        <w:rPr>
          <w:sz w:val="20"/>
          <w:szCs w:val="20"/>
          <w:color w:val="auto"/>
        </w:rPr>
      </w:pPr>
      <w:r>
        <w:rPr>
          <w:rFonts w:ascii="Arial" w:cs="Arial" w:eastAsia="Arial" w:hAnsi="Arial"/>
          <w:sz w:val="16"/>
          <w:szCs w:val="16"/>
          <w:color w:val="auto"/>
        </w:rPr>
        <w:t>We will provide our public shareholders with the opportunity to redeem all or a portion of their public shares upon the completion of our initial business combination at a per-share price, payable in cash, equal to the aggregate amount then on deposit in the trust account calculated as of two business days prior to the consummation of our initial business combination, including interest earned on the funds held in the trust account and not previously released to us to pay our taxes, divided by the number of then outstanding public shares, subject to the limitations and on the conditions described herein. The amount in the trust account is initially anticipated to be $10.00 per public share. The per-share amount we will distribute to investors who properly redeem their shares will not be reduced by the deferred underwriting commissions we will pay to the underwriters. Our initial shareholders, sponsor, officers and directors have entered into a letter agreement with us, pursuant to which they have agreed to waive their redemption rights with respect to any founder shares and public shares held by them in connection with the completion of our initial business combination. Unlike some special purpose acquisition companies that hold shareholder votes and conduct proxy solicitations in conjunction with their initial business combinations and provide for related redemptions of public shares for cash upon completion of such initial business combinations even when a vote is not required by law, if a shareholder vote is not required by law and we do not decide to hold a shareholder vote for business or other reasons, we will, pursuant to our amended and restated memorandum and articles of association, conduct the redemptions pursuant to the tender offer rules of the SEC, and file tender offer documents with the SEC prior to completing our initial business combination. Our amended and restated memorandum and articles of association require these tender offer documents to contain substantially the same financial and other information about our initial business combination and the redemption rights as is required under the SEC’s proxy rules. If, however, a shareholder approval of the transaction is required by law, or we decide to obtain shareholder approval for business or other reasons, we will, like many special purpose acquisition companies, offer to redeem shares in conjunction with a proxy solicitation pursuant to the proxy rules and not pursuant to the tender offer rules. If we</w:t>
      </w:r>
    </w:p>
    <w:p>
      <w:pPr>
        <w:spacing w:after="0" w:line="200" w:lineRule="exact"/>
        <w:rPr>
          <w:sz w:val="20"/>
          <w:szCs w:val="20"/>
          <w:color w:val="auto"/>
        </w:rPr>
      </w:pPr>
    </w:p>
    <w:p>
      <w:pPr>
        <w:spacing w:after="0" w:line="30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131" w:name="page132"/>
    <w:bookmarkEnd w:id="131"/>
    <w:p>
      <w:pPr>
        <w:ind w:right="140"/>
        <w:spacing w:after="0" w:line="254" w:lineRule="auto"/>
        <w:rPr>
          <w:sz w:val="20"/>
          <w:szCs w:val="20"/>
          <w:color w:val="auto"/>
        </w:rPr>
      </w:pPr>
      <w:r>
        <w:rPr>
          <w:rFonts w:ascii="Arial" w:cs="Arial" w:eastAsia="Arial" w:hAnsi="Arial"/>
          <w:sz w:val="18"/>
          <w:szCs w:val="18"/>
          <w:color w:val="auto"/>
        </w:rPr>
        <w:t>seek shareholder approval, we will complete our initial business combination only if we receive an ordinary resolution under Cayman Islands law, which requires the affirmative vote of a majority of the shareholders who attend and vote at a general meeting of the company. However, the participation of our sponsor, officers, directors, advisors or their affiliates in privately-negotiated transactions (as described in this prospectus), if any, could result in the approval of our initial business combination even if a majority of our public shareholders vote, or indicate their intention to vote, against such initial business combination. For purposes of seeking approval of an ordinary resolution, non-votes will have no effect on the approval of our initial business combination once a quorum is obtained. Our amended and restated memorandum and articles of association require that at least five days’ notice will be given of any general meeting.</w:t>
      </w:r>
    </w:p>
    <w:p>
      <w:pPr>
        <w:spacing w:after="0" w:line="195" w:lineRule="exact"/>
        <w:rPr>
          <w:sz w:val="20"/>
          <w:szCs w:val="20"/>
          <w:color w:val="auto"/>
        </w:rPr>
      </w:pPr>
    </w:p>
    <w:p>
      <w:pPr>
        <w:ind w:right="80" w:firstLine="324"/>
        <w:spacing w:after="0" w:line="253" w:lineRule="auto"/>
        <w:rPr>
          <w:sz w:val="20"/>
          <w:szCs w:val="20"/>
          <w:color w:val="auto"/>
        </w:rPr>
      </w:pPr>
      <w:r>
        <w:rPr>
          <w:rFonts w:ascii="Arial" w:cs="Arial" w:eastAsia="Arial" w:hAnsi="Arial"/>
          <w:sz w:val="18"/>
          <w:szCs w:val="18"/>
          <w:color w:val="auto"/>
        </w:rPr>
        <w:t>If we seek shareholder approval of our initial business combination and we do not conduct redemptions in connection with our initial business combination pursuant to the tender offer rules, our amended and restated memorandum and articles of association provide that a public shareholder, together with any affiliate of such shareholder or any other person with whom such shareholder is acting in concert or as a “group” (as defined under Section 13 of the Exchange Act), will be restricted from redeeming its shares with respect to Excess Shares without our prior consent. However, we would not be restricting our shareholders’ ability to vote all of their shares (including Excess Shares) for or against our initial business combination. Our shareholders’ inability to redeem the Excess Shares will reduce their influence over our ability to complete our initial business combination, and such shareholders could suffer a material loss in their investment if they sell such Excess Shares on the open market. Additionally, such shareholders will not receive redemption distributions with respect to the Excess Shares if we complete our initial business combination. And, as a result, such shareholders will continue to hold that number of shares exceeding 15% and, in order to dispose such shares would be required to sell their shares in open market transactions, potentially at a loss.</w:t>
      </w:r>
    </w:p>
    <w:p>
      <w:pPr>
        <w:spacing w:after="0" w:line="194" w:lineRule="exact"/>
        <w:rPr>
          <w:sz w:val="20"/>
          <w:szCs w:val="20"/>
          <w:color w:val="auto"/>
        </w:rPr>
      </w:pPr>
    </w:p>
    <w:p>
      <w:pPr>
        <w:ind w:right="60" w:firstLine="324"/>
        <w:spacing w:after="0" w:line="272" w:lineRule="auto"/>
        <w:rPr>
          <w:sz w:val="20"/>
          <w:szCs w:val="20"/>
          <w:color w:val="auto"/>
        </w:rPr>
      </w:pPr>
      <w:r>
        <w:rPr>
          <w:rFonts w:ascii="Arial" w:cs="Arial" w:eastAsia="Arial" w:hAnsi="Arial"/>
          <w:sz w:val="17"/>
          <w:szCs w:val="17"/>
          <w:color w:val="auto"/>
        </w:rPr>
        <w:t>If we seek shareholder approval in connection with our initial business combination, our initial shareholders, sponsor, officers and directors have agreed to vote any founder shares and public shares held by them in favor of our initial business combination. As a result, in addition to our initial shareholders’ founder shares, we would need 9,375,001, or 37.5%, of the 25,000,000 public shares sold in this offering to be voted in favor of an initial business combination in order to have our initial business combination approved (assuming all outstanding shares are voted and the over-allotment option is not exercised). If the PIMCO private fund or its affiliates purchase 2,475,000 units in this offering, and vote the shares included in these units in favor of our initial business combination, the percentage would be reduced to 27.6%. Additionally, each public shareholder may elect to redeem their public shares without voting and, if they do vote, irrespective of whether they vote for or against the proposed transaction.</w:t>
      </w:r>
    </w:p>
    <w:p>
      <w:pPr>
        <w:spacing w:after="0" w:line="17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If we have not completed our initial business combination within 24 months from the closing of this offering or during any Extension Period, we will</w:t>
      </w:r>
    </w:p>
    <w:p>
      <w:pPr>
        <w:spacing w:after="0" w:line="46" w:lineRule="exact"/>
        <w:rPr>
          <w:sz w:val="20"/>
          <w:szCs w:val="20"/>
          <w:color w:val="auto"/>
        </w:rPr>
      </w:pPr>
    </w:p>
    <w:p>
      <w:pPr>
        <w:ind w:right="60" w:firstLine="8"/>
        <w:spacing w:after="0" w:line="267" w:lineRule="auto"/>
        <w:tabs>
          <w:tab w:leader="none" w:pos="215" w:val="left"/>
        </w:tabs>
        <w:numPr>
          <w:ilvl w:val="0"/>
          <w:numId w:val="53"/>
        </w:numPr>
        <w:rPr>
          <w:rFonts w:ascii="Arial" w:cs="Arial" w:eastAsia="Arial" w:hAnsi="Arial"/>
          <w:sz w:val="17"/>
          <w:szCs w:val="17"/>
          <w:color w:val="auto"/>
        </w:rPr>
      </w:pPr>
      <w:r>
        <w:rPr>
          <w:rFonts w:ascii="Arial" w:cs="Arial" w:eastAsia="Arial" w:hAnsi="Arial"/>
          <w:sz w:val="17"/>
          <w:szCs w:val="17"/>
          <w:color w:val="auto"/>
        </w:rPr>
        <w:t>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(less taxes payable and up to $100,000 of interest income to pay dissolution expenses), divided by the number of then outstanding public shares, which redemption will completely extinguish public shareholders’ rights as shareholders (including the right to receive further liquidation distributions, if any) and (iii) as promptly as reasonably possible following such redemption, subject to the approval of our remaining shareholders and our board of directors, liquidate and dissolve, subject, in each case, to our obligations under Cayman Islands law to provide for claims of creditors and in all cases subject to the other requirements of applicable law. Our initial shareholders, sponsor, officers and directors have entered into a letter agreement with us, pursuant to which they have agreed to waive their rights to liquidating distributions from the trust account with respect to any founder shares held by them if we fail to complete our initial business combination within 24 months from the closing of this offering or during any Extension Period. However, if our sponsor or management team acquire public shares in or after this offering, they will be entitled to liquidating distributions from the trust account with respect to such public shares if we fail to complete our initial business combination within the prescribed time period.</w:t>
      </w:r>
    </w:p>
    <w:p>
      <w:pPr>
        <w:spacing w:after="0" w:line="184"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In the event of a liquidation, dissolution or winding up of the company after a business combination, our shareholders are entitled to share ratably in all assets remaining available for distribution to them after payment of liabilities and after provision is made for each class of shares, if any, having preference over the ordinary shares. Our shareholders have no preemptive or other subscription rights. There are no sinking fund provisions applicable to the ordinary shares, except that we will provide our public shareholders with the opportunity to redeem their public shares for cash at a per-share price equal to the aggregate amount then on deposit in the trust account, including interest earned on the funds held in the trust account and not previously released to us to pay our taxes, divided by the number of then outstanding public shares, upon the completion of our initial business combination, subject to the limitations and on the conditions described herein.</w:t>
      </w:r>
    </w:p>
    <w:p>
      <w:pPr>
        <w:spacing w:after="0" w:line="30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132" w:name="page133"/>
    <w:bookmarkEnd w:id="132"/>
    <w:p>
      <w:pPr>
        <w:spacing w:after="0"/>
        <w:rPr>
          <w:sz w:val="20"/>
          <w:szCs w:val="20"/>
          <w:color w:val="auto"/>
        </w:rPr>
      </w:pPr>
      <w:r>
        <w:rPr>
          <w:rFonts w:ascii="Arial" w:cs="Arial" w:eastAsia="Arial" w:hAnsi="Arial"/>
          <w:sz w:val="18"/>
          <w:szCs w:val="18"/>
          <w:b w:val="1"/>
          <w:bCs w:val="1"/>
          <w:color w:val="auto"/>
        </w:rPr>
        <w:t>Founder Shares</w:t>
      </w:r>
    </w:p>
    <w:p>
      <w:pPr>
        <w:spacing w:after="0" w:line="229" w:lineRule="exact"/>
        <w:rPr>
          <w:sz w:val="20"/>
          <w:szCs w:val="20"/>
          <w:color w:val="auto"/>
        </w:rPr>
      </w:pPr>
    </w:p>
    <w:p>
      <w:pPr>
        <w:ind w:right="40" w:firstLine="324"/>
        <w:spacing w:after="0" w:line="267" w:lineRule="auto"/>
        <w:rPr>
          <w:sz w:val="20"/>
          <w:szCs w:val="20"/>
          <w:color w:val="auto"/>
        </w:rPr>
      </w:pPr>
      <w:r>
        <w:rPr>
          <w:rFonts w:ascii="Arial" w:cs="Arial" w:eastAsia="Arial" w:hAnsi="Arial"/>
          <w:sz w:val="17"/>
          <w:szCs w:val="17"/>
          <w:color w:val="auto"/>
        </w:rPr>
        <w:t>The founder shares are designated as Class B ordinary shares and, except as described below, are identical to the Class A ordinary shares included in the units being sold in this offering, and holders of founder shares have the same shareholder rights as public shareholders, except that (i) the founder shares are subject to certain transfer restrictions, as described in more detail below, (ii) the founder shares are entitled to registration rights; (iii) our initial shareholders, sponsor, officers and directors have entered into a letter agreement with us, pursuant to which they have agreed to (A) waive their redemption rights with respect to any founder shares and public shares held by them in connection with the completion of our initial business combination, (B) waive their redemption rights with respect to any founder shares and public shares held by them in connection with a shareholder vote to amend our amended and restated memorandum and articles of association (x) to modify the substance or timing of our obligation to allow redemption in connection with our initial business combination or to redeem 100% of our public shares if we have not consummated an initial business combination within 24 months from the closing of this offering or (y) with respect to any other material provisions relating to shareholders’ rights or pre-initial business combination activity, (C) waive their rights to liquidating distributions from the trust account with respect to any founder shares held by them if we fail to complete our initial business combination within 24 months from the closing of this offering or during any Extension Period, although they will be entitled to liquidating distributions from the trust account with respect to any public shares they hold if we fail to complete our initial business combination within such time period and (D) vote any founder shares and public shares held by them in favor of our initial business combination, (iv) the founder shares are automatically convertible into Class A ordinary shares concurrently with or immediately following the consummation of our initial business combination on a one-for-one basis, subject to adjustment as described herein and in our amended and restated memorandum and articles of association, and (v) only holders of Class B ordinary shares will have the right to appoint or remove directors in any general meeting held prior to or in connection with the completion of our initial business combination.</w:t>
      </w:r>
    </w:p>
    <w:p>
      <w:pPr>
        <w:spacing w:after="0" w:line="191"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The founder shares will automatically convert into Class A ordinary shares concurrently with or immediately following the consummation of our initial business combination on a one-for-one basis, subject to adjustment for share sub-divisions, share capitalizations, reorganizations, recapitalizations and the like, and subject to further adjustment as provided herein. In the case that additional Class A ordinary shares or equity-linked securities are issued or deemed issued in connection with our initial business combination, the number of Class A ordinary shares issuable upon conversion of all founder shares will equal, in the aggregate, 20% of the total number of Class A ordinary shares outstanding after such conversion (after giving effect to any redemptions of Class A ordinary shares by public shareholders), including the total number of Class A ordinary shares issued, or deemed issued or issuable upon conversion or exercise of any equity-linked securities issued or deemed issued, by the Company in connection with the consummation of the initial business combination, excluding any Class A ordinary shares or equity-linked securities exercisable for or convertible into Class A ordinary shares issued, deemed issued or to be issued, to any seller in the initial business combination and any private placement warrants issued to our sponsor, officers or directors upon conversion of working capital loans; provided that such conversion of founder shares will never occur on a less than one-for-one basis. The term “equity-linked securities” refers to any debt or equity securities that are convertible, exercisable or exchangeable for our Class A ordinary shares issued in a financing transaction in connection with our initial business combination, including but not limited to a private placement of equity or debt.</w:t>
      </w:r>
    </w:p>
    <w:p>
      <w:pPr>
        <w:spacing w:after="0" w:line="168" w:lineRule="exact"/>
        <w:rPr>
          <w:sz w:val="20"/>
          <w:szCs w:val="20"/>
          <w:color w:val="auto"/>
        </w:rPr>
      </w:pPr>
    </w:p>
    <w:p>
      <w:pPr>
        <w:ind w:right="60" w:firstLine="324"/>
        <w:spacing w:after="0" w:line="271" w:lineRule="auto"/>
        <w:rPr>
          <w:sz w:val="20"/>
          <w:szCs w:val="20"/>
          <w:color w:val="auto"/>
        </w:rPr>
      </w:pPr>
      <w:r>
        <w:rPr>
          <w:rFonts w:ascii="Arial" w:cs="Arial" w:eastAsia="Arial" w:hAnsi="Arial"/>
          <w:sz w:val="17"/>
          <w:szCs w:val="17"/>
          <w:color w:val="auto"/>
        </w:rPr>
        <w:t>With certain limited exceptions, the founder shares are not transferable, assignable or salable (except to our officers and directors and other persons or entities affiliated with our sponsor, each of whom will be subject to the same transfer restrictions) until the earlier of (A) one year after the completion of our initial business combination or earlier if, subsequent to our initial business combination, the last reported sales price of the Class A ordinary shares equals or exceeds $12.00 per share (as adjusted for share sub-divisions, share capitalizations, reorganizations, recapitalizations and the like) for any 20 trading days within any 30-trading day period commencing at least 150 days after our initial business combination, and (B) the date following the completion of our initial business combination on which we complete a liquidation, merger, share exchange or other similar transaction that results in all of our shareholders having the right to exchange their Class A ordinary shares for cash, securities or other property. Up to 937,500 founder shares may be surrendered to us for no consideration depending on the exercise of the over-allotment option.</w:t>
      </w:r>
    </w:p>
    <w:p>
      <w:pPr>
        <w:spacing w:after="0" w:line="28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33" w:name="page134"/>
    <w:bookmarkEnd w:id="133"/>
    <w:p>
      <w:pPr>
        <w:jc w:val="center"/>
        <w:ind w:right="-19"/>
        <w:spacing w:after="0"/>
        <w:rPr>
          <w:sz w:val="20"/>
          <w:szCs w:val="20"/>
          <w:color w:val="auto"/>
        </w:rPr>
      </w:pPr>
      <w:r>
        <w:rPr>
          <w:rFonts w:ascii="Arial" w:cs="Arial" w:eastAsia="Arial" w:hAnsi="Arial"/>
          <w:sz w:val="18"/>
          <w:szCs w:val="18"/>
          <w:b w:val="1"/>
          <w:bCs w:val="1"/>
          <w:color w:val="auto"/>
        </w:rPr>
        <w:t>Register of Members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Under Cayman Islands law, we must keep a register of members and there will be entered therein:</w:t>
      </w:r>
    </w:p>
    <w:p>
      <w:pPr>
        <w:spacing w:after="0" w:line="225" w:lineRule="exact"/>
        <w:rPr>
          <w:sz w:val="20"/>
          <w:szCs w:val="20"/>
          <w:color w:val="auto"/>
        </w:rPr>
      </w:pPr>
    </w:p>
    <w:p>
      <w:pPr>
        <w:ind w:left="660" w:right="300" w:hanging="328"/>
        <w:spacing w:after="0" w:line="277" w:lineRule="auto"/>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names and addresses of the members, a statement of the shares held by each member, and of the amount paid or agreed to be considered as paid, on the shares of each member and the voting rights of shares of each member;</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date on which the name of any person was entered on the register as a member;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date on which any person ceased to be a member.</w:t>
      </w:r>
    </w:p>
    <w:p>
      <w:pPr>
        <w:spacing w:after="0" w:line="225"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Under Cayman Islands law, the register of members of our company is prima facie evidence of the matters set out therein (i.e. the register of members will raise a presumption of fact on the matters referred to above unless rebutted) and a member registered in the register of members will be deemed as a matter of Cayman Islands law to have legal title to the shares as set against its name in the register of members. Upon the closing of this public offering, the register of members will be immediately updated to reflect the issue of shares by us. Once our register of members has been updated, the shareholders recorded in the register of members will be deemed to have legal title to the shares set against their name. However, there are certain limited circumstances where an application may be made to a Cayman Islands court for a determination on whether the register of members reflects the correct legal position. Further, the Cayman Islands court has the power to order that the register of members maintained by a company should be rectified where it considers that the register of members does not reflect the correct legal position. If an application for an order for rectification of the register of members were made in respect of our ordinary shares, then the validity of such shares may be subject to re-examination by a Cayman Islands court.</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Preferred Shares</w:t>
      </w:r>
    </w:p>
    <w:p>
      <w:pPr>
        <w:spacing w:after="0" w:line="229"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Our amended and restated memorandum and articles of association authorize 1,000,000 preferred shares and provide that preferred shares may be issued from time to time in one or more series. Our board of directors will be authorized to fix the voting rights, if any, designations, powers, preferences, the relative, participating, optional or other special rights and any qualifications, limitations and restrictions thereof, applicable to the shares of each series. Our board of directors will be able to, without shareholder approval, issue preferred shares with voting and other rights that could adversely affect the voting power and other rights of the holders of the ordinary shares and could have anti-takeover effects. The ability of our board of directors to issue preferred shares without shareholder approval could have the effect of delaying, deferring or preventing a change of control of us or the removal of existing management. We have no preferred shares outstanding at the date hereof. Although we do not currently intend to issue any preferred shares, we cannot assure you that we will not do so in the future. No preferred shares are being issued or registered in this offering.</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Warrants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Public Shareholders’ Warrants</w:t>
      </w:r>
    </w:p>
    <w:p>
      <w:pPr>
        <w:spacing w:after="0" w:line="229"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Each whole warrant entitles the registered holder to purchase one Class A ordinary share at a price of $11.50 per share, subject to adjustment as discussed below, at any time commencing on the later of one year from the closing of this offering and 30 days after the completion of our initial business combination, except as described below. Pursuant to the warrant agreement, a warrant holder may exercise its warrants only for a whole number of Class A ordinary shares. This means only a whole warrant may be exercised at a given time by a warrant holder. No fractional warrants will be issued upon separation of the units and only whole warrants will trade. Accordingly, unless you purchase at least four units, you will not be able to receive or trade a whole warrant. The warrants will expire five years after the completion of our initial business combination, at 5:00 p.m., New York City time, or earlier upon redemption or liquidation.</w:t>
      </w:r>
    </w:p>
    <w:p>
      <w:pPr>
        <w:spacing w:after="0" w:line="195"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We will not be obligated to deliver any Class A ordinary shares pursuant to the exercise of a warrant and will have no obligation to settle such warrant exercise unless a registration statement under the Securities Act with respect to the Class A ordinary shares underlying the warrants is then effective and a current prospectus relating thereto is available (or we permit holders to exercise their warrants on a cashless basis under the circumstances specified in the warrant agreement). No warrant will be exercisable and we will not be obligated to issue a Class A ordinary share upon exercise of a warrant unless the Class A ordinary share issuable upon such warrant exercise has</w:t>
      </w:r>
    </w:p>
    <w:p>
      <w:pPr>
        <w:spacing w:after="0" w:line="29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134" w:name="page135"/>
    <w:bookmarkEnd w:id="134"/>
    <w:p>
      <w:pPr>
        <w:ind w:right="20"/>
        <w:spacing w:after="0" w:line="257" w:lineRule="auto"/>
        <w:rPr>
          <w:sz w:val="20"/>
          <w:szCs w:val="20"/>
          <w:color w:val="auto"/>
        </w:rPr>
      </w:pPr>
      <w:r>
        <w:rPr>
          <w:rFonts w:ascii="Arial" w:cs="Arial" w:eastAsia="Arial" w:hAnsi="Arial"/>
          <w:sz w:val="18"/>
          <w:szCs w:val="18"/>
          <w:color w:val="auto"/>
        </w:rPr>
        <w:t>been registered, qualified or deemed to be exempt under the securities laws of the state of residence of the registered holder of the warrants. In the event that the conditions in the two immediately preceding sentences are not satisfied with respect to a warrant, the holder of such warrant will not be entitled to exercise such warrant and such warrant may have no value and expire worthless. In no event will we be required to net cash settle any warrant. In the event that a registration statement is not effective for the exercised warrants, the purchaser of a unit containing such warrant will have paid the full purchase price for the unit solely for the Class A ordinary share underlying such unit.</w:t>
      </w:r>
    </w:p>
    <w:p>
      <w:pPr>
        <w:spacing w:after="0" w:line="188" w:lineRule="exact"/>
        <w:rPr>
          <w:sz w:val="20"/>
          <w:szCs w:val="20"/>
          <w:color w:val="auto"/>
        </w:rPr>
      </w:pPr>
    </w:p>
    <w:p>
      <w:pPr>
        <w:ind w:firstLine="324"/>
        <w:spacing w:after="0" w:line="285" w:lineRule="auto"/>
        <w:rPr>
          <w:sz w:val="20"/>
          <w:szCs w:val="20"/>
          <w:color w:val="auto"/>
        </w:rPr>
      </w:pPr>
      <w:r>
        <w:rPr>
          <w:rFonts w:ascii="Arial" w:cs="Arial" w:eastAsia="Arial" w:hAnsi="Arial"/>
          <w:sz w:val="16"/>
          <w:szCs w:val="16"/>
          <w:color w:val="auto"/>
        </w:rPr>
        <w:t>We have agreed that as soon as practicable, but in no event later than fifteen (15) business days after the closing of our initial business combination, we will use our commercially reasonable efforts to file with the SEC a registration statement covering the issuance, under the Securities Act, of the Class A ordinary shares issuable upon exercise of the warrants. We will use our commercially reasonable efforts to cause the same to become effective within 60 business days following our initial business combination and to maintain the effectiveness of such registration statement, and a current prospectus relating thereto, until the expiration or redemption of the warrants in accordance with the provisions of the warrant agreement. If a registration statement covering the issuance of the Class A ordinary shares issuable upon exercise of the warrants is not effective by the sixtieth (60th) business day after the closing of our initial business combination, warrant holders may, until such time as there is an effective registration statement and during any period when we will have failed to maintain an effective registration statement, exercise warrants on a “cashless basis” in accordance with Section 3(a)(9) of the Securities Act or another exemption. Notwithstanding the above, if our Class A ordinary shares are at the time of any exercise of a warrant not listed on a national securities exchange such that they satisfy the definition of a “covered security” under Section 18(b)(1) of the Securities Act, we may, at our option, require holders of public warrants who exercise their warrants to do so on a “cashless basis” in accordance with Section 3(a)(9) of the Securities Act and, in the event we so elect, we will not be required to file or maintain in effect a registration statement, and in the event we do not so elect, we will use our commercially reasonable efforts to register or qualify the shares under applicable blue sky laws to the extent an exemption is not available. In such event, each holder would pay the exercise price by surrendering each such warrant for that number of Class A ordinary shares equal to the lesser of (A) the quotient obtained by dividing (x) the product of the number of Class A ordinary shares underlying the warrants, multiplied by the excess of the “fair market value” (as defined below) less the exercise price of the warrants by (y) the fair market value and (B) 0.361 Class A ordinary shares per warrant (subject to adjustment). The “fair market value” as used above shall mean the volume weighted average price of the Class A ordinary shares for the 10 trading days ending on the trading day prior to the date on which the notice of exercise is received by the warrant agent.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Redemption of Warrants When the Price per Class A Ordinary Share Equals or Exceeds $18.00</w:t>
      </w:r>
    </w:p>
    <w:p>
      <w:pPr>
        <w:spacing w:after="0" w:line="225" w:lineRule="exact"/>
        <w:rPr>
          <w:sz w:val="20"/>
          <w:szCs w:val="20"/>
          <w:color w:val="auto"/>
        </w:rPr>
      </w:pPr>
    </w:p>
    <w:p>
      <w:pPr>
        <w:ind w:right="380" w:firstLine="324"/>
        <w:spacing w:after="0" w:line="277" w:lineRule="auto"/>
        <w:rPr>
          <w:sz w:val="20"/>
          <w:szCs w:val="20"/>
          <w:color w:val="auto"/>
        </w:rPr>
      </w:pPr>
      <w:r>
        <w:rPr>
          <w:rFonts w:ascii="Arial" w:cs="Arial" w:eastAsia="Arial" w:hAnsi="Arial"/>
          <w:sz w:val="18"/>
          <w:szCs w:val="18"/>
          <w:color w:val="auto"/>
        </w:rPr>
        <w:t>Once the warrants become exercisable, we may redeem the outstanding warrants (except as described herein with respect to the private placement warrants):</w:t>
      </w:r>
    </w:p>
    <w:p>
      <w:pPr>
        <w:spacing w:after="0" w:line="170" w:lineRule="exact"/>
        <w:rPr>
          <w:sz w:val="20"/>
          <w:szCs w:val="20"/>
          <w:color w:val="auto"/>
        </w:rPr>
      </w:pPr>
    </w:p>
    <w:p>
      <w:pPr>
        <w:ind w:left="660" w:hanging="328"/>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at a price of $0.01 per warrant;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upon not less than 30 days’ prior written notice of redemption (the “30-day redemption period”) to each warrant holder; and</w:t>
      </w:r>
    </w:p>
    <w:p>
      <w:pPr>
        <w:spacing w:after="0" w:line="225" w:lineRule="exact"/>
        <w:rPr>
          <w:rFonts w:ascii="Arial" w:cs="Arial" w:eastAsia="Arial" w:hAnsi="Arial"/>
          <w:sz w:val="18"/>
          <w:szCs w:val="18"/>
          <w:color w:val="auto"/>
        </w:rPr>
      </w:pPr>
    </w:p>
    <w:p>
      <w:pPr>
        <w:ind w:left="660" w:right="200" w:hanging="328"/>
        <w:spacing w:after="0" w:line="259" w:lineRule="auto"/>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if, and only if, the last reported sale price of the Class A ordinary shares for any 20 trading days within a 30-trading day period ending three business days before we send the notice of redemption to the warrant holders (which we refer to as the “Reference Value”) equals or exceeds $18.00 per share (as adjusted for share sub-divisions, share capitalizations, reorganizations, recapitalizations and the like and as described under the heading “—Anti-dilution Adjustments” below).</w:t>
      </w:r>
    </w:p>
    <w:p>
      <w:pPr>
        <w:spacing w:after="0" w:line="187" w:lineRule="exact"/>
        <w:rPr>
          <w:sz w:val="20"/>
          <w:szCs w:val="20"/>
          <w:color w:val="auto"/>
        </w:rPr>
      </w:pPr>
    </w:p>
    <w:p>
      <w:pPr>
        <w:jc w:val="both"/>
        <w:ind w:right="180" w:firstLine="324"/>
        <w:spacing w:after="0" w:line="279" w:lineRule="auto"/>
        <w:rPr>
          <w:sz w:val="20"/>
          <w:szCs w:val="20"/>
          <w:color w:val="auto"/>
        </w:rPr>
      </w:pPr>
      <w:r>
        <w:rPr>
          <w:rFonts w:ascii="Arial" w:cs="Arial" w:eastAsia="Arial" w:hAnsi="Arial"/>
          <w:sz w:val="17"/>
          <w:szCs w:val="17"/>
          <w:color w:val="auto"/>
        </w:rPr>
        <w:t>If and when the warrants become redeemable by us, we may exercise our redemption right even if we are unable to register or qualify the underlying securities for sale under all applicable state securities laws. However, we will not redeem the warrants unless an effective registration statement under the Securities Act covering the issuance of the Class A ordinary shares issuable upon exercise of the warrants is effective and a current prospectus relating to those Class A ordinary shares is available throughout the 30-day redemption period.</w:t>
      </w:r>
    </w:p>
    <w:p>
      <w:pPr>
        <w:spacing w:after="0" w:line="171"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We have established the last of the redemption criteria discussed above to prevent a redemption call unless there is at the time of the call a significant premium to the warrant exercise price. If the foregoing conditions are satisfied</w:t>
      </w:r>
    </w:p>
    <w:p>
      <w:pPr>
        <w:spacing w:after="0" w:line="27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135" w:name="page136"/>
    <w:bookmarkEnd w:id="135"/>
    <w:p>
      <w:pPr>
        <w:jc w:val="both"/>
        <w:spacing w:after="0" w:line="275" w:lineRule="auto"/>
        <w:rPr>
          <w:sz w:val="20"/>
          <w:szCs w:val="20"/>
          <w:color w:val="auto"/>
        </w:rPr>
      </w:pPr>
      <w:r>
        <w:rPr>
          <w:rFonts w:ascii="Arial" w:cs="Arial" w:eastAsia="Arial" w:hAnsi="Arial"/>
          <w:sz w:val="17"/>
          <w:szCs w:val="17"/>
          <w:color w:val="auto"/>
        </w:rPr>
        <w:t>and we issue a notice of redemption of the warrants, each warrant holder will be entitled to exercise his, her or its warrant prior to the scheduled redemption date. Any such exercise would not be done on a “cashless” basis and would require the exercising warrant holder to pay the exercise price for each warrant being exercised. However, the price of the Class A ordinary shares may fall below the $18.00 redemption trigger price (as adjusted for share sub-divisions, share capitalizations, reorganizations, recapitalizations and the like and as described under the heading “—Anti-dilution Adjustments” below) as well as the $11.50 (for whole shares) warrant exercise price after the redemption notice is issued.</w:t>
      </w:r>
    </w:p>
    <w:p>
      <w:pPr>
        <w:spacing w:after="0" w:line="17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Redemption of Warrants When the Price per Class A Ordinary Share Equals or Exceeds $10.00</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Once the warrants become exercisable, we may redeem the outstanding warrants:</w:t>
      </w:r>
    </w:p>
    <w:p>
      <w:pPr>
        <w:spacing w:after="0" w:line="225" w:lineRule="exact"/>
        <w:rPr>
          <w:sz w:val="20"/>
          <w:szCs w:val="20"/>
          <w:color w:val="auto"/>
        </w:rPr>
      </w:pPr>
    </w:p>
    <w:p>
      <w:pPr>
        <w:ind w:left="660" w:hanging="328"/>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225" w:lineRule="exact"/>
        <w:rPr>
          <w:rFonts w:ascii="Arial" w:cs="Arial" w:eastAsia="Arial" w:hAnsi="Arial"/>
          <w:sz w:val="18"/>
          <w:szCs w:val="18"/>
          <w:color w:val="auto"/>
        </w:rPr>
      </w:pPr>
    </w:p>
    <w:p>
      <w:pPr>
        <w:ind w:left="660" w:right="20" w:hanging="328"/>
        <w:spacing w:after="0" w:line="263" w:lineRule="auto"/>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at $0.10 per warrant upon a minimum of 30 days’ prior written notice of redemption; provided that holders will be able to exercise their warrants on a cashless basis prior to redemption and receive that number of shares determined by reference to the table below, based on the redemption date and the “fair market value” of our Class A ordinary shares (as defined below);</w:t>
      </w:r>
    </w:p>
    <w:p>
      <w:pPr>
        <w:spacing w:after="0" w:line="183" w:lineRule="exact"/>
        <w:rPr>
          <w:rFonts w:ascii="Arial" w:cs="Arial" w:eastAsia="Arial" w:hAnsi="Arial"/>
          <w:sz w:val="18"/>
          <w:szCs w:val="18"/>
          <w:color w:val="auto"/>
        </w:rPr>
      </w:pPr>
    </w:p>
    <w:p>
      <w:pPr>
        <w:ind w:left="660" w:right="140" w:hanging="328"/>
        <w:spacing w:after="0" w:line="263" w:lineRule="auto"/>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if, and only if, the Reference Value (as defined above under “—Redemption of Warrants When the Price per Class A Ordinary Share Equals or Exceeds $18.00”) equals or exceeds $10.00 per share (as adjusted for share sub-divisions, share capitalizations, reorganizations, recapitalizations and the like and as described under the heading “—Anti-dilution Adjustments” below); and</w:t>
      </w:r>
    </w:p>
    <w:p>
      <w:pPr>
        <w:spacing w:after="0" w:line="183"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if the Reference Value is less than $18.00 per share (as adjusted for share sub-divisions, share capitalizations, reorganizations, recapitalizations and the like and as described under the heading “—Anti-dilution Adjustments” below) the private placement warrants must also be concurrently called for redemption on the same terms as the outstanding public warrants, as described above.</w:t>
      </w:r>
    </w:p>
    <w:p>
      <w:pPr>
        <w:spacing w:after="0" w:line="184"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The numbers in the table below represent the number of Class A ordinary shares that a warrant holder will receive upon such cashless exercise in connection with a redemption by us pursuant to this redemption feature, based on the “fair market value” of our Class A ordinary shares on the corresponding redemption date (assuming holders elect to exercise their warrants and such warrants are not redeemed for $0.10 per warrant), determined for these purposes based on volume-weighted average price of our Class A ordinary shares during the 10 trading days immediately following the date on which the notice of redemption is sent to the holders of warrants, and the number of months that the corresponding redemption date precedes the expiration date of the warrants, each as set forth in the table below. We will provide our warrant holders with the final fair market value no later than one business day after the 10-trading day period described above ends.</w:t>
      </w:r>
    </w:p>
    <w:p>
      <w:pPr>
        <w:spacing w:after="0" w:line="195" w:lineRule="exact"/>
        <w:rPr>
          <w:sz w:val="20"/>
          <w:szCs w:val="20"/>
          <w:color w:val="auto"/>
        </w:rPr>
      </w:pPr>
    </w:p>
    <w:p>
      <w:pPr>
        <w:ind w:right="160" w:firstLine="324"/>
        <w:spacing w:after="0" w:line="342" w:lineRule="auto"/>
        <w:rPr>
          <w:sz w:val="20"/>
          <w:szCs w:val="20"/>
          <w:color w:val="auto"/>
        </w:rPr>
      </w:pPr>
      <w:r>
        <w:rPr>
          <w:rFonts w:ascii="Arial" w:cs="Arial" w:eastAsia="Arial" w:hAnsi="Arial"/>
          <w:sz w:val="16"/>
          <w:szCs w:val="16"/>
          <w:color w:val="auto"/>
        </w:rPr>
        <w:t>Pursuant to the warrant agreement, references above to Class A ordinary shares shall include a security other than Class A ordinary shares into which the Class A ordinary shares have been converted or exchanged for in the event we are not the surviving company in our initial business combination.</w:t>
      </w:r>
    </w:p>
    <w:p>
      <w:pPr>
        <w:spacing w:after="0" w:line="124" w:lineRule="exact"/>
        <w:rPr>
          <w:sz w:val="20"/>
          <w:szCs w:val="20"/>
          <w:color w:val="auto"/>
        </w:rPr>
      </w:pPr>
    </w:p>
    <w:p>
      <w:pPr>
        <w:ind w:right="620" w:firstLine="324"/>
        <w:spacing w:after="0" w:line="277" w:lineRule="auto"/>
        <w:rPr>
          <w:sz w:val="20"/>
          <w:szCs w:val="20"/>
          <w:color w:val="auto"/>
        </w:rPr>
      </w:pPr>
      <w:r>
        <w:rPr>
          <w:rFonts w:ascii="Arial" w:cs="Arial" w:eastAsia="Arial" w:hAnsi="Arial"/>
          <w:sz w:val="18"/>
          <w:szCs w:val="18"/>
          <w:color w:val="auto"/>
        </w:rPr>
        <w:t>The numbers in the table below will not be adjusted when determining the number of Class A ordinary shares to be issued upon exercise of the warrants if we are not the surviving entity following our initial business combination.</w:t>
      </w:r>
    </w:p>
    <w:p>
      <w:pPr>
        <w:spacing w:after="0" w:line="170"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The share prices set forth in the column headings of the table below will be adjusted as of any date on which the number of shares issuable upon exercise of a warrant or the exercise price of the warrant is adjusted as set forth under the heading “—Anti-dilution Adjustments” below. If the number of shares issuable upon exercise of a warrant is adjusted, the adjusted share prices in the column headings will equal the share prices immediately prior to such adjustment, multiplied by a fraction, the numerator of which is the exercise price of the warrant after such adjustment and the denominator of which is the price of the warrant immediately prior to such adjustment. In such an event, the number of shares in the table below shall be adjusted by multiplying such share amounts by a fraction, the numerator of which is the number of shares deliverable upon exercise of a warrant immediately prior to such adjustment and the denominator of which is the number of shares deliverable upon exercise of a warrant as so adjusted. If the exercise price of the warrant is adjusted as a result of the fifth paragraph under the heading “—Anti-dilution adjustments” below, the adjusted share prices in the column headings will be multiplied by a fraction, the numerator of which is the higher of the Market Value and the Newly Issued Price as set forth under the heading “—Anti-dilution Adjustments” and the denominator of which is $10.00.</w:t>
      </w:r>
    </w:p>
    <w:p>
      <w:pPr>
        <w:spacing w:after="0" w:line="29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36" w:name="page137"/>
    <w:bookmarkEnd w:id="136"/>
    <w:tbl>
      <w:tblPr>
        <w:tblLayout w:type="fixed"/>
        <w:tblInd w:w="0" w:type="dxa"/>
        <w:tblCellMar>
          <w:top w:w="0" w:type="dxa"/>
          <w:left w:w="0" w:type="dxa"/>
          <w:bottom w:w="0" w:type="dxa"/>
          <w:right w:w="0" w:type="dxa"/>
        </w:tblCellMar>
      </w:tblPr>
      <w:tr>
        <w:trPr>
          <w:trHeight w:val="234"/>
        </w:trPr>
        <w:tc>
          <w:tcPr>
            <w:tcW w:w="3160" w:type="dxa"/>
            <w:vAlign w:val="bottom"/>
            <w:gridSpan w:val="2"/>
            <w:vMerge w:val="restart"/>
          </w:tcPr>
          <w:p>
            <w:pPr>
              <w:spacing w:after="0"/>
              <w:rPr>
                <w:sz w:val="20"/>
                <w:szCs w:val="20"/>
                <w:color w:val="auto"/>
              </w:rPr>
            </w:pPr>
            <w:r>
              <w:rPr>
                <w:rFonts w:ascii="Arial" w:cs="Arial" w:eastAsia="Arial" w:hAnsi="Arial"/>
                <w:sz w:val="18"/>
                <w:szCs w:val="18"/>
                <w:b w:val="1"/>
                <w:bCs w:val="1"/>
                <w:color w:val="auto"/>
                <w:w w:val="95"/>
              </w:rPr>
              <w:t>Redemption Date (period to expiration</w:t>
            </w:r>
          </w:p>
        </w:tc>
        <w:tc>
          <w:tcPr>
            <w:tcW w:w="8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400" w:type="dxa"/>
            <w:vAlign w:val="bottom"/>
            <w:tcBorders>
              <w:bottom w:val="single" w:sz="8" w:color="auto"/>
            </w:tcBorders>
            <w:gridSpan w:val="9"/>
          </w:tcPr>
          <w:p>
            <w:pPr>
              <w:jc w:val="right"/>
              <w:ind w:right="350"/>
              <w:spacing w:after="0"/>
              <w:rPr>
                <w:sz w:val="20"/>
                <w:szCs w:val="20"/>
                <w:color w:val="auto"/>
              </w:rPr>
            </w:pPr>
            <w:r>
              <w:rPr>
                <w:rFonts w:ascii="Arial" w:cs="Arial" w:eastAsia="Arial" w:hAnsi="Arial"/>
                <w:sz w:val="18"/>
                <w:szCs w:val="18"/>
                <w:b w:val="1"/>
                <w:bCs w:val="1"/>
                <w:color w:val="auto"/>
              </w:rPr>
              <w:t>Fair Market Value of Class A Ordinary Shares</w:t>
            </w: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3160" w:type="dxa"/>
            <w:vAlign w:val="bottom"/>
            <w:gridSpan w:val="2"/>
            <w:vMerge w:val="continue"/>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0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of warrants)</w:t>
            </w:r>
          </w:p>
        </w:tc>
        <w:tc>
          <w:tcPr>
            <w:tcW w:w="100" w:type="dxa"/>
            <w:vAlign w:val="bottom"/>
          </w:tcPr>
          <w:p>
            <w:pPr>
              <w:spacing w:after="0"/>
              <w:rPr>
                <w:sz w:val="20"/>
                <w:szCs w:val="20"/>
                <w:color w:val="auto"/>
              </w:rPr>
            </w:pPr>
          </w:p>
        </w:tc>
        <w:tc>
          <w:tcPr>
            <w:tcW w:w="8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£$10.00</w:t>
            </w:r>
          </w:p>
        </w:tc>
        <w:tc>
          <w:tcPr>
            <w:tcW w:w="100" w:type="dxa"/>
            <w:vAlign w:val="bottom"/>
          </w:tcPr>
          <w:p>
            <w:pPr>
              <w:spacing w:after="0"/>
              <w:rPr>
                <w:sz w:val="20"/>
                <w:szCs w:val="20"/>
                <w:color w:val="auto"/>
              </w:rPr>
            </w:pPr>
          </w:p>
        </w:tc>
        <w:tc>
          <w:tcPr>
            <w:tcW w:w="8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$11.00</w:t>
            </w:r>
          </w:p>
        </w:tc>
        <w:tc>
          <w:tcPr>
            <w:tcW w:w="100" w:type="dxa"/>
            <w:vAlign w:val="bottom"/>
          </w:tcPr>
          <w:p>
            <w:pPr>
              <w:spacing w:after="0"/>
              <w:rPr>
                <w:sz w:val="20"/>
                <w:szCs w:val="20"/>
                <w:color w:val="auto"/>
              </w:rPr>
            </w:pPr>
          </w:p>
        </w:tc>
        <w:tc>
          <w:tcPr>
            <w:tcW w:w="8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$12.00</w:t>
            </w:r>
          </w:p>
        </w:tc>
        <w:tc>
          <w:tcPr>
            <w:tcW w:w="80" w:type="dxa"/>
            <w:vAlign w:val="bottom"/>
          </w:tcPr>
          <w:p>
            <w:pPr>
              <w:spacing w:after="0"/>
              <w:rPr>
                <w:sz w:val="20"/>
                <w:szCs w:val="20"/>
                <w:color w:val="auto"/>
              </w:rPr>
            </w:pPr>
          </w:p>
        </w:tc>
        <w:tc>
          <w:tcPr>
            <w:tcW w:w="8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$13.00</w:t>
            </w:r>
          </w:p>
        </w:tc>
        <w:tc>
          <w:tcPr>
            <w:tcW w:w="100" w:type="dxa"/>
            <w:vAlign w:val="bottom"/>
          </w:tcPr>
          <w:p>
            <w:pPr>
              <w:spacing w:after="0"/>
              <w:rPr>
                <w:sz w:val="20"/>
                <w:szCs w:val="20"/>
                <w:color w:val="auto"/>
              </w:rPr>
            </w:pPr>
          </w:p>
        </w:tc>
        <w:tc>
          <w:tcPr>
            <w:tcW w:w="8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$14.00</w:t>
            </w:r>
          </w:p>
        </w:tc>
        <w:tc>
          <w:tcPr>
            <w:tcW w:w="100" w:type="dxa"/>
            <w:vAlign w:val="bottom"/>
          </w:tcPr>
          <w:p>
            <w:pPr>
              <w:spacing w:after="0"/>
              <w:rPr>
                <w:sz w:val="20"/>
                <w:szCs w:val="20"/>
                <w:color w:val="auto"/>
              </w:rPr>
            </w:pPr>
          </w:p>
        </w:tc>
        <w:tc>
          <w:tcPr>
            <w:tcW w:w="8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$15.00</w:t>
            </w:r>
          </w:p>
        </w:tc>
        <w:tc>
          <w:tcPr>
            <w:tcW w:w="80" w:type="dxa"/>
            <w:vAlign w:val="bottom"/>
          </w:tcPr>
          <w:p>
            <w:pPr>
              <w:spacing w:after="0"/>
              <w:rPr>
                <w:sz w:val="20"/>
                <w:szCs w:val="20"/>
                <w:color w:val="auto"/>
              </w:rPr>
            </w:pPr>
          </w:p>
        </w:tc>
        <w:tc>
          <w:tcPr>
            <w:tcW w:w="8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$16.00</w:t>
            </w:r>
          </w:p>
        </w:tc>
        <w:tc>
          <w:tcPr>
            <w:tcW w:w="100" w:type="dxa"/>
            <w:vAlign w:val="bottom"/>
          </w:tcPr>
          <w:p>
            <w:pPr>
              <w:spacing w:after="0"/>
              <w:rPr>
                <w:sz w:val="20"/>
                <w:szCs w:val="20"/>
                <w:color w:val="auto"/>
              </w:rPr>
            </w:pPr>
          </w:p>
        </w:tc>
        <w:tc>
          <w:tcPr>
            <w:tcW w:w="8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$17.00</w:t>
            </w:r>
          </w:p>
        </w:tc>
        <w:tc>
          <w:tcPr>
            <w:tcW w:w="80" w:type="dxa"/>
            <w:vAlign w:val="bottom"/>
          </w:tcPr>
          <w:p>
            <w:pPr>
              <w:spacing w:after="0"/>
              <w:rPr>
                <w:sz w:val="20"/>
                <w:szCs w:val="20"/>
                <w:color w:val="auto"/>
              </w:rPr>
            </w:pPr>
          </w:p>
        </w:tc>
        <w:tc>
          <w:tcPr>
            <w:tcW w:w="8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³$18.00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16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60 months</w:t>
            </w:r>
          </w:p>
        </w:tc>
        <w:tc>
          <w:tcPr>
            <w:tcW w:w="800" w:type="dxa"/>
            <w:vAlign w:val="bottom"/>
            <w:shd w:val="clear" w:color="auto" w:fill="D5EAEA"/>
          </w:tcPr>
          <w:p>
            <w:pPr>
              <w:jc w:val="center"/>
              <w:spacing w:after="0"/>
              <w:rPr>
                <w:sz w:val="20"/>
                <w:szCs w:val="20"/>
                <w:color w:val="auto"/>
              </w:rPr>
            </w:pPr>
            <w:r>
              <w:rPr>
                <w:rFonts w:ascii="Arial" w:cs="Arial" w:eastAsia="Arial" w:hAnsi="Arial"/>
                <w:sz w:val="18"/>
                <w:szCs w:val="18"/>
                <w:color w:val="auto"/>
                <w:w w:val="88"/>
              </w:rPr>
              <w:t>0.261</w:t>
            </w:r>
          </w:p>
        </w:tc>
        <w:tc>
          <w:tcPr>
            <w:tcW w:w="900" w:type="dxa"/>
            <w:vAlign w:val="bottom"/>
            <w:gridSpan w:val="2"/>
            <w:shd w:val="clear" w:color="auto" w:fill="D5EAEA"/>
          </w:tcPr>
          <w:p>
            <w:pPr>
              <w:jc w:val="center"/>
              <w:ind w:left="10"/>
              <w:spacing w:after="0"/>
              <w:rPr>
                <w:sz w:val="20"/>
                <w:szCs w:val="20"/>
                <w:color w:val="auto"/>
              </w:rPr>
            </w:pPr>
            <w:r>
              <w:rPr>
                <w:rFonts w:ascii="Arial" w:cs="Arial" w:eastAsia="Arial" w:hAnsi="Arial"/>
                <w:sz w:val="18"/>
                <w:szCs w:val="18"/>
                <w:color w:val="auto"/>
                <w:w w:val="88"/>
              </w:rPr>
              <w:t>0.281</w:t>
            </w:r>
          </w:p>
        </w:tc>
        <w:tc>
          <w:tcPr>
            <w:tcW w:w="920" w:type="dxa"/>
            <w:vAlign w:val="bottom"/>
            <w:gridSpan w:val="2"/>
            <w:shd w:val="clear" w:color="auto" w:fill="D5EAEA"/>
          </w:tcPr>
          <w:p>
            <w:pPr>
              <w:jc w:val="right"/>
              <w:ind w:right="110"/>
              <w:spacing w:after="0"/>
              <w:rPr>
                <w:sz w:val="20"/>
                <w:szCs w:val="20"/>
                <w:color w:val="auto"/>
              </w:rPr>
            </w:pPr>
            <w:r>
              <w:rPr>
                <w:rFonts w:ascii="Arial" w:cs="Arial" w:eastAsia="Arial" w:hAnsi="Arial"/>
                <w:sz w:val="18"/>
                <w:szCs w:val="18"/>
                <w:color w:val="auto"/>
              </w:rPr>
              <w:t>0.297</w:t>
            </w:r>
          </w:p>
        </w:tc>
        <w:tc>
          <w:tcPr>
            <w:tcW w:w="900" w:type="dxa"/>
            <w:vAlign w:val="bottom"/>
            <w:gridSpan w:val="2"/>
            <w:shd w:val="clear" w:color="auto" w:fill="D5EAEA"/>
          </w:tcPr>
          <w:p>
            <w:pPr>
              <w:jc w:val="right"/>
              <w:ind w:right="110"/>
              <w:spacing w:after="0"/>
              <w:rPr>
                <w:sz w:val="20"/>
                <w:szCs w:val="20"/>
                <w:color w:val="auto"/>
              </w:rPr>
            </w:pPr>
            <w:r>
              <w:rPr>
                <w:rFonts w:ascii="Arial" w:cs="Arial" w:eastAsia="Arial" w:hAnsi="Arial"/>
                <w:sz w:val="18"/>
                <w:szCs w:val="18"/>
                <w:color w:val="auto"/>
              </w:rPr>
              <w:t>0.311</w:t>
            </w:r>
          </w:p>
        </w:tc>
        <w:tc>
          <w:tcPr>
            <w:tcW w:w="900" w:type="dxa"/>
            <w:vAlign w:val="bottom"/>
            <w:gridSpan w:val="2"/>
            <w:shd w:val="clear" w:color="auto" w:fill="D5EAEA"/>
          </w:tcPr>
          <w:p>
            <w:pPr>
              <w:jc w:val="right"/>
              <w:ind w:right="110"/>
              <w:spacing w:after="0"/>
              <w:rPr>
                <w:sz w:val="20"/>
                <w:szCs w:val="20"/>
                <w:color w:val="auto"/>
              </w:rPr>
            </w:pPr>
            <w:r>
              <w:rPr>
                <w:rFonts w:ascii="Arial" w:cs="Arial" w:eastAsia="Arial" w:hAnsi="Arial"/>
                <w:sz w:val="18"/>
                <w:szCs w:val="18"/>
                <w:color w:val="auto"/>
              </w:rPr>
              <w:t>0.324</w:t>
            </w:r>
          </w:p>
        </w:tc>
        <w:tc>
          <w:tcPr>
            <w:tcW w:w="900" w:type="dxa"/>
            <w:vAlign w:val="bottom"/>
            <w:gridSpan w:val="2"/>
            <w:shd w:val="clear" w:color="auto" w:fill="D5EAEA"/>
          </w:tcPr>
          <w:p>
            <w:pPr>
              <w:jc w:val="right"/>
              <w:ind w:right="110"/>
              <w:spacing w:after="0"/>
              <w:rPr>
                <w:sz w:val="20"/>
                <w:szCs w:val="20"/>
                <w:color w:val="auto"/>
              </w:rPr>
            </w:pPr>
            <w:r>
              <w:rPr>
                <w:rFonts w:ascii="Arial" w:cs="Arial" w:eastAsia="Arial" w:hAnsi="Arial"/>
                <w:sz w:val="18"/>
                <w:szCs w:val="18"/>
                <w:color w:val="auto"/>
              </w:rPr>
              <w:t>0.337</w:t>
            </w:r>
          </w:p>
        </w:tc>
        <w:tc>
          <w:tcPr>
            <w:tcW w:w="880" w:type="dxa"/>
            <w:vAlign w:val="bottom"/>
            <w:gridSpan w:val="2"/>
            <w:shd w:val="clear" w:color="auto" w:fill="D5EAEA"/>
          </w:tcPr>
          <w:p>
            <w:pPr>
              <w:jc w:val="right"/>
              <w:ind w:right="90"/>
              <w:spacing w:after="0"/>
              <w:rPr>
                <w:sz w:val="20"/>
                <w:szCs w:val="20"/>
                <w:color w:val="auto"/>
              </w:rPr>
            </w:pPr>
            <w:r>
              <w:rPr>
                <w:rFonts w:ascii="Arial" w:cs="Arial" w:eastAsia="Arial" w:hAnsi="Arial"/>
                <w:sz w:val="18"/>
                <w:szCs w:val="18"/>
                <w:color w:val="auto"/>
              </w:rPr>
              <w:t>0.348</w:t>
            </w:r>
          </w:p>
        </w:tc>
        <w:tc>
          <w:tcPr>
            <w:tcW w:w="900" w:type="dxa"/>
            <w:vAlign w:val="bottom"/>
            <w:gridSpan w:val="2"/>
            <w:shd w:val="clear" w:color="auto" w:fill="D5EAEA"/>
          </w:tcPr>
          <w:p>
            <w:pPr>
              <w:jc w:val="right"/>
              <w:ind w:right="110"/>
              <w:spacing w:after="0"/>
              <w:rPr>
                <w:sz w:val="20"/>
                <w:szCs w:val="20"/>
                <w:color w:val="auto"/>
              </w:rPr>
            </w:pPr>
            <w:r>
              <w:rPr>
                <w:rFonts w:ascii="Arial" w:cs="Arial" w:eastAsia="Arial" w:hAnsi="Arial"/>
                <w:sz w:val="18"/>
                <w:szCs w:val="18"/>
                <w:color w:val="auto"/>
              </w:rPr>
              <w:t>0.358</w:t>
            </w:r>
          </w:p>
        </w:tc>
        <w:tc>
          <w:tcPr>
            <w:tcW w:w="880" w:type="dxa"/>
            <w:vAlign w:val="bottom"/>
            <w:gridSpan w:val="2"/>
            <w:shd w:val="clear" w:color="auto" w:fill="D5EAEA"/>
          </w:tcPr>
          <w:p>
            <w:pPr>
              <w:jc w:val="center"/>
              <w:ind w:left="10"/>
              <w:spacing w:after="0"/>
              <w:rPr>
                <w:sz w:val="20"/>
                <w:szCs w:val="20"/>
                <w:color w:val="auto"/>
              </w:rPr>
            </w:pPr>
            <w:r>
              <w:rPr>
                <w:rFonts w:ascii="Arial" w:cs="Arial" w:eastAsia="Arial" w:hAnsi="Arial"/>
                <w:sz w:val="18"/>
                <w:szCs w:val="18"/>
                <w:color w:val="auto"/>
                <w:w w:val="92"/>
              </w:rPr>
              <w:t>|0.361</w:t>
            </w:r>
          </w:p>
        </w:tc>
        <w:tc>
          <w:tcPr>
            <w:tcW w:w="100" w:type="dxa"/>
            <w:vAlign w:val="bottom"/>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gridSpan w:val="2"/>
          </w:tcPr>
          <w:p>
            <w:pPr>
              <w:spacing w:after="0"/>
              <w:rPr>
                <w:sz w:val="20"/>
                <w:szCs w:val="20"/>
                <w:color w:val="auto"/>
              </w:rPr>
            </w:pPr>
            <w:r>
              <w:rPr>
                <w:rFonts w:ascii="Arial" w:cs="Arial" w:eastAsia="Arial" w:hAnsi="Arial"/>
                <w:sz w:val="18"/>
                <w:szCs w:val="18"/>
                <w:color w:val="auto"/>
              </w:rPr>
              <w:t>57 months</w:t>
            </w:r>
          </w:p>
        </w:tc>
        <w:tc>
          <w:tcPr>
            <w:tcW w:w="800" w:type="dxa"/>
            <w:vAlign w:val="bottom"/>
          </w:tcPr>
          <w:p>
            <w:pPr>
              <w:jc w:val="center"/>
              <w:spacing w:after="0"/>
              <w:rPr>
                <w:sz w:val="20"/>
                <w:szCs w:val="20"/>
                <w:color w:val="auto"/>
              </w:rPr>
            </w:pPr>
            <w:r>
              <w:rPr>
                <w:rFonts w:ascii="Arial" w:cs="Arial" w:eastAsia="Arial" w:hAnsi="Arial"/>
                <w:sz w:val="18"/>
                <w:szCs w:val="18"/>
                <w:color w:val="auto"/>
                <w:w w:val="88"/>
              </w:rPr>
              <w:t>0.257</w:t>
            </w:r>
          </w:p>
        </w:tc>
        <w:tc>
          <w:tcPr>
            <w:tcW w:w="900" w:type="dxa"/>
            <w:vAlign w:val="bottom"/>
            <w:gridSpan w:val="2"/>
          </w:tcPr>
          <w:p>
            <w:pPr>
              <w:jc w:val="center"/>
              <w:ind w:left="10"/>
              <w:spacing w:after="0"/>
              <w:rPr>
                <w:sz w:val="20"/>
                <w:szCs w:val="20"/>
                <w:color w:val="auto"/>
              </w:rPr>
            </w:pPr>
            <w:r>
              <w:rPr>
                <w:rFonts w:ascii="Arial" w:cs="Arial" w:eastAsia="Arial" w:hAnsi="Arial"/>
                <w:sz w:val="18"/>
                <w:szCs w:val="18"/>
                <w:color w:val="auto"/>
                <w:w w:val="88"/>
              </w:rPr>
              <w:t>0.277</w:t>
            </w:r>
          </w:p>
        </w:tc>
        <w:tc>
          <w:tcPr>
            <w:tcW w:w="920" w:type="dxa"/>
            <w:vAlign w:val="bottom"/>
            <w:gridSpan w:val="2"/>
          </w:tcPr>
          <w:p>
            <w:pPr>
              <w:jc w:val="right"/>
              <w:ind w:right="110"/>
              <w:spacing w:after="0"/>
              <w:rPr>
                <w:sz w:val="20"/>
                <w:szCs w:val="20"/>
                <w:color w:val="auto"/>
              </w:rPr>
            </w:pPr>
            <w:r>
              <w:rPr>
                <w:rFonts w:ascii="Arial" w:cs="Arial" w:eastAsia="Arial" w:hAnsi="Arial"/>
                <w:sz w:val="18"/>
                <w:szCs w:val="18"/>
                <w:color w:val="auto"/>
              </w:rPr>
              <w:t>0.294</w:t>
            </w:r>
          </w:p>
        </w:tc>
        <w:tc>
          <w:tcPr>
            <w:tcW w:w="900" w:type="dxa"/>
            <w:vAlign w:val="bottom"/>
            <w:gridSpan w:val="2"/>
          </w:tcPr>
          <w:p>
            <w:pPr>
              <w:jc w:val="right"/>
              <w:ind w:right="110"/>
              <w:spacing w:after="0"/>
              <w:rPr>
                <w:sz w:val="20"/>
                <w:szCs w:val="20"/>
                <w:color w:val="auto"/>
              </w:rPr>
            </w:pPr>
            <w:r>
              <w:rPr>
                <w:rFonts w:ascii="Arial" w:cs="Arial" w:eastAsia="Arial" w:hAnsi="Arial"/>
                <w:sz w:val="18"/>
                <w:szCs w:val="18"/>
                <w:color w:val="auto"/>
              </w:rPr>
              <w:t>0.310</w:t>
            </w:r>
          </w:p>
        </w:tc>
        <w:tc>
          <w:tcPr>
            <w:tcW w:w="900" w:type="dxa"/>
            <w:vAlign w:val="bottom"/>
            <w:gridSpan w:val="2"/>
          </w:tcPr>
          <w:p>
            <w:pPr>
              <w:jc w:val="right"/>
              <w:ind w:right="110"/>
              <w:spacing w:after="0"/>
              <w:rPr>
                <w:sz w:val="20"/>
                <w:szCs w:val="20"/>
                <w:color w:val="auto"/>
              </w:rPr>
            </w:pPr>
            <w:r>
              <w:rPr>
                <w:rFonts w:ascii="Arial" w:cs="Arial" w:eastAsia="Arial" w:hAnsi="Arial"/>
                <w:sz w:val="18"/>
                <w:szCs w:val="18"/>
                <w:color w:val="auto"/>
              </w:rPr>
              <w:t>0.324</w:t>
            </w:r>
          </w:p>
        </w:tc>
        <w:tc>
          <w:tcPr>
            <w:tcW w:w="900" w:type="dxa"/>
            <w:vAlign w:val="bottom"/>
            <w:gridSpan w:val="2"/>
          </w:tcPr>
          <w:p>
            <w:pPr>
              <w:jc w:val="right"/>
              <w:ind w:right="110"/>
              <w:spacing w:after="0"/>
              <w:rPr>
                <w:sz w:val="20"/>
                <w:szCs w:val="20"/>
                <w:color w:val="auto"/>
              </w:rPr>
            </w:pPr>
            <w:r>
              <w:rPr>
                <w:rFonts w:ascii="Arial" w:cs="Arial" w:eastAsia="Arial" w:hAnsi="Arial"/>
                <w:sz w:val="18"/>
                <w:szCs w:val="18"/>
                <w:color w:val="auto"/>
              </w:rPr>
              <w:t>0.337</w:t>
            </w:r>
          </w:p>
        </w:tc>
        <w:tc>
          <w:tcPr>
            <w:tcW w:w="880" w:type="dxa"/>
            <w:vAlign w:val="bottom"/>
            <w:gridSpan w:val="2"/>
          </w:tcPr>
          <w:p>
            <w:pPr>
              <w:jc w:val="right"/>
              <w:ind w:right="90"/>
              <w:spacing w:after="0"/>
              <w:rPr>
                <w:sz w:val="20"/>
                <w:szCs w:val="20"/>
                <w:color w:val="auto"/>
              </w:rPr>
            </w:pPr>
            <w:r>
              <w:rPr>
                <w:rFonts w:ascii="Arial" w:cs="Arial" w:eastAsia="Arial" w:hAnsi="Arial"/>
                <w:sz w:val="18"/>
                <w:szCs w:val="18"/>
                <w:color w:val="auto"/>
              </w:rPr>
              <w:t>0.348</w:t>
            </w:r>
          </w:p>
        </w:tc>
        <w:tc>
          <w:tcPr>
            <w:tcW w:w="900" w:type="dxa"/>
            <w:vAlign w:val="bottom"/>
            <w:gridSpan w:val="2"/>
          </w:tcPr>
          <w:p>
            <w:pPr>
              <w:jc w:val="right"/>
              <w:ind w:right="110"/>
              <w:spacing w:after="0"/>
              <w:rPr>
                <w:sz w:val="20"/>
                <w:szCs w:val="20"/>
                <w:color w:val="auto"/>
              </w:rPr>
            </w:pPr>
            <w:r>
              <w:rPr>
                <w:rFonts w:ascii="Arial" w:cs="Arial" w:eastAsia="Arial" w:hAnsi="Arial"/>
                <w:sz w:val="18"/>
                <w:szCs w:val="18"/>
                <w:color w:val="auto"/>
              </w:rPr>
              <w:t>0.358</w:t>
            </w:r>
          </w:p>
        </w:tc>
        <w:tc>
          <w:tcPr>
            <w:tcW w:w="880" w:type="dxa"/>
            <w:vAlign w:val="bottom"/>
            <w:gridSpan w:val="2"/>
          </w:tcPr>
          <w:p>
            <w:pPr>
              <w:jc w:val="center"/>
              <w:ind w:left="10"/>
              <w:spacing w:after="0"/>
              <w:rPr>
                <w:sz w:val="20"/>
                <w:szCs w:val="20"/>
                <w:color w:val="auto"/>
              </w:rPr>
            </w:pPr>
            <w:r>
              <w:rPr>
                <w:rFonts w:ascii="Arial" w:cs="Arial" w:eastAsia="Arial" w:hAnsi="Arial"/>
                <w:sz w:val="18"/>
                <w:szCs w:val="18"/>
                <w:color w:val="auto"/>
                <w:w w:val="93"/>
              </w:rPr>
              <w:t>0.361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54 months</w:t>
            </w:r>
          </w:p>
        </w:tc>
        <w:tc>
          <w:tcPr>
            <w:tcW w:w="800" w:type="dxa"/>
            <w:vAlign w:val="bottom"/>
            <w:shd w:val="clear" w:color="auto" w:fill="D5EAEA"/>
          </w:tcPr>
          <w:p>
            <w:pPr>
              <w:jc w:val="center"/>
              <w:spacing w:after="0"/>
              <w:rPr>
                <w:sz w:val="20"/>
                <w:szCs w:val="20"/>
                <w:color w:val="auto"/>
              </w:rPr>
            </w:pPr>
            <w:r>
              <w:rPr>
                <w:rFonts w:ascii="Arial" w:cs="Arial" w:eastAsia="Arial" w:hAnsi="Arial"/>
                <w:sz w:val="18"/>
                <w:szCs w:val="18"/>
                <w:color w:val="auto"/>
                <w:w w:val="88"/>
              </w:rPr>
              <w:t>0.252</w:t>
            </w:r>
          </w:p>
        </w:tc>
        <w:tc>
          <w:tcPr>
            <w:tcW w:w="900" w:type="dxa"/>
            <w:vAlign w:val="bottom"/>
            <w:gridSpan w:val="2"/>
            <w:shd w:val="clear" w:color="auto" w:fill="D5EAEA"/>
          </w:tcPr>
          <w:p>
            <w:pPr>
              <w:jc w:val="center"/>
              <w:ind w:left="10"/>
              <w:spacing w:after="0"/>
              <w:rPr>
                <w:sz w:val="20"/>
                <w:szCs w:val="20"/>
                <w:color w:val="auto"/>
              </w:rPr>
            </w:pPr>
            <w:r>
              <w:rPr>
                <w:rFonts w:ascii="Arial" w:cs="Arial" w:eastAsia="Arial" w:hAnsi="Arial"/>
                <w:sz w:val="18"/>
                <w:szCs w:val="18"/>
                <w:color w:val="auto"/>
                <w:w w:val="88"/>
              </w:rPr>
              <w:t>0.272</w:t>
            </w:r>
          </w:p>
        </w:tc>
        <w:tc>
          <w:tcPr>
            <w:tcW w:w="920" w:type="dxa"/>
            <w:vAlign w:val="bottom"/>
            <w:gridSpan w:val="2"/>
            <w:shd w:val="clear" w:color="auto" w:fill="D5EAEA"/>
          </w:tcPr>
          <w:p>
            <w:pPr>
              <w:jc w:val="right"/>
              <w:ind w:right="110"/>
              <w:spacing w:after="0"/>
              <w:rPr>
                <w:sz w:val="20"/>
                <w:szCs w:val="20"/>
                <w:color w:val="auto"/>
              </w:rPr>
            </w:pPr>
            <w:r>
              <w:rPr>
                <w:rFonts w:ascii="Arial" w:cs="Arial" w:eastAsia="Arial" w:hAnsi="Arial"/>
                <w:sz w:val="18"/>
                <w:szCs w:val="18"/>
                <w:color w:val="auto"/>
              </w:rPr>
              <w:t>0.291</w:t>
            </w:r>
          </w:p>
        </w:tc>
        <w:tc>
          <w:tcPr>
            <w:tcW w:w="900" w:type="dxa"/>
            <w:vAlign w:val="bottom"/>
            <w:gridSpan w:val="2"/>
            <w:shd w:val="clear" w:color="auto" w:fill="D5EAEA"/>
          </w:tcPr>
          <w:p>
            <w:pPr>
              <w:jc w:val="right"/>
              <w:ind w:right="110"/>
              <w:spacing w:after="0"/>
              <w:rPr>
                <w:sz w:val="20"/>
                <w:szCs w:val="20"/>
                <w:color w:val="auto"/>
              </w:rPr>
            </w:pPr>
            <w:r>
              <w:rPr>
                <w:rFonts w:ascii="Arial" w:cs="Arial" w:eastAsia="Arial" w:hAnsi="Arial"/>
                <w:sz w:val="18"/>
                <w:szCs w:val="18"/>
                <w:color w:val="auto"/>
              </w:rPr>
              <w:t>0.307</w:t>
            </w:r>
          </w:p>
        </w:tc>
        <w:tc>
          <w:tcPr>
            <w:tcW w:w="900" w:type="dxa"/>
            <w:vAlign w:val="bottom"/>
            <w:gridSpan w:val="2"/>
            <w:shd w:val="clear" w:color="auto" w:fill="D5EAEA"/>
          </w:tcPr>
          <w:p>
            <w:pPr>
              <w:jc w:val="right"/>
              <w:ind w:right="110"/>
              <w:spacing w:after="0"/>
              <w:rPr>
                <w:sz w:val="20"/>
                <w:szCs w:val="20"/>
                <w:color w:val="auto"/>
              </w:rPr>
            </w:pPr>
            <w:r>
              <w:rPr>
                <w:rFonts w:ascii="Arial" w:cs="Arial" w:eastAsia="Arial" w:hAnsi="Arial"/>
                <w:sz w:val="18"/>
                <w:szCs w:val="18"/>
                <w:color w:val="auto"/>
              </w:rPr>
              <w:t>0.322</w:t>
            </w:r>
          </w:p>
        </w:tc>
        <w:tc>
          <w:tcPr>
            <w:tcW w:w="900" w:type="dxa"/>
            <w:vAlign w:val="bottom"/>
            <w:gridSpan w:val="2"/>
            <w:shd w:val="clear" w:color="auto" w:fill="D5EAEA"/>
          </w:tcPr>
          <w:p>
            <w:pPr>
              <w:jc w:val="right"/>
              <w:ind w:right="110"/>
              <w:spacing w:after="0"/>
              <w:rPr>
                <w:sz w:val="20"/>
                <w:szCs w:val="20"/>
                <w:color w:val="auto"/>
              </w:rPr>
            </w:pPr>
            <w:r>
              <w:rPr>
                <w:rFonts w:ascii="Arial" w:cs="Arial" w:eastAsia="Arial" w:hAnsi="Arial"/>
                <w:sz w:val="18"/>
                <w:szCs w:val="18"/>
                <w:color w:val="auto"/>
              </w:rPr>
              <w:t>0.335</w:t>
            </w:r>
          </w:p>
        </w:tc>
        <w:tc>
          <w:tcPr>
            <w:tcW w:w="880" w:type="dxa"/>
            <w:vAlign w:val="bottom"/>
            <w:gridSpan w:val="2"/>
            <w:shd w:val="clear" w:color="auto" w:fill="D5EAEA"/>
          </w:tcPr>
          <w:p>
            <w:pPr>
              <w:jc w:val="right"/>
              <w:ind w:right="90"/>
              <w:spacing w:after="0"/>
              <w:rPr>
                <w:sz w:val="20"/>
                <w:szCs w:val="20"/>
                <w:color w:val="auto"/>
              </w:rPr>
            </w:pPr>
            <w:r>
              <w:rPr>
                <w:rFonts w:ascii="Arial" w:cs="Arial" w:eastAsia="Arial" w:hAnsi="Arial"/>
                <w:sz w:val="18"/>
                <w:szCs w:val="18"/>
                <w:color w:val="auto"/>
              </w:rPr>
              <w:t>0.347</w:t>
            </w:r>
          </w:p>
        </w:tc>
        <w:tc>
          <w:tcPr>
            <w:tcW w:w="900" w:type="dxa"/>
            <w:vAlign w:val="bottom"/>
            <w:gridSpan w:val="2"/>
            <w:shd w:val="clear" w:color="auto" w:fill="D5EAEA"/>
          </w:tcPr>
          <w:p>
            <w:pPr>
              <w:jc w:val="right"/>
              <w:ind w:right="110"/>
              <w:spacing w:after="0"/>
              <w:rPr>
                <w:sz w:val="20"/>
                <w:szCs w:val="20"/>
                <w:color w:val="auto"/>
              </w:rPr>
            </w:pPr>
            <w:r>
              <w:rPr>
                <w:rFonts w:ascii="Arial" w:cs="Arial" w:eastAsia="Arial" w:hAnsi="Arial"/>
                <w:sz w:val="18"/>
                <w:szCs w:val="18"/>
                <w:color w:val="auto"/>
              </w:rPr>
              <w:t>0.357</w:t>
            </w:r>
          </w:p>
        </w:tc>
        <w:tc>
          <w:tcPr>
            <w:tcW w:w="880" w:type="dxa"/>
            <w:vAlign w:val="bottom"/>
            <w:gridSpan w:val="2"/>
            <w:shd w:val="clear" w:color="auto" w:fill="D5EAEA"/>
          </w:tcPr>
          <w:p>
            <w:pPr>
              <w:jc w:val="center"/>
              <w:ind w:left="10"/>
              <w:spacing w:after="0"/>
              <w:rPr>
                <w:sz w:val="20"/>
                <w:szCs w:val="20"/>
                <w:color w:val="auto"/>
              </w:rPr>
            </w:pPr>
            <w:r>
              <w:rPr>
                <w:rFonts w:ascii="Arial" w:cs="Arial" w:eastAsia="Arial" w:hAnsi="Arial"/>
                <w:sz w:val="18"/>
                <w:szCs w:val="18"/>
                <w:color w:val="auto"/>
                <w:w w:val="93"/>
              </w:rPr>
              <w:t>0.361</w:t>
            </w:r>
          </w:p>
        </w:tc>
        <w:tc>
          <w:tcPr>
            <w:tcW w:w="100" w:type="dxa"/>
            <w:vAlign w:val="bottom"/>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gridSpan w:val="2"/>
          </w:tcPr>
          <w:p>
            <w:pPr>
              <w:spacing w:after="0"/>
              <w:rPr>
                <w:sz w:val="20"/>
                <w:szCs w:val="20"/>
                <w:color w:val="auto"/>
              </w:rPr>
            </w:pPr>
            <w:r>
              <w:rPr>
                <w:rFonts w:ascii="Arial" w:cs="Arial" w:eastAsia="Arial" w:hAnsi="Arial"/>
                <w:sz w:val="18"/>
                <w:szCs w:val="18"/>
                <w:color w:val="auto"/>
              </w:rPr>
              <w:t>51 months</w:t>
            </w:r>
          </w:p>
        </w:tc>
        <w:tc>
          <w:tcPr>
            <w:tcW w:w="800" w:type="dxa"/>
            <w:vAlign w:val="bottom"/>
          </w:tcPr>
          <w:p>
            <w:pPr>
              <w:jc w:val="center"/>
              <w:spacing w:after="0"/>
              <w:rPr>
                <w:sz w:val="20"/>
                <w:szCs w:val="20"/>
                <w:color w:val="auto"/>
              </w:rPr>
            </w:pPr>
            <w:r>
              <w:rPr>
                <w:rFonts w:ascii="Arial" w:cs="Arial" w:eastAsia="Arial" w:hAnsi="Arial"/>
                <w:sz w:val="18"/>
                <w:szCs w:val="18"/>
                <w:color w:val="auto"/>
                <w:w w:val="88"/>
              </w:rPr>
              <w:t>0.246</w:t>
            </w:r>
          </w:p>
        </w:tc>
        <w:tc>
          <w:tcPr>
            <w:tcW w:w="900" w:type="dxa"/>
            <w:vAlign w:val="bottom"/>
            <w:gridSpan w:val="2"/>
          </w:tcPr>
          <w:p>
            <w:pPr>
              <w:jc w:val="center"/>
              <w:ind w:left="10"/>
              <w:spacing w:after="0"/>
              <w:rPr>
                <w:sz w:val="20"/>
                <w:szCs w:val="20"/>
                <w:color w:val="auto"/>
              </w:rPr>
            </w:pPr>
            <w:r>
              <w:rPr>
                <w:rFonts w:ascii="Arial" w:cs="Arial" w:eastAsia="Arial" w:hAnsi="Arial"/>
                <w:sz w:val="18"/>
                <w:szCs w:val="18"/>
                <w:color w:val="auto"/>
                <w:w w:val="88"/>
              </w:rPr>
              <w:t>0.268</w:t>
            </w:r>
          </w:p>
        </w:tc>
        <w:tc>
          <w:tcPr>
            <w:tcW w:w="920" w:type="dxa"/>
            <w:vAlign w:val="bottom"/>
            <w:gridSpan w:val="2"/>
          </w:tcPr>
          <w:p>
            <w:pPr>
              <w:jc w:val="right"/>
              <w:ind w:right="110"/>
              <w:spacing w:after="0"/>
              <w:rPr>
                <w:sz w:val="20"/>
                <w:szCs w:val="20"/>
                <w:color w:val="auto"/>
              </w:rPr>
            </w:pPr>
            <w:r>
              <w:rPr>
                <w:rFonts w:ascii="Arial" w:cs="Arial" w:eastAsia="Arial" w:hAnsi="Arial"/>
                <w:sz w:val="18"/>
                <w:szCs w:val="18"/>
                <w:color w:val="auto"/>
              </w:rPr>
              <w:t>0.287</w:t>
            </w:r>
          </w:p>
        </w:tc>
        <w:tc>
          <w:tcPr>
            <w:tcW w:w="900" w:type="dxa"/>
            <w:vAlign w:val="bottom"/>
            <w:gridSpan w:val="2"/>
          </w:tcPr>
          <w:p>
            <w:pPr>
              <w:jc w:val="right"/>
              <w:ind w:right="110"/>
              <w:spacing w:after="0"/>
              <w:rPr>
                <w:sz w:val="20"/>
                <w:szCs w:val="20"/>
                <w:color w:val="auto"/>
              </w:rPr>
            </w:pPr>
            <w:r>
              <w:rPr>
                <w:rFonts w:ascii="Arial" w:cs="Arial" w:eastAsia="Arial" w:hAnsi="Arial"/>
                <w:sz w:val="18"/>
                <w:szCs w:val="18"/>
                <w:color w:val="auto"/>
              </w:rPr>
              <w:t>0.304</w:t>
            </w:r>
          </w:p>
        </w:tc>
        <w:tc>
          <w:tcPr>
            <w:tcW w:w="900" w:type="dxa"/>
            <w:vAlign w:val="bottom"/>
            <w:gridSpan w:val="2"/>
          </w:tcPr>
          <w:p>
            <w:pPr>
              <w:jc w:val="right"/>
              <w:ind w:right="110"/>
              <w:spacing w:after="0"/>
              <w:rPr>
                <w:sz w:val="20"/>
                <w:szCs w:val="20"/>
                <w:color w:val="auto"/>
              </w:rPr>
            </w:pPr>
            <w:r>
              <w:rPr>
                <w:rFonts w:ascii="Arial" w:cs="Arial" w:eastAsia="Arial" w:hAnsi="Arial"/>
                <w:sz w:val="18"/>
                <w:szCs w:val="18"/>
                <w:color w:val="auto"/>
              </w:rPr>
              <w:t>0.320</w:t>
            </w:r>
          </w:p>
        </w:tc>
        <w:tc>
          <w:tcPr>
            <w:tcW w:w="900" w:type="dxa"/>
            <w:vAlign w:val="bottom"/>
            <w:gridSpan w:val="2"/>
          </w:tcPr>
          <w:p>
            <w:pPr>
              <w:jc w:val="right"/>
              <w:ind w:right="110"/>
              <w:spacing w:after="0"/>
              <w:rPr>
                <w:sz w:val="20"/>
                <w:szCs w:val="20"/>
                <w:color w:val="auto"/>
              </w:rPr>
            </w:pPr>
            <w:r>
              <w:rPr>
                <w:rFonts w:ascii="Arial" w:cs="Arial" w:eastAsia="Arial" w:hAnsi="Arial"/>
                <w:sz w:val="18"/>
                <w:szCs w:val="18"/>
                <w:color w:val="auto"/>
              </w:rPr>
              <w:t>0.333</w:t>
            </w:r>
          </w:p>
        </w:tc>
        <w:tc>
          <w:tcPr>
            <w:tcW w:w="880" w:type="dxa"/>
            <w:vAlign w:val="bottom"/>
            <w:gridSpan w:val="2"/>
          </w:tcPr>
          <w:p>
            <w:pPr>
              <w:jc w:val="right"/>
              <w:ind w:right="90"/>
              <w:spacing w:after="0"/>
              <w:rPr>
                <w:sz w:val="20"/>
                <w:szCs w:val="20"/>
                <w:color w:val="auto"/>
              </w:rPr>
            </w:pPr>
            <w:r>
              <w:rPr>
                <w:rFonts w:ascii="Arial" w:cs="Arial" w:eastAsia="Arial" w:hAnsi="Arial"/>
                <w:sz w:val="18"/>
                <w:szCs w:val="18"/>
                <w:color w:val="auto"/>
              </w:rPr>
              <w:t>0.346</w:t>
            </w:r>
          </w:p>
        </w:tc>
        <w:tc>
          <w:tcPr>
            <w:tcW w:w="900" w:type="dxa"/>
            <w:vAlign w:val="bottom"/>
            <w:gridSpan w:val="2"/>
          </w:tcPr>
          <w:p>
            <w:pPr>
              <w:jc w:val="right"/>
              <w:ind w:right="110"/>
              <w:spacing w:after="0"/>
              <w:rPr>
                <w:sz w:val="20"/>
                <w:szCs w:val="20"/>
                <w:color w:val="auto"/>
              </w:rPr>
            </w:pPr>
            <w:r>
              <w:rPr>
                <w:rFonts w:ascii="Arial" w:cs="Arial" w:eastAsia="Arial" w:hAnsi="Arial"/>
                <w:sz w:val="18"/>
                <w:szCs w:val="18"/>
                <w:color w:val="auto"/>
              </w:rPr>
              <w:t>0.357</w:t>
            </w:r>
          </w:p>
        </w:tc>
        <w:tc>
          <w:tcPr>
            <w:tcW w:w="880" w:type="dxa"/>
            <w:vAlign w:val="bottom"/>
            <w:gridSpan w:val="2"/>
          </w:tcPr>
          <w:p>
            <w:pPr>
              <w:jc w:val="center"/>
              <w:ind w:left="10"/>
              <w:spacing w:after="0"/>
              <w:rPr>
                <w:sz w:val="20"/>
                <w:szCs w:val="20"/>
                <w:color w:val="auto"/>
              </w:rPr>
            </w:pPr>
            <w:r>
              <w:rPr>
                <w:rFonts w:ascii="Arial" w:cs="Arial" w:eastAsia="Arial" w:hAnsi="Arial"/>
                <w:sz w:val="18"/>
                <w:szCs w:val="18"/>
                <w:color w:val="auto"/>
                <w:w w:val="93"/>
              </w:rPr>
              <w:t>0.361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48 months</w:t>
            </w:r>
          </w:p>
        </w:tc>
        <w:tc>
          <w:tcPr>
            <w:tcW w:w="800" w:type="dxa"/>
            <w:vAlign w:val="bottom"/>
            <w:shd w:val="clear" w:color="auto" w:fill="D5EAEA"/>
          </w:tcPr>
          <w:p>
            <w:pPr>
              <w:jc w:val="center"/>
              <w:spacing w:after="0"/>
              <w:rPr>
                <w:sz w:val="20"/>
                <w:szCs w:val="20"/>
                <w:color w:val="auto"/>
              </w:rPr>
            </w:pPr>
            <w:r>
              <w:rPr>
                <w:rFonts w:ascii="Arial" w:cs="Arial" w:eastAsia="Arial" w:hAnsi="Arial"/>
                <w:sz w:val="18"/>
                <w:szCs w:val="18"/>
                <w:color w:val="auto"/>
                <w:w w:val="88"/>
              </w:rPr>
              <w:t>0.241</w:t>
            </w:r>
          </w:p>
        </w:tc>
        <w:tc>
          <w:tcPr>
            <w:tcW w:w="900" w:type="dxa"/>
            <w:vAlign w:val="bottom"/>
            <w:gridSpan w:val="2"/>
            <w:shd w:val="clear" w:color="auto" w:fill="D5EAEA"/>
          </w:tcPr>
          <w:p>
            <w:pPr>
              <w:jc w:val="center"/>
              <w:ind w:left="10"/>
              <w:spacing w:after="0"/>
              <w:rPr>
                <w:sz w:val="20"/>
                <w:szCs w:val="20"/>
                <w:color w:val="auto"/>
              </w:rPr>
            </w:pPr>
            <w:r>
              <w:rPr>
                <w:rFonts w:ascii="Arial" w:cs="Arial" w:eastAsia="Arial" w:hAnsi="Arial"/>
                <w:sz w:val="18"/>
                <w:szCs w:val="18"/>
                <w:color w:val="auto"/>
                <w:w w:val="88"/>
              </w:rPr>
              <w:t>0.263</w:t>
            </w:r>
          </w:p>
        </w:tc>
        <w:tc>
          <w:tcPr>
            <w:tcW w:w="920" w:type="dxa"/>
            <w:vAlign w:val="bottom"/>
            <w:gridSpan w:val="2"/>
            <w:shd w:val="clear" w:color="auto" w:fill="D5EAEA"/>
          </w:tcPr>
          <w:p>
            <w:pPr>
              <w:jc w:val="right"/>
              <w:ind w:right="110"/>
              <w:spacing w:after="0"/>
              <w:rPr>
                <w:sz w:val="20"/>
                <w:szCs w:val="20"/>
                <w:color w:val="auto"/>
              </w:rPr>
            </w:pPr>
            <w:r>
              <w:rPr>
                <w:rFonts w:ascii="Arial" w:cs="Arial" w:eastAsia="Arial" w:hAnsi="Arial"/>
                <w:sz w:val="18"/>
                <w:szCs w:val="18"/>
                <w:color w:val="auto"/>
              </w:rPr>
              <w:t>0.283</w:t>
            </w:r>
          </w:p>
        </w:tc>
        <w:tc>
          <w:tcPr>
            <w:tcW w:w="900" w:type="dxa"/>
            <w:vAlign w:val="bottom"/>
            <w:gridSpan w:val="2"/>
            <w:shd w:val="clear" w:color="auto" w:fill="D5EAEA"/>
          </w:tcPr>
          <w:p>
            <w:pPr>
              <w:jc w:val="right"/>
              <w:ind w:right="110"/>
              <w:spacing w:after="0"/>
              <w:rPr>
                <w:sz w:val="20"/>
                <w:szCs w:val="20"/>
                <w:color w:val="auto"/>
              </w:rPr>
            </w:pPr>
            <w:r>
              <w:rPr>
                <w:rFonts w:ascii="Arial" w:cs="Arial" w:eastAsia="Arial" w:hAnsi="Arial"/>
                <w:sz w:val="18"/>
                <w:szCs w:val="18"/>
                <w:color w:val="auto"/>
              </w:rPr>
              <w:t>0.301</w:t>
            </w:r>
          </w:p>
        </w:tc>
        <w:tc>
          <w:tcPr>
            <w:tcW w:w="900" w:type="dxa"/>
            <w:vAlign w:val="bottom"/>
            <w:gridSpan w:val="2"/>
            <w:shd w:val="clear" w:color="auto" w:fill="D5EAEA"/>
          </w:tcPr>
          <w:p>
            <w:pPr>
              <w:jc w:val="right"/>
              <w:ind w:right="110"/>
              <w:spacing w:after="0"/>
              <w:rPr>
                <w:sz w:val="20"/>
                <w:szCs w:val="20"/>
                <w:color w:val="auto"/>
              </w:rPr>
            </w:pPr>
            <w:r>
              <w:rPr>
                <w:rFonts w:ascii="Arial" w:cs="Arial" w:eastAsia="Arial" w:hAnsi="Arial"/>
                <w:sz w:val="18"/>
                <w:szCs w:val="18"/>
                <w:color w:val="auto"/>
              </w:rPr>
              <w:t>0.317</w:t>
            </w:r>
          </w:p>
        </w:tc>
        <w:tc>
          <w:tcPr>
            <w:tcW w:w="900" w:type="dxa"/>
            <w:vAlign w:val="bottom"/>
            <w:gridSpan w:val="2"/>
            <w:shd w:val="clear" w:color="auto" w:fill="D5EAEA"/>
          </w:tcPr>
          <w:p>
            <w:pPr>
              <w:jc w:val="right"/>
              <w:ind w:right="110"/>
              <w:spacing w:after="0"/>
              <w:rPr>
                <w:sz w:val="20"/>
                <w:szCs w:val="20"/>
                <w:color w:val="auto"/>
              </w:rPr>
            </w:pPr>
            <w:r>
              <w:rPr>
                <w:rFonts w:ascii="Arial" w:cs="Arial" w:eastAsia="Arial" w:hAnsi="Arial"/>
                <w:sz w:val="18"/>
                <w:szCs w:val="18"/>
                <w:color w:val="auto"/>
              </w:rPr>
              <w:t>0.332</w:t>
            </w:r>
          </w:p>
        </w:tc>
        <w:tc>
          <w:tcPr>
            <w:tcW w:w="880" w:type="dxa"/>
            <w:vAlign w:val="bottom"/>
            <w:gridSpan w:val="2"/>
            <w:shd w:val="clear" w:color="auto" w:fill="D5EAEA"/>
          </w:tcPr>
          <w:p>
            <w:pPr>
              <w:jc w:val="right"/>
              <w:ind w:right="90"/>
              <w:spacing w:after="0"/>
              <w:rPr>
                <w:sz w:val="20"/>
                <w:szCs w:val="20"/>
                <w:color w:val="auto"/>
              </w:rPr>
            </w:pPr>
            <w:r>
              <w:rPr>
                <w:rFonts w:ascii="Arial" w:cs="Arial" w:eastAsia="Arial" w:hAnsi="Arial"/>
                <w:sz w:val="18"/>
                <w:szCs w:val="18"/>
                <w:color w:val="auto"/>
              </w:rPr>
              <w:t>0.344</w:t>
            </w:r>
          </w:p>
        </w:tc>
        <w:tc>
          <w:tcPr>
            <w:tcW w:w="900" w:type="dxa"/>
            <w:vAlign w:val="bottom"/>
            <w:gridSpan w:val="2"/>
            <w:shd w:val="clear" w:color="auto" w:fill="D5EAEA"/>
          </w:tcPr>
          <w:p>
            <w:pPr>
              <w:jc w:val="right"/>
              <w:ind w:right="110"/>
              <w:spacing w:after="0"/>
              <w:rPr>
                <w:sz w:val="20"/>
                <w:szCs w:val="20"/>
                <w:color w:val="auto"/>
              </w:rPr>
            </w:pPr>
            <w:r>
              <w:rPr>
                <w:rFonts w:ascii="Arial" w:cs="Arial" w:eastAsia="Arial" w:hAnsi="Arial"/>
                <w:sz w:val="18"/>
                <w:szCs w:val="18"/>
                <w:color w:val="auto"/>
              </w:rPr>
              <w:t>0.356</w:t>
            </w:r>
          </w:p>
        </w:tc>
        <w:tc>
          <w:tcPr>
            <w:tcW w:w="880" w:type="dxa"/>
            <w:vAlign w:val="bottom"/>
            <w:gridSpan w:val="2"/>
            <w:shd w:val="clear" w:color="auto" w:fill="D5EAEA"/>
          </w:tcPr>
          <w:p>
            <w:pPr>
              <w:jc w:val="center"/>
              <w:ind w:left="10"/>
              <w:spacing w:after="0"/>
              <w:rPr>
                <w:sz w:val="20"/>
                <w:szCs w:val="20"/>
                <w:color w:val="auto"/>
              </w:rPr>
            </w:pPr>
            <w:r>
              <w:rPr>
                <w:rFonts w:ascii="Arial" w:cs="Arial" w:eastAsia="Arial" w:hAnsi="Arial"/>
                <w:sz w:val="18"/>
                <w:szCs w:val="18"/>
                <w:color w:val="auto"/>
                <w:w w:val="93"/>
              </w:rPr>
              <w:t>0.361</w:t>
            </w:r>
          </w:p>
        </w:tc>
        <w:tc>
          <w:tcPr>
            <w:tcW w:w="100" w:type="dxa"/>
            <w:vAlign w:val="bottom"/>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gridSpan w:val="2"/>
          </w:tcPr>
          <w:p>
            <w:pPr>
              <w:spacing w:after="0"/>
              <w:rPr>
                <w:sz w:val="20"/>
                <w:szCs w:val="20"/>
                <w:color w:val="auto"/>
              </w:rPr>
            </w:pPr>
            <w:r>
              <w:rPr>
                <w:rFonts w:ascii="Arial" w:cs="Arial" w:eastAsia="Arial" w:hAnsi="Arial"/>
                <w:sz w:val="18"/>
                <w:szCs w:val="18"/>
                <w:color w:val="auto"/>
              </w:rPr>
              <w:t>45 months</w:t>
            </w:r>
          </w:p>
        </w:tc>
        <w:tc>
          <w:tcPr>
            <w:tcW w:w="800" w:type="dxa"/>
            <w:vAlign w:val="bottom"/>
          </w:tcPr>
          <w:p>
            <w:pPr>
              <w:jc w:val="center"/>
              <w:spacing w:after="0"/>
              <w:rPr>
                <w:sz w:val="20"/>
                <w:szCs w:val="20"/>
                <w:color w:val="auto"/>
              </w:rPr>
            </w:pPr>
            <w:r>
              <w:rPr>
                <w:rFonts w:ascii="Arial" w:cs="Arial" w:eastAsia="Arial" w:hAnsi="Arial"/>
                <w:sz w:val="18"/>
                <w:szCs w:val="18"/>
                <w:color w:val="auto"/>
                <w:w w:val="88"/>
              </w:rPr>
              <w:t>0.235</w:t>
            </w:r>
          </w:p>
        </w:tc>
        <w:tc>
          <w:tcPr>
            <w:tcW w:w="900" w:type="dxa"/>
            <w:vAlign w:val="bottom"/>
            <w:gridSpan w:val="2"/>
          </w:tcPr>
          <w:p>
            <w:pPr>
              <w:jc w:val="center"/>
              <w:ind w:left="10"/>
              <w:spacing w:after="0"/>
              <w:rPr>
                <w:sz w:val="20"/>
                <w:szCs w:val="20"/>
                <w:color w:val="auto"/>
              </w:rPr>
            </w:pPr>
            <w:r>
              <w:rPr>
                <w:rFonts w:ascii="Arial" w:cs="Arial" w:eastAsia="Arial" w:hAnsi="Arial"/>
                <w:sz w:val="18"/>
                <w:szCs w:val="18"/>
                <w:color w:val="auto"/>
                <w:w w:val="88"/>
              </w:rPr>
              <w:t>0.258</w:t>
            </w:r>
          </w:p>
        </w:tc>
        <w:tc>
          <w:tcPr>
            <w:tcW w:w="920" w:type="dxa"/>
            <w:vAlign w:val="bottom"/>
            <w:gridSpan w:val="2"/>
          </w:tcPr>
          <w:p>
            <w:pPr>
              <w:jc w:val="right"/>
              <w:ind w:right="110"/>
              <w:spacing w:after="0"/>
              <w:rPr>
                <w:sz w:val="20"/>
                <w:szCs w:val="20"/>
                <w:color w:val="auto"/>
              </w:rPr>
            </w:pPr>
            <w:r>
              <w:rPr>
                <w:rFonts w:ascii="Arial" w:cs="Arial" w:eastAsia="Arial" w:hAnsi="Arial"/>
                <w:sz w:val="18"/>
                <w:szCs w:val="18"/>
                <w:color w:val="auto"/>
              </w:rPr>
              <w:t>0.279</w:t>
            </w:r>
          </w:p>
        </w:tc>
        <w:tc>
          <w:tcPr>
            <w:tcW w:w="900" w:type="dxa"/>
            <w:vAlign w:val="bottom"/>
            <w:gridSpan w:val="2"/>
          </w:tcPr>
          <w:p>
            <w:pPr>
              <w:jc w:val="right"/>
              <w:ind w:right="110"/>
              <w:spacing w:after="0"/>
              <w:rPr>
                <w:sz w:val="20"/>
                <w:szCs w:val="20"/>
                <w:color w:val="auto"/>
              </w:rPr>
            </w:pPr>
            <w:r>
              <w:rPr>
                <w:rFonts w:ascii="Arial" w:cs="Arial" w:eastAsia="Arial" w:hAnsi="Arial"/>
                <w:sz w:val="18"/>
                <w:szCs w:val="18"/>
                <w:color w:val="auto"/>
              </w:rPr>
              <w:t>0.298</w:t>
            </w:r>
          </w:p>
        </w:tc>
        <w:tc>
          <w:tcPr>
            <w:tcW w:w="900" w:type="dxa"/>
            <w:vAlign w:val="bottom"/>
            <w:gridSpan w:val="2"/>
          </w:tcPr>
          <w:p>
            <w:pPr>
              <w:jc w:val="right"/>
              <w:ind w:right="110"/>
              <w:spacing w:after="0"/>
              <w:rPr>
                <w:sz w:val="20"/>
                <w:szCs w:val="20"/>
                <w:color w:val="auto"/>
              </w:rPr>
            </w:pPr>
            <w:r>
              <w:rPr>
                <w:rFonts w:ascii="Arial" w:cs="Arial" w:eastAsia="Arial" w:hAnsi="Arial"/>
                <w:sz w:val="18"/>
                <w:szCs w:val="18"/>
                <w:color w:val="auto"/>
              </w:rPr>
              <w:t>0.315</w:t>
            </w:r>
          </w:p>
        </w:tc>
        <w:tc>
          <w:tcPr>
            <w:tcW w:w="900" w:type="dxa"/>
            <w:vAlign w:val="bottom"/>
            <w:gridSpan w:val="2"/>
          </w:tcPr>
          <w:p>
            <w:pPr>
              <w:jc w:val="right"/>
              <w:ind w:right="110"/>
              <w:spacing w:after="0"/>
              <w:rPr>
                <w:sz w:val="20"/>
                <w:szCs w:val="20"/>
                <w:color w:val="auto"/>
              </w:rPr>
            </w:pPr>
            <w:r>
              <w:rPr>
                <w:rFonts w:ascii="Arial" w:cs="Arial" w:eastAsia="Arial" w:hAnsi="Arial"/>
                <w:sz w:val="18"/>
                <w:szCs w:val="18"/>
                <w:color w:val="auto"/>
              </w:rPr>
              <w:t>0.330</w:t>
            </w:r>
          </w:p>
        </w:tc>
        <w:tc>
          <w:tcPr>
            <w:tcW w:w="880" w:type="dxa"/>
            <w:vAlign w:val="bottom"/>
            <w:gridSpan w:val="2"/>
          </w:tcPr>
          <w:p>
            <w:pPr>
              <w:jc w:val="right"/>
              <w:ind w:right="90"/>
              <w:spacing w:after="0"/>
              <w:rPr>
                <w:sz w:val="20"/>
                <w:szCs w:val="20"/>
                <w:color w:val="auto"/>
              </w:rPr>
            </w:pPr>
            <w:r>
              <w:rPr>
                <w:rFonts w:ascii="Arial" w:cs="Arial" w:eastAsia="Arial" w:hAnsi="Arial"/>
                <w:sz w:val="18"/>
                <w:szCs w:val="18"/>
                <w:color w:val="auto"/>
              </w:rPr>
              <w:t>0.343</w:t>
            </w:r>
          </w:p>
        </w:tc>
        <w:tc>
          <w:tcPr>
            <w:tcW w:w="900" w:type="dxa"/>
            <w:vAlign w:val="bottom"/>
            <w:gridSpan w:val="2"/>
          </w:tcPr>
          <w:p>
            <w:pPr>
              <w:jc w:val="right"/>
              <w:ind w:right="110"/>
              <w:spacing w:after="0"/>
              <w:rPr>
                <w:sz w:val="20"/>
                <w:szCs w:val="20"/>
                <w:color w:val="auto"/>
              </w:rPr>
            </w:pPr>
            <w:r>
              <w:rPr>
                <w:rFonts w:ascii="Arial" w:cs="Arial" w:eastAsia="Arial" w:hAnsi="Arial"/>
                <w:sz w:val="18"/>
                <w:szCs w:val="18"/>
                <w:color w:val="auto"/>
              </w:rPr>
              <w:t>0.356</w:t>
            </w:r>
          </w:p>
        </w:tc>
        <w:tc>
          <w:tcPr>
            <w:tcW w:w="880" w:type="dxa"/>
            <w:vAlign w:val="bottom"/>
            <w:gridSpan w:val="2"/>
          </w:tcPr>
          <w:p>
            <w:pPr>
              <w:jc w:val="center"/>
              <w:ind w:left="10"/>
              <w:spacing w:after="0"/>
              <w:rPr>
                <w:sz w:val="20"/>
                <w:szCs w:val="20"/>
                <w:color w:val="auto"/>
              </w:rPr>
            </w:pPr>
            <w:r>
              <w:rPr>
                <w:rFonts w:ascii="Arial" w:cs="Arial" w:eastAsia="Arial" w:hAnsi="Arial"/>
                <w:sz w:val="18"/>
                <w:szCs w:val="18"/>
                <w:color w:val="auto"/>
                <w:w w:val="93"/>
              </w:rPr>
              <w:t>0.361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42 months</w:t>
            </w:r>
          </w:p>
        </w:tc>
        <w:tc>
          <w:tcPr>
            <w:tcW w:w="800" w:type="dxa"/>
            <w:vAlign w:val="bottom"/>
            <w:shd w:val="clear" w:color="auto" w:fill="D5EAEA"/>
          </w:tcPr>
          <w:p>
            <w:pPr>
              <w:jc w:val="center"/>
              <w:spacing w:after="0"/>
              <w:rPr>
                <w:sz w:val="20"/>
                <w:szCs w:val="20"/>
                <w:color w:val="auto"/>
              </w:rPr>
            </w:pPr>
            <w:r>
              <w:rPr>
                <w:rFonts w:ascii="Arial" w:cs="Arial" w:eastAsia="Arial" w:hAnsi="Arial"/>
                <w:sz w:val="18"/>
                <w:szCs w:val="18"/>
                <w:color w:val="auto"/>
                <w:w w:val="88"/>
              </w:rPr>
              <w:t>0.228</w:t>
            </w:r>
          </w:p>
        </w:tc>
        <w:tc>
          <w:tcPr>
            <w:tcW w:w="900" w:type="dxa"/>
            <w:vAlign w:val="bottom"/>
            <w:gridSpan w:val="2"/>
            <w:shd w:val="clear" w:color="auto" w:fill="D5EAEA"/>
          </w:tcPr>
          <w:p>
            <w:pPr>
              <w:jc w:val="center"/>
              <w:ind w:left="10"/>
              <w:spacing w:after="0"/>
              <w:rPr>
                <w:sz w:val="20"/>
                <w:szCs w:val="20"/>
                <w:color w:val="auto"/>
              </w:rPr>
            </w:pPr>
            <w:r>
              <w:rPr>
                <w:rFonts w:ascii="Arial" w:cs="Arial" w:eastAsia="Arial" w:hAnsi="Arial"/>
                <w:sz w:val="18"/>
                <w:szCs w:val="18"/>
                <w:color w:val="auto"/>
                <w:w w:val="88"/>
              </w:rPr>
              <w:t>0.252</w:t>
            </w:r>
          </w:p>
        </w:tc>
        <w:tc>
          <w:tcPr>
            <w:tcW w:w="920" w:type="dxa"/>
            <w:vAlign w:val="bottom"/>
            <w:gridSpan w:val="2"/>
            <w:shd w:val="clear" w:color="auto" w:fill="D5EAEA"/>
          </w:tcPr>
          <w:p>
            <w:pPr>
              <w:jc w:val="right"/>
              <w:ind w:right="110"/>
              <w:spacing w:after="0"/>
              <w:rPr>
                <w:sz w:val="20"/>
                <w:szCs w:val="20"/>
                <w:color w:val="auto"/>
              </w:rPr>
            </w:pPr>
            <w:r>
              <w:rPr>
                <w:rFonts w:ascii="Arial" w:cs="Arial" w:eastAsia="Arial" w:hAnsi="Arial"/>
                <w:sz w:val="18"/>
                <w:szCs w:val="18"/>
                <w:color w:val="auto"/>
              </w:rPr>
              <w:t>0.274</w:t>
            </w:r>
          </w:p>
        </w:tc>
        <w:tc>
          <w:tcPr>
            <w:tcW w:w="900" w:type="dxa"/>
            <w:vAlign w:val="bottom"/>
            <w:gridSpan w:val="2"/>
            <w:shd w:val="clear" w:color="auto" w:fill="D5EAEA"/>
          </w:tcPr>
          <w:p>
            <w:pPr>
              <w:jc w:val="right"/>
              <w:ind w:right="110"/>
              <w:spacing w:after="0"/>
              <w:rPr>
                <w:sz w:val="20"/>
                <w:szCs w:val="20"/>
                <w:color w:val="auto"/>
              </w:rPr>
            </w:pPr>
            <w:r>
              <w:rPr>
                <w:rFonts w:ascii="Arial" w:cs="Arial" w:eastAsia="Arial" w:hAnsi="Arial"/>
                <w:sz w:val="18"/>
                <w:szCs w:val="18"/>
                <w:color w:val="auto"/>
              </w:rPr>
              <w:t>0.294</w:t>
            </w:r>
          </w:p>
        </w:tc>
        <w:tc>
          <w:tcPr>
            <w:tcW w:w="900" w:type="dxa"/>
            <w:vAlign w:val="bottom"/>
            <w:gridSpan w:val="2"/>
            <w:shd w:val="clear" w:color="auto" w:fill="D5EAEA"/>
          </w:tcPr>
          <w:p>
            <w:pPr>
              <w:jc w:val="right"/>
              <w:ind w:right="110"/>
              <w:spacing w:after="0"/>
              <w:rPr>
                <w:sz w:val="20"/>
                <w:szCs w:val="20"/>
                <w:color w:val="auto"/>
              </w:rPr>
            </w:pPr>
            <w:r>
              <w:rPr>
                <w:rFonts w:ascii="Arial" w:cs="Arial" w:eastAsia="Arial" w:hAnsi="Arial"/>
                <w:sz w:val="18"/>
                <w:szCs w:val="18"/>
                <w:color w:val="auto"/>
              </w:rPr>
              <w:t>0.312</w:t>
            </w:r>
          </w:p>
        </w:tc>
        <w:tc>
          <w:tcPr>
            <w:tcW w:w="900" w:type="dxa"/>
            <w:vAlign w:val="bottom"/>
            <w:gridSpan w:val="2"/>
            <w:shd w:val="clear" w:color="auto" w:fill="D5EAEA"/>
          </w:tcPr>
          <w:p>
            <w:pPr>
              <w:jc w:val="right"/>
              <w:ind w:right="110"/>
              <w:spacing w:after="0"/>
              <w:rPr>
                <w:sz w:val="20"/>
                <w:szCs w:val="20"/>
                <w:color w:val="auto"/>
              </w:rPr>
            </w:pPr>
            <w:r>
              <w:rPr>
                <w:rFonts w:ascii="Arial" w:cs="Arial" w:eastAsia="Arial" w:hAnsi="Arial"/>
                <w:sz w:val="18"/>
                <w:szCs w:val="18"/>
                <w:color w:val="auto"/>
              </w:rPr>
              <w:t>0.328</w:t>
            </w:r>
          </w:p>
        </w:tc>
        <w:tc>
          <w:tcPr>
            <w:tcW w:w="880" w:type="dxa"/>
            <w:vAlign w:val="bottom"/>
            <w:gridSpan w:val="2"/>
            <w:shd w:val="clear" w:color="auto" w:fill="D5EAEA"/>
          </w:tcPr>
          <w:p>
            <w:pPr>
              <w:jc w:val="right"/>
              <w:ind w:right="90"/>
              <w:spacing w:after="0"/>
              <w:rPr>
                <w:sz w:val="20"/>
                <w:szCs w:val="20"/>
                <w:color w:val="auto"/>
              </w:rPr>
            </w:pPr>
            <w:r>
              <w:rPr>
                <w:rFonts w:ascii="Arial" w:cs="Arial" w:eastAsia="Arial" w:hAnsi="Arial"/>
                <w:sz w:val="18"/>
                <w:szCs w:val="18"/>
                <w:color w:val="auto"/>
              </w:rPr>
              <w:t>0.342</w:t>
            </w:r>
          </w:p>
        </w:tc>
        <w:tc>
          <w:tcPr>
            <w:tcW w:w="900" w:type="dxa"/>
            <w:vAlign w:val="bottom"/>
            <w:gridSpan w:val="2"/>
            <w:shd w:val="clear" w:color="auto" w:fill="D5EAEA"/>
          </w:tcPr>
          <w:p>
            <w:pPr>
              <w:jc w:val="right"/>
              <w:ind w:right="110"/>
              <w:spacing w:after="0"/>
              <w:rPr>
                <w:sz w:val="20"/>
                <w:szCs w:val="20"/>
                <w:color w:val="auto"/>
              </w:rPr>
            </w:pPr>
            <w:r>
              <w:rPr>
                <w:rFonts w:ascii="Arial" w:cs="Arial" w:eastAsia="Arial" w:hAnsi="Arial"/>
                <w:sz w:val="18"/>
                <w:szCs w:val="18"/>
                <w:color w:val="auto"/>
              </w:rPr>
              <w:t>0.355</w:t>
            </w:r>
          </w:p>
        </w:tc>
        <w:tc>
          <w:tcPr>
            <w:tcW w:w="880" w:type="dxa"/>
            <w:vAlign w:val="bottom"/>
            <w:gridSpan w:val="2"/>
            <w:shd w:val="clear" w:color="auto" w:fill="D5EAEA"/>
          </w:tcPr>
          <w:p>
            <w:pPr>
              <w:jc w:val="center"/>
              <w:ind w:left="10"/>
              <w:spacing w:after="0"/>
              <w:rPr>
                <w:sz w:val="20"/>
                <w:szCs w:val="20"/>
                <w:color w:val="auto"/>
              </w:rPr>
            </w:pPr>
            <w:r>
              <w:rPr>
                <w:rFonts w:ascii="Arial" w:cs="Arial" w:eastAsia="Arial" w:hAnsi="Arial"/>
                <w:sz w:val="18"/>
                <w:szCs w:val="18"/>
                <w:color w:val="auto"/>
                <w:w w:val="93"/>
              </w:rPr>
              <w:t>0.361</w:t>
            </w:r>
          </w:p>
        </w:tc>
        <w:tc>
          <w:tcPr>
            <w:tcW w:w="100" w:type="dxa"/>
            <w:vAlign w:val="bottom"/>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gridSpan w:val="2"/>
          </w:tcPr>
          <w:p>
            <w:pPr>
              <w:spacing w:after="0"/>
              <w:rPr>
                <w:sz w:val="20"/>
                <w:szCs w:val="20"/>
                <w:color w:val="auto"/>
              </w:rPr>
            </w:pPr>
            <w:r>
              <w:rPr>
                <w:rFonts w:ascii="Arial" w:cs="Arial" w:eastAsia="Arial" w:hAnsi="Arial"/>
                <w:sz w:val="18"/>
                <w:szCs w:val="18"/>
                <w:color w:val="auto"/>
              </w:rPr>
              <w:t>39 months</w:t>
            </w:r>
          </w:p>
        </w:tc>
        <w:tc>
          <w:tcPr>
            <w:tcW w:w="800" w:type="dxa"/>
            <w:vAlign w:val="bottom"/>
          </w:tcPr>
          <w:p>
            <w:pPr>
              <w:jc w:val="center"/>
              <w:spacing w:after="0"/>
              <w:rPr>
                <w:sz w:val="20"/>
                <w:szCs w:val="20"/>
                <w:color w:val="auto"/>
              </w:rPr>
            </w:pPr>
            <w:r>
              <w:rPr>
                <w:rFonts w:ascii="Arial" w:cs="Arial" w:eastAsia="Arial" w:hAnsi="Arial"/>
                <w:sz w:val="18"/>
                <w:szCs w:val="18"/>
                <w:color w:val="auto"/>
                <w:w w:val="88"/>
              </w:rPr>
              <w:t>0.221</w:t>
            </w:r>
          </w:p>
        </w:tc>
        <w:tc>
          <w:tcPr>
            <w:tcW w:w="900" w:type="dxa"/>
            <w:vAlign w:val="bottom"/>
            <w:gridSpan w:val="2"/>
          </w:tcPr>
          <w:p>
            <w:pPr>
              <w:jc w:val="center"/>
              <w:ind w:left="10"/>
              <w:spacing w:after="0"/>
              <w:rPr>
                <w:sz w:val="20"/>
                <w:szCs w:val="20"/>
                <w:color w:val="auto"/>
              </w:rPr>
            </w:pPr>
            <w:r>
              <w:rPr>
                <w:rFonts w:ascii="Arial" w:cs="Arial" w:eastAsia="Arial" w:hAnsi="Arial"/>
                <w:sz w:val="18"/>
                <w:szCs w:val="18"/>
                <w:color w:val="auto"/>
                <w:w w:val="88"/>
              </w:rPr>
              <w:t>0.246</w:t>
            </w:r>
          </w:p>
        </w:tc>
        <w:tc>
          <w:tcPr>
            <w:tcW w:w="920" w:type="dxa"/>
            <w:vAlign w:val="bottom"/>
            <w:gridSpan w:val="2"/>
          </w:tcPr>
          <w:p>
            <w:pPr>
              <w:jc w:val="right"/>
              <w:ind w:right="110"/>
              <w:spacing w:after="0"/>
              <w:rPr>
                <w:sz w:val="20"/>
                <w:szCs w:val="20"/>
                <w:color w:val="auto"/>
              </w:rPr>
            </w:pPr>
            <w:r>
              <w:rPr>
                <w:rFonts w:ascii="Arial" w:cs="Arial" w:eastAsia="Arial" w:hAnsi="Arial"/>
                <w:sz w:val="18"/>
                <w:szCs w:val="18"/>
                <w:color w:val="auto"/>
              </w:rPr>
              <w:t>0.269</w:t>
            </w:r>
          </w:p>
        </w:tc>
        <w:tc>
          <w:tcPr>
            <w:tcW w:w="900" w:type="dxa"/>
            <w:vAlign w:val="bottom"/>
            <w:gridSpan w:val="2"/>
          </w:tcPr>
          <w:p>
            <w:pPr>
              <w:jc w:val="right"/>
              <w:ind w:right="110"/>
              <w:spacing w:after="0"/>
              <w:rPr>
                <w:sz w:val="20"/>
                <w:szCs w:val="20"/>
                <w:color w:val="auto"/>
              </w:rPr>
            </w:pPr>
            <w:r>
              <w:rPr>
                <w:rFonts w:ascii="Arial" w:cs="Arial" w:eastAsia="Arial" w:hAnsi="Arial"/>
                <w:sz w:val="18"/>
                <w:szCs w:val="18"/>
                <w:color w:val="auto"/>
              </w:rPr>
              <w:t>0.290</w:t>
            </w:r>
          </w:p>
        </w:tc>
        <w:tc>
          <w:tcPr>
            <w:tcW w:w="900" w:type="dxa"/>
            <w:vAlign w:val="bottom"/>
            <w:gridSpan w:val="2"/>
          </w:tcPr>
          <w:p>
            <w:pPr>
              <w:jc w:val="right"/>
              <w:ind w:right="110"/>
              <w:spacing w:after="0"/>
              <w:rPr>
                <w:sz w:val="20"/>
                <w:szCs w:val="20"/>
                <w:color w:val="auto"/>
              </w:rPr>
            </w:pPr>
            <w:r>
              <w:rPr>
                <w:rFonts w:ascii="Arial" w:cs="Arial" w:eastAsia="Arial" w:hAnsi="Arial"/>
                <w:sz w:val="18"/>
                <w:szCs w:val="18"/>
                <w:color w:val="auto"/>
              </w:rPr>
              <w:t>0.309</w:t>
            </w:r>
          </w:p>
        </w:tc>
        <w:tc>
          <w:tcPr>
            <w:tcW w:w="900" w:type="dxa"/>
            <w:vAlign w:val="bottom"/>
            <w:gridSpan w:val="2"/>
          </w:tcPr>
          <w:p>
            <w:pPr>
              <w:jc w:val="right"/>
              <w:ind w:right="110"/>
              <w:spacing w:after="0"/>
              <w:rPr>
                <w:sz w:val="20"/>
                <w:szCs w:val="20"/>
                <w:color w:val="auto"/>
              </w:rPr>
            </w:pPr>
            <w:r>
              <w:rPr>
                <w:rFonts w:ascii="Arial" w:cs="Arial" w:eastAsia="Arial" w:hAnsi="Arial"/>
                <w:sz w:val="18"/>
                <w:szCs w:val="18"/>
                <w:color w:val="auto"/>
              </w:rPr>
              <w:t>0.325</w:t>
            </w:r>
          </w:p>
        </w:tc>
        <w:tc>
          <w:tcPr>
            <w:tcW w:w="880" w:type="dxa"/>
            <w:vAlign w:val="bottom"/>
            <w:gridSpan w:val="2"/>
          </w:tcPr>
          <w:p>
            <w:pPr>
              <w:jc w:val="right"/>
              <w:ind w:right="90"/>
              <w:spacing w:after="0"/>
              <w:rPr>
                <w:sz w:val="20"/>
                <w:szCs w:val="20"/>
                <w:color w:val="auto"/>
              </w:rPr>
            </w:pPr>
            <w:r>
              <w:rPr>
                <w:rFonts w:ascii="Arial" w:cs="Arial" w:eastAsia="Arial" w:hAnsi="Arial"/>
                <w:sz w:val="18"/>
                <w:szCs w:val="18"/>
                <w:color w:val="auto"/>
              </w:rPr>
              <w:t>0.340</w:t>
            </w:r>
          </w:p>
        </w:tc>
        <w:tc>
          <w:tcPr>
            <w:tcW w:w="900" w:type="dxa"/>
            <w:vAlign w:val="bottom"/>
            <w:gridSpan w:val="2"/>
          </w:tcPr>
          <w:p>
            <w:pPr>
              <w:jc w:val="right"/>
              <w:ind w:right="110"/>
              <w:spacing w:after="0"/>
              <w:rPr>
                <w:sz w:val="20"/>
                <w:szCs w:val="20"/>
                <w:color w:val="auto"/>
              </w:rPr>
            </w:pPr>
            <w:r>
              <w:rPr>
                <w:rFonts w:ascii="Arial" w:cs="Arial" w:eastAsia="Arial" w:hAnsi="Arial"/>
                <w:sz w:val="18"/>
                <w:szCs w:val="18"/>
                <w:color w:val="auto"/>
              </w:rPr>
              <w:t>0.354</w:t>
            </w:r>
          </w:p>
        </w:tc>
        <w:tc>
          <w:tcPr>
            <w:tcW w:w="880" w:type="dxa"/>
            <w:vAlign w:val="bottom"/>
            <w:gridSpan w:val="2"/>
          </w:tcPr>
          <w:p>
            <w:pPr>
              <w:jc w:val="center"/>
              <w:ind w:left="10"/>
              <w:spacing w:after="0"/>
              <w:rPr>
                <w:sz w:val="20"/>
                <w:szCs w:val="20"/>
                <w:color w:val="auto"/>
              </w:rPr>
            </w:pPr>
            <w:r>
              <w:rPr>
                <w:rFonts w:ascii="Arial" w:cs="Arial" w:eastAsia="Arial" w:hAnsi="Arial"/>
                <w:sz w:val="18"/>
                <w:szCs w:val="18"/>
                <w:color w:val="auto"/>
                <w:w w:val="93"/>
              </w:rPr>
              <w:t>0.361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36 months</w:t>
            </w:r>
          </w:p>
        </w:tc>
        <w:tc>
          <w:tcPr>
            <w:tcW w:w="800" w:type="dxa"/>
            <w:vAlign w:val="bottom"/>
            <w:shd w:val="clear" w:color="auto" w:fill="D5EAEA"/>
          </w:tcPr>
          <w:p>
            <w:pPr>
              <w:jc w:val="center"/>
              <w:spacing w:after="0"/>
              <w:rPr>
                <w:sz w:val="20"/>
                <w:szCs w:val="20"/>
                <w:color w:val="auto"/>
              </w:rPr>
            </w:pPr>
            <w:r>
              <w:rPr>
                <w:rFonts w:ascii="Arial" w:cs="Arial" w:eastAsia="Arial" w:hAnsi="Arial"/>
                <w:sz w:val="18"/>
                <w:szCs w:val="18"/>
                <w:color w:val="auto"/>
                <w:w w:val="88"/>
              </w:rPr>
              <w:t>0.213</w:t>
            </w:r>
          </w:p>
        </w:tc>
        <w:tc>
          <w:tcPr>
            <w:tcW w:w="900" w:type="dxa"/>
            <w:vAlign w:val="bottom"/>
            <w:gridSpan w:val="2"/>
            <w:shd w:val="clear" w:color="auto" w:fill="D5EAEA"/>
          </w:tcPr>
          <w:p>
            <w:pPr>
              <w:jc w:val="center"/>
              <w:ind w:left="10"/>
              <w:spacing w:after="0"/>
              <w:rPr>
                <w:sz w:val="20"/>
                <w:szCs w:val="20"/>
                <w:color w:val="auto"/>
              </w:rPr>
            </w:pPr>
            <w:r>
              <w:rPr>
                <w:rFonts w:ascii="Arial" w:cs="Arial" w:eastAsia="Arial" w:hAnsi="Arial"/>
                <w:sz w:val="18"/>
                <w:szCs w:val="18"/>
                <w:color w:val="auto"/>
                <w:w w:val="88"/>
              </w:rPr>
              <w:t>0.239</w:t>
            </w:r>
          </w:p>
        </w:tc>
        <w:tc>
          <w:tcPr>
            <w:tcW w:w="920" w:type="dxa"/>
            <w:vAlign w:val="bottom"/>
            <w:gridSpan w:val="2"/>
            <w:shd w:val="clear" w:color="auto" w:fill="D5EAEA"/>
          </w:tcPr>
          <w:p>
            <w:pPr>
              <w:jc w:val="right"/>
              <w:ind w:right="110"/>
              <w:spacing w:after="0"/>
              <w:rPr>
                <w:sz w:val="20"/>
                <w:szCs w:val="20"/>
                <w:color w:val="auto"/>
              </w:rPr>
            </w:pPr>
            <w:r>
              <w:rPr>
                <w:rFonts w:ascii="Arial" w:cs="Arial" w:eastAsia="Arial" w:hAnsi="Arial"/>
                <w:sz w:val="18"/>
                <w:szCs w:val="18"/>
                <w:color w:val="auto"/>
              </w:rPr>
              <w:t>0.263</w:t>
            </w:r>
          </w:p>
        </w:tc>
        <w:tc>
          <w:tcPr>
            <w:tcW w:w="900" w:type="dxa"/>
            <w:vAlign w:val="bottom"/>
            <w:gridSpan w:val="2"/>
            <w:shd w:val="clear" w:color="auto" w:fill="D5EAEA"/>
          </w:tcPr>
          <w:p>
            <w:pPr>
              <w:jc w:val="right"/>
              <w:ind w:right="110"/>
              <w:spacing w:after="0"/>
              <w:rPr>
                <w:sz w:val="20"/>
                <w:szCs w:val="20"/>
                <w:color w:val="auto"/>
              </w:rPr>
            </w:pPr>
            <w:r>
              <w:rPr>
                <w:rFonts w:ascii="Arial" w:cs="Arial" w:eastAsia="Arial" w:hAnsi="Arial"/>
                <w:sz w:val="18"/>
                <w:szCs w:val="18"/>
                <w:color w:val="auto"/>
              </w:rPr>
              <w:t>0.285</w:t>
            </w:r>
          </w:p>
        </w:tc>
        <w:tc>
          <w:tcPr>
            <w:tcW w:w="900" w:type="dxa"/>
            <w:vAlign w:val="bottom"/>
            <w:gridSpan w:val="2"/>
            <w:shd w:val="clear" w:color="auto" w:fill="D5EAEA"/>
          </w:tcPr>
          <w:p>
            <w:pPr>
              <w:jc w:val="right"/>
              <w:ind w:right="110"/>
              <w:spacing w:after="0"/>
              <w:rPr>
                <w:sz w:val="20"/>
                <w:szCs w:val="20"/>
                <w:color w:val="auto"/>
              </w:rPr>
            </w:pPr>
            <w:r>
              <w:rPr>
                <w:rFonts w:ascii="Arial" w:cs="Arial" w:eastAsia="Arial" w:hAnsi="Arial"/>
                <w:sz w:val="18"/>
                <w:szCs w:val="18"/>
                <w:color w:val="auto"/>
              </w:rPr>
              <w:t>0.305</w:t>
            </w:r>
          </w:p>
        </w:tc>
        <w:tc>
          <w:tcPr>
            <w:tcW w:w="900" w:type="dxa"/>
            <w:vAlign w:val="bottom"/>
            <w:gridSpan w:val="2"/>
            <w:shd w:val="clear" w:color="auto" w:fill="D5EAEA"/>
          </w:tcPr>
          <w:p>
            <w:pPr>
              <w:jc w:val="right"/>
              <w:ind w:right="110"/>
              <w:spacing w:after="0"/>
              <w:rPr>
                <w:sz w:val="20"/>
                <w:szCs w:val="20"/>
                <w:color w:val="auto"/>
              </w:rPr>
            </w:pPr>
            <w:r>
              <w:rPr>
                <w:rFonts w:ascii="Arial" w:cs="Arial" w:eastAsia="Arial" w:hAnsi="Arial"/>
                <w:sz w:val="18"/>
                <w:szCs w:val="18"/>
                <w:color w:val="auto"/>
              </w:rPr>
              <w:t>0.323</w:t>
            </w:r>
          </w:p>
        </w:tc>
        <w:tc>
          <w:tcPr>
            <w:tcW w:w="880" w:type="dxa"/>
            <w:vAlign w:val="bottom"/>
            <w:gridSpan w:val="2"/>
            <w:shd w:val="clear" w:color="auto" w:fill="D5EAEA"/>
          </w:tcPr>
          <w:p>
            <w:pPr>
              <w:jc w:val="right"/>
              <w:ind w:right="90"/>
              <w:spacing w:after="0"/>
              <w:rPr>
                <w:sz w:val="20"/>
                <w:szCs w:val="20"/>
                <w:color w:val="auto"/>
              </w:rPr>
            </w:pPr>
            <w:r>
              <w:rPr>
                <w:rFonts w:ascii="Arial" w:cs="Arial" w:eastAsia="Arial" w:hAnsi="Arial"/>
                <w:sz w:val="18"/>
                <w:szCs w:val="18"/>
                <w:color w:val="auto"/>
              </w:rPr>
              <w:t>0.339</w:t>
            </w:r>
          </w:p>
        </w:tc>
        <w:tc>
          <w:tcPr>
            <w:tcW w:w="900" w:type="dxa"/>
            <w:vAlign w:val="bottom"/>
            <w:gridSpan w:val="2"/>
            <w:shd w:val="clear" w:color="auto" w:fill="D5EAEA"/>
          </w:tcPr>
          <w:p>
            <w:pPr>
              <w:jc w:val="right"/>
              <w:ind w:right="110"/>
              <w:spacing w:after="0"/>
              <w:rPr>
                <w:sz w:val="20"/>
                <w:szCs w:val="20"/>
                <w:color w:val="auto"/>
              </w:rPr>
            </w:pPr>
            <w:r>
              <w:rPr>
                <w:rFonts w:ascii="Arial" w:cs="Arial" w:eastAsia="Arial" w:hAnsi="Arial"/>
                <w:sz w:val="18"/>
                <w:szCs w:val="18"/>
                <w:color w:val="auto"/>
              </w:rPr>
              <w:t>0.353</w:t>
            </w:r>
          </w:p>
        </w:tc>
        <w:tc>
          <w:tcPr>
            <w:tcW w:w="880" w:type="dxa"/>
            <w:vAlign w:val="bottom"/>
            <w:gridSpan w:val="2"/>
            <w:shd w:val="clear" w:color="auto" w:fill="D5EAEA"/>
          </w:tcPr>
          <w:p>
            <w:pPr>
              <w:jc w:val="center"/>
              <w:ind w:left="10"/>
              <w:spacing w:after="0"/>
              <w:rPr>
                <w:sz w:val="20"/>
                <w:szCs w:val="20"/>
                <w:color w:val="auto"/>
              </w:rPr>
            </w:pPr>
            <w:r>
              <w:rPr>
                <w:rFonts w:ascii="Arial" w:cs="Arial" w:eastAsia="Arial" w:hAnsi="Arial"/>
                <w:sz w:val="18"/>
                <w:szCs w:val="18"/>
                <w:color w:val="auto"/>
                <w:w w:val="93"/>
              </w:rPr>
              <w:t>0.361</w:t>
            </w:r>
          </w:p>
        </w:tc>
        <w:tc>
          <w:tcPr>
            <w:tcW w:w="100" w:type="dxa"/>
            <w:vAlign w:val="bottom"/>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gridSpan w:val="2"/>
          </w:tcPr>
          <w:p>
            <w:pPr>
              <w:spacing w:after="0"/>
              <w:rPr>
                <w:sz w:val="20"/>
                <w:szCs w:val="20"/>
                <w:color w:val="auto"/>
              </w:rPr>
            </w:pPr>
            <w:r>
              <w:rPr>
                <w:rFonts w:ascii="Arial" w:cs="Arial" w:eastAsia="Arial" w:hAnsi="Arial"/>
                <w:sz w:val="18"/>
                <w:szCs w:val="18"/>
                <w:color w:val="auto"/>
              </w:rPr>
              <w:t>33 months</w:t>
            </w:r>
          </w:p>
        </w:tc>
        <w:tc>
          <w:tcPr>
            <w:tcW w:w="800" w:type="dxa"/>
            <w:vAlign w:val="bottom"/>
          </w:tcPr>
          <w:p>
            <w:pPr>
              <w:jc w:val="center"/>
              <w:spacing w:after="0"/>
              <w:rPr>
                <w:sz w:val="20"/>
                <w:szCs w:val="20"/>
                <w:color w:val="auto"/>
              </w:rPr>
            </w:pPr>
            <w:r>
              <w:rPr>
                <w:rFonts w:ascii="Arial" w:cs="Arial" w:eastAsia="Arial" w:hAnsi="Arial"/>
                <w:sz w:val="18"/>
                <w:szCs w:val="18"/>
                <w:color w:val="auto"/>
                <w:w w:val="88"/>
              </w:rPr>
              <w:t>0.205</w:t>
            </w:r>
          </w:p>
        </w:tc>
        <w:tc>
          <w:tcPr>
            <w:tcW w:w="900" w:type="dxa"/>
            <w:vAlign w:val="bottom"/>
            <w:gridSpan w:val="2"/>
          </w:tcPr>
          <w:p>
            <w:pPr>
              <w:jc w:val="center"/>
              <w:ind w:left="10"/>
              <w:spacing w:after="0"/>
              <w:rPr>
                <w:sz w:val="20"/>
                <w:szCs w:val="20"/>
                <w:color w:val="auto"/>
              </w:rPr>
            </w:pPr>
            <w:r>
              <w:rPr>
                <w:rFonts w:ascii="Arial" w:cs="Arial" w:eastAsia="Arial" w:hAnsi="Arial"/>
                <w:sz w:val="18"/>
                <w:szCs w:val="18"/>
                <w:color w:val="auto"/>
                <w:w w:val="88"/>
              </w:rPr>
              <w:t>0.232</w:t>
            </w:r>
          </w:p>
        </w:tc>
        <w:tc>
          <w:tcPr>
            <w:tcW w:w="920" w:type="dxa"/>
            <w:vAlign w:val="bottom"/>
            <w:gridSpan w:val="2"/>
          </w:tcPr>
          <w:p>
            <w:pPr>
              <w:jc w:val="right"/>
              <w:ind w:right="110"/>
              <w:spacing w:after="0"/>
              <w:rPr>
                <w:sz w:val="20"/>
                <w:szCs w:val="20"/>
                <w:color w:val="auto"/>
              </w:rPr>
            </w:pPr>
            <w:r>
              <w:rPr>
                <w:rFonts w:ascii="Arial" w:cs="Arial" w:eastAsia="Arial" w:hAnsi="Arial"/>
                <w:sz w:val="18"/>
                <w:szCs w:val="18"/>
                <w:color w:val="auto"/>
              </w:rPr>
              <w:t>0.257</w:t>
            </w:r>
          </w:p>
        </w:tc>
        <w:tc>
          <w:tcPr>
            <w:tcW w:w="900" w:type="dxa"/>
            <w:vAlign w:val="bottom"/>
            <w:gridSpan w:val="2"/>
          </w:tcPr>
          <w:p>
            <w:pPr>
              <w:jc w:val="right"/>
              <w:ind w:right="110"/>
              <w:spacing w:after="0"/>
              <w:rPr>
                <w:sz w:val="20"/>
                <w:szCs w:val="20"/>
                <w:color w:val="auto"/>
              </w:rPr>
            </w:pPr>
            <w:r>
              <w:rPr>
                <w:rFonts w:ascii="Arial" w:cs="Arial" w:eastAsia="Arial" w:hAnsi="Arial"/>
                <w:sz w:val="18"/>
                <w:szCs w:val="18"/>
                <w:color w:val="auto"/>
              </w:rPr>
              <w:t>0.280</w:t>
            </w:r>
          </w:p>
        </w:tc>
        <w:tc>
          <w:tcPr>
            <w:tcW w:w="900" w:type="dxa"/>
            <w:vAlign w:val="bottom"/>
            <w:gridSpan w:val="2"/>
          </w:tcPr>
          <w:p>
            <w:pPr>
              <w:jc w:val="right"/>
              <w:ind w:right="110"/>
              <w:spacing w:after="0"/>
              <w:rPr>
                <w:sz w:val="20"/>
                <w:szCs w:val="20"/>
                <w:color w:val="auto"/>
              </w:rPr>
            </w:pPr>
            <w:r>
              <w:rPr>
                <w:rFonts w:ascii="Arial" w:cs="Arial" w:eastAsia="Arial" w:hAnsi="Arial"/>
                <w:sz w:val="18"/>
                <w:szCs w:val="18"/>
                <w:color w:val="auto"/>
              </w:rPr>
              <w:t>0.301</w:t>
            </w:r>
          </w:p>
        </w:tc>
        <w:tc>
          <w:tcPr>
            <w:tcW w:w="900" w:type="dxa"/>
            <w:vAlign w:val="bottom"/>
            <w:gridSpan w:val="2"/>
          </w:tcPr>
          <w:p>
            <w:pPr>
              <w:jc w:val="right"/>
              <w:ind w:right="110"/>
              <w:spacing w:after="0"/>
              <w:rPr>
                <w:sz w:val="20"/>
                <w:szCs w:val="20"/>
                <w:color w:val="auto"/>
              </w:rPr>
            </w:pPr>
            <w:r>
              <w:rPr>
                <w:rFonts w:ascii="Arial" w:cs="Arial" w:eastAsia="Arial" w:hAnsi="Arial"/>
                <w:sz w:val="18"/>
                <w:szCs w:val="18"/>
                <w:color w:val="auto"/>
              </w:rPr>
              <w:t>0.320</w:t>
            </w:r>
          </w:p>
        </w:tc>
        <w:tc>
          <w:tcPr>
            <w:tcW w:w="880" w:type="dxa"/>
            <w:vAlign w:val="bottom"/>
            <w:gridSpan w:val="2"/>
          </w:tcPr>
          <w:p>
            <w:pPr>
              <w:jc w:val="right"/>
              <w:ind w:right="90"/>
              <w:spacing w:after="0"/>
              <w:rPr>
                <w:sz w:val="20"/>
                <w:szCs w:val="20"/>
                <w:color w:val="auto"/>
              </w:rPr>
            </w:pPr>
            <w:r>
              <w:rPr>
                <w:rFonts w:ascii="Arial" w:cs="Arial" w:eastAsia="Arial" w:hAnsi="Arial"/>
                <w:sz w:val="18"/>
                <w:szCs w:val="18"/>
                <w:color w:val="auto"/>
              </w:rPr>
              <w:t>0.337</w:t>
            </w:r>
          </w:p>
        </w:tc>
        <w:tc>
          <w:tcPr>
            <w:tcW w:w="900" w:type="dxa"/>
            <w:vAlign w:val="bottom"/>
            <w:gridSpan w:val="2"/>
          </w:tcPr>
          <w:p>
            <w:pPr>
              <w:jc w:val="right"/>
              <w:ind w:right="110"/>
              <w:spacing w:after="0"/>
              <w:rPr>
                <w:sz w:val="20"/>
                <w:szCs w:val="20"/>
                <w:color w:val="auto"/>
              </w:rPr>
            </w:pPr>
            <w:r>
              <w:rPr>
                <w:rFonts w:ascii="Arial" w:cs="Arial" w:eastAsia="Arial" w:hAnsi="Arial"/>
                <w:sz w:val="18"/>
                <w:szCs w:val="18"/>
                <w:color w:val="auto"/>
              </w:rPr>
              <w:t>0.352</w:t>
            </w:r>
          </w:p>
        </w:tc>
        <w:tc>
          <w:tcPr>
            <w:tcW w:w="880" w:type="dxa"/>
            <w:vAlign w:val="bottom"/>
            <w:gridSpan w:val="2"/>
          </w:tcPr>
          <w:p>
            <w:pPr>
              <w:jc w:val="center"/>
              <w:ind w:left="10"/>
              <w:spacing w:after="0"/>
              <w:rPr>
                <w:sz w:val="20"/>
                <w:szCs w:val="20"/>
                <w:color w:val="auto"/>
              </w:rPr>
            </w:pPr>
            <w:r>
              <w:rPr>
                <w:rFonts w:ascii="Arial" w:cs="Arial" w:eastAsia="Arial" w:hAnsi="Arial"/>
                <w:sz w:val="18"/>
                <w:szCs w:val="18"/>
                <w:color w:val="auto"/>
                <w:w w:val="93"/>
              </w:rPr>
              <w:t>0.361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30 months</w:t>
            </w:r>
          </w:p>
        </w:tc>
        <w:tc>
          <w:tcPr>
            <w:tcW w:w="800" w:type="dxa"/>
            <w:vAlign w:val="bottom"/>
            <w:shd w:val="clear" w:color="auto" w:fill="D5EAEA"/>
          </w:tcPr>
          <w:p>
            <w:pPr>
              <w:jc w:val="center"/>
              <w:spacing w:after="0"/>
              <w:rPr>
                <w:sz w:val="20"/>
                <w:szCs w:val="20"/>
                <w:color w:val="auto"/>
              </w:rPr>
            </w:pPr>
            <w:r>
              <w:rPr>
                <w:rFonts w:ascii="Arial" w:cs="Arial" w:eastAsia="Arial" w:hAnsi="Arial"/>
                <w:sz w:val="18"/>
                <w:szCs w:val="18"/>
                <w:color w:val="auto"/>
                <w:w w:val="88"/>
              </w:rPr>
              <w:t>0.196</w:t>
            </w:r>
          </w:p>
        </w:tc>
        <w:tc>
          <w:tcPr>
            <w:tcW w:w="900" w:type="dxa"/>
            <w:vAlign w:val="bottom"/>
            <w:gridSpan w:val="2"/>
            <w:shd w:val="clear" w:color="auto" w:fill="D5EAEA"/>
          </w:tcPr>
          <w:p>
            <w:pPr>
              <w:jc w:val="center"/>
              <w:ind w:left="10"/>
              <w:spacing w:after="0"/>
              <w:rPr>
                <w:sz w:val="20"/>
                <w:szCs w:val="20"/>
                <w:color w:val="auto"/>
              </w:rPr>
            </w:pPr>
            <w:r>
              <w:rPr>
                <w:rFonts w:ascii="Arial" w:cs="Arial" w:eastAsia="Arial" w:hAnsi="Arial"/>
                <w:sz w:val="18"/>
                <w:szCs w:val="18"/>
                <w:color w:val="auto"/>
                <w:w w:val="88"/>
              </w:rPr>
              <w:t>0.224</w:t>
            </w:r>
          </w:p>
        </w:tc>
        <w:tc>
          <w:tcPr>
            <w:tcW w:w="920" w:type="dxa"/>
            <w:vAlign w:val="bottom"/>
            <w:gridSpan w:val="2"/>
            <w:shd w:val="clear" w:color="auto" w:fill="D5EAEA"/>
          </w:tcPr>
          <w:p>
            <w:pPr>
              <w:jc w:val="right"/>
              <w:ind w:right="110"/>
              <w:spacing w:after="0"/>
              <w:rPr>
                <w:sz w:val="20"/>
                <w:szCs w:val="20"/>
                <w:color w:val="auto"/>
              </w:rPr>
            </w:pPr>
            <w:r>
              <w:rPr>
                <w:rFonts w:ascii="Arial" w:cs="Arial" w:eastAsia="Arial" w:hAnsi="Arial"/>
                <w:sz w:val="18"/>
                <w:szCs w:val="18"/>
                <w:color w:val="auto"/>
              </w:rPr>
              <w:t>0.250</w:t>
            </w:r>
          </w:p>
        </w:tc>
        <w:tc>
          <w:tcPr>
            <w:tcW w:w="900" w:type="dxa"/>
            <w:vAlign w:val="bottom"/>
            <w:gridSpan w:val="2"/>
            <w:shd w:val="clear" w:color="auto" w:fill="D5EAEA"/>
          </w:tcPr>
          <w:p>
            <w:pPr>
              <w:jc w:val="right"/>
              <w:ind w:right="110"/>
              <w:spacing w:after="0"/>
              <w:rPr>
                <w:sz w:val="20"/>
                <w:szCs w:val="20"/>
                <w:color w:val="auto"/>
              </w:rPr>
            </w:pPr>
            <w:r>
              <w:rPr>
                <w:rFonts w:ascii="Arial" w:cs="Arial" w:eastAsia="Arial" w:hAnsi="Arial"/>
                <w:sz w:val="18"/>
                <w:szCs w:val="18"/>
                <w:color w:val="auto"/>
              </w:rPr>
              <w:t>0.274</w:t>
            </w:r>
          </w:p>
        </w:tc>
        <w:tc>
          <w:tcPr>
            <w:tcW w:w="900" w:type="dxa"/>
            <w:vAlign w:val="bottom"/>
            <w:gridSpan w:val="2"/>
            <w:shd w:val="clear" w:color="auto" w:fill="D5EAEA"/>
          </w:tcPr>
          <w:p>
            <w:pPr>
              <w:jc w:val="right"/>
              <w:ind w:right="110"/>
              <w:spacing w:after="0"/>
              <w:rPr>
                <w:sz w:val="20"/>
                <w:szCs w:val="20"/>
                <w:color w:val="auto"/>
              </w:rPr>
            </w:pPr>
            <w:r>
              <w:rPr>
                <w:rFonts w:ascii="Arial" w:cs="Arial" w:eastAsia="Arial" w:hAnsi="Arial"/>
                <w:sz w:val="18"/>
                <w:szCs w:val="18"/>
                <w:color w:val="auto"/>
              </w:rPr>
              <w:t>0.297</w:t>
            </w:r>
          </w:p>
        </w:tc>
        <w:tc>
          <w:tcPr>
            <w:tcW w:w="900" w:type="dxa"/>
            <w:vAlign w:val="bottom"/>
            <w:gridSpan w:val="2"/>
            <w:shd w:val="clear" w:color="auto" w:fill="D5EAEA"/>
          </w:tcPr>
          <w:p>
            <w:pPr>
              <w:jc w:val="right"/>
              <w:ind w:right="110"/>
              <w:spacing w:after="0"/>
              <w:rPr>
                <w:sz w:val="20"/>
                <w:szCs w:val="20"/>
                <w:color w:val="auto"/>
              </w:rPr>
            </w:pPr>
            <w:r>
              <w:rPr>
                <w:rFonts w:ascii="Arial" w:cs="Arial" w:eastAsia="Arial" w:hAnsi="Arial"/>
                <w:sz w:val="18"/>
                <w:szCs w:val="18"/>
                <w:color w:val="auto"/>
              </w:rPr>
              <w:t>0.316</w:t>
            </w:r>
          </w:p>
        </w:tc>
        <w:tc>
          <w:tcPr>
            <w:tcW w:w="880" w:type="dxa"/>
            <w:vAlign w:val="bottom"/>
            <w:gridSpan w:val="2"/>
            <w:shd w:val="clear" w:color="auto" w:fill="D5EAEA"/>
          </w:tcPr>
          <w:p>
            <w:pPr>
              <w:jc w:val="right"/>
              <w:ind w:right="90"/>
              <w:spacing w:after="0"/>
              <w:rPr>
                <w:sz w:val="20"/>
                <w:szCs w:val="20"/>
                <w:color w:val="auto"/>
              </w:rPr>
            </w:pPr>
            <w:r>
              <w:rPr>
                <w:rFonts w:ascii="Arial" w:cs="Arial" w:eastAsia="Arial" w:hAnsi="Arial"/>
                <w:sz w:val="18"/>
                <w:szCs w:val="18"/>
                <w:color w:val="auto"/>
              </w:rPr>
              <w:t>0.335</w:t>
            </w:r>
          </w:p>
        </w:tc>
        <w:tc>
          <w:tcPr>
            <w:tcW w:w="900" w:type="dxa"/>
            <w:vAlign w:val="bottom"/>
            <w:gridSpan w:val="2"/>
            <w:shd w:val="clear" w:color="auto" w:fill="D5EAEA"/>
          </w:tcPr>
          <w:p>
            <w:pPr>
              <w:jc w:val="right"/>
              <w:ind w:right="110"/>
              <w:spacing w:after="0"/>
              <w:rPr>
                <w:sz w:val="20"/>
                <w:szCs w:val="20"/>
                <w:color w:val="auto"/>
              </w:rPr>
            </w:pPr>
            <w:r>
              <w:rPr>
                <w:rFonts w:ascii="Arial" w:cs="Arial" w:eastAsia="Arial" w:hAnsi="Arial"/>
                <w:sz w:val="18"/>
                <w:szCs w:val="18"/>
                <w:color w:val="auto"/>
              </w:rPr>
              <w:t>0.351</w:t>
            </w:r>
          </w:p>
        </w:tc>
        <w:tc>
          <w:tcPr>
            <w:tcW w:w="880" w:type="dxa"/>
            <w:vAlign w:val="bottom"/>
            <w:gridSpan w:val="2"/>
            <w:shd w:val="clear" w:color="auto" w:fill="D5EAEA"/>
          </w:tcPr>
          <w:p>
            <w:pPr>
              <w:jc w:val="center"/>
              <w:ind w:left="10"/>
              <w:spacing w:after="0"/>
              <w:rPr>
                <w:sz w:val="20"/>
                <w:szCs w:val="20"/>
                <w:color w:val="auto"/>
              </w:rPr>
            </w:pPr>
            <w:r>
              <w:rPr>
                <w:rFonts w:ascii="Arial" w:cs="Arial" w:eastAsia="Arial" w:hAnsi="Arial"/>
                <w:sz w:val="18"/>
                <w:szCs w:val="18"/>
                <w:color w:val="auto"/>
                <w:w w:val="93"/>
              </w:rPr>
              <w:t>0.361</w:t>
            </w:r>
          </w:p>
        </w:tc>
        <w:tc>
          <w:tcPr>
            <w:tcW w:w="100" w:type="dxa"/>
            <w:vAlign w:val="bottom"/>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gridSpan w:val="2"/>
          </w:tcPr>
          <w:p>
            <w:pPr>
              <w:spacing w:after="0"/>
              <w:rPr>
                <w:sz w:val="20"/>
                <w:szCs w:val="20"/>
                <w:color w:val="auto"/>
              </w:rPr>
            </w:pPr>
            <w:r>
              <w:rPr>
                <w:rFonts w:ascii="Arial" w:cs="Arial" w:eastAsia="Arial" w:hAnsi="Arial"/>
                <w:sz w:val="18"/>
                <w:szCs w:val="18"/>
                <w:color w:val="auto"/>
              </w:rPr>
              <w:t>27 months</w:t>
            </w:r>
          </w:p>
        </w:tc>
        <w:tc>
          <w:tcPr>
            <w:tcW w:w="800" w:type="dxa"/>
            <w:vAlign w:val="bottom"/>
          </w:tcPr>
          <w:p>
            <w:pPr>
              <w:jc w:val="center"/>
              <w:spacing w:after="0"/>
              <w:rPr>
                <w:sz w:val="20"/>
                <w:szCs w:val="20"/>
                <w:color w:val="auto"/>
              </w:rPr>
            </w:pPr>
            <w:r>
              <w:rPr>
                <w:rFonts w:ascii="Arial" w:cs="Arial" w:eastAsia="Arial" w:hAnsi="Arial"/>
                <w:sz w:val="18"/>
                <w:szCs w:val="18"/>
                <w:color w:val="auto"/>
                <w:w w:val="88"/>
              </w:rPr>
              <w:t>0.185</w:t>
            </w:r>
          </w:p>
        </w:tc>
        <w:tc>
          <w:tcPr>
            <w:tcW w:w="900" w:type="dxa"/>
            <w:vAlign w:val="bottom"/>
            <w:gridSpan w:val="2"/>
          </w:tcPr>
          <w:p>
            <w:pPr>
              <w:jc w:val="center"/>
              <w:ind w:left="10"/>
              <w:spacing w:after="0"/>
              <w:rPr>
                <w:sz w:val="20"/>
                <w:szCs w:val="20"/>
                <w:color w:val="auto"/>
              </w:rPr>
            </w:pPr>
            <w:r>
              <w:rPr>
                <w:rFonts w:ascii="Arial" w:cs="Arial" w:eastAsia="Arial" w:hAnsi="Arial"/>
                <w:sz w:val="18"/>
                <w:szCs w:val="18"/>
                <w:color w:val="auto"/>
                <w:w w:val="88"/>
              </w:rPr>
              <w:t>0.214</w:t>
            </w:r>
          </w:p>
        </w:tc>
        <w:tc>
          <w:tcPr>
            <w:tcW w:w="920" w:type="dxa"/>
            <w:vAlign w:val="bottom"/>
            <w:gridSpan w:val="2"/>
          </w:tcPr>
          <w:p>
            <w:pPr>
              <w:jc w:val="right"/>
              <w:ind w:right="110"/>
              <w:spacing w:after="0"/>
              <w:rPr>
                <w:sz w:val="20"/>
                <w:szCs w:val="20"/>
                <w:color w:val="auto"/>
              </w:rPr>
            </w:pPr>
            <w:r>
              <w:rPr>
                <w:rFonts w:ascii="Arial" w:cs="Arial" w:eastAsia="Arial" w:hAnsi="Arial"/>
                <w:sz w:val="18"/>
                <w:szCs w:val="18"/>
                <w:color w:val="auto"/>
              </w:rPr>
              <w:t>0.242</w:t>
            </w:r>
          </w:p>
        </w:tc>
        <w:tc>
          <w:tcPr>
            <w:tcW w:w="900" w:type="dxa"/>
            <w:vAlign w:val="bottom"/>
            <w:gridSpan w:val="2"/>
          </w:tcPr>
          <w:p>
            <w:pPr>
              <w:jc w:val="right"/>
              <w:ind w:right="110"/>
              <w:spacing w:after="0"/>
              <w:rPr>
                <w:sz w:val="20"/>
                <w:szCs w:val="20"/>
                <w:color w:val="auto"/>
              </w:rPr>
            </w:pPr>
            <w:r>
              <w:rPr>
                <w:rFonts w:ascii="Arial" w:cs="Arial" w:eastAsia="Arial" w:hAnsi="Arial"/>
                <w:sz w:val="18"/>
                <w:szCs w:val="18"/>
                <w:color w:val="auto"/>
              </w:rPr>
              <w:t>0.268</w:t>
            </w:r>
          </w:p>
        </w:tc>
        <w:tc>
          <w:tcPr>
            <w:tcW w:w="900" w:type="dxa"/>
            <w:vAlign w:val="bottom"/>
            <w:gridSpan w:val="2"/>
          </w:tcPr>
          <w:p>
            <w:pPr>
              <w:jc w:val="right"/>
              <w:ind w:right="110"/>
              <w:spacing w:after="0"/>
              <w:rPr>
                <w:sz w:val="20"/>
                <w:szCs w:val="20"/>
                <w:color w:val="auto"/>
              </w:rPr>
            </w:pPr>
            <w:r>
              <w:rPr>
                <w:rFonts w:ascii="Arial" w:cs="Arial" w:eastAsia="Arial" w:hAnsi="Arial"/>
                <w:sz w:val="18"/>
                <w:szCs w:val="18"/>
                <w:color w:val="auto"/>
              </w:rPr>
              <w:t>0.291</w:t>
            </w:r>
          </w:p>
        </w:tc>
        <w:tc>
          <w:tcPr>
            <w:tcW w:w="900" w:type="dxa"/>
            <w:vAlign w:val="bottom"/>
            <w:gridSpan w:val="2"/>
          </w:tcPr>
          <w:p>
            <w:pPr>
              <w:jc w:val="right"/>
              <w:ind w:right="110"/>
              <w:spacing w:after="0"/>
              <w:rPr>
                <w:sz w:val="20"/>
                <w:szCs w:val="20"/>
                <w:color w:val="auto"/>
              </w:rPr>
            </w:pPr>
            <w:r>
              <w:rPr>
                <w:rFonts w:ascii="Arial" w:cs="Arial" w:eastAsia="Arial" w:hAnsi="Arial"/>
                <w:sz w:val="18"/>
                <w:szCs w:val="18"/>
                <w:color w:val="auto"/>
              </w:rPr>
              <w:t>0.313</w:t>
            </w:r>
          </w:p>
        </w:tc>
        <w:tc>
          <w:tcPr>
            <w:tcW w:w="880" w:type="dxa"/>
            <w:vAlign w:val="bottom"/>
            <w:gridSpan w:val="2"/>
          </w:tcPr>
          <w:p>
            <w:pPr>
              <w:jc w:val="right"/>
              <w:ind w:right="90"/>
              <w:spacing w:after="0"/>
              <w:rPr>
                <w:sz w:val="20"/>
                <w:szCs w:val="20"/>
                <w:color w:val="auto"/>
              </w:rPr>
            </w:pPr>
            <w:r>
              <w:rPr>
                <w:rFonts w:ascii="Arial" w:cs="Arial" w:eastAsia="Arial" w:hAnsi="Arial"/>
                <w:sz w:val="18"/>
                <w:szCs w:val="18"/>
                <w:color w:val="auto"/>
              </w:rPr>
              <w:t>0.332</w:t>
            </w:r>
          </w:p>
        </w:tc>
        <w:tc>
          <w:tcPr>
            <w:tcW w:w="900" w:type="dxa"/>
            <w:vAlign w:val="bottom"/>
            <w:gridSpan w:val="2"/>
          </w:tcPr>
          <w:p>
            <w:pPr>
              <w:jc w:val="right"/>
              <w:ind w:right="110"/>
              <w:spacing w:after="0"/>
              <w:rPr>
                <w:sz w:val="20"/>
                <w:szCs w:val="20"/>
                <w:color w:val="auto"/>
              </w:rPr>
            </w:pPr>
            <w:r>
              <w:rPr>
                <w:rFonts w:ascii="Arial" w:cs="Arial" w:eastAsia="Arial" w:hAnsi="Arial"/>
                <w:sz w:val="18"/>
                <w:szCs w:val="18"/>
                <w:color w:val="auto"/>
              </w:rPr>
              <w:t>0.350</w:t>
            </w:r>
          </w:p>
        </w:tc>
        <w:tc>
          <w:tcPr>
            <w:tcW w:w="880" w:type="dxa"/>
            <w:vAlign w:val="bottom"/>
            <w:gridSpan w:val="2"/>
          </w:tcPr>
          <w:p>
            <w:pPr>
              <w:jc w:val="center"/>
              <w:ind w:left="10"/>
              <w:spacing w:after="0"/>
              <w:rPr>
                <w:sz w:val="20"/>
                <w:szCs w:val="20"/>
                <w:color w:val="auto"/>
              </w:rPr>
            </w:pPr>
            <w:r>
              <w:rPr>
                <w:rFonts w:ascii="Arial" w:cs="Arial" w:eastAsia="Arial" w:hAnsi="Arial"/>
                <w:sz w:val="18"/>
                <w:szCs w:val="18"/>
                <w:color w:val="auto"/>
                <w:w w:val="93"/>
              </w:rPr>
              <w:t>0.361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24 months</w:t>
            </w:r>
          </w:p>
        </w:tc>
        <w:tc>
          <w:tcPr>
            <w:tcW w:w="800" w:type="dxa"/>
            <w:vAlign w:val="bottom"/>
            <w:shd w:val="clear" w:color="auto" w:fill="D5EAEA"/>
          </w:tcPr>
          <w:p>
            <w:pPr>
              <w:jc w:val="center"/>
              <w:spacing w:after="0"/>
              <w:rPr>
                <w:sz w:val="20"/>
                <w:szCs w:val="20"/>
                <w:color w:val="auto"/>
              </w:rPr>
            </w:pPr>
            <w:r>
              <w:rPr>
                <w:rFonts w:ascii="Arial" w:cs="Arial" w:eastAsia="Arial" w:hAnsi="Arial"/>
                <w:sz w:val="18"/>
                <w:szCs w:val="18"/>
                <w:color w:val="auto"/>
                <w:w w:val="88"/>
              </w:rPr>
              <w:t>0.173</w:t>
            </w:r>
          </w:p>
        </w:tc>
        <w:tc>
          <w:tcPr>
            <w:tcW w:w="900" w:type="dxa"/>
            <w:vAlign w:val="bottom"/>
            <w:gridSpan w:val="2"/>
            <w:shd w:val="clear" w:color="auto" w:fill="D5EAEA"/>
          </w:tcPr>
          <w:p>
            <w:pPr>
              <w:jc w:val="center"/>
              <w:ind w:left="10"/>
              <w:spacing w:after="0"/>
              <w:rPr>
                <w:sz w:val="20"/>
                <w:szCs w:val="20"/>
                <w:color w:val="auto"/>
              </w:rPr>
            </w:pPr>
            <w:r>
              <w:rPr>
                <w:rFonts w:ascii="Arial" w:cs="Arial" w:eastAsia="Arial" w:hAnsi="Arial"/>
                <w:sz w:val="18"/>
                <w:szCs w:val="18"/>
                <w:color w:val="auto"/>
                <w:w w:val="88"/>
              </w:rPr>
              <w:t>0.204</w:t>
            </w:r>
          </w:p>
        </w:tc>
        <w:tc>
          <w:tcPr>
            <w:tcW w:w="920" w:type="dxa"/>
            <w:vAlign w:val="bottom"/>
            <w:gridSpan w:val="2"/>
            <w:shd w:val="clear" w:color="auto" w:fill="D5EAEA"/>
          </w:tcPr>
          <w:p>
            <w:pPr>
              <w:jc w:val="right"/>
              <w:ind w:right="110"/>
              <w:spacing w:after="0"/>
              <w:rPr>
                <w:sz w:val="20"/>
                <w:szCs w:val="20"/>
                <w:color w:val="auto"/>
              </w:rPr>
            </w:pPr>
            <w:r>
              <w:rPr>
                <w:rFonts w:ascii="Arial" w:cs="Arial" w:eastAsia="Arial" w:hAnsi="Arial"/>
                <w:sz w:val="18"/>
                <w:szCs w:val="18"/>
                <w:color w:val="auto"/>
              </w:rPr>
              <w:t>0.233</w:t>
            </w:r>
          </w:p>
        </w:tc>
        <w:tc>
          <w:tcPr>
            <w:tcW w:w="900" w:type="dxa"/>
            <w:vAlign w:val="bottom"/>
            <w:gridSpan w:val="2"/>
            <w:shd w:val="clear" w:color="auto" w:fill="D5EAEA"/>
          </w:tcPr>
          <w:p>
            <w:pPr>
              <w:jc w:val="right"/>
              <w:ind w:right="110"/>
              <w:spacing w:after="0"/>
              <w:rPr>
                <w:sz w:val="20"/>
                <w:szCs w:val="20"/>
                <w:color w:val="auto"/>
              </w:rPr>
            </w:pPr>
            <w:r>
              <w:rPr>
                <w:rFonts w:ascii="Arial" w:cs="Arial" w:eastAsia="Arial" w:hAnsi="Arial"/>
                <w:sz w:val="18"/>
                <w:szCs w:val="18"/>
                <w:color w:val="auto"/>
              </w:rPr>
              <w:t>0.260</w:t>
            </w:r>
          </w:p>
        </w:tc>
        <w:tc>
          <w:tcPr>
            <w:tcW w:w="900" w:type="dxa"/>
            <w:vAlign w:val="bottom"/>
            <w:gridSpan w:val="2"/>
            <w:shd w:val="clear" w:color="auto" w:fill="D5EAEA"/>
          </w:tcPr>
          <w:p>
            <w:pPr>
              <w:jc w:val="right"/>
              <w:ind w:right="110"/>
              <w:spacing w:after="0"/>
              <w:rPr>
                <w:sz w:val="20"/>
                <w:szCs w:val="20"/>
                <w:color w:val="auto"/>
              </w:rPr>
            </w:pPr>
            <w:r>
              <w:rPr>
                <w:rFonts w:ascii="Arial" w:cs="Arial" w:eastAsia="Arial" w:hAnsi="Arial"/>
                <w:sz w:val="18"/>
                <w:szCs w:val="18"/>
                <w:color w:val="auto"/>
              </w:rPr>
              <w:t>0.285</w:t>
            </w:r>
          </w:p>
        </w:tc>
        <w:tc>
          <w:tcPr>
            <w:tcW w:w="900" w:type="dxa"/>
            <w:vAlign w:val="bottom"/>
            <w:gridSpan w:val="2"/>
            <w:shd w:val="clear" w:color="auto" w:fill="D5EAEA"/>
          </w:tcPr>
          <w:p>
            <w:pPr>
              <w:jc w:val="right"/>
              <w:ind w:right="110"/>
              <w:spacing w:after="0"/>
              <w:rPr>
                <w:sz w:val="20"/>
                <w:szCs w:val="20"/>
                <w:color w:val="auto"/>
              </w:rPr>
            </w:pPr>
            <w:r>
              <w:rPr>
                <w:rFonts w:ascii="Arial" w:cs="Arial" w:eastAsia="Arial" w:hAnsi="Arial"/>
                <w:sz w:val="18"/>
                <w:szCs w:val="18"/>
                <w:color w:val="auto"/>
              </w:rPr>
              <w:t>0.308</w:t>
            </w:r>
          </w:p>
        </w:tc>
        <w:tc>
          <w:tcPr>
            <w:tcW w:w="880" w:type="dxa"/>
            <w:vAlign w:val="bottom"/>
            <w:gridSpan w:val="2"/>
            <w:shd w:val="clear" w:color="auto" w:fill="D5EAEA"/>
          </w:tcPr>
          <w:p>
            <w:pPr>
              <w:jc w:val="right"/>
              <w:ind w:right="90"/>
              <w:spacing w:after="0"/>
              <w:rPr>
                <w:sz w:val="20"/>
                <w:szCs w:val="20"/>
                <w:color w:val="auto"/>
              </w:rPr>
            </w:pPr>
            <w:r>
              <w:rPr>
                <w:rFonts w:ascii="Arial" w:cs="Arial" w:eastAsia="Arial" w:hAnsi="Arial"/>
                <w:sz w:val="18"/>
                <w:szCs w:val="18"/>
                <w:color w:val="auto"/>
              </w:rPr>
              <w:t>0.329</w:t>
            </w:r>
          </w:p>
        </w:tc>
        <w:tc>
          <w:tcPr>
            <w:tcW w:w="900" w:type="dxa"/>
            <w:vAlign w:val="bottom"/>
            <w:gridSpan w:val="2"/>
            <w:shd w:val="clear" w:color="auto" w:fill="D5EAEA"/>
          </w:tcPr>
          <w:p>
            <w:pPr>
              <w:jc w:val="right"/>
              <w:ind w:right="110"/>
              <w:spacing w:after="0"/>
              <w:rPr>
                <w:sz w:val="20"/>
                <w:szCs w:val="20"/>
                <w:color w:val="auto"/>
              </w:rPr>
            </w:pPr>
            <w:r>
              <w:rPr>
                <w:rFonts w:ascii="Arial" w:cs="Arial" w:eastAsia="Arial" w:hAnsi="Arial"/>
                <w:sz w:val="18"/>
                <w:szCs w:val="18"/>
                <w:color w:val="auto"/>
              </w:rPr>
              <w:t>0.348</w:t>
            </w:r>
          </w:p>
        </w:tc>
        <w:tc>
          <w:tcPr>
            <w:tcW w:w="880" w:type="dxa"/>
            <w:vAlign w:val="bottom"/>
            <w:gridSpan w:val="2"/>
            <w:shd w:val="clear" w:color="auto" w:fill="D5EAEA"/>
          </w:tcPr>
          <w:p>
            <w:pPr>
              <w:jc w:val="center"/>
              <w:ind w:left="10"/>
              <w:spacing w:after="0"/>
              <w:rPr>
                <w:sz w:val="20"/>
                <w:szCs w:val="20"/>
                <w:color w:val="auto"/>
              </w:rPr>
            </w:pPr>
            <w:r>
              <w:rPr>
                <w:rFonts w:ascii="Arial" w:cs="Arial" w:eastAsia="Arial" w:hAnsi="Arial"/>
                <w:sz w:val="18"/>
                <w:szCs w:val="18"/>
                <w:color w:val="auto"/>
                <w:w w:val="93"/>
              </w:rPr>
              <w:t>0.361</w:t>
            </w:r>
          </w:p>
        </w:tc>
        <w:tc>
          <w:tcPr>
            <w:tcW w:w="100" w:type="dxa"/>
            <w:vAlign w:val="bottom"/>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gridSpan w:val="2"/>
          </w:tcPr>
          <w:p>
            <w:pPr>
              <w:spacing w:after="0"/>
              <w:rPr>
                <w:sz w:val="20"/>
                <w:szCs w:val="20"/>
                <w:color w:val="auto"/>
              </w:rPr>
            </w:pPr>
            <w:r>
              <w:rPr>
                <w:rFonts w:ascii="Arial" w:cs="Arial" w:eastAsia="Arial" w:hAnsi="Arial"/>
                <w:sz w:val="18"/>
                <w:szCs w:val="18"/>
                <w:color w:val="auto"/>
              </w:rPr>
              <w:t>21 months</w:t>
            </w:r>
          </w:p>
        </w:tc>
        <w:tc>
          <w:tcPr>
            <w:tcW w:w="800" w:type="dxa"/>
            <w:vAlign w:val="bottom"/>
          </w:tcPr>
          <w:p>
            <w:pPr>
              <w:jc w:val="center"/>
              <w:spacing w:after="0"/>
              <w:rPr>
                <w:sz w:val="20"/>
                <w:szCs w:val="20"/>
                <w:color w:val="auto"/>
              </w:rPr>
            </w:pPr>
            <w:r>
              <w:rPr>
                <w:rFonts w:ascii="Arial" w:cs="Arial" w:eastAsia="Arial" w:hAnsi="Arial"/>
                <w:sz w:val="18"/>
                <w:szCs w:val="18"/>
                <w:color w:val="auto"/>
                <w:w w:val="88"/>
              </w:rPr>
              <w:t>0.161</w:t>
            </w:r>
          </w:p>
        </w:tc>
        <w:tc>
          <w:tcPr>
            <w:tcW w:w="900" w:type="dxa"/>
            <w:vAlign w:val="bottom"/>
            <w:gridSpan w:val="2"/>
          </w:tcPr>
          <w:p>
            <w:pPr>
              <w:jc w:val="center"/>
              <w:ind w:left="10"/>
              <w:spacing w:after="0"/>
              <w:rPr>
                <w:sz w:val="20"/>
                <w:szCs w:val="20"/>
                <w:color w:val="auto"/>
              </w:rPr>
            </w:pPr>
            <w:r>
              <w:rPr>
                <w:rFonts w:ascii="Arial" w:cs="Arial" w:eastAsia="Arial" w:hAnsi="Arial"/>
                <w:sz w:val="18"/>
                <w:szCs w:val="18"/>
                <w:color w:val="auto"/>
                <w:w w:val="88"/>
              </w:rPr>
              <w:t>0.193</w:t>
            </w:r>
          </w:p>
        </w:tc>
        <w:tc>
          <w:tcPr>
            <w:tcW w:w="920" w:type="dxa"/>
            <w:vAlign w:val="bottom"/>
            <w:gridSpan w:val="2"/>
          </w:tcPr>
          <w:p>
            <w:pPr>
              <w:jc w:val="right"/>
              <w:ind w:right="110"/>
              <w:spacing w:after="0"/>
              <w:rPr>
                <w:sz w:val="20"/>
                <w:szCs w:val="20"/>
                <w:color w:val="auto"/>
              </w:rPr>
            </w:pPr>
            <w:r>
              <w:rPr>
                <w:rFonts w:ascii="Arial" w:cs="Arial" w:eastAsia="Arial" w:hAnsi="Arial"/>
                <w:sz w:val="18"/>
                <w:szCs w:val="18"/>
                <w:color w:val="auto"/>
              </w:rPr>
              <w:t>0.223</w:t>
            </w:r>
          </w:p>
        </w:tc>
        <w:tc>
          <w:tcPr>
            <w:tcW w:w="900" w:type="dxa"/>
            <w:vAlign w:val="bottom"/>
            <w:gridSpan w:val="2"/>
          </w:tcPr>
          <w:p>
            <w:pPr>
              <w:jc w:val="right"/>
              <w:ind w:right="110"/>
              <w:spacing w:after="0"/>
              <w:rPr>
                <w:sz w:val="20"/>
                <w:szCs w:val="20"/>
                <w:color w:val="auto"/>
              </w:rPr>
            </w:pPr>
            <w:r>
              <w:rPr>
                <w:rFonts w:ascii="Arial" w:cs="Arial" w:eastAsia="Arial" w:hAnsi="Arial"/>
                <w:sz w:val="18"/>
                <w:szCs w:val="18"/>
                <w:color w:val="auto"/>
              </w:rPr>
              <w:t>0.252</w:t>
            </w:r>
          </w:p>
        </w:tc>
        <w:tc>
          <w:tcPr>
            <w:tcW w:w="900" w:type="dxa"/>
            <w:vAlign w:val="bottom"/>
            <w:gridSpan w:val="2"/>
          </w:tcPr>
          <w:p>
            <w:pPr>
              <w:jc w:val="right"/>
              <w:ind w:right="110"/>
              <w:spacing w:after="0"/>
              <w:rPr>
                <w:sz w:val="20"/>
                <w:szCs w:val="20"/>
                <w:color w:val="auto"/>
              </w:rPr>
            </w:pPr>
            <w:r>
              <w:rPr>
                <w:rFonts w:ascii="Arial" w:cs="Arial" w:eastAsia="Arial" w:hAnsi="Arial"/>
                <w:sz w:val="18"/>
                <w:szCs w:val="18"/>
                <w:color w:val="auto"/>
              </w:rPr>
              <w:t>0.279</w:t>
            </w:r>
          </w:p>
        </w:tc>
        <w:tc>
          <w:tcPr>
            <w:tcW w:w="900" w:type="dxa"/>
            <w:vAlign w:val="bottom"/>
            <w:gridSpan w:val="2"/>
          </w:tcPr>
          <w:p>
            <w:pPr>
              <w:jc w:val="right"/>
              <w:ind w:right="110"/>
              <w:spacing w:after="0"/>
              <w:rPr>
                <w:sz w:val="20"/>
                <w:szCs w:val="20"/>
                <w:color w:val="auto"/>
              </w:rPr>
            </w:pPr>
            <w:r>
              <w:rPr>
                <w:rFonts w:ascii="Arial" w:cs="Arial" w:eastAsia="Arial" w:hAnsi="Arial"/>
                <w:sz w:val="18"/>
                <w:szCs w:val="18"/>
                <w:color w:val="auto"/>
              </w:rPr>
              <w:t>0.304</w:t>
            </w:r>
          </w:p>
        </w:tc>
        <w:tc>
          <w:tcPr>
            <w:tcW w:w="880" w:type="dxa"/>
            <w:vAlign w:val="bottom"/>
            <w:gridSpan w:val="2"/>
          </w:tcPr>
          <w:p>
            <w:pPr>
              <w:jc w:val="right"/>
              <w:ind w:right="90"/>
              <w:spacing w:after="0"/>
              <w:rPr>
                <w:sz w:val="20"/>
                <w:szCs w:val="20"/>
                <w:color w:val="auto"/>
              </w:rPr>
            </w:pPr>
            <w:r>
              <w:rPr>
                <w:rFonts w:ascii="Arial" w:cs="Arial" w:eastAsia="Arial" w:hAnsi="Arial"/>
                <w:sz w:val="18"/>
                <w:szCs w:val="18"/>
                <w:color w:val="auto"/>
              </w:rPr>
              <w:t>0.326</w:t>
            </w:r>
          </w:p>
        </w:tc>
        <w:tc>
          <w:tcPr>
            <w:tcW w:w="900" w:type="dxa"/>
            <w:vAlign w:val="bottom"/>
            <w:gridSpan w:val="2"/>
          </w:tcPr>
          <w:p>
            <w:pPr>
              <w:jc w:val="right"/>
              <w:ind w:right="110"/>
              <w:spacing w:after="0"/>
              <w:rPr>
                <w:sz w:val="20"/>
                <w:szCs w:val="20"/>
                <w:color w:val="auto"/>
              </w:rPr>
            </w:pPr>
            <w:r>
              <w:rPr>
                <w:rFonts w:ascii="Arial" w:cs="Arial" w:eastAsia="Arial" w:hAnsi="Arial"/>
                <w:sz w:val="18"/>
                <w:szCs w:val="18"/>
                <w:color w:val="auto"/>
              </w:rPr>
              <w:t>0.347</w:t>
            </w:r>
          </w:p>
        </w:tc>
        <w:tc>
          <w:tcPr>
            <w:tcW w:w="880" w:type="dxa"/>
            <w:vAlign w:val="bottom"/>
            <w:gridSpan w:val="2"/>
          </w:tcPr>
          <w:p>
            <w:pPr>
              <w:jc w:val="center"/>
              <w:ind w:left="10"/>
              <w:spacing w:after="0"/>
              <w:rPr>
                <w:sz w:val="20"/>
                <w:szCs w:val="20"/>
                <w:color w:val="auto"/>
              </w:rPr>
            </w:pPr>
            <w:r>
              <w:rPr>
                <w:rFonts w:ascii="Arial" w:cs="Arial" w:eastAsia="Arial" w:hAnsi="Arial"/>
                <w:sz w:val="18"/>
                <w:szCs w:val="18"/>
                <w:color w:val="auto"/>
                <w:w w:val="93"/>
              </w:rPr>
              <w:t>0.361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18 months</w:t>
            </w:r>
          </w:p>
        </w:tc>
        <w:tc>
          <w:tcPr>
            <w:tcW w:w="800" w:type="dxa"/>
            <w:vAlign w:val="bottom"/>
            <w:shd w:val="clear" w:color="auto" w:fill="D5EAEA"/>
          </w:tcPr>
          <w:p>
            <w:pPr>
              <w:jc w:val="center"/>
              <w:spacing w:after="0"/>
              <w:rPr>
                <w:sz w:val="20"/>
                <w:szCs w:val="20"/>
                <w:color w:val="auto"/>
              </w:rPr>
            </w:pPr>
            <w:r>
              <w:rPr>
                <w:rFonts w:ascii="Arial" w:cs="Arial" w:eastAsia="Arial" w:hAnsi="Arial"/>
                <w:sz w:val="18"/>
                <w:szCs w:val="18"/>
                <w:color w:val="auto"/>
                <w:w w:val="88"/>
              </w:rPr>
              <w:t>0.146</w:t>
            </w:r>
          </w:p>
        </w:tc>
        <w:tc>
          <w:tcPr>
            <w:tcW w:w="900" w:type="dxa"/>
            <w:vAlign w:val="bottom"/>
            <w:gridSpan w:val="2"/>
            <w:shd w:val="clear" w:color="auto" w:fill="D5EAEA"/>
          </w:tcPr>
          <w:p>
            <w:pPr>
              <w:jc w:val="center"/>
              <w:ind w:left="10"/>
              <w:spacing w:after="0"/>
              <w:rPr>
                <w:sz w:val="20"/>
                <w:szCs w:val="20"/>
                <w:color w:val="auto"/>
              </w:rPr>
            </w:pPr>
            <w:r>
              <w:rPr>
                <w:rFonts w:ascii="Arial" w:cs="Arial" w:eastAsia="Arial" w:hAnsi="Arial"/>
                <w:sz w:val="18"/>
                <w:szCs w:val="18"/>
                <w:color w:val="auto"/>
                <w:w w:val="88"/>
              </w:rPr>
              <w:t>0.179</w:t>
            </w:r>
          </w:p>
        </w:tc>
        <w:tc>
          <w:tcPr>
            <w:tcW w:w="920" w:type="dxa"/>
            <w:vAlign w:val="bottom"/>
            <w:gridSpan w:val="2"/>
            <w:shd w:val="clear" w:color="auto" w:fill="D5EAEA"/>
          </w:tcPr>
          <w:p>
            <w:pPr>
              <w:jc w:val="right"/>
              <w:ind w:right="130"/>
              <w:spacing w:after="0"/>
              <w:rPr>
                <w:sz w:val="20"/>
                <w:szCs w:val="20"/>
                <w:color w:val="auto"/>
              </w:rPr>
            </w:pPr>
            <w:r>
              <w:rPr>
                <w:rFonts w:ascii="Arial" w:cs="Arial" w:eastAsia="Arial" w:hAnsi="Arial"/>
                <w:sz w:val="18"/>
                <w:szCs w:val="18"/>
                <w:color w:val="auto"/>
              </w:rPr>
              <w:t>0.211</w:t>
            </w:r>
          </w:p>
        </w:tc>
        <w:tc>
          <w:tcPr>
            <w:tcW w:w="900" w:type="dxa"/>
            <w:vAlign w:val="bottom"/>
            <w:gridSpan w:val="2"/>
            <w:shd w:val="clear" w:color="auto" w:fill="D5EAEA"/>
          </w:tcPr>
          <w:p>
            <w:pPr>
              <w:jc w:val="right"/>
              <w:ind w:right="110"/>
              <w:spacing w:after="0"/>
              <w:rPr>
                <w:sz w:val="20"/>
                <w:szCs w:val="20"/>
                <w:color w:val="auto"/>
              </w:rPr>
            </w:pPr>
            <w:r>
              <w:rPr>
                <w:rFonts w:ascii="Arial" w:cs="Arial" w:eastAsia="Arial" w:hAnsi="Arial"/>
                <w:sz w:val="18"/>
                <w:szCs w:val="18"/>
                <w:color w:val="auto"/>
              </w:rPr>
              <w:t>0.242</w:t>
            </w:r>
          </w:p>
        </w:tc>
        <w:tc>
          <w:tcPr>
            <w:tcW w:w="900" w:type="dxa"/>
            <w:vAlign w:val="bottom"/>
            <w:gridSpan w:val="2"/>
            <w:shd w:val="clear" w:color="auto" w:fill="D5EAEA"/>
          </w:tcPr>
          <w:p>
            <w:pPr>
              <w:jc w:val="right"/>
              <w:ind w:right="110"/>
              <w:spacing w:after="0"/>
              <w:rPr>
                <w:sz w:val="20"/>
                <w:szCs w:val="20"/>
                <w:color w:val="auto"/>
              </w:rPr>
            </w:pPr>
            <w:r>
              <w:rPr>
                <w:rFonts w:ascii="Arial" w:cs="Arial" w:eastAsia="Arial" w:hAnsi="Arial"/>
                <w:sz w:val="18"/>
                <w:szCs w:val="18"/>
                <w:color w:val="auto"/>
              </w:rPr>
              <w:t>0.271</w:t>
            </w:r>
          </w:p>
        </w:tc>
        <w:tc>
          <w:tcPr>
            <w:tcW w:w="900" w:type="dxa"/>
            <w:vAlign w:val="bottom"/>
            <w:gridSpan w:val="2"/>
            <w:shd w:val="clear" w:color="auto" w:fill="D5EAEA"/>
          </w:tcPr>
          <w:p>
            <w:pPr>
              <w:jc w:val="right"/>
              <w:ind w:right="110"/>
              <w:spacing w:after="0"/>
              <w:rPr>
                <w:sz w:val="20"/>
                <w:szCs w:val="20"/>
                <w:color w:val="auto"/>
              </w:rPr>
            </w:pPr>
            <w:r>
              <w:rPr>
                <w:rFonts w:ascii="Arial" w:cs="Arial" w:eastAsia="Arial" w:hAnsi="Arial"/>
                <w:sz w:val="18"/>
                <w:szCs w:val="18"/>
                <w:color w:val="auto"/>
              </w:rPr>
              <w:t>0.298</w:t>
            </w:r>
          </w:p>
        </w:tc>
        <w:tc>
          <w:tcPr>
            <w:tcW w:w="880" w:type="dxa"/>
            <w:vAlign w:val="bottom"/>
            <w:gridSpan w:val="2"/>
            <w:shd w:val="clear" w:color="auto" w:fill="D5EAEA"/>
          </w:tcPr>
          <w:p>
            <w:pPr>
              <w:jc w:val="right"/>
              <w:ind w:right="90"/>
              <w:spacing w:after="0"/>
              <w:rPr>
                <w:sz w:val="20"/>
                <w:szCs w:val="20"/>
                <w:color w:val="auto"/>
              </w:rPr>
            </w:pPr>
            <w:r>
              <w:rPr>
                <w:rFonts w:ascii="Arial" w:cs="Arial" w:eastAsia="Arial" w:hAnsi="Arial"/>
                <w:sz w:val="18"/>
                <w:szCs w:val="18"/>
                <w:color w:val="auto"/>
              </w:rPr>
              <w:t>0.322</w:t>
            </w:r>
          </w:p>
        </w:tc>
        <w:tc>
          <w:tcPr>
            <w:tcW w:w="900" w:type="dxa"/>
            <w:vAlign w:val="bottom"/>
            <w:gridSpan w:val="2"/>
            <w:shd w:val="clear" w:color="auto" w:fill="D5EAEA"/>
          </w:tcPr>
          <w:p>
            <w:pPr>
              <w:jc w:val="right"/>
              <w:ind w:right="110"/>
              <w:spacing w:after="0"/>
              <w:rPr>
                <w:sz w:val="20"/>
                <w:szCs w:val="20"/>
                <w:color w:val="auto"/>
              </w:rPr>
            </w:pPr>
            <w:r>
              <w:rPr>
                <w:rFonts w:ascii="Arial" w:cs="Arial" w:eastAsia="Arial" w:hAnsi="Arial"/>
                <w:sz w:val="18"/>
                <w:szCs w:val="18"/>
                <w:color w:val="auto"/>
              </w:rPr>
              <w:t>0.345</w:t>
            </w:r>
          </w:p>
        </w:tc>
        <w:tc>
          <w:tcPr>
            <w:tcW w:w="880" w:type="dxa"/>
            <w:vAlign w:val="bottom"/>
            <w:gridSpan w:val="2"/>
            <w:shd w:val="clear" w:color="auto" w:fill="D5EAEA"/>
          </w:tcPr>
          <w:p>
            <w:pPr>
              <w:jc w:val="center"/>
              <w:ind w:left="10"/>
              <w:spacing w:after="0"/>
              <w:rPr>
                <w:sz w:val="20"/>
                <w:szCs w:val="20"/>
                <w:color w:val="auto"/>
              </w:rPr>
            </w:pPr>
            <w:r>
              <w:rPr>
                <w:rFonts w:ascii="Arial" w:cs="Arial" w:eastAsia="Arial" w:hAnsi="Arial"/>
                <w:sz w:val="18"/>
                <w:szCs w:val="18"/>
                <w:color w:val="auto"/>
                <w:w w:val="93"/>
              </w:rPr>
              <w:t>0.361</w:t>
            </w:r>
          </w:p>
        </w:tc>
        <w:tc>
          <w:tcPr>
            <w:tcW w:w="100" w:type="dxa"/>
            <w:vAlign w:val="bottom"/>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gridSpan w:val="2"/>
          </w:tcPr>
          <w:p>
            <w:pPr>
              <w:spacing w:after="0"/>
              <w:rPr>
                <w:sz w:val="20"/>
                <w:szCs w:val="20"/>
                <w:color w:val="auto"/>
              </w:rPr>
            </w:pPr>
            <w:r>
              <w:rPr>
                <w:rFonts w:ascii="Arial" w:cs="Arial" w:eastAsia="Arial" w:hAnsi="Arial"/>
                <w:sz w:val="18"/>
                <w:szCs w:val="18"/>
                <w:color w:val="auto"/>
              </w:rPr>
              <w:t>15 months</w:t>
            </w:r>
          </w:p>
        </w:tc>
        <w:tc>
          <w:tcPr>
            <w:tcW w:w="800" w:type="dxa"/>
            <w:vAlign w:val="bottom"/>
          </w:tcPr>
          <w:p>
            <w:pPr>
              <w:jc w:val="center"/>
              <w:spacing w:after="0"/>
              <w:rPr>
                <w:sz w:val="20"/>
                <w:szCs w:val="20"/>
                <w:color w:val="auto"/>
              </w:rPr>
            </w:pPr>
            <w:r>
              <w:rPr>
                <w:rFonts w:ascii="Arial" w:cs="Arial" w:eastAsia="Arial" w:hAnsi="Arial"/>
                <w:sz w:val="18"/>
                <w:szCs w:val="18"/>
                <w:color w:val="auto"/>
                <w:w w:val="88"/>
              </w:rPr>
              <w:t>0.130</w:t>
            </w:r>
          </w:p>
        </w:tc>
        <w:tc>
          <w:tcPr>
            <w:tcW w:w="900" w:type="dxa"/>
            <w:vAlign w:val="bottom"/>
            <w:gridSpan w:val="2"/>
          </w:tcPr>
          <w:p>
            <w:pPr>
              <w:jc w:val="center"/>
              <w:ind w:left="10"/>
              <w:spacing w:after="0"/>
              <w:rPr>
                <w:sz w:val="20"/>
                <w:szCs w:val="20"/>
                <w:color w:val="auto"/>
              </w:rPr>
            </w:pPr>
            <w:r>
              <w:rPr>
                <w:rFonts w:ascii="Arial" w:cs="Arial" w:eastAsia="Arial" w:hAnsi="Arial"/>
                <w:sz w:val="18"/>
                <w:szCs w:val="18"/>
                <w:color w:val="auto"/>
                <w:w w:val="88"/>
              </w:rPr>
              <w:t>0.164</w:t>
            </w:r>
          </w:p>
        </w:tc>
        <w:tc>
          <w:tcPr>
            <w:tcW w:w="920" w:type="dxa"/>
            <w:vAlign w:val="bottom"/>
            <w:gridSpan w:val="2"/>
          </w:tcPr>
          <w:p>
            <w:pPr>
              <w:jc w:val="right"/>
              <w:ind w:right="110"/>
              <w:spacing w:after="0"/>
              <w:rPr>
                <w:sz w:val="20"/>
                <w:szCs w:val="20"/>
                <w:color w:val="auto"/>
              </w:rPr>
            </w:pPr>
            <w:r>
              <w:rPr>
                <w:rFonts w:ascii="Arial" w:cs="Arial" w:eastAsia="Arial" w:hAnsi="Arial"/>
                <w:sz w:val="18"/>
                <w:szCs w:val="18"/>
                <w:color w:val="auto"/>
              </w:rPr>
              <w:t>0.197</w:t>
            </w:r>
          </w:p>
        </w:tc>
        <w:tc>
          <w:tcPr>
            <w:tcW w:w="900" w:type="dxa"/>
            <w:vAlign w:val="bottom"/>
            <w:gridSpan w:val="2"/>
          </w:tcPr>
          <w:p>
            <w:pPr>
              <w:jc w:val="right"/>
              <w:ind w:right="110"/>
              <w:spacing w:after="0"/>
              <w:rPr>
                <w:sz w:val="20"/>
                <w:szCs w:val="20"/>
                <w:color w:val="auto"/>
              </w:rPr>
            </w:pPr>
            <w:r>
              <w:rPr>
                <w:rFonts w:ascii="Arial" w:cs="Arial" w:eastAsia="Arial" w:hAnsi="Arial"/>
                <w:sz w:val="18"/>
                <w:szCs w:val="18"/>
                <w:color w:val="auto"/>
              </w:rPr>
              <w:t>0.230</w:t>
            </w:r>
          </w:p>
        </w:tc>
        <w:tc>
          <w:tcPr>
            <w:tcW w:w="900" w:type="dxa"/>
            <w:vAlign w:val="bottom"/>
            <w:gridSpan w:val="2"/>
          </w:tcPr>
          <w:p>
            <w:pPr>
              <w:jc w:val="right"/>
              <w:ind w:right="110"/>
              <w:spacing w:after="0"/>
              <w:rPr>
                <w:sz w:val="20"/>
                <w:szCs w:val="20"/>
                <w:color w:val="auto"/>
              </w:rPr>
            </w:pPr>
            <w:r>
              <w:rPr>
                <w:rFonts w:ascii="Arial" w:cs="Arial" w:eastAsia="Arial" w:hAnsi="Arial"/>
                <w:sz w:val="18"/>
                <w:szCs w:val="18"/>
                <w:color w:val="auto"/>
              </w:rPr>
              <w:t>0.262</w:t>
            </w:r>
          </w:p>
        </w:tc>
        <w:tc>
          <w:tcPr>
            <w:tcW w:w="900" w:type="dxa"/>
            <w:vAlign w:val="bottom"/>
            <w:gridSpan w:val="2"/>
          </w:tcPr>
          <w:p>
            <w:pPr>
              <w:jc w:val="right"/>
              <w:ind w:right="110"/>
              <w:spacing w:after="0"/>
              <w:rPr>
                <w:sz w:val="20"/>
                <w:szCs w:val="20"/>
                <w:color w:val="auto"/>
              </w:rPr>
            </w:pPr>
            <w:r>
              <w:rPr>
                <w:rFonts w:ascii="Arial" w:cs="Arial" w:eastAsia="Arial" w:hAnsi="Arial"/>
                <w:sz w:val="18"/>
                <w:szCs w:val="18"/>
                <w:color w:val="auto"/>
              </w:rPr>
              <w:t>0.291</w:t>
            </w:r>
          </w:p>
        </w:tc>
        <w:tc>
          <w:tcPr>
            <w:tcW w:w="880" w:type="dxa"/>
            <w:vAlign w:val="bottom"/>
            <w:gridSpan w:val="2"/>
          </w:tcPr>
          <w:p>
            <w:pPr>
              <w:jc w:val="right"/>
              <w:ind w:right="90"/>
              <w:spacing w:after="0"/>
              <w:rPr>
                <w:sz w:val="20"/>
                <w:szCs w:val="20"/>
                <w:color w:val="auto"/>
              </w:rPr>
            </w:pPr>
            <w:r>
              <w:rPr>
                <w:rFonts w:ascii="Arial" w:cs="Arial" w:eastAsia="Arial" w:hAnsi="Arial"/>
                <w:sz w:val="18"/>
                <w:szCs w:val="18"/>
                <w:color w:val="auto"/>
              </w:rPr>
              <w:t>0.317</w:t>
            </w:r>
          </w:p>
        </w:tc>
        <w:tc>
          <w:tcPr>
            <w:tcW w:w="900" w:type="dxa"/>
            <w:vAlign w:val="bottom"/>
            <w:gridSpan w:val="2"/>
          </w:tcPr>
          <w:p>
            <w:pPr>
              <w:jc w:val="right"/>
              <w:ind w:right="110"/>
              <w:spacing w:after="0"/>
              <w:rPr>
                <w:sz w:val="20"/>
                <w:szCs w:val="20"/>
                <w:color w:val="auto"/>
              </w:rPr>
            </w:pPr>
            <w:r>
              <w:rPr>
                <w:rFonts w:ascii="Arial" w:cs="Arial" w:eastAsia="Arial" w:hAnsi="Arial"/>
                <w:sz w:val="18"/>
                <w:szCs w:val="18"/>
                <w:color w:val="auto"/>
              </w:rPr>
              <w:t>0.342</w:t>
            </w:r>
          </w:p>
        </w:tc>
        <w:tc>
          <w:tcPr>
            <w:tcW w:w="880" w:type="dxa"/>
            <w:vAlign w:val="bottom"/>
            <w:gridSpan w:val="2"/>
          </w:tcPr>
          <w:p>
            <w:pPr>
              <w:jc w:val="center"/>
              <w:ind w:left="10"/>
              <w:spacing w:after="0"/>
              <w:rPr>
                <w:sz w:val="20"/>
                <w:szCs w:val="20"/>
                <w:color w:val="auto"/>
              </w:rPr>
            </w:pPr>
            <w:r>
              <w:rPr>
                <w:rFonts w:ascii="Arial" w:cs="Arial" w:eastAsia="Arial" w:hAnsi="Arial"/>
                <w:sz w:val="18"/>
                <w:szCs w:val="18"/>
                <w:color w:val="auto"/>
                <w:w w:val="93"/>
              </w:rPr>
              <w:t>0.361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12 months</w:t>
            </w:r>
          </w:p>
        </w:tc>
        <w:tc>
          <w:tcPr>
            <w:tcW w:w="800" w:type="dxa"/>
            <w:vAlign w:val="bottom"/>
            <w:shd w:val="clear" w:color="auto" w:fill="D5EAEA"/>
          </w:tcPr>
          <w:p>
            <w:pPr>
              <w:jc w:val="center"/>
              <w:spacing w:after="0"/>
              <w:rPr>
                <w:sz w:val="20"/>
                <w:szCs w:val="20"/>
                <w:color w:val="auto"/>
              </w:rPr>
            </w:pPr>
            <w:r>
              <w:rPr>
                <w:rFonts w:ascii="Arial" w:cs="Arial" w:eastAsia="Arial" w:hAnsi="Arial"/>
                <w:sz w:val="18"/>
                <w:szCs w:val="18"/>
                <w:color w:val="auto"/>
                <w:w w:val="88"/>
              </w:rPr>
              <w:t>0.111</w:t>
            </w:r>
          </w:p>
        </w:tc>
        <w:tc>
          <w:tcPr>
            <w:tcW w:w="900" w:type="dxa"/>
            <w:vAlign w:val="bottom"/>
            <w:gridSpan w:val="2"/>
            <w:shd w:val="clear" w:color="auto" w:fill="D5EAEA"/>
          </w:tcPr>
          <w:p>
            <w:pPr>
              <w:jc w:val="center"/>
              <w:ind w:left="10"/>
              <w:spacing w:after="0"/>
              <w:rPr>
                <w:sz w:val="20"/>
                <w:szCs w:val="20"/>
                <w:color w:val="auto"/>
              </w:rPr>
            </w:pPr>
            <w:r>
              <w:rPr>
                <w:rFonts w:ascii="Arial" w:cs="Arial" w:eastAsia="Arial" w:hAnsi="Arial"/>
                <w:sz w:val="18"/>
                <w:szCs w:val="18"/>
                <w:color w:val="auto"/>
                <w:w w:val="88"/>
              </w:rPr>
              <w:t>0.146</w:t>
            </w:r>
          </w:p>
        </w:tc>
        <w:tc>
          <w:tcPr>
            <w:tcW w:w="920" w:type="dxa"/>
            <w:vAlign w:val="bottom"/>
            <w:gridSpan w:val="2"/>
            <w:shd w:val="clear" w:color="auto" w:fill="D5EAEA"/>
          </w:tcPr>
          <w:p>
            <w:pPr>
              <w:jc w:val="right"/>
              <w:ind w:right="110"/>
              <w:spacing w:after="0"/>
              <w:rPr>
                <w:sz w:val="20"/>
                <w:szCs w:val="20"/>
                <w:color w:val="auto"/>
              </w:rPr>
            </w:pPr>
            <w:r>
              <w:rPr>
                <w:rFonts w:ascii="Arial" w:cs="Arial" w:eastAsia="Arial" w:hAnsi="Arial"/>
                <w:sz w:val="18"/>
                <w:szCs w:val="18"/>
                <w:color w:val="auto"/>
              </w:rPr>
              <w:t>0.181</w:t>
            </w:r>
          </w:p>
        </w:tc>
        <w:tc>
          <w:tcPr>
            <w:tcW w:w="900" w:type="dxa"/>
            <w:vAlign w:val="bottom"/>
            <w:gridSpan w:val="2"/>
            <w:shd w:val="clear" w:color="auto" w:fill="D5EAEA"/>
          </w:tcPr>
          <w:p>
            <w:pPr>
              <w:jc w:val="right"/>
              <w:ind w:right="110"/>
              <w:spacing w:after="0"/>
              <w:rPr>
                <w:sz w:val="20"/>
                <w:szCs w:val="20"/>
                <w:color w:val="auto"/>
              </w:rPr>
            </w:pPr>
            <w:r>
              <w:rPr>
                <w:rFonts w:ascii="Arial" w:cs="Arial" w:eastAsia="Arial" w:hAnsi="Arial"/>
                <w:sz w:val="18"/>
                <w:szCs w:val="18"/>
                <w:color w:val="auto"/>
              </w:rPr>
              <w:t>0.216</w:t>
            </w:r>
          </w:p>
        </w:tc>
        <w:tc>
          <w:tcPr>
            <w:tcW w:w="900" w:type="dxa"/>
            <w:vAlign w:val="bottom"/>
            <w:gridSpan w:val="2"/>
            <w:shd w:val="clear" w:color="auto" w:fill="D5EAEA"/>
          </w:tcPr>
          <w:p>
            <w:pPr>
              <w:jc w:val="right"/>
              <w:ind w:right="110"/>
              <w:spacing w:after="0"/>
              <w:rPr>
                <w:sz w:val="20"/>
                <w:szCs w:val="20"/>
                <w:color w:val="auto"/>
              </w:rPr>
            </w:pPr>
            <w:r>
              <w:rPr>
                <w:rFonts w:ascii="Arial" w:cs="Arial" w:eastAsia="Arial" w:hAnsi="Arial"/>
                <w:sz w:val="18"/>
                <w:szCs w:val="18"/>
                <w:color w:val="auto"/>
              </w:rPr>
              <w:t>0.250</w:t>
            </w:r>
          </w:p>
        </w:tc>
        <w:tc>
          <w:tcPr>
            <w:tcW w:w="900" w:type="dxa"/>
            <w:vAlign w:val="bottom"/>
            <w:gridSpan w:val="2"/>
            <w:shd w:val="clear" w:color="auto" w:fill="D5EAEA"/>
          </w:tcPr>
          <w:p>
            <w:pPr>
              <w:jc w:val="right"/>
              <w:ind w:right="110"/>
              <w:spacing w:after="0"/>
              <w:rPr>
                <w:sz w:val="20"/>
                <w:szCs w:val="20"/>
                <w:color w:val="auto"/>
              </w:rPr>
            </w:pPr>
            <w:r>
              <w:rPr>
                <w:rFonts w:ascii="Arial" w:cs="Arial" w:eastAsia="Arial" w:hAnsi="Arial"/>
                <w:sz w:val="18"/>
                <w:szCs w:val="18"/>
                <w:color w:val="auto"/>
              </w:rPr>
              <w:t>0.282</w:t>
            </w:r>
          </w:p>
        </w:tc>
        <w:tc>
          <w:tcPr>
            <w:tcW w:w="880" w:type="dxa"/>
            <w:vAlign w:val="bottom"/>
            <w:gridSpan w:val="2"/>
            <w:shd w:val="clear" w:color="auto" w:fill="D5EAEA"/>
          </w:tcPr>
          <w:p>
            <w:pPr>
              <w:jc w:val="right"/>
              <w:ind w:right="90"/>
              <w:spacing w:after="0"/>
              <w:rPr>
                <w:sz w:val="20"/>
                <w:szCs w:val="20"/>
                <w:color w:val="auto"/>
              </w:rPr>
            </w:pPr>
            <w:r>
              <w:rPr>
                <w:rFonts w:ascii="Arial" w:cs="Arial" w:eastAsia="Arial" w:hAnsi="Arial"/>
                <w:sz w:val="18"/>
                <w:szCs w:val="18"/>
                <w:color w:val="auto"/>
              </w:rPr>
              <w:t>0.312</w:t>
            </w:r>
          </w:p>
        </w:tc>
        <w:tc>
          <w:tcPr>
            <w:tcW w:w="900" w:type="dxa"/>
            <w:vAlign w:val="bottom"/>
            <w:gridSpan w:val="2"/>
            <w:shd w:val="clear" w:color="auto" w:fill="D5EAEA"/>
          </w:tcPr>
          <w:p>
            <w:pPr>
              <w:jc w:val="right"/>
              <w:ind w:right="110"/>
              <w:spacing w:after="0"/>
              <w:rPr>
                <w:sz w:val="20"/>
                <w:szCs w:val="20"/>
                <w:color w:val="auto"/>
              </w:rPr>
            </w:pPr>
            <w:r>
              <w:rPr>
                <w:rFonts w:ascii="Arial" w:cs="Arial" w:eastAsia="Arial" w:hAnsi="Arial"/>
                <w:sz w:val="18"/>
                <w:szCs w:val="18"/>
                <w:color w:val="auto"/>
              </w:rPr>
              <w:t>0.339</w:t>
            </w:r>
          </w:p>
        </w:tc>
        <w:tc>
          <w:tcPr>
            <w:tcW w:w="880" w:type="dxa"/>
            <w:vAlign w:val="bottom"/>
            <w:gridSpan w:val="2"/>
            <w:shd w:val="clear" w:color="auto" w:fill="D5EAEA"/>
          </w:tcPr>
          <w:p>
            <w:pPr>
              <w:jc w:val="center"/>
              <w:ind w:left="10"/>
              <w:spacing w:after="0"/>
              <w:rPr>
                <w:sz w:val="20"/>
                <w:szCs w:val="20"/>
                <w:color w:val="auto"/>
              </w:rPr>
            </w:pPr>
            <w:r>
              <w:rPr>
                <w:rFonts w:ascii="Arial" w:cs="Arial" w:eastAsia="Arial" w:hAnsi="Arial"/>
                <w:sz w:val="18"/>
                <w:szCs w:val="18"/>
                <w:color w:val="auto"/>
                <w:w w:val="93"/>
              </w:rPr>
              <w:t>0.361</w:t>
            </w:r>
          </w:p>
        </w:tc>
        <w:tc>
          <w:tcPr>
            <w:tcW w:w="100" w:type="dxa"/>
            <w:vAlign w:val="bottom"/>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gridSpan w:val="2"/>
          </w:tcPr>
          <w:p>
            <w:pPr>
              <w:spacing w:after="0"/>
              <w:rPr>
                <w:sz w:val="20"/>
                <w:szCs w:val="20"/>
                <w:color w:val="auto"/>
              </w:rPr>
            </w:pPr>
            <w:r>
              <w:rPr>
                <w:rFonts w:ascii="Arial" w:cs="Arial" w:eastAsia="Arial" w:hAnsi="Arial"/>
                <w:sz w:val="18"/>
                <w:szCs w:val="18"/>
                <w:color w:val="auto"/>
              </w:rPr>
              <w:t>9 months</w:t>
            </w:r>
          </w:p>
        </w:tc>
        <w:tc>
          <w:tcPr>
            <w:tcW w:w="800" w:type="dxa"/>
            <w:vAlign w:val="bottom"/>
          </w:tcPr>
          <w:p>
            <w:pPr>
              <w:jc w:val="center"/>
              <w:spacing w:after="0"/>
              <w:rPr>
                <w:sz w:val="20"/>
                <w:szCs w:val="20"/>
                <w:color w:val="auto"/>
              </w:rPr>
            </w:pPr>
            <w:r>
              <w:rPr>
                <w:rFonts w:ascii="Arial" w:cs="Arial" w:eastAsia="Arial" w:hAnsi="Arial"/>
                <w:sz w:val="18"/>
                <w:szCs w:val="18"/>
                <w:color w:val="auto"/>
                <w:w w:val="88"/>
              </w:rPr>
              <w:t>0.090</w:t>
            </w:r>
          </w:p>
        </w:tc>
        <w:tc>
          <w:tcPr>
            <w:tcW w:w="900" w:type="dxa"/>
            <w:vAlign w:val="bottom"/>
            <w:gridSpan w:val="2"/>
          </w:tcPr>
          <w:p>
            <w:pPr>
              <w:jc w:val="center"/>
              <w:ind w:left="10"/>
              <w:spacing w:after="0"/>
              <w:rPr>
                <w:sz w:val="20"/>
                <w:szCs w:val="20"/>
                <w:color w:val="auto"/>
              </w:rPr>
            </w:pPr>
            <w:r>
              <w:rPr>
                <w:rFonts w:ascii="Arial" w:cs="Arial" w:eastAsia="Arial" w:hAnsi="Arial"/>
                <w:sz w:val="18"/>
                <w:szCs w:val="18"/>
                <w:color w:val="auto"/>
                <w:w w:val="88"/>
              </w:rPr>
              <w:t>0.125</w:t>
            </w:r>
          </w:p>
        </w:tc>
        <w:tc>
          <w:tcPr>
            <w:tcW w:w="920" w:type="dxa"/>
            <w:vAlign w:val="bottom"/>
            <w:gridSpan w:val="2"/>
          </w:tcPr>
          <w:p>
            <w:pPr>
              <w:jc w:val="right"/>
              <w:ind w:right="110"/>
              <w:spacing w:after="0"/>
              <w:rPr>
                <w:sz w:val="20"/>
                <w:szCs w:val="20"/>
                <w:color w:val="auto"/>
              </w:rPr>
            </w:pPr>
            <w:r>
              <w:rPr>
                <w:rFonts w:ascii="Arial" w:cs="Arial" w:eastAsia="Arial" w:hAnsi="Arial"/>
                <w:sz w:val="18"/>
                <w:szCs w:val="18"/>
                <w:color w:val="auto"/>
              </w:rPr>
              <w:t>0.162</w:t>
            </w:r>
          </w:p>
        </w:tc>
        <w:tc>
          <w:tcPr>
            <w:tcW w:w="900" w:type="dxa"/>
            <w:vAlign w:val="bottom"/>
            <w:gridSpan w:val="2"/>
          </w:tcPr>
          <w:p>
            <w:pPr>
              <w:jc w:val="right"/>
              <w:ind w:right="110"/>
              <w:spacing w:after="0"/>
              <w:rPr>
                <w:sz w:val="20"/>
                <w:szCs w:val="20"/>
                <w:color w:val="auto"/>
              </w:rPr>
            </w:pPr>
            <w:r>
              <w:rPr>
                <w:rFonts w:ascii="Arial" w:cs="Arial" w:eastAsia="Arial" w:hAnsi="Arial"/>
                <w:sz w:val="18"/>
                <w:szCs w:val="18"/>
                <w:color w:val="auto"/>
              </w:rPr>
              <w:t>0.199</w:t>
            </w:r>
          </w:p>
        </w:tc>
        <w:tc>
          <w:tcPr>
            <w:tcW w:w="900" w:type="dxa"/>
            <w:vAlign w:val="bottom"/>
            <w:gridSpan w:val="2"/>
          </w:tcPr>
          <w:p>
            <w:pPr>
              <w:jc w:val="right"/>
              <w:ind w:right="110"/>
              <w:spacing w:after="0"/>
              <w:rPr>
                <w:sz w:val="20"/>
                <w:szCs w:val="20"/>
                <w:color w:val="auto"/>
              </w:rPr>
            </w:pPr>
            <w:r>
              <w:rPr>
                <w:rFonts w:ascii="Arial" w:cs="Arial" w:eastAsia="Arial" w:hAnsi="Arial"/>
                <w:sz w:val="18"/>
                <w:szCs w:val="18"/>
                <w:color w:val="auto"/>
              </w:rPr>
              <w:t>0.237</w:t>
            </w:r>
          </w:p>
        </w:tc>
        <w:tc>
          <w:tcPr>
            <w:tcW w:w="900" w:type="dxa"/>
            <w:vAlign w:val="bottom"/>
            <w:gridSpan w:val="2"/>
          </w:tcPr>
          <w:p>
            <w:pPr>
              <w:jc w:val="right"/>
              <w:ind w:right="110"/>
              <w:spacing w:after="0"/>
              <w:rPr>
                <w:sz w:val="20"/>
                <w:szCs w:val="20"/>
                <w:color w:val="auto"/>
              </w:rPr>
            </w:pPr>
            <w:r>
              <w:rPr>
                <w:rFonts w:ascii="Arial" w:cs="Arial" w:eastAsia="Arial" w:hAnsi="Arial"/>
                <w:sz w:val="18"/>
                <w:szCs w:val="18"/>
                <w:color w:val="auto"/>
              </w:rPr>
              <w:t>0.272</w:t>
            </w:r>
          </w:p>
        </w:tc>
        <w:tc>
          <w:tcPr>
            <w:tcW w:w="880" w:type="dxa"/>
            <w:vAlign w:val="bottom"/>
            <w:gridSpan w:val="2"/>
          </w:tcPr>
          <w:p>
            <w:pPr>
              <w:jc w:val="right"/>
              <w:ind w:right="90"/>
              <w:spacing w:after="0"/>
              <w:rPr>
                <w:sz w:val="20"/>
                <w:szCs w:val="20"/>
                <w:color w:val="auto"/>
              </w:rPr>
            </w:pPr>
            <w:r>
              <w:rPr>
                <w:rFonts w:ascii="Arial" w:cs="Arial" w:eastAsia="Arial" w:hAnsi="Arial"/>
                <w:sz w:val="18"/>
                <w:szCs w:val="18"/>
                <w:color w:val="auto"/>
              </w:rPr>
              <w:t>0.305</w:t>
            </w:r>
          </w:p>
        </w:tc>
        <w:tc>
          <w:tcPr>
            <w:tcW w:w="900" w:type="dxa"/>
            <w:vAlign w:val="bottom"/>
            <w:gridSpan w:val="2"/>
          </w:tcPr>
          <w:p>
            <w:pPr>
              <w:jc w:val="right"/>
              <w:ind w:right="110"/>
              <w:spacing w:after="0"/>
              <w:rPr>
                <w:sz w:val="20"/>
                <w:szCs w:val="20"/>
                <w:color w:val="auto"/>
              </w:rPr>
            </w:pPr>
            <w:r>
              <w:rPr>
                <w:rFonts w:ascii="Arial" w:cs="Arial" w:eastAsia="Arial" w:hAnsi="Arial"/>
                <w:sz w:val="18"/>
                <w:szCs w:val="18"/>
                <w:color w:val="auto"/>
              </w:rPr>
              <w:t>0.336</w:t>
            </w:r>
          </w:p>
        </w:tc>
        <w:tc>
          <w:tcPr>
            <w:tcW w:w="880" w:type="dxa"/>
            <w:vAlign w:val="bottom"/>
            <w:gridSpan w:val="2"/>
          </w:tcPr>
          <w:p>
            <w:pPr>
              <w:jc w:val="center"/>
              <w:ind w:left="10"/>
              <w:spacing w:after="0"/>
              <w:rPr>
                <w:sz w:val="20"/>
                <w:szCs w:val="20"/>
                <w:color w:val="auto"/>
              </w:rPr>
            </w:pPr>
            <w:r>
              <w:rPr>
                <w:rFonts w:ascii="Arial" w:cs="Arial" w:eastAsia="Arial" w:hAnsi="Arial"/>
                <w:sz w:val="18"/>
                <w:szCs w:val="18"/>
                <w:color w:val="auto"/>
                <w:w w:val="93"/>
              </w:rPr>
              <w:t>0.361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6 months</w:t>
            </w:r>
          </w:p>
        </w:tc>
        <w:tc>
          <w:tcPr>
            <w:tcW w:w="800" w:type="dxa"/>
            <w:vAlign w:val="bottom"/>
            <w:shd w:val="clear" w:color="auto" w:fill="D5EAEA"/>
          </w:tcPr>
          <w:p>
            <w:pPr>
              <w:jc w:val="center"/>
              <w:spacing w:after="0"/>
              <w:rPr>
                <w:sz w:val="20"/>
                <w:szCs w:val="20"/>
                <w:color w:val="auto"/>
              </w:rPr>
            </w:pPr>
            <w:r>
              <w:rPr>
                <w:rFonts w:ascii="Arial" w:cs="Arial" w:eastAsia="Arial" w:hAnsi="Arial"/>
                <w:sz w:val="18"/>
                <w:szCs w:val="18"/>
                <w:color w:val="auto"/>
                <w:w w:val="88"/>
              </w:rPr>
              <w:t>0.065</w:t>
            </w:r>
          </w:p>
        </w:tc>
        <w:tc>
          <w:tcPr>
            <w:tcW w:w="900" w:type="dxa"/>
            <w:vAlign w:val="bottom"/>
            <w:gridSpan w:val="2"/>
            <w:shd w:val="clear" w:color="auto" w:fill="D5EAEA"/>
          </w:tcPr>
          <w:p>
            <w:pPr>
              <w:jc w:val="center"/>
              <w:ind w:left="10"/>
              <w:spacing w:after="0"/>
              <w:rPr>
                <w:sz w:val="20"/>
                <w:szCs w:val="20"/>
                <w:color w:val="auto"/>
              </w:rPr>
            </w:pPr>
            <w:r>
              <w:rPr>
                <w:rFonts w:ascii="Arial" w:cs="Arial" w:eastAsia="Arial" w:hAnsi="Arial"/>
                <w:sz w:val="18"/>
                <w:szCs w:val="18"/>
                <w:color w:val="auto"/>
                <w:w w:val="88"/>
              </w:rPr>
              <w:t>0.099</w:t>
            </w:r>
          </w:p>
        </w:tc>
        <w:tc>
          <w:tcPr>
            <w:tcW w:w="920" w:type="dxa"/>
            <w:vAlign w:val="bottom"/>
            <w:gridSpan w:val="2"/>
            <w:shd w:val="clear" w:color="auto" w:fill="D5EAEA"/>
          </w:tcPr>
          <w:p>
            <w:pPr>
              <w:jc w:val="right"/>
              <w:ind w:right="110"/>
              <w:spacing w:after="0"/>
              <w:rPr>
                <w:sz w:val="20"/>
                <w:szCs w:val="20"/>
                <w:color w:val="auto"/>
              </w:rPr>
            </w:pPr>
            <w:r>
              <w:rPr>
                <w:rFonts w:ascii="Arial" w:cs="Arial" w:eastAsia="Arial" w:hAnsi="Arial"/>
                <w:sz w:val="18"/>
                <w:szCs w:val="18"/>
                <w:color w:val="auto"/>
              </w:rPr>
              <w:t>0.137</w:t>
            </w:r>
          </w:p>
        </w:tc>
        <w:tc>
          <w:tcPr>
            <w:tcW w:w="900" w:type="dxa"/>
            <w:vAlign w:val="bottom"/>
            <w:gridSpan w:val="2"/>
            <w:shd w:val="clear" w:color="auto" w:fill="D5EAEA"/>
          </w:tcPr>
          <w:p>
            <w:pPr>
              <w:jc w:val="right"/>
              <w:ind w:right="110"/>
              <w:spacing w:after="0"/>
              <w:rPr>
                <w:sz w:val="20"/>
                <w:szCs w:val="20"/>
                <w:color w:val="auto"/>
              </w:rPr>
            </w:pPr>
            <w:r>
              <w:rPr>
                <w:rFonts w:ascii="Arial" w:cs="Arial" w:eastAsia="Arial" w:hAnsi="Arial"/>
                <w:sz w:val="18"/>
                <w:szCs w:val="18"/>
                <w:color w:val="auto"/>
              </w:rPr>
              <w:t>0.178</w:t>
            </w:r>
          </w:p>
        </w:tc>
        <w:tc>
          <w:tcPr>
            <w:tcW w:w="900" w:type="dxa"/>
            <w:vAlign w:val="bottom"/>
            <w:gridSpan w:val="2"/>
            <w:shd w:val="clear" w:color="auto" w:fill="D5EAEA"/>
          </w:tcPr>
          <w:p>
            <w:pPr>
              <w:jc w:val="right"/>
              <w:ind w:right="110"/>
              <w:spacing w:after="0"/>
              <w:rPr>
                <w:sz w:val="20"/>
                <w:szCs w:val="20"/>
                <w:color w:val="auto"/>
              </w:rPr>
            </w:pPr>
            <w:r>
              <w:rPr>
                <w:rFonts w:ascii="Arial" w:cs="Arial" w:eastAsia="Arial" w:hAnsi="Arial"/>
                <w:sz w:val="18"/>
                <w:szCs w:val="18"/>
                <w:color w:val="auto"/>
              </w:rPr>
              <w:t>0.219</w:t>
            </w:r>
          </w:p>
        </w:tc>
        <w:tc>
          <w:tcPr>
            <w:tcW w:w="900" w:type="dxa"/>
            <w:vAlign w:val="bottom"/>
            <w:gridSpan w:val="2"/>
            <w:shd w:val="clear" w:color="auto" w:fill="D5EAEA"/>
          </w:tcPr>
          <w:p>
            <w:pPr>
              <w:jc w:val="right"/>
              <w:ind w:right="110"/>
              <w:spacing w:after="0"/>
              <w:rPr>
                <w:sz w:val="20"/>
                <w:szCs w:val="20"/>
                <w:color w:val="auto"/>
              </w:rPr>
            </w:pPr>
            <w:r>
              <w:rPr>
                <w:rFonts w:ascii="Arial" w:cs="Arial" w:eastAsia="Arial" w:hAnsi="Arial"/>
                <w:sz w:val="18"/>
                <w:szCs w:val="18"/>
                <w:color w:val="auto"/>
              </w:rPr>
              <w:t>0.259</w:t>
            </w:r>
          </w:p>
        </w:tc>
        <w:tc>
          <w:tcPr>
            <w:tcW w:w="880" w:type="dxa"/>
            <w:vAlign w:val="bottom"/>
            <w:gridSpan w:val="2"/>
            <w:shd w:val="clear" w:color="auto" w:fill="D5EAEA"/>
          </w:tcPr>
          <w:p>
            <w:pPr>
              <w:jc w:val="right"/>
              <w:ind w:right="90"/>
              <w:spacing w:after="0"/>
              <w:rPr>
                <w:sz w:val="20"/>
                <w:szCs w:val="20"/>
                <w:color w:val="auto"/>
              </w:rPr>
            </w:pPr>
            <w:r>
              <w:rPr>
                <w:rFonts w:ascii="Arial" w:cs="Arial" w:eastAsia="Arial" w:hAnsi="Arial"/>
                <w:sz w:val="18"/>
                <w:szCs w:val="18"/>
                <w:color w:val="auto"/>
              </w:rPr>
              <w:t>0.296</w:t>
            </w:r>
          </w:p>
        </w:tc>
        <w:tc>
          <w:tcPr>
            <w:tcW w:w="900" w:type="dxa"/>
            <w:vAlign w:val="bottom"/>
            <w:gridSpan w:val="2"/>
            <w:shd w:val="clear" w:color="auto" w:fill="D5EAEA"/>
          </w:tcPr>
          <w:p>
            <w:pPr>
              <w:jc w:val="right"/>
              <w:ind w:right="110"/>
              <w:spacing w:after="0"/>
              <w:rPr>
                <w:sz w:val="20"/>
                <w:szCs w:val="20"/>
                <w:color w:val="auto"/>
              </w:rPr>
            </w:pPr>
            <w:r>
              <w:rPr>
                <w:rFonts w:ascii="Arial" w:cs="Arial" w:eastAsia="Arial" w:hAnsi="Arial"/>
                <w:sz w:val="18"/>
                <w:szCs w:val="18"/>
                <w:color w:val="auto"/>
              </w:rPr>
              <w:t>0.331</w:t>
            </w:r>
          </w:p>
        </w:tc>
        <w:tc>
          <w:tcPr>
            <w:tcW w:w="880" w:type="dxa"/>
            <w:vAlign w:val="bottom"/>
            <w:gridSpan w:val="2"/>
            <w:shd w:val="clear" w:color="auto" w:fill="D5EAEA"/>
          </w:tcPr>
          <w:p>
            <w:pPr>
              <w:jc w:val="center"/>
              <w:ind w:left="10"/>
              <w:spacing w:after="0"/>
              <w:rPr>
                <w:sz w:val="20"/>
                <w:szCs w:val="20"/>
                <w:color w:val="auto"/>
              </w:rPr>
            </w:pPr>
            <w:r>
              <w:rPr>
                <w:rFonts w:ascii="Arial" w:cs="Arial" w:eastAsia="Arial" w:hAnsi="Arial"/>
                <w:sz w:val="18"/>
                <w:szCs w:val="18"/>
                <w:color w:val="auto"/>
                <w:w w:val="93"/>
              </w:rPr>
              <w:t>0.361</w:t>
            </w:r>
          </w:p>
        </w:tc>
        <w:tc>
          <w:tcPr>
            <w:tcW w:w="100" w:type="dxa"/>
            <w:vAlign w:val="bottom"/>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gridSpan w:val="2"/>
          </w:tcPr>
          <w:p>
            <w:pPr>
              <w:spacing w:after="0"/>
              <w:rPr>
                <w:sz w:val="20"/>
                <w:szCs w:val="20"/>
                <w:color w:val="auto"/>
              </w:rPr>
            </w:pPr>
            <w:r>
              <w:rPr>
                <w:rFonts w:ascii="Arial" w:cs="Arial" w:eastAsia="Arial" w:hAnsi="Arial"/>
                <w:sz w:val="18"/>
                <w:szCs w:val="18"/>
                <w:color w:val="auto"/>
              </w:rPr>
              <w:t>3 months</w:t>
            </w:r>
          </w:p>
        </w:tc>
        <w:tc>
          <w:tcPr>
            <w:tcW w:w="800" w:type="dxa"/>
            <w:vAlign w:val="bottom"/>
          </w:tcPr>
          <w:p>
            <w:pPr>
              <w:jc w:val="center"/>
              <w:spacing w:after="0"/>
              <w:rPr>
                <w:sz w:val="20"/>
                <w:szCs w:val="20"/>
                <w:color w:val="auto"/>
              </w:rPr>
            </w:pPr>
            <w:r>
              <w:rPr>
                <w:rFonts w:ascii="Arial" w:cs="Arial" w:eastAsia="Arial" w:hAnsi="Arial"/>
                <w:sz w:val="18"/>
                <w:szCs w:val="18"/>
                <w:color w:val="auto"/>
                <w:w w:val="88"/>
              </w:rPr>
              <w:t>0.034</w:t>
            </w:r>
          </w:p>
        </w:tc>
        <w:tc>
          <w:tcPr>
            <w:tcW w:w="900" w:type="dxa"/>
            <w:vAlign w:val="bottom"/>
            <w:gridSpan w:val="2"/>
          </w:tcPr>
          <w:p>
            <w:pPr>
              <w:jc w:val="center"/>
              <w:ind w:left="10"/>
              <w:spacing w:after="0"/>
              <w:rPr>
                <w:sz w:val="20"/>
                <w:szCs w:val="20"/>
                <w:color w:val="auto"/>
              </w:rPr>
            </w:pPr>
            <w:r>
              <w:rPr>
                <w:rFonts w:ascii="Arial" w:cs="Arial" w:eastAsia="Arial" w:hAnsi="Arial"/>
                <w:sz w:val="18"/>
                <w:szCs w:val="18"/>
                <w:color w:val="auto"/>
                <w:w w:val="88"/>
              </w:rPr>
              <w:t>0.065</w:t>
            </w:r>
          </w:p>
        </w:tc>
        <w:tc>
          <w:tcPr>
            <w:tcW w:w="920" w:type="dxa"/>
            <w:vAlign w:val="bottom"/>
            <w:gridSpan w:val="2"/>
          </w:tcPr>
          <w:p>
            <w:pPr>
              <w:jc w:val="right"/>
              <w:ind w:right="110"/>
              <w:spacing w:after="0"/>
              <w:rPr>
                <w:sz w:val="20"/>
                <w:szCs w:val="20"/>
                <w:color w:val="auto"/>
              </w:rPr>
            </w:pPr>
            <w:r>
              <w:rPr>
                <w:rFonts w:ascii="Arial" w:cs="Arial" w:eastAsia="Arial" w:hAnsi="Arial"/>
                <w:sz w:val="18"/>
                <w:szCs w:val="18"/>
                <w:color w:val="auto"/>
              </w:rPr>
              <w:t>0.104</w:t>
            </w:r>
          </w:p>
        </w:tc>
        <w:tc>
          <w:tcPr>
            <w:tcW w:w="900" w:type="dxa"/>
            <w:vAlign w:val="bottom"/>
            <w:gridSpan w:val="2"/>
          </w:tcPr>
          <w:p>
            <w:pPr>
              <w:jc w:val="right"/>
              <w:ind w:right="110"/>
              <w:spacing w:after="0"/>
              <w:rPr>
                <w:sz w:val="20"/>
                <w:szCs w:val="20"/>
                <w:color w:val="auto"/>
              </w:rPr>
            </w:pPr>
            <w:r>
              <w:rPr>
                <w:rFonts w:ascii="Arial" w:cs="Arial" w:eastAsia="Arial" w:hAnsi="Arial"/>
                <w:sz w:val="18"/>
                <w:szCs w:val="18"/>
                <w:color w:val="auto"/>
              </w:rPr>
              <w:t>0.150</w:t>
            </w:r>
          </w:p>
        </w:tc>
        <w:tc>
          <w:tcPr>
            <w:tcW w:w="900" w:type="dxa"/>
            <w:vAlign w:val="bottom"/>
            <w:gridSpan w:val="2"/>
          </w:tcPr>
          <w:p>
            <w:pPr>
              <w:jc w:val="right"/>
              <w:ind w:right="110"/>
              <w:spacing w:after="0"/>
              <w:rPr>
                <w:sz w:val="20"/>
                <w:szCs w:val="20"/>
                <w:color w:val="auto"/>
              </w:rPr>
            </w:pPr>
            <w:r>
              <w:rPr>
                <w:rFonts w:ascii="Arial" w:cs="Arial" w:eastAsia="Arial" w:hAnsi="Arial"/>
                <w:sz w:val="18"/>
                <w:szCs w:val="18"/>
                <w:color w:val="auto"/>
              </w:rPr>
              <w:t>0.197</w:t>
            </w:r>
          </w:p>
        </w:tc>
        <w:tc>
          <w:tcPr>
            <w:tcW w:w="900" w:type="dxa"/>
            <w:vAlign w:val="bottom"/>
            <w:gridSpan w:val="2"/>
          </w:tcPr>
          <w:p>
            <w:pPr>
              <w:jc w:val="right"/>
              <w:ind w:right="110"/>
              <w:spacing w:after="0"/>
              <w:rPr>
                <w:sz w:val="20"/>
                <w:szCs w:val="20"/>
                <w:color w:val="auto"/>
              </w:rPr>
            </w:pPr>
            <w:r>
              <w:rPr>
                <w:rFonts w:ascii="Arial" w:cs="Arial" w:eastAsia="Arial" w:hAnsi="Arial"/>
                <w:sz w:val="18"/>
                <w:szCs w:val="18"/>
                <w:color w:val="auto"/>
              </w:rPr>
              <w:t>0.243</w:t>
            </w:r>
          </w:p>
        </w:tc>
        <w:tc>
          <w:tcPr>
            <w:tcW w:w="880" w:type="dxa"/>
            <w:vAlign w:val="bottom"/>
            <w:gridSpan w:val="2"/>
          </w:tcPr>
          <w:p>
            <w:pPr>
              <w:jc w:val="right"/>
              <w:ind w:right="90"/>
              <w:spacing w:after="0"/>
              <w:rPr>
                <w:sz w:val="20"/>
                <w:szCs w:val="20"/>
                <w:color w:val="auto"/>
              </w:rPr>
            </w:pPr>
            <w:r>
              <w:rPr>
                <w:rFonts w:ascii="Arial" w:cs="Arial" w:eastAsia="Arial" w:hAnsi="Arial"/>
                <w:sz w:val="18"/>
                <w:szCs w:val="18"/>
                <w:color w:val="auto"/>
              </w:rPr>
              <w:t>0.286</w:t>
            </w:r>
          </w:p>
        </w:tc>
        <w:tc>
          <w:tcPr>
            <w:tcW w:w="900" w:type="dxa"/>
            <w:vAlign w:val="bottom"/>
            <w:gridSpan w:val="2"/>
          </w:tcPr>
          <w:p>
            <w:pPr>
              <w:jc w:val="right"/>
              <w:ind w:right="110"/>
              <w:spacing w:after="0"/>
              <w:rPr>
                <w:sz w:val="20"/>
                <w:szCs w:val="20"/>
                <w:color w:val="auto"/>
              </w:rPr>
            </w:pPr>
            <w:r>
              <w:rPr>
                <w:rFonts w:ascii="Arial" w:cs="Arial" w:eastAsia="Arial" w:hAnsi="Arial"/>
                <w:sz w:val="18"/>
                <w:szCs w:val="18"/>
                <w:color w:val="auto"/>
              </w:rPr>
              <w:t>0.326</w:t>
            </w:r>
          </w:p>
        </w:tc>
        <w:tc>
          <w:tcPr>
            <w:tcW w:w="880" w:type="dxa"/>
            <w:vAlign w:val="bottom"/>
            <w:gridSpan w:val="2"/>
          </w:tcPr>
          <w:p>
            <w:pPr>
              <w:jc w:val="center"/>
              <w:ind w:left="10"/>
              <w:spacing w:after="0"/>
              <w:rPr>
                <w:sz w:val="20"/>
                <w:szCs w:val="20"/>
                <w:color w:val="auto"/>
              </w:rPr>
            </w:pPr>
            <w:r>
              <w:rPr>
                <w:rFonts w:ascii="Arial" w:cs="Arial" w:eastAsia="Arial" w:hAnsi="Arial"/>
                <w:sz w:val="18"/>
                <w:szCs w:val="18"/>
                <w:color w:val="auto"/>
                <w:w w:val="93"/>
              </w:rPr>
              <w:t>0.361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0 months</w:t>
            </w:r>
          </w:p>
        </w:tc>
        <w:tc>
          <w:tcPr>
            <w:tcW w:w="800" w:type="dxa"/>
            <w:vAlign w:val="bottom"/>
            <w:shd w:val="clear" w:color="auto" w:fill="D5EAEA"/>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D5EAEA"/>
          </w:tcPr>
          <w:p>
            <w:pPr>
              <w:spacing w:after="0"/>
              <w:rPr>
                <w:sz w:val="18"/>
                <w:szCs w:val="18"/>
                <w:color w:val="auto"/>
              </w:rPr>
            </w:pPr>
          </w:p>
        </w:tc>
        <w:tc>
          <w:tcPr>
            <w:tcW w:w="800" w:type="dxa"/>
            <w:vAlign w:val="bottom"/>
            <w:shd w:val="clear" w:color="auto" w:fill="D5EAEA"/>
          </w:tcPr>
          <w:p>
            <w:pPr>
              <w:jc w:val="center"/>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D5EAEA"/>
          </w:tcPr>
          <w:p>
            <w:pPr>
              <w:jc w:val="right"/>
              <w:ind w:right="110"/>
              <w:spacing w:after="0"/>
              <w:rPr>
                <w:sz w:val="20"/>
                <w:szCs w:val="20"/>
                <w:color w:val="auto"/>
              </w:rPr>
            </w:pPr>
            <w:r>
              <w:rPr>
                <w:rFonts w:ascii="Arial" w:cs="Arial" w:eastAsia="Arial" w:hAnsi="Arial"/>
                <w:sz w:val="18"/>
                <w:szCs w:val="18"/>
                <w:color w:val="auto"/>
              </w:rPr>
              <w:t>0.042</w:t>
            </w:r>
          </w:p>
        </w:tc>
        <w:tc>
          <w:tcPr>
            <w:tcW w:w="900" w:type="dxa"/>
            <w:vAlign w:val="bottom"/>
            <w:gridSpan w:val="2"/>
            <w:shd w:val="clear" w:color="auto" w:fill="D5EAEA"/>
          </w:tcPr>
          <w:p>
            <w:pPr>
              <w:jc w:val="right"/>
              <w:ind w:right="110"/>
              <w:spacing w:after="0"/>
              <w:rPr>
                <w:sz w:val="20"/>
                <w:szCs w:val="20"/>
                <w:color w:val="auto"/>
              </w:rPr>
            </w:pPr>
            <w:r>
              <w:rPr>
                <w:rFonts w:ascii="Arial" w:cs="Arial" w:eastAsia="Arial" w:hAnsi="Arial"/>
                <w:sz w:val="18"/>
                <w:szCs w:val="18"/>
                <w:color w:val="auto"/>
              </w:rPr>
              <w:t>0.115</w:t>
            </w:r>
          </w:p>
        </w:tc>
        <w:tc>
          <w:tcPr>
            <w:tcW w:w="900" w:type="dxa"/>
            <w:vAlign w:val="bottom"/>
            <w:gridSpan w:val="2"/>
            <w:shd w:val="clear" w:color="auto" w:fill="D5EAEA"/>
          </w:tcPr>
          <w:p>
            <w:pPr>
              <w:jc w:val="right"/>
              <w:ind w:right="110"/>
              <w:spacing w:after="0"/>
              <w:rPr>
                <w:sz w:val="20"/>
                <w:szCs w:val="20"/>
                <w:color w:val="auto"/>
              </w:rPr>
            </w:pPr>
            <w:r>
              <w:rPr>
                <w:rFonts w:ascii="Arial" w:cs="Arial" w:eastAsia="Arial" w:hAnsi="Arial"/>
                <w:sz w:val="18"/>
                <w:szCs w:val="18"/>
                <w:color w:val="auto"/>
              </w:rPr>
              <w:t>0.179</w:t>
            </w:r>
          </w:p>
        </w:tc>
        <w:tc>
          <w:tcPr>
            <w:tcW w:w="900" w:type="dxa"/>
            <w:vAlign w:val="bottom"/>
            <w:gridSpan w:val="2"/>
            <w:shd w:val="clear" w:color="auto" w:fill="D5EAEA"/>
          </w:tcPr>
          <w:p>
            <w:pPr>
              <w:jc w:val="right"/>
              <w:ind w:right="110"/>
              <w:spacing w:after="0"/>
              <w:rPr>
                <w:sz w:val="20"/>
                <w:szCs w:val="20"/>
                <w:color w:val="auto"/>
              </w:rPr>
            </w:pPr>
            <w:r>
              <w:rPr>
                <w:rFonts w:ascii="Arial" w:cs="Arial" w:eastAsia="Arial" w:hAnsi="Arial"/>
                <w:sz w:val="18"/>
                <w:szCs w:val="18"/>
                <w:color w:val="auto"/>
              </w:rPr>
              <w:t>0.233</w:t>
            </w:r>
          </w:p>
        </w:tc>
        <w:tc>
          <w:tcPr>
            <w:tcW w:w="880" w:type="dxa"/>
            <w:vAlign w:val="bottom"/>
            <w:gridSpan w:val="2"/>
            <w:shd w:val="clear" w:color="auto" w:fill="D5EAEA"/>
          </w:tcPr>
          <w:p>
            <w:pPr>
              <w:jc w:val="right"/>
              <w:ind w:right="90"/>
              <w:spacing w:after="0"/>
              <w:rPr>
                <w:sz w:val="20"/>
                <w:szCs w:val="20"/>
                <w:color w:val="auto"/>
              </w:rPr>
            </w:pPr>
            <w:r>
              <w:rPr>
                <w:rFonts w:ascii="Arial" w:cs="Arial" w:eastAsia="Arial" w:hAnsi="Arial"/>
                <w:sz w:val="18"/>
                <w:szCs w:val="18"/>
                <w:color w:val="auto"/>
              </w:rPr>
              <w:t>0.281</w:t>
            </w:r>
          </w:p>
        </w:tc>
        <w:tc>
          <w:tcPr>
            <w:tcW w:w="900" w:type="dxa"/>
            <w:vAlign w:val="bottom"/>
            <w:gridSpan w:val="2"/>
            <w:shd w:val="clear" w:color="auto" w:fill="D5EAEA"/>
          </w:tcPr>
          <w:p>
            <w:pPr>
              <w:jc w:val="right"/>
              <w:ind w:right="110"/>
              <w:spacing w:after="0"/>
              <w:rPr>
                <w:sz w:val="20"/>
                <w:szCs w:val="20"/>
                <w:color w:val="auto"/>
              </w:rPr>
            </w:pPr>
            <w:r>
              <w:rPr>
                <w:rFonts w:ascii="Arial" w:cs="Arial" w:eastAsia="Arial" w:hAnsi="Arial"/>
                <w:sz w:val="18"/>
                <w:szCs w:val="18"/>
                <w:color w:val="auto"/>
              </w:rPr>
              <w:t>0.323</w:t>
            </w:r>
          </w:p>
        </w:tc>
        <w:tc>
          <w:tcPr>
            <w:tcW w:w="880" w:type="dxa"/>
            <w:vAlign w:val="bottom"/>
            <w:gridSpan w:val="2"/>
            <w:shd w:val="clear" w:color="auto" w:fill="D5EAEA"/>
          </w:tcPr>
          <w:p>
            <w:pPr>
              <w:jc w:val="center"/>
              <w:ind w:left="10"/>
              <w:spacing w:after="0"/>
              <w:rPr>
                <w:sz w:val="20"/>
                <w:szCs w:val="20"/>
                <w:color w:val="auto"/>
              </w:rPr>
            </w:pPr>
            <w:r>
              <w:rPr>
                <w:rFonts w:ascii="Arial" w:cs="Arial" w:eastAsia="Arial" w:hAnsi="Arial"/>
                <w:sz w:val="18"/>
                <w:szCs w:val="18"/>
                <w:color w:val="auto"/>
                <w:w w:val="93"/>
              </w:rPr>
              <w:t>0.361</w:t>
            </w:r>
          </w:p>
        </w:tc>
        <w:tc>
          <w:tcPr>
            <w:tcW w:w="100" w:type="dxa"/>
            <w:vAlign w:val="bottom"/>
            <w:shd w:val="clear" w:color="auto" w:fill="D5EAEA"/>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20" w:firstLine="324"/>
        <w:spacing w:after="0" w:line="272" w:lineRule="auto"/>
        <w:rPr>
          <w:sz w:val="20"/>
          <w:szCs w:val="20"/>
          <w:color w:val="auto"/>
        </w:rPr>
      </w:pPr>
      <w:r>
        <w:rPr>
          <w:rFonts w:ascii="Arial" w:cs="Arial" w:eastAsia="Arial" w:hAnsi="Arial"/>
          <w:sz w:val="17"/>
          <w:szCs w:val="17"/>
          <w:color w:val="auto"/>
        </w:rPr>
        <w:t>The exact fair market value and redemption date may not be set forth in the table above, in which case, if the fair market value is between two values in the table or the redemption date is between two redemption dates in the table, the number of Class A ordinary shares to be issued for each warrant exercised will be determined by a straight-line interpolation between the number of shares set forth for the higher and lower fair market values and the earlier and later redemption dates, as applicable, based on a 365 or 366-day year, as applicable. For example, if the volume-weighted average price of our Class A ordinary shares during the 10 trading days immediately following the date on which the notice of redemption is sent to the holders of the warrants is $11.00 per share, and at such time there are 57 months until the expiration of the warrants, holders may choose to, in connection with this redemption feature, exercise their warrants for 0.277 Class A ordinary shares for each whole warrant.</w:t>
      </w:r>
    </w:p>
    <w:p>
      <w:pPr>
        <w:spacing w:after="0" w:line="177" w:lineRule="exact"/>
        <w:rPr>
          <w:sz w:val="20"/>
          <w:szCs w:val="20"/>
          <w:color w:val="auto"/>
        </w:rPr>
      </w:pPr>
    </w:p>
    <w:p>
      <w:pPr>
        <w:ind w:right="160" w:firstLine="324"/>
        <w:spacing w:after="0" w:line="296" w:lineRule="auto"/>
        <w:rPr>
          <w:sz w:val="20"/>
          <w:szCs w:val="20"/>
          <w:color w:val="auto"/>
        </w:rPr>
      </w:pPr>
      <w:r>
        <w:rPr>
          <w:rFonts w:ascii="Arial" w:cs="Arial" w:eastAsia="Arial" w:hAnsi="Arial"/>
          <w:sz w:val="16"/>
          <w:szCs w:val="16"/>
          <w:color w:val="auto"/>
        </w:rPr>
        <w:t>For an example where the exact fair market value and redemption date are not as set forth in the table above, if the volume-weighted average price of our Class A ordinary shares during the 10 trading days immediately following the date on which the notice of redemption is sent to the holders of the warrants is $13.50 per share, and at such time there are 38 months until the expiration of the warrants, holders may choose to, in connection with this redemption feature, exercise their warrants for 0.298 Class A ordinary shares for each whole warrant. In no event will the warrants be exercisable in connection with this redemption feature for more than 0.361 Class A ordinary shares per warrant (subject to adjustment).</w:t>
      </w:r>
    </w:p>
    <w:p>
      <w:pPr>
        <w:spacing w:after="0" w:line="161" w:lineRule="exact"/>
        <w:rPr>
          <w:sz w:val="20"/>
          <w:szCs w:val="20"/>
          <w:color w:val="auto"/>
        </w:rPr>
      </w:pPr>
    </w:p>
    <w:p>
      <w:pPr>
        <w:ind w:right="60" w:firstLine="324"/>
        <w:spacing w:after="0" w:line="287" w:lineRule="auto"/>
        <w:rPr>
          <w:sz w:val="20"/>
          <w:szCs w:val="20"/>
          <w:color w:val="auto"/>
        </w:rPr>
      </w:pPr>
      <w:r>
        <w:rPr>
          <w:rFonts w:ascii="Arial" w:cs="Arial" w:eastAsia="Arial" w:hAnsi="Arial"/>
          <w:sz w:val="16"/>
          <w:szCs w:val="16"/>
          <w:color w:val="auto"/>
        </w:rPr>
        <w:t>This redemption feature is structured to allow for all of the outstanding warrants to be redeemed when the Class A ordinary shares are trading at or above $10.00 per share, which may be at a time when the trading price of our Class A ordinary shares is below the exercise price of the warrants. We have established this redemption feature to provide us with the flexibility to redeem the warrants without the warrants having to reach the $18.00 per share threshold set forth above under “—Redemption of Warrants When the Price per Class A Ordinary Share Equals or Exceeds $18.00.” Holders choosing to exercise their warrants in connection with a redemption pursuant to this feature will, in effect, receive a number of shares for their warrants based on an option pricing model with a fixed volatility input as of the date of this prospectus. This redemption right provides us with an additional mechanism by which to redeem all of the outstanding warrants, and therefore have certainty as to our capital structure as the warrants would no longer be outstanding and would have been exercised or redeemed. We will be required to pay the applicable redemption price to warrant holders if we choose to exercise this redemption right and it will allow us to quickly proceed with a redemption of the warrants if we determine it is in our best interest to do so. As such, we would redeem the warrants in this manner when we believe it is in our best interest to update our capital structure to remove the warrants and pay the redemption price to the warrant holders. As stated above, we can redeem the warrants when the Class A ordinary shares are trading at a price starting at $10.00, which is below the exercise price of $11.50, because it will provide certainty with respect to our capital structure and cash position while providing</w:t>
      </w:r>
    </w:p>
    <w:p>
      <w:pPr>
        <w:spacing w:after="0" w:line="27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37" w:name="page138"/>
    <w:bookmarkEnd w:id="137"/>
    <w:p>
      <w:pPr>
        <w:ind w:right="60"/>
        <w:spacing w:after="0" w:line="259" w:lineRule="auto"/>
        <w:rPr>
          <w:sz w:val="20"/>
          <w:szCs w:val="20"/>
          <w:color w:val="auto"/>
        </w:rPr>
      </w:pPr>
      <w:r>
        <w:rPr>
          <w:rFonts w:ascii="Arial" w:cs="Arial" w:eastAsia="Arial" w:hAnsi="Arial"/>
          <w:sz w:val="18"/>
          <w:szCs w:val="18"/>
          <w:color w:val="auto"/>
        </w:rPr>
        <w:t>warrant holders with the opportunity to exercise their warrants on a cashless basis for the applicable number of shares. If we choose to redeem the warrants when the Class A ordinary shares are trading at a price below the exercise price of the warrants, this could result in the warrant holders receiving fewer Class A ordinary shares than they would have received if they had chosen to wait to exercise their warrants for Class A ordinary shares if and when such Class A ordinary shares were trading at a price higher than the exercise price of $11.50.</w:t>
      </w:r>
    </w:p>
    <w:p>
      <w:pPr>
        <w:spacing w:after="0" w:line="187"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No fractional Class A ordinary shares will be issued upon exercise. If, upon exercise, a holder would be entitled to receive a fractional interest in a share, we will round down to the nearest whole number of the number of Class A ordinary shares to be issued to the holder. If, at the time of redemption, the warrants are exercisable for a security other than the Class A ordinary shares pursuant to the warrant agreement (for instance, if we are not the surviving company in our initial business combination), the warrants may be exercised for such security. At such time as the warrants become exercisable for a security other than the Class A ordinary shares, the Company (or surviving company) will use its commercially reasonable efforts to register under the Securities Act the security issuable upon the exercise of the warrants.</w:t>
      </w:r>
    </w:p>
    <w:p>
      <w:pPr>
        <w:spacing w:after="0" w:line="192" w:lineRule="exact"/>
        <w:rPr>
          <w:sz w:val="20"/>
          <w:szCs w:val="20"/>
          <w:color w:val="auto"/>
        </w:rPr>
      </w:pPr>
    </w:p>
    <w:p>
      <w:pPr>
        <w:ind w:right="300" w:firstLine="324"/>
        <w:spacing w:after="0" w:line="259" w:lineRule="auto"/>
        <w:rPr>
          <w:sz w:val="20"/>
          <w:szCs w:val="20"/>
          <w:color w:val="auto"/>
        </w:rPr>
      </w:pPr>
      <w:r>
        <w:rPr>
          <w:rFonts w:ascii="Arial" w:cs="Arial" w:eastAsia="Arial" w:hAnsi="Arial"/>
          <w:sz w:val="18"/>
          <w:szCs w:val="18"/>
          <w:i w:val="1"/>
          <w:iCs w:val="1"/>
          <w:color w:val="auto"/>
        </w:rPr>
        <w:t>Redemption Procedures</w:t>
      </w:r>
      <w:r>
        <w:rPr>
          <w:rFonts w:ascii="Arial" w:cs="Arial" w:eastAsia="Arial" w:hAnsi="Arial"/>
          <w:sz w:val="18"/>
          <w:szCs w:val="18"/>
          <w:color w:val="auto"/>
        </w:rPr>
        <w:t>. A holder of a warrant may notify us in writing in the event it elects to be subject to a requirement that such holder will not</w:t>
      </w:r>
      <w:r>
        <w:rPr>
          <w:rFonts w:ascii="Arial" w:cs="Arial" w:eastAsia="Arial" w:hAnsi="Arial"/>
          <w:sz w:val="18"/>
          <w:szCs w:val="18"/>
          <w:i w:val="1"/>
          <w:iCs w:val="1"/>
          <w:color w:val="auto"/>
        </w:rPr>
        <w:t xml:space="preserve"> </w:t>
      </w:r>
      <w:r>
        <w:rPr>
          <w:rFonts w:ascii="Arial" w:cs="Arial" w:eastAsia="Arial" w:hAnsi="Arial"/>
          <w:sz w:val="18"/>
          <w:szCs w:val="18"/>
          <w:color w:val="auto"/>
        </w:rPr>
        <w:t>have the right to exercise such warrant, to the extent that after giving effect to such exercise, such person (together with such person’s affiliates), to the warrant agent’s actual knowledge, would beneficially own in excess of 4.9% or 9.8% (as specified by the holder) of the Class A ordinary shares outstanding immediately after giving effect to such exercise.</w:t>
      </w:r>
    </w:p>
    <w:p>
      <w:pPr>
        <w:spacing w:after="0" w:line="187"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i w:val="1"/>
          <w:iCs w:val="1"/>
          <w:color w:val="auto"/>
        </w:rPr>
        <w:t xml:space="preserve">Anti-dilution Adjustments. </w:t>
      </w:r>
      <w:r>
        <w:rPr>
          <w:rFonts w:ascii="Arial" w:cs="Arial" w:eastAsia="Arial" w:hAnsi="Arial"/>
          <w:sz w:val="17"/>
          <w:szCs w:val="17"/>
          <w:color w:val="auto"/>
        </w:rPr>
        <w:t>If the number of outstanding Class A ordinary shares is increased by a share capitalization payable in Class A ordinary</w:t>
      </w:r>
      <w:r>
        <w:rPr>
          <w:rFonts w:ascii="Arial" w:cs="Arial" w:eastAsia="Arial" w:hAnsi="Arial"/>
          <w:sz w:val="17"/>
          <w:szCs w:val="17"/>
          <w:i w:val="1"/>
          <w:iCs w:val="1"/>
          <w:color w:val="auto"/>
        </w:rPr>
        <w:t xml:space="preserve"> </w:t>
      </w:r>
      <w:r>
        <w:rPr>
          <w:rFonts w:ascii="Arial" w:cs="Arial" w:eastAsia="Arial" w:hAnsi="Arial"/>
          <w:sz w:val="17"/>
          <w:szCs w:val="17"/>
          <w:color w:val="auto"/>
        </w:rPr>
        <w:t>shares, or by a split-up of ordinary shares or other similar event, then, on the effective date of such share capitalization, split-up or similar event, the number of Class A ordinary shares issuable on exercise of each warrant will be increased in proportion to such increase in the outstanding ordinary shares. A rights offering to holders of ordinary shares entitling holders to purchase Class A ordinary shares at a price less than the “historical fair market value” (as defined below) will be deemed a share capitalization of a number of Class A ordinary shares equal to the product of (i) the number of Class A ordinary shares actually sold in such rights offering (or issuable under any other equity securities sold in such rights offering that are convertible into or exercisable for Class A ordinary shares) and (ii) one minus the quotient of (x) the price per Class A ordinary share paid in such rights offering and (y) the historical fair market value. For these purposes (i) if the rights offering is for securities convertible into or exercisable for Class A ordinary shares, in determining the price payable for Class A ordinary shares, there will be taken into account any consideration received for such rights, as well as any additional amount payable upon exercise or conversion and (ii) “historical fair market value” means the volume weighted average price of Class A ordinary shares as reported during the ten (10) trading day period ending on the trading day prior to the first date on which the Class A ordinary shares trade on the applicable exchange or in the applicable market, regular way, without the right to receive such rights.</w:t>
      </w:r>
    </w:p>
    <w:p>
      <w:pPr>
        <w:spacing w:after="0" w:line="179"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In addition, if we, at any time while the warrants are outstanding and unexpired, pay a dividend or make a distribution in cash, securities or other assets to the holders of Class A ordinary shares on account of such Class A ordinary shares (or other securities into which the warrants are convertible), other than</w:t>
      </w:r>
    </w:p>
    <w:p>
      <w:pPr>
        <w:ind w:right="20" w:firstLine="8"/>
        <w:spacing w:after="0" w:line="287" w:lineRule="auto"/>
        <w:tabs>
          <w:tab w:leader="none" w:pos="245" w:val="left"/>
        </w:tabs>
        <w:numPr>
          <w:ilvl w:val="0"/>
          <w:numId w:val="57"/>
        </w:numPr>
        <w:rPr>
          <w:rFonts w:ascii="Arial" w:cs="Arial" w:eastAsia="Arial" w:hAnsi="Arial"/>
          <w:sz w:val="16"/>
          <w:szCs w:val="16"/>
          <w:color w:val="auto"/>
        </w:rPr>
      </w:pPr>
      <w:r>
        <w:rPr>
          <w:rFonts w:ascii="Arial" w:cs="Arial" w:eastAsia="Arial" w:hAnsi="Arial"/>
          <w:sz w:val="16"/>
          <w:szCs w:val="16"/>
          <w:color w:val="auto"/>
        </w:rPr>
        <w:t>as described above, (b) any cash dividends or cash distributions which, when combined on a per share basis with all other cash dividends and cash distributions paid on the Class A ordinary shares during the 365-day period ending on the date of declaration of such dividend or distribution does not exceed $0.50 (as adjusted for share sub-divisions, share dividends, rights issuances, consolidations, reorganizations, recapitalizations and other similar transactions) but only with respect to the amount of the aggregate cash dividends or cash distributions equal to or less than $0.50 per share, (c) to satisfy the redemption rights of the holders of Class A ordinary shares in connection with a proposed initial business combination or certain amendments to our amended and restated memorandum and articles of association, or (d) in connection with the redemption of our public shares upon our failure to complete our initial business combination, then the warrant exercise price will be decreased, effective immediately after the effective date of such event, by the amount of cash and/or the fair market value of any securities or other assets paid on each Class A ordinary share in respect of such event.</w:t>
      </w:r>
    </w:p>
    <w:p>
      <w:pPr>
        <w:spacing w:after="0" w:line="170" w:lineRule="exact"/>
        <w:rPr>
          <w:sz w:val="20"/>
          <w:szCs w:val="20"/>
          <w:color w:val="auto"/>
        </w:rPr>
      </w:pPr>
    </w:p>
    <w:p>
      <w:pPr>
        <w:ind w:right="220" w:firstLine="324"/>
        <w:spacing w:after="0" w:line="259" w:lineRule="auto"/>
        <w:rPr>
          <w:sz w:val="20"/>
          <w:szCs w:val="20"/>
          <w:color w:val="auto"/>
        </w:rPr>
      </w:pPr>
      <w:r>
        <w:rPr>
          <w:rFonts w:ascii="Arial" w:cs="Arial" w:eastAsia="Arial" w:hAnsi="Arial"/>
          <w:sz w:val="18"/>
          <w:szCs w:val="18"/>
          <w:color w:val="auto"/>
        </w:rPr>
        <w:t>If the number of outstanding Class A ordinary shares is decreased by a consolidation, combination, reverse share split or reclassification of Class A ordinary shares or other similar event, then, on the effective date of such consolidation, combination, reverse share split, reclassification or similar event, the number of Class A ordinary shares issuable on exercise of each warrant will be decreased in proportion to such decrease in outstanding Class A ordinary shares.</w:t>
      </w:r>
    </w:p>
    <w:p>
      <w:pPr>
        <w:spacing w:after="0" w:line="29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38" w:name="page139"/>
    <w:bookmarkEnd w:id="138"/>
    <w:p>
      <w:pPr>
        <w:jc w:val="both"/>
        <w:ind w:right="160" w:firstLine="324"/>
        <w:spacing w:after="0" w:line="259" w:lineRule="auto"/>
        <w:rPr>
          <w:sz w:val="20"/>
          <w:szCs w:val="20"/>
          <w:color w:val="auto"/>
        </w:rPr>
      </w:pPr>
      <w:r>
        <w:rPr>
          <w:rFonts w:ascii="Arial" w:cs="Arial" w:eastAsia="Arial" w:hAnsi="Arial"/>
          <w:sz w:val="18"/>
          <w:szCs w:val="18"/>
          <w:color w:val="auto"/>
        </w:rPr>
        <w:t>Whenever the number of Class A ordinary shares purchasable upon the exercise of the warrants is adjusted, as described above, the warrant exercise price will be adjusted by multiplying the warrant exercise price immediately prior to such adjustment by a fraction (x) the numerator of which will be the number of Class A ordinary shares purchasable upon the exercise of the warrants immediately prior to such adjustment, and (y) the denominator of which will be the number of Class A ordinary shares so purchasable immediately thereafter.</w:t>
      </w:r>
    </w:p>
    <w:p>
      <w:pPr>
        <w:spacing w:after="0" w:line="187" w:lineRule="exact"/>
        <w:rPr>
          <w:sz w:val="20"/>
          <w:szCs w:val="20"/>
          <w:color w:val="auto"/>
        </w:rPr>
      </w:pPr>
    </w:p>
    <w:p>
      <w:pPr>
        <w:ind w:right="140" w:firstLine="324"/>
        <w:spacing w:after="0" w:line="269" w:lineRule="auto"/>
        <w:rPr>
          <w:sz w:val="20"/>
          <w:szCs w:val="20"/>
          <w:color w:val="auto"/>
        </w:rPr>
      </w:pPr>
      <w:r>
        <w:rPr>
          <w:rFonts w:ascii="Arial" w:cs="Arial" w:eastAsia="Arial" w:hAnsi="Arial"/>
          <w:sz w:val="17"/>
          <w:szCs w:val="17"/>
          <w:color w:val="auto"/>
        </w:rPr>
        <w:t>In addition, if (x) we issue additional Class A ordinary shares or equity-linked securities for capital raising purposes in connection with the closing of our initial business combination at an issue price or effective issue price of less than $9.20 per Class A ordinary share (with such issue price or effective issue price to be determined in good faith by our board of directors and, in the case of any such issuance to our initial shareholders or their affiliates, without taking into account any founder shares held by our initial shareholders or such affiliates, as applicable, prior to such issuance) (the “Newly Issued Price”), (y) the aggregate gross proceeds from such issuances represent more than 60% of the total equity proceeds, and interest thereon, available for the funding of our initial business combination (net of redemptions), and (z) the volume-weighted average trading price of our Class A ordinary shares during the 20 trading day period starting on the trading day prior to the day on which we consummate our initial business combination (such price, the “Market Value”) is below $9.20 per share, then the exercise price of the warrants will be adjusted (to the nearest cent) to be equal to 115% of the higher of the Market Value and the Newly Issued Price, and the $10.00 and $18.00 per share redemption trigger prices described above under “—Redemption of warrants when the price per Class A ordinary share equals or exceeds $10.00” and “—Redemption of warrants when the price per Class A ordinary share equals or exceeds $18.00” will be adjusted (to the nearest cent) to be equal to 100% and 180% of the higher of the Market Value and the Newly Issued Price, respectively.</w:t>
      </w:r>
    </w:p>
    <w:p>
      <w:pPr>
        <w:spacing w:after="0" w:line="179" w:lineRule="exact"/>
        <w:rPr>
          <w:sz w:val="20"/>
          <w:szCs w:val="20"/>
          <w:color w:val="auto"/>
        </w:rPr>
      </w:pPr>
    </w:p>
    <w:p>
      <w:pPr>
        <w:ind w:firstLine="324"/>
        <w:spacing w:after="0" w:line="284" w:lineRule="auto"/>
        <w:rPr>
          <w:sz w:val="20"/>
          <w:szCs w:val="20"/>
          <w:color w:val="auto"/>
        </w:rPr>
      </w:pPr>
      <w:r>
        <w:rPr>
          <w:rFonts w:ascii="Arial" w:cs="Arial" w:eastAsia="Arial" w:hAnsi="Arial"/>
          <w:sz w:val="16"/>
          <w:szCs w:val="16"/>
          <w:color w:val="auto"/>
        </w:rPr>
        <w:t>In case of any reclassification or reorganization of the outstanding Class A ordinary shares (other than those described above or that solely affects the par value of such Class A ordinary shares), or in the case of any merger or consolidation of us with or into another corporation (other than a consolidation or merger in which we are the continuing corporation and that does not result in any reclassification or reorganization of our issued and outstanding Class A ordinary shares), or in the case of any sale or conveyance to another corporation or entity of the assets or other property of us as an entirety or substantially as an entirety in connection with which we are dissolved, the holders of the warrants will thereafter have the right to purchase and receive, upon the basis and upon the terms and conditions specified in the warrants and in lieu of the Class A ordinary shares immediately theretofore purchasable and receivable upon the exercise of the rights represented thereby, the kind and amount of Class A ordinary shares or other securities or property (including cash) receivable upon such reclassification, reorganization, merger or consolidation, or upon a dissolution following any such sale or transfer, that the holder of the warrants would have received if such holder had exercised their warrants immediately prior to such event. However, if such holders were entitled to exercise a right of election as to the kind or amount of securities, cash or other assets receivable upon such merger or consolidation, then the kind and amount of securities, cash or other assets for which each warrant will become exercisable will be deemed to be the weighted average of the kind and amount received per share by such holders in such merger or consolidation that affirmatively make such election, and if a tender, exchange or redemption offer has been made to and accepted by such holders (other than a tender, exchange or redemption offer made by the company in connection with redemption rights held by shareholders of the company as provided for in the company’s amended and restated memorandum and articles of association or as a result of the redemption of Class A ordinary shares by the company if a proposed initial business combination is presented to the shareholders of the company for approval) under circumstances in which, upon completion of such tender or exchange offer, the maker thereof, together with members of any group (within the meaning of Rule 13d-5(b)(1) under the Exchange Act) of which such maker is a part, and together with any affiliate or associate of such maker (within the meaning of Rule 12b-2 under the Exchange Act) and any members of any such group of which any such affiliate or associate is a part, own beneficially (within the meaning of Rule 13d-3 under the Exchange Act) more than 50% of the issued and outstanding Class A ordinary shares, the holder of a warrant will be entitled to receive the highest amount of cash, securities or other property to which such holder would actually have been entitled as a shareholder if such warrant holder had exercised the warrant prior to the expiration of such tender or exchange offer, accepted such offer and all of the Class A ordinary shares held by such holder had been purchased pursuant to such tender or exchange offer, subject to adjustment (from and after the consummation of such tender or exchange offer) as nearly equivalent as possible to the adjustments provided for in the warrant agreement. Additionally, if less than 70% of the consideration receivable by the holders of Class A ordinary shares in such a transaction is payable in the form of Class A ordinary shares in the successor entity that is listed for trading on a national securities exchange or is quoted in an established over-the-counter market, or is to be so listed for trading or quoted immediately following such event, and if the registered holder of the warrant properly exercises the warrant within thirty days following public disclosure of such transaction, the warrant exercise price will be reduced as specified in the warrant</w:t>
      </w:r>
    </w:p>
    <w:p>
      <w:pPr>
        <w:spacing w:after="0" w:line="27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39" w:name="page140"/>
    <w:bookmarkEnd w:id="139"/>
    <w:p>
      <w:pPr>
        <w:jc w:val="both"/>
        <w:ind w:right="20"/>
        <w:spacing w:after="0" w:line="263" w:lineRule="auto"/>
        <w:rPr>
          <w:sz w:val="20"/>
          <w:szCs w:val="20"/>
          <w:color w:val="auto"/>
        </w:rPr>
      </w:pPr>
      <w:r>
        <w:rPr>
          <w:rFonts w:ascii="Arial" w:cs="Arial" w:eastAsia="Arial" w:hAnsi="Arial"/>
          <w:sz w:val="18"/>
          <w:szCs w:val="18"/>
          <w:color w:val="auto"/>
        </w:rPr>
        <w:t>agreement based on the Black-Scholes Warrant Value (as defined in the warrant agreement) of the warrant. The purpose of such exercise price reduction is to provide additional value to holders of the warrants when an extraordinary transaction occurs during the exercise period of the warrants pursuant to which the holders of the warrants otherwise do not receive the full potential value of the warrants.</w:t>
      </w:r>
    </w:p>
    <w:p>
      <w:pPr>
        <w:spacing w:after="0" w:line="184"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The warrants will be issued in registered form under a warrant agreement between Continental Stock Transfer &amp; Trust Company, as warrant agent, and us. The warrant agreement provides that the terms of the warrants may be amended without the consent of any holder for the purpose of curing any ambiguity, or curing, correcting or supplementing any defective provision contained in the warrant agreement or adding or changing any other provisions with respect to matters or questions arising under such agreement as the warrant agent and us may deem necessary or desirable and that the warrant agent and us deem shall not adversely affect the interest of the holders, but requires the approval by the holders of at least 65% of the then outstanding public warrants to make any change that adversely affects the interests of the registered holders. You should review a copy of the warrant agreement, which will be filed as an exhibit to the registration statement of which this prospectus is a part, for a complete description of the terms and conditions applicable to the warrants.</w:t>
      </w:r>
    </w:p>
    <w:p>
      <w:pPr>
        <w:spacing w:after="0" w:line="192" w:lineRule="exact"/>
        <w:rPr>
          <w:sz w:val="20"/>
          <w:szCs w:val="20"/>
          <w:color w:val="auto"/>
        </w:rPr>
      </w:pPr>
    </w:p>
    <w:p>
      <w:pPr>
        <w:ind w:right="300" w:firstLine="324"/>
        <w:spacing w:after="0" w:line="263" w:lineRule="auto"/>
        <w:rPr>
          <w:sz w:val="20"/>
          <w:szCs w:val="20"/>
          <w:color w:val="auto"/>
        </w:rPr>
      </w:pPr>
      <w:r>
        <w:rPr>
          <w:rFonts w:ascii="Arial" w:cs="Arial" w:eastAsia="Arial" w:hAnsi="Arial"/>
          <w:sz w:val="18"/>
          <w:szCs w:val="18"/>
          <w:color w:val="auto"/>
        </w:rPr>
        <w:t>The warrant holders do not have the rights or privileges of holders of ordinary shares and any voting rights until they exercise their warrants and receive Class A ordinary shares. After the issuance of Class A ordinary shares upon exercise of the warrants, each holder will be entitled to one vote for each share held of record on all matters to be voted on by shareholders.</w:t>
      </w:r>
    </w:p>
    <w:p>
      <w:pPr>
        <w:spacing w:after="0" w:line="18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No fractional warrants will be issued upon separation of the units and only whole warrants will trade. No fractional shares will be issued upon exercise of the warrants. If, upon exercise of the warrants, a holder would be entitled to receive a fractional interest in a share, we will, upon exercise, round down to the nearest whole number, the number of Class A ordinary shares to be issued to the warrant holder.</w:t>
      </w:r>
    </w:p>
    <w:p>
      <w:pPr>
        <w:spacing w:after="0" w:line="184" w:lineRule="exact"/>
        <w:rPr>
          <w:sz w:val="20"/>
          <w:szCs w:val="20"/>
          <w:color w:val="auto"/>
        </w:rPr>
      </w:pPr>
    </w:p>
    <w:p>
      <w:pPr>
        <w:ind w:right="60" w:firstLine="324"/>
        <w:spacing w:after="0" w:line="270" w:lineRule="auto"/>
        <w:rPr>
          <w:sz w:val="20"/>
          <w:szCs w:val="20"/>
          <w:color w:val="auto"/>
        </w:rPr>
      </w:pPr>
      <w:r>
        <w:rPr>
          <w:rFonts w:ascii="Arial" w:cs="Arial" w:eastAsia="Arial" w:hAnsi="Arial"/>
          <w:sz w:val="17"/>
          <w:szCs w:val="17"/>
          <w:i w:val="1"/>
          <w:iCs w:val="1"/>
          <w:color w:val="auto"/>
        </w:rPr>
        <w:t>Exclusive Forum Provision</w:t>
      </w:r>
      <w:r>
        <w:rPr>
          <w:rFonts w:ascii="Arial" w:cs="Arial" w:eastAsia="Arial" w:hAnsi="Arial"/>
          <w:sz w:val="17"/>
          <w:szCs w:val="17"/>
          <w:color w:val="auto"/>
        </w:rPr>
        <w:t>. Our warrant agreement will provide that, subject to applicable law, (i) any action, proceeding or claim against us arising</w:t>
      </w:r>
      <w:r>
        <w:rPr>
          <w:rFonts w:ascii="Arial" w:cs="Arial" w:eastAsia="Arial" w:hAnsi="Arial"/>
          <w:sz w:val="17"/>
          <w:szCs w:val="17"/>
          <w:i w:val="1"/>
          <w:iCs w:val="1"/>
          <w:color w:val="auto"/>
        </w:rPr>
        <w:t xml:space="preserve"> </w:t>
      </w:r>
      <w:r>
        <w:rPr>
          <w:rFonts w:ascii="Arial" w:cs="Arial" w:eastAsia="Arial" w:hAnsi="Arial"/>
          <w:sz w:val="17"/>
          <w:szCs w:val="17"/>
          <w:color w:val="auto"/>
        </w:rPr>
        <w:t>out of or relating in any way to the warrant agreement, including under the Securities Act, will be brought and enforced in the courts of the State of New York or the United States District Court for the Southern District of New York, and (ii) that we irrevocably submit to such jurisdiction, which jurisdiction will be the exclusive forum for any such action, proceeding or claim. We will waive any objection to such exclusive jurisdiction and that such courts represent an inconvenient forum. See “Risk Factors—Risks Associated with Our Securities and Redemption—Our warrant agreement will designate the courts of the State of New York or the United States District Court for the Southern District of New York as the sole and exclusive forum for certain types of actions and proceedings that may be initiated by holders of our warrants, which could limit the ability of warrant holders to obtain a favorable judicial forum for disputes with our company.” This provision does not apply to claims under the Exchange Act or any claim for which the federal district courts of the United States of America are the sole and exclusive forum.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Private Placement Warrants</w:t>
      </w:r>
    </w:p>
    <w:p>
      <w:pPr>
        <w:spacing w:after="0" w:line="229"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The private placement warrants (including the Class A ordinary shares issuable upon exercise of such warrants) will not be transferable, assignable or salable until 30 days after the completion of our initial business combination (except, as described under “Principal Shareholders—Transfers of Founder Shares and Private Placement Warrants,” including to our officers and directors and other persons or entities affiliated with our sponsor) and they will not be redeemable by us so long as they are held by our sponsor or its permitted transferees (except as described above under “—Public Shareholders’ Warrants —Redemption of Warrants When the Price per Class A Ordinary Share Equals or Exceeds $18.00”). The sponsor or its permitted transferees, have the option to exercise the private placement warrants on a cashless basis. If the private placement warrants are held by holders other than the sponsor or its permitted transferees, the private placement warrants will be redeemable by us and exercisable by the holders on the same basis as the warrants included in the units being sold in this offering.</w:t>
      </w:r>
    </w:p>
    <w:p>
      <w:pPr>
        <w:spacing w:after="0" w:line="178" w:lineRule="exact"/>
        <w:rPr>
          <w:sz w:val="20"/>
          <w:szCs w:val="20"/>
          <w:color w:val="auto"/>
        </w:rPr>
      </w:pPr>
    </w:p>
    <w:p>
      <w:pPr>
        <w:ind w:right="140" w:firstLine="324"/>
        <w:spacing w:after="0" w:line="291" w:lineRule="auto"/>
        <w:rPr>
          <w:sz w:val="20"/>
          <w:szCs w:val="20"/>
          <w:color w:val="auto"/>
        </w:rPr>
      </w:pPr>
      <w:r>
        <w:rPr>
          <w:rFonts w:ascii="Arial" w:cs="Arial" w:eastAsia="Arial" w:hAnsi="Arial"/>
          <w:sz w:val="16"/>
          <w:szCs w:val="16"/>
          <w:color w:val="auto"/>
        </w:rPr>
        <w:t>Except as described under “—Redemption of Warrants When the Price per Class A Ordinary Share Equals or Exceeds $10.00,” if holders of the private placement warrants elect to exercise them on a cashless basis, they would pay the exercise price by surrendering his, her or its warrants for that number of Class A ordinary shares equal to the quotient obtained by dividing (x) the product of the number of Class A ordinary shares underlying the warrants, multiplied by the excess of the “historical fair market value” of our Class A ordinary shares (defined below) over the exercise price of the warrants by (y) the historical fair market value. For these purposes, the “historical fair market value” will mean the average reported last reported sales price of the Class A ordinary shares for the 10 trading days ending on the third trading day prior to the date on which the notice of warrant exercise is sent to the warrant agent. The reason that we have agreed that these warrants will be exercisable on a cashless basis so long as they are held by</w:t>
      </w:r>
    </w:p>
    <w:p>
      <w:pPr>
        <w:spacing w:after="0" w:line="27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40" w:name="page141"/>
    <w:bookmarkEnd w:id="140"/>
    <w:p>
      <w:pPr>
        <w:ind w:right="60"/>
        <w:spacing w:after="0" w:line="272" w:lineRule="auto"/>
        <w:rPr>
          <w:sz w:val="20"/>
          <w:szCs w:val="20"/>
          <w:color w:val="auto"/>
        </w:rPr>
      </w:pPr>
      <w:r>
        <w:rPr>
          <w:rFonts w:ascii="Arial" w:cs="Arial" w:eastAsia="Arial" w:hAnsi="Arial"/>
          <w:sz w:val="17"/>
          <w:szCs w:val="17"/>
          <w:color w:val="auto"/>
        </w:rPr>
        <w:t>the sponsor or its permitted transferees is because it is not known at this time whether they will be affiliated with us following a business combination. If they remain affiliated with us, their ability to sell our securities in the open market will be significantly limited. We expect to have policies in place that prohibit insiders from selling our securities except during specific periods of time. Even during such periods of time when insiders will be permitted to sell our securities, an insider cannot trade in our securities if he or she is in possession of material non-public information. Accordingly, unlike public shareholders who could exercise their warrants and sell the Class A ordinary shares received upon such exercise freely in the open market in order to recoup the cost of such exercise, the insiders could be significantly restricted from selling such securities. As a result, we believe that allowing the holders to exercise such warrants on a cashless basis is appropriate.</w:t>
      </w:r>
    </w:p>
    <w:p>
      <w:pPr>
        <w:spacing w:after="0" w:line="177"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Except as described above, the private placement warrants have terms and provisions that are identical to those of the warrants being sold as part of the units in this offering.</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We have not paid any cash dividends on our ordinary shares to date and do not intend to pay cash dividends prior to the completion of our initial business combination. The payment of cash dividends in the future will be dependent upon our revenues and earnings, if any, capital requirements and general financial condition subsequent to completion of our initial business combination. The payment of any cash dividends subsequent to our initial business combination will be within the discretion of our board of directors at such time. If we incur any indebtedness, our ability to declare dividends may be limited by restrictive covenants we may agree to in connection therewith.</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Our Transfer Agent and Warrant Agent</w:t>
      </w:r>
    </w:p>
    <w:p>
      <w:pPr>
        <w:spacing w:after="0" w:line="229"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The transfer agent for our ordinary shares and warrant agent for our warrants is Continental Stock Transfer &amp; Trust Company. We have agreed to indemnify Continental Stock Transfer &amp; Trust Company in its roles as transfer agent and warrant agent, its agents and each of its shareholders, directors, officers and employees against all claims and losses that may arise out of acts performed or omitted for its activities in that capacity, except for any liability due to any gross negligence or intentional misconduct of the indemnified person or entity. Continental Stock Transfer &amp; Trust Company has agreed that it has no right of set-off or any right, title, interest or claim of any kind to, or to any monies in, the trust account, and has irrevocably waived any right, title, interest or claim of any kind to, or to any monies in, the trust account that it may have now or in the future. Accordingly, any indemnification provided will only be able to be satisfied, or a claim will only be able to be pursued, solely against us and our assets outside the trust account and not against the any monies in the trust account or interest earned thereon.</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Certain Differences in Corporate Law</w:t>
      </w:r>
    </w:p>
    <w:p>
      <w:pPr>
        <w:spacing w:after="0" w:line="229"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Cayman Islands companies are governed by the Companies Act. The Companies Act is modeled on English Law but does not follow recent English Law statutory enactments, and differs from laws applicable to United States corporations and their shareholders. Set forth below is a summary of the material differences between the provisions of the Companies Act applicable to us and the laws applicable to companies incorporated in the United States and their shareholders.</w:t>
      </w:r>
    </w:p>
    <w:p>
      <w:pPr>
        <w:spacing w:after="0" w:line="187"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i w:val="1"/>
          <w:iCs w:val="1"/>
          <w:color w:val="auto"/>
        </w:rPr>
        <w:t>Mergers and Similar Arrangements</w:t>
      </w:r>
      <w:r>
        <w:rPr>
          <w:rFonts w:ascii="Arial" w:cs="Arial" w:eastAsia="Arial" w:hAnsi="Arial"/>
          <w:sz w:val="18"/>
          <w:szCs w:val="18"/>
          <w:color w:val="auto"/>
        </w:rPr>
        <w:t>. In certain circumstances, the Companies Act allows for mergers or consolidations between two Cayman Islands</w:t>
      </w:r>
      <w:r>
        <w:rPr>
          <w:rFonts w:ascii="Arial" w:cs="Arial" w:eastAsia="Arial" w:hAnsi="Arial"/>
          <w:sz w:val="18"/>
          <w:szCs w:val="18"/>
          <w:i w:val="1"/>
          <w:iCs w:val="1"/>
          <w:color w:val="auto"/>
        </w:rPr>
        <w:t xml:space="preserve"> </w:t>
      </w:r>
      <w:r>
        <w:rPr>
          <w:rFonts w:ascii="Arial" w:cs="Arial" w:eastAsia="Arial" w:hAnsi="Arial"/>
          <w:sz w:val="18"/>
          <w:szCs w:val="18"/>
          <w:color w:val="auto"/>
        </w:rPr>
        <w:t>companies, or between a Cayman Islands exempted company and a company incorporated in another jurisdiction (provided that is facilitated by the laws of that other jurisdiction).</w:t>
      </w:r>
    </w:p>
    <w:p>
      <w:pPr>
        <w:spacing w:after="0" w:line="184"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Where the merger or consolidation is between two Cayman Islands companies, the directors of each company must approve a written plan of merger or consolidation containing certain prescribed information. That plan or merger or consolidation must then be authorized by either (a) a special resolution (usually a majority of 662/3% in value of the voting shares voted at a general meeting) of the shareholders of each company; or (b) such other authorization, if any, as may be specified in such constituent company’s articles of association. No shareholder resolution is required for a merger between a parent company (i.e., a company that owns at least 90% of the issued shares of each class in a subsidiary company) and its subsidiary company. The consent of each holder of a fixed or floating security interest of a constituent company must be obtained, unless the court waives such requirement. If the Cayman Islands Registrar of Companies is satisfied that the requirements of the Companies Act (which includes certain other formalities) have been complied with, the Registrar of Companies will register the plan of merger or consolidation.</w:t>
      </w:r>
    </w:p>
    <w:p>
      <w:pPr>
        <w:spacing w:after="0" w:line="28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141" w:name="page142"/>
    <w:bookmarkEnd w:id="141"/>
    <w:p>
      <w:pPr>
        <w:ind w:right="40" w:firstLine="324"/>
        <w:spacing w:after="0" w:line="270" w:lineRule="auto"/>
        <w:rPr>
          <w:sz w:val="20"/>
          <w:szCs w:val="20"/>
          <w:color w:val="auto"/>
        </w:rPr>
      </w:pPr>
      <w:r>
        <w:rPr>
          <w:rFonts w:ascii="Arial" w:cs="Arial" w:eastAsia="Arial" w:hAnsi="Arial"/>
          <w:sz w:val="17"/>
          <w:szCs w:val="17"/>
          <w:color w:val="auto"/>
        </w:rPr>
        <w:t>Where the merger or consolidation involves a foreign company, the procedure is similar, save that with respect to the foreign company, the directors of the Cayman Islands exempted company are required to make a declaration to the effect that, having made due enquiry, they are of the opinion that the requirements set out below have been met: (i) that the merger or consolidation is permitted or not prohibited by the constitutional documents of the foreign company and by the laws of the jurisdiction in which the foreign company is incorporated, and that those laws and any requirements of those constitutional documents have been or will be complied with; (ii) that no petition or other similar proceeding has been filed and remains outstanding or order made or resolution adopted to wind up or liquidate the foreign company in any jurisdictions; (iii) that no receiver, trustee, administrator or other similar person has been appointed in any jurisdiction and is acting in respect of the foreign company, its affairs or its property or any part thereof; (iv) that no scheme, order, compromise or other similar arrangement has been entered into or made in any jurisdiction whereby the rights of creditors of the foreign company are and continue to be suspended or restricted.</w:t>
      </w:r>
    </w:p>
    <w:p>
      <w:pPr>
        <w:spacing w:after="0" w:line="181"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Where the surviving company is the Cayman Islands exempted company, the directors of the Cayman Islands exempted company are further required to make a declaration to the effect that, having made due enquiry, they are of the opinion that the requirements set out below have been met: (i) that the foreign company is able to pay its debts as they fall due and that the merger or consolidated is bona fide and not intended to defraud unsecured creditors of the foreign company; (ii) that in respect of the transfer of any security interest granted by the foreign company to the surviving or consolidated company (a) consent or approval to the transfer has been obtained, released or waived; (b) the transfer is permitted by and has been approved in accordance with the constitutional documents of the foreign company; and (c) the laws of the jurisdiction of the foreign company with respect to the transfer have been or will be complied with; (iii) that the foreign company will, upon the merger or consolidation becoming effective, cease to be incorporated, registered or exist under the laws of the relevant foreign jurisdiction; and (iv) that there is no other reason why it would be against the public interest to permit the merger or consolidation.</w:t>
      </w:r>
    </w:p>
    <w:p>
      <w:pPr>
        <w:spacing w:after="0" w:line="196" w:lineRule="exact"/>
        <w:rPr>
          <w:sz w:val="20"/>
          <w:szCs w:val="20"/>
          <w:color w:val="auto"/>
        </w:rPr>
      </w:pPr>
    </w:p>
    <w:p>
      <w:pPr>
        <w:ind w:firstLine="324"/>
        <w:spacing w:after="0" w:line="284" w:lineRule="auto"/>
        <w:rPr>
          <w:sz w:val="20"/>
          <w:szCs w:val="20"/>
          <w:color w:val="auto"/>
        </w:rPr>
      </w:pPr>
      <w:r>
        <w:rPr>
          <w:rFonts w:ascii="Arial" w:cs="Arial" w:eastAsia="Arial" w:hAnsi="Arial"/>
          <w:sz w:val="16"/>
          <w:szCs w:val="16"/>
          <w:color w:val="auto"/>
        </w:rPr>
        <w:t>Where the above procedures are adopted, the Companies Act provides for a right of dissenting shareholders to be paid a payment of the fair value of his shares upon their dissenting to the merger or consolidation if they follow a prescribed procedure. In essence, that procedure is as follows (a) the shareholder must give his written objection to the merger or consolidation to the constituent company before the vote on the merger or consolidation, including a statement that the shareholder proposes to demand payment for his shares if the merger or consolidation is authorized by the vote; (b) within 20 days following the date on which the merger or consolidation is approved by the shareholders, the constituent company must give written notice to each shareholder who made a written objection; (c) a shareholder must within 20 days following receipt of such notice from the constituent company, give the constituent company a written notice of his intention to dissent including, among other details, a demand for payment of the fair value of his shares; (d) within seven days following the date of the expiration of the period set out in paragraph (b) above or seven days following the date on which the plan of merger or consolidation is filed, whichever is later, the constituent company, the surviving company or the consolidated company must make a written offer to each dissenting shareholder to purchase his shares at a price that the company determines is the fair value and if the company and the shareholder agree the price within 30 days following the date on which the offer was made, the company must pay the shareholder such amount; and (e) if the company and the shareholder fail to agree a price within such 30 day period, within 20 days following the date on which such 30 day period expires, the company (and any dissenting shareholder) must file a petition with the Cayman Islands Grand Court to determine the fair value and such petition must be accompanied by a list of the names and addresses of the dissenting shareholders with whom agreements as to the fair value of their shares have not been reached by the company. At the hearing of that petition, the court has the power to determine the fair value of the shares together with a fair rate of interest, if any, to be paid by the company upon the amount determined to be the fair value. Any dissenting shareholder whose name appears on the list filed by the company may participate fully in all proceedings until the determination of fair value is reached. These rights of a dissenting shareholder are not available in certain circumstances, for example, to dissenters holding shares of any class in respect of which an open market exists on a recognized stock exchange or recognized interdealer quotation system at the relevant date or where the consideration for such shares to be contributed are shares of any company listed on a national securities exchange or shares of the surviving or consolidated company.</w:t>
      </w:r>
    </w:p>
    <w:p>
      <w:pPr>
        <w:spacing w:after="0" w:line="182" w:lineRule="exact"/>
        <w:rPr>
          <w:sz w:val="20"/>
          <w:szCs w:val="20"/>
          <w:color w:val="auto"/>
        </w:rPr>
      </w:pPr>
    </w:p>
    <w:p>
      <w:pPr>
        <w:ind w:right="940" w:firstLine="324"/>
        <w:spacing w:after="0" w:line="277" w:lineRule="auto"/>
        <w:rPr>
          <w:sz w:val="20"/>
          <w:szCs w:val="20"/>
          <w:color w:val="auto"/>
        </w:rPr>
      </w:pPr>
      <w:r>
        <w:rPr>
          <w:rFonts w:ascii="Arial" w:cs="Arial" w:eastAsia="Arial" w:hAnsi="Arial"/>
          <w:sz w:val="18"/>
          <w:szCs w:val="18"/>
          <w:color w:val="auto"/>
        </w:rPr>
        <w:t>Moreover, Cayman Islands law has separate statutory provisions that facilitate the reconstruction or amalgamation of companies in certain circumstances, schemes of arrangement will generally be more suited for</w:t>
      </w:r>
    </w:p>
    <w:p>
      <w:pPr>
        <w:spacing w:after="0" w:line="27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142" w:name="page143"/>
    <w:bookmarkEnd w:id="142"/>
    <w:p>
      <w:pPr>
        <w:spacing w:after="0" w:line="271" w:lineRule="auto"/>
        <w:rPr>
          <w:sz w:val="20"/>
          <w:szCs w:val="20"/>
          <w:color w:val="auto"/>
        </w:rPr>
      </w:pPr>
      <w:r>
        <w:rPr>
          <w:rFonts w:ascii="Arial" w:cs="Arial" w:eastAsia="Arial" w:hAnsi="Arial"/>
          <w:sz w:val="17"/>
          <w:szCs w:val="17"/>
          <w:color w:val="auto"/>
        </w:rPr>
        <w:t>complex mergers or other transactions involving widely held companies, commonly referred to in the Cayman Islands as a “scheme of arrangement” which may be tantamount to a merger. In the event that a merger was sought pursuant to a scheme of arrangement (the procedures for which are more rigorous and take longer to complete than the procedures typically required to consummate a merger in the United States), the arrangement in question must be approved by a majority in number of each class of shareholders and creditors with whom the arrangement is to be made and who must in addition represent three-fourths in value of each such class of shareholders or creditors, as the case may be, that are present and voting either in person or by proxy at a meeting, or meeting summoned for that purpose. The convening of the meetings and subsequently the terms of the arrangement must be sanctioned by the Grand Court of the Cayman Islands. While a dissenting shareholder would have the right to express to the court the view that the transaction should not be approved, the court can be expected to approve the arrangement if it satisfies itself that:</w:t>
      </w:r>
    </w:p>
    <w:p>
      <w:pPr>
        <w:spacing w:after="0" w:line="178" w:lineRule="exact"/>
        <w:rPr>
          <w:sz w:val="20"/>
          <w:szCs w:val="20"/>
          <w:color w:val="auto"/>
        </w:rPr>
      </w:pPr>
    </w:p>
    <w:p>
      <w:pPr>
        <w:ind w:left="660" w:right="380" w:hanging="328"/>
        <w:spacing w:after="0" w:line="277" w:lineRule="auto"/>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we are not proposing to act illegally or beyond the scope of our corporate authority and the statutory provisions as to majority vote have been complied with;</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shareholders have been fairly represented at the meeting in question;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arrangement is such as a businessman would reasonably approve; and</w:t>
      </w:r>
    </w:p>
    <w:p>
      <w:pPr>
        <w:spacing w:after="0" w:line="225" w:lineRule="exact"/>
        <w:rPr>
          <w:rFonts w:ascii="Arial" w:cs="Arial" w:eastAsia="Arial" w:hAnsi="Arial"/>
          <w:sz w:val="18"/>
          <w:szCs w:val="18"/>
          <w:color w:val="auto"/>
        </w:rPr>
      </w:pPr>
    </w:p>
    <w:p>
      <w:pPr>
        <w:ind w:left="660" w:right="200" w:hanging="328"/>
        <w:spacing w:after="0" w:line="277" w:lineRule="auto"/>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arrangement is not one that would more properly be sanctioned under some other provision of the Companies Act or that would amount to a “fraud on the minority.”</w:t>
      </w:r>
    </w:p>
    <w:p>
      <w:pPr>
        <w:spacing w:after="0" w:line="170" w:lineRule="exact"/>
        <w:rPr>
          <w:sz w:val="20"/>
          <w:szCs w:val="20"/>
          <w:color w:val="auto"/>
        </w:rPr>
      </w:pPr>
    </w:p>
    <w:p>
      <w:pPr>
        <w:jc w:val="both"/>
        <w:ind w:right="580" w:firstLine="324"/>
        <w:spacing w:after="0" w:line="263" w:lineRule="auto"/>
        <w:rPr>
          <w:sz w:val="20"/>
          <w:szCs w:val="20"/>
          <w:color w:val="auto"/>
        </w:rPr>
      </w:pPr>
      <w:r>
        <w:rPr>
          <w:rFonts w:ascii="Arial" w:cs="Arial" w:eastAsia="Arial" w:hAnsi="Arial"/>
          <w:sz w:val="18"/>
          <w:szCs w:val="18"/>
          <w:color w:val="auto"/>
        </w:rPr>
        <w:t>If a scheme of arrangement or takeover offer (as described below) is approved, any dissenting shareholder would have no rights comparable to appraisal rights (providing rights to receive payment in cash for the judicially determined value of the shares), which would otherwise ordinarily be available to dissenting shareholders of United States corporations.</w:t>
      </w:r>
    </w:p>
    <w:p>
      <w:pPr>
        <w:spacing w:after="0" w:line="184" w:lineRule="exact"/>
        <w:rPr>
          <w:sz w:val="20"/>
          <w:szCs w:val="20"/>
          <w:color w:val="auto"/>
        </w:rPr>
      </w:pPr>
    </w:p>
    <w:p>
      <w:pPr>
        <w:ind w:right="280" w:firstLine="324"/>
        <w:spacing w:after="0" w:line="259" w:lineRule="auto"/>
        <w:rPr>
          <w:sz w:val="20"/>
          <w:szCs w:val="20"/>
          <w:color w:val="auto"/>
        </w:rPr>
      </w:pPr>
      <w:r>
        <w:rPr>
          <w:rFonts w:ascii="Arial" w:cs="Arial" w:eastAsia="Arial" w:hAnsi="Arial"/>
          <w:sz w:val="18"/>
          <w:szCs w:val="18"/>
          <w:i w:val="1"/>
          <w:iCs w:val="1"/>
          <w:color w:val="auto"/>
        </w:rPr>
        <w:t xml:space="preserve">Squeeze-out Provisions. </w:t>
      </w:r>
      <w:r>
        <w:rPr>
          <w:rFonts w:ascii="Arial" w:cs="Arial" w:eastAsia="Arial" w:hAnsi="Arial"/>
          <w:sz w:val="18"/>
          <w:szCs w:val="18"/>
          <w:color w:val="auto"/>
        </w:rPr>
        <w:t>When a takeover offer is made and accepted by holders of 90% of the shares to whom the offer relates is made within four</w:t>
      </w:r>
      <w:r>
        <w:rPr>
          <w:rFonts w:ascii="Arial" w:cs="Arial" w:eastAsia="Arial" w:hAnsi="Arial"/>
          <w:sz w:val="18"/>
          <w:szCs w:val="18"/>
          <w:i w:val="1"/>
          <w:iCs w:val="1"/>
          <w:color w:val="auto"/>
        </w:rPr>
        <w:t xml:space="preserve"> </w:t>
      </w:r>
      <w:r>
        <w:rPr>
          <w:rFonts w:ascii="Arial" w:cs="Arial" w:eastAsia="Arial" w:hAnsi="Arial"/>
          <w:sz w:val="18"/>
          <w:szCs w:val="18"/>
          <w:color w:val="auto"/>
        </w:rPr>
        <w:t>months, the offeror may, within a two-month period, require the holders of the remaining shares to transfer such shares on the terms of the offer. An objection can be made to the Grand Court of the Cayman Islands but this is unlikely to succeed unless there is evidence of fraud, bad faith, collusion or inequitable treatment of the shareholders.</w:t>
      </w:r>
    </w:p>
    <w:p>
      <w:pPr>
        <w:spacing w:after="0" w:line="187" w:lineRule="exact"/>
        <w:rPr>
          <w:sz w:val="20"/>
          <w:szCs w:val="20"/>
          <w:color w:val="auto"/>
        </w:rPr>
      </w:pPr>
    </w:p>
    <w:p>
      <w:pPr>
        <w:jc w:val="both"/>
        <w:ind w:right="280" w:firstLine="324"/>
        <w:spacing w:after="0" w:line="342" w:lineRule="auto"/>
        <w:rPr>
          <w:sz w:val="20"/>
          <w:szCs w:val="20"/>
          <w:color w:val="auto"/>
        </w:rPr>
      </w:pPr>
      <w:r>
        <w:rPr>
          <w:rFonts w:ascii="Arial" w:cs="Arial" w:eastAsia="Arial" w:hAnsi="Arial"/>
          <w:sz w:val="16"/>
          <w:szCs w:val="16"/>
          <w:color w:val="auto"/>
        </w:rPr>
        <w:t>Further, transactions similar to a merger, reconstruction and/or an amalgamation may in some circumstances be achieved through means other than these statutory provisions, such as a share capital exchange, asset acquisition or control, or through contractual arrangements, of an operating business.</w:t>
      </w:r>
    </w:p>
    <w:p>
      <w:pPr>
        <w:spacing w:after="0" w:line="124"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i w:val="1"/>
          <w:iCs w:val="1"/>
          <w:color w:val="auto"/>
        </w:rPr>
        <w:t>Shareholders’ Suits</w:t>
      </w:r>
      <w:r>
        <w:rPr>
          <w:rFonts w:ascii="Arial" w:cs="Arial" w:eastAsia="Arial" w:hAnsi="Arial"/>
          <w:sz w:val="18"/>
          <w:szCs w:val="18"/>
          <w:color w:val="auto"/>
        </w:rPr>
        <w:t>. Maples and Calder, our Cayman Islands legal counsel, is not aware of any reported class action having been brought in a Cayman</w:t>
      </w:r>
      <w:r>
        <w:rPr>
          <w:rFonts w:ascii="Arial" w:cs="Arial" w:eastAsia="Arial" w:hAnsi="Arial"/>
          <w:sz w:val="18"/>
          <w:szCs w:val="18"/>
          <w:i w:val="1"/>
          <w:iCs w:val="1"/>
          <w:color w:val="auto"/>
        </w:rPr>
        <w:t xml:space="preserve"> </w:t>
      </w:r>
      <w:r>
        <w:rPr>
          <w:rFonts w:ascii="Arial" w:cs="Arial" w:eastAsia="Arial" w:hAnsi="Arial"/>
          <w:sz w:val="18"/>
          <w:szCs w:val="18"/>
          <w:color w:val="auto"/>
        </w:rPr>
        <w:t>Islands court. Derivative actions have been brought in the Cayman Islands courts, and the Cayman Islands courts have confirmed the availability for such actions. In most cases, we will be the proper plaintiff in any claim based on a breach of duty owed to us, and a claim against (for example) our officers or directors usually may not be brought by a shareholder. However, based both on Cayman Islands authorities and on English authorities, which would in all likelihood be of persuasive authority and be applied by a court in the Cayman Islands, exceptions to the foregoing principle apply in circumstances in which:</w:t>
      </w:r>
    </w:p>
    <w:p>
      <w:pPr>
        <w:spacing w:after="0" w:line="192" w:lineRule="exact"/>
        <w:rPr>
          <w:sz w:val="20"/>
          <w:szCs w:val="20"/>
          <w:color w:val="auto"/>
        </w:rPr>
      </w:pP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 company is acting, or proposing to act, illegally or beyond the scope of its authority;</w:t>
      </w:r>
    </w:p>
    <w:p>
      <w:pPr>
        <w:spacing w:after="0" w:line="225" w:lineRule="exact"/>
        <w:rPr>
          <w:rFonts w:ascii="Arial" w:cs="Arial" w:eastAsia="Arial" w:hAnsi="Arial"/>
          <w:sz w:val="18"/>
          <w:szCs w:val="18"/>
          <w:color w:val="auto"/>
        </w:rPr>
      </w:pPr>
    </w:p>
    <w:p>
      <w:pPr>
        <w:ind w:left="660" w:right="440" w:hanging="328"/>
        <w:spacing w:after="0" w:line="277" w:lineRule="auto"/>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act complained of, although not beyond the scope of the authority, could be effected if duly authorized by more than the number of votes which have actually been obtained; or</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those who control the company are perpetrating a “fraud on the minority.”</w:t>
      </w:r>
    </w:p>
    <w:p>
      <w:pPr>
        <w:spacing w:after="0" w:line="225" w:lineRule="exact"/>
        <w:rPr>
          <w:sz w:val="20"/>
          <w:szCs w:val="20"/>
          <w:color w:val="auto"/>
        </w:rPr>
      </w:pPr>
    </w:p>
    <w:p>
      <w:pPr>
        <w:ind w:right="560" w:firstLine="324"/>
        <w:spacing w:after="0" w:line="277" w:lineRule="auto"/>
        <w:rPr>
          <w:sz w:val="20"/>
          <w:szCs w:val="20"/>
          <w:color w:val="auto"/>
        </w:rPr>
      </w:pPr>
      <w:r>
        <w:rPr>
          <w:rFonts w:ascii="Arial" w:cs="Arial" w:eastAsia="Arial" w:hAnsi="Arial"/>
          <w:sz w:val="18"/>
          <w:szCs w:val="18"/>
          <w:color w:val="auto"/>
        </w:rPr>
        <w:t>A shareholder may have a direct right of action against us where the individual rights of that shareholder have been infringed or are about to be infringed.</w:t>
      </w:r>
    </w:p>
    <w:p>
      <w:pPr>
        <w:spacing w:after="0" w:line="170" w:lineRule="exact"/>
        <w:rPr>
          <w:sz w:val="20"/>
          <w:szCs w:val="20"/>
          <w:color w:val="auto"/>
        </w:rPr>
      </w:pPr>
    </w:p>
    <w:p>
      <w:pPr>
        <w:ind w:right="580" w:firstLine="324"/>
        <w:spacing w:after="0" w:line="342" w:lineRule="auto"/>
        <w:rPr>
          <w:sz w:val="20"/>
          <w:szCs w:val="20"/>
          <w:color w:val="auto"/>
        </w:rPr>
      </w:pPr>
      <w:r>
        <w:rPr>
          <w:rFonts w:ascii="Arial" w:cs="Arial" w:eastAsia="Arial" w:hAnsi="Arial"/>
          <w:sz w:val="16"/>
          <w:szCs w:val="16"/>
          <w:i w:val="1"/>
          <w:iCs w:val="1"/>
          <w:color w:val="auto"/>
        </w:rPr>
        <w:t>Enforcement of Civil Liabilities</w:t>
      </w:r>
      <w:r>
        <w:rPr>
          <w:rFonts w:ascii="Arial" w:cs="Arial" w:eastAsia="Arial" w:hAnsi="Arial"/>
          <w:sz w:val="16"/>
          <w:szCs w:val="16"/>
          <w:color w:val="auto"/>
        </w:rPr>
        <w:t>. The Cayman Islands has a different body of securities laws as compared to the United States and provides less</w:t>
      </w:r>
      <w:r>
        <w:rPr>
          <w:rFonts w:ascii="Arial" w:cs="Arial" w:eastAsia="Arial" w:hAnsi="Arial"/>
          <w:sz w:val="16"/>
          <w:szCs w:val="16"/>
          <w:i w:val="1"/>
          <w:iCs w:val="1"/>
          <w:color w:val="auto"/>
        </w:rPr>
        <w:t xml:space="preserve"> </w:t>
      </w:r>
      <w:r>
        <w:rPr>
          <w:rFonts w:ascii="Arial" w:cs="Arial" w:eastAsia="Arial" w:hAnsi="Arial"/>
          <w:sz w:val="16"/>
          <w:szCs w:val="16"/>
          <w:color w:val="auto"/>
        </w:rPr>
        <w:t>protection to investors. Additionally, Cayman Islands companies may not have standing to sue before the Federal courts of the United States.</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584" w:right="379" w:bottom="1440" w:gutter="0" w:footer="0" w:header="0"/>
        </w:sectPr>
      </w:pPr>
    </w:p>
    <w:bookmarkStart w:id="143" w:name="page144"/>
    <w:bookmarkEnd w:id="143"/>
    <w:p>
      <w:pPr>
        <w:ind w:firstLine="324"/>
        <w:spacing w:after="0" w:line="269" w:lineRule="auto"/>
        <w:rPr>
          <w:sz w:val="20"/>
          <w:szCs w:val="20"/>
          <w:color w:val="auto"/>
        </w:rPr>
      </w:pPr>
      <w:r>
        <w:rPr>
          <w:rFonts w:ascii="Arial" w:cs="Arial" w:eastAsia="Arial" w:hAnsi="Arial"/>
          <w:sz w:val="17"/>
          <w:szCs w:val="17"/>
          <w:color w:val="auto"/>
        </w:rPr>
        <w:t>We have been advised by Maples and Calder, our Cayman Islands legal counsel, that the courts of the Cayman Islands are unlikely (i) to recognize or enforce against us judgments of courts of the United States predicated upon the civil liability provisions of the federal securities laws of the United States or any state; and (ii) in original actions brought in the Cayman Islands, to impose liabilities against us predicated upon the civil liability provisions of the federal securities laws of the United States or any state, so far as the liabilities imposed by those provisions are penal in nature. In those circumstances, although there is no statutory enforcement in the Cayman Islands of judgments obtained in the United States, the courts of the Cayman Islands will recognize and enforce a foreign money judgment of a foreign court of competent jurisdiction without retrial on the merits based on the principle that a judgment of a competent foreign court imposes upon the judgment debtor an obligation to pay the sum for which judgment has been given provided certain conditions are met. For a foreign judgment to be enforced in the Cayman Islands, such judgment must be final and conclusive and for a liquidated sum, and must not be in respect of taxes or a fine or penalty, inconsistent with a Cayman Islands judgment in respect of the same matter, impeachable on the grounds of fraud or obtained in a manner, and or be of a kind the enforcement of which is, contrary to natural justice or the public policy of the Cayman Islands (awards of punitive or multiple damages may well be held to be contrary to public policy). A Cayman Islands Court may stay enforcement proceedings if concurrent proceedings are being brought elsewhere.</w:t>
      </w:r>
    </w:p>
    <w:p>
      <w:pPr>
        <w:spacing w:after="0" w:line="179" w:lineRule="exact"/>
        <w:rPr>
          <w:sz w:val="20"/>
          <w:szCs w:val="20"/>
          <w:color w:val="auto"/>
        </w:rPr>
      </w:pPr>
    </w:p>
    <w:p>
      <w:pPr>
        <w:jc w:val="both"/>
        <w:ind w:right="60" w:firstLine="324"/>
        <w:spacing w:after="0" w:line="279" w:lineRule="auto"/>
        <w:rPr>
          <w:sz w:val="20"/>
          <w:szCs w:val="20"/>
          <w:color w:val="auto"/>
        </w:rPr>
      </w:pPr>
      <w:r>
        <w:rPr>
          <w:rFonts w:ascii="Arial" w:cs="Arial" w:eastAsia="Arial" w:hAnsi="Arial"/>
          <w:sz w:val="17"/>
          <w:szCs w:val="17"/>
          <w:i w:val="1"/>
          <w:iCs w:val="1"/>
          <w:color w:val="auto"/>
        </w:rPr>
        <w:t>Special Considerations for Exempted Companies</w:t>
      </w:r>
      <w:r>
        <w:rPr>
          <w:rFonts w:ascii="Arial" w:cs="Arial" w:eastAsia="Arial" w:hAnsi="Arial"/>
          <w:sz w:val="17"/>
          <w:szCs w:val="17"/>
          <w:color w:val="auto"/>
        </w:rPr>
        <w:t>. We are an exempted company with limited liability under the Companies Act. The Companies Act</w:t>
      </w:r>
      <w:r>
        <w:rPr>
          <w:rFonts w:ascii="Arial" w:cs="Arial" w:eastAsia="Arial" w:hAnsi="Arial"/>
          <w:sz w:val="17"/>
          <w:szCs w:val="17"/>
          <w:i w:val="1"/>
          <w:iCs w:val="1"/>
          <w:color w:val="auto"/>
        </w:rPr>
        <w:t xml:space="preserve"> </w:t>
      </w:r>
      <w:r>
        <w:rPr>
          <w:rFonts w:ascii="Arial" w:cs="Arial" w:eastAsia="Arial" w:hAnsi="Arial"/>
          <w:sz w:val="17"/>
          <w:szCs w:val="17"/>
          <w:color w:val="auto"/>
        </w:rPr>
        <w:t>distinguishes between ordinary resident companies and exempted companies. Any company that is registered in the Cayman Islands but conducts business mainly outside of the Cayman Islands may apply to be registered as an exempted company. The requirements for an exempted company are essentially the same as for an ordinary company except for the exemptions and privileges listed below:</w:t>
      </w:r>
    </w:p>
    <w:p>
      <w:pPr>
        <w:spacing w:after="0" w:line="171" w:lineRule="exact"/>
        <w:rPr>
          <w:sz w:val="20"/>
          <w:szCs w:val="20"/>
          <w:color w:val="auto"/>
        </w:rPr>
      </w:pPr>
    </w:p>
    <w:p>
      <w:pPr>
        <w:ind w:left="660" w:hanging="328"/>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an exempted company does not have to file an annual return of its shareholders with the Registrar of Companies;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an exempted company’s register of members is not open to inspection;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an exempted company does not have to hold an annual general meeting;</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an exempted company may issue shares with no par value;</w:t>
      </w:r>
    </w:p>
    <w:p>
      <w:pPr>
        <w:spacing w:after="0" w:line="225" w:lineRule="exact"/>
        <w:rPr>
          <w:rFonts w:ascii="Arial" w:cs="Arial" w:eastAsia="Arial" w:hAnsi="Arial"/>
          <w:sz w:val="18"/>
          <w:szCs w:val="18"/>
          <w:color w:val="auto"/>
        </w:rPr>
      </w:pPr>
    </w:p>
    <w:p>
      <w:pPr>
        <w:ind w:left="660" w:right="140" w:hanging="328"/>
        <w:spacing w:after="0" w:line="277" w:lineRule="auto"/>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an exempted company may obtain an undertaking against the imposition of any future taxation (such undertakings are usually given for 20 years in the first instance);</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an exempted company may register by way of continuation in another jurisdiction and be deregistered in the Cayman Islands;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an exempted company may register as a limited duration company;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an exempted company may register as a segregated portfolio company.</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“Limited liability” means that the liability of each shareholder is limited to the amount unpaid by the shareholder on the shares of the company (except in exceptional circumstances, such as involving fraud, the establishment of an agency relationship or an illegal or improper purpose or other circumstances in which a court may be prepared to pierce or lift the corporate veil).</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Amended and Restated Memorandum and Articles of Association</w:t>
      </w:r>
    </w:p>
    <w:p>
      <w:pPr>
        <w:spacing w:after="0" w:line="229" w:lineRule="exact"/>
        <w:rPr>
          <w:sz w:val="20"/>
          <w:szCs w:val="20"/>
          <w:color w:val="auto"/>
        </w:rPr>
      </w:pPr>
    </w:p>
    <w:p>
      <w:pPr>
        <w:ind w:right="40" w:firstLine="324"/>
        <w:spacing w:after="0" w:line="291" w:lineRule="auto"/>
        <w:rPr>
          <w:sz w:val="20"/>
          <w:szCs w:val="20"/>
          <w:color w:val="auto"/>
        </w:rPr>
      </w:pPr>
      <w:r>
        <w:rPr>
          <w:rFonts w:ascii="Arial" w:cs="Arial" w:eastAsia="Arial" w:hAnsi="Arial"/>
          <w:sz w:val="16"/>
          <w:szCs w:val="16"/>
          <w:color w:val="auto"/>
        </w:rPr>
        <w:t>The Business Combination Article of our amended and restated memorandum and articles of association contains provisions designed to provide certain rights and protections relating to this offering that will apply to us until the completion of our initial business combination. These provisions cannot be amended without a special resolution. As a matter of Cayman Islands law, a resolution is deemed to be a special resolution where it has been approved by either (i) at least two-thirds (or any higher threshold specified in a company’s articles of association) of a company’s shareholders at a general meeting for which notice specifying the intention to propose the resolution as a special resolution has been given; or (ii) if so authorized by a company’s articles of association, by a unanimous written resolution of all of the company’s shareholders. Our amended and restated memorandum and articles of association provide that special resolutions must be approved either by at least two-thirds of our shareholders (i.e.,</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584" w:right="379" w:bottom="1440" w:gutter="0" w:footer="0" w:header="0"/>
        </w:sectPr>
      </w:pPr>
    </w:p>
    <w:bookmarkStart w:id="144" w:name="page145"/>
    <w:bookmarkEnd w:id="144"/>
    <w:p>
      <w:pPr>
        <w:ind w:right="80"/>
        <w:spacing w:after="0" w:line="263" w:lineRule="auto"/>
        <w:rPr>
          <w:sz w:val="20"/>
          <w:szCs w:val="20"/>
          <w:color w:val="auto"/>
        </w:rPr>
      </w:pPr>
      <w:r>
        <w:rPr>
          <w:rFonts w:ascii="Arial" w:cs="Arial" w:eastAsia="Arial" w:hAnsi="Arial"/>
          <w:sz w:val="18"/>
          <w:szCs w:val="18"/>
          <w:color w:val="auto"/>
        </w:rPr>
        <w:t>the lowest threshold permissible under Cayman Islands law) (other than amendments relating to the rights of holders of Class B ordinary shares to appoint or remove directors, which may be amended by a special resolution passed by a majority of at least 90% of our ordinary shares voting in a general meeting), or by a unanimous written resolution of all of our shareholders.</w:t>
      </w:r>
    </w:p>
    <w:p>
      <w:pPr>
        <w:spacing w:after="0" w:line="184"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Our initial shareholders, who will collectively beneficially own 20% of our ordinary shares upon the closing of this offering (assuming they do not purchase any units in this offering), may participate in any vote to amend our amended and restated memorandum and articles of association and will have the discretion to vote in any manner they choose. Specifically, our amended and restated memorandum and articles of association provide, among other things, that:</w:t>
      </w:r>
    </w:p>
    <w:p>
      <w:pPr>
        <w:spacing w:after="0" w:line="187" w:lineRule="exact"/>
        <w:rPr>
          <w:sz w:val="20"/>
          <w:szCs w:val="20"/>
          <w:color w:val="auto"/>
        </w:rPr>
      </w:pPr>
    </w:p>
    <w:p>
      <w:pPr>
        <w:ind w:left="660" w:right="60" w:hanging="328"/>
        <w:spacing w:after="0" w:line="290" w:lineRule="auto"/>
        <w:tabs>
          <w:tab w:leader="none" w:pos="660" w:val="left"/>
        </w:tabs>
        <w:numPr>
          <w:ilvl w:val="0"/>
          <w:numId w:val="61"/>
        </w:numPr>
        <w:rPr>
          <w:rFonts w:ascii="Arial" w:cs="Arial" w:eastAsia="Arial" w:hAnsi="Arial"/>
          <w:sz w:val="16"/>
          <w:szCs w:val="16"/>
          <w:color w:val="auto"/>
        </w:rPr>
      </w:pPr>
      <w:r>
        <w:rPr>
          <w:rFonts w:ascii="Arial" w:cs="Arial" w:eastAsia="Arial" w:hAnsi="Arial"/>
          <w:sz w:val="16"/>
          <w:szCs w:val="16"/>
          <w:color w:val="auto"/>
        </w:rPr>
        <w:t>If we have not completed our initial business combination within 24 months from the closing of this offering, we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income earned on the funds held in the trust account (less taxes payable and up to $100,000 of interest income to pay dissolution expenses), divided by the number of then outstanding public shares, which redemption will completely extinguish public shareholders’ rights as shareholders (including the right to receive further liquidation distributions, if any) and (iii) as promptly as reasonably possible following such redemption, subject to the approval of our remaining shareholders and our board of directors, liquidate and dissolve, subject, in each case, to our obligations under Cayman Islands law to provide for claims of creditors and in all cases subject to the other requirements of applicable law;</w:t>
      </w:r>
    </w:p>
    <w:p>
      <w:pPr>
        <w:spacing w:after="0" w:line="340" w:lineRule="exact"/>
        <w:rPr>
          <w:rFonts w:ascii="Arial" w:cs="Arial" w:eastAsia="Arial" w:hAnsi="Arial"/>
          <w:sz w:val="16"/>
          <w:szCs w:val="16"/>
          <w:color w:val="auto"/>
        </w:rPr>
      </w:pPr>
    </w:p>
    <w:p>
      <w:pPr>
        <w:ind w:left="660" w:right="60" w:hanging="328"/>
        <w:spacing w:after="0" w:line="277" w:lineRule="auto"/>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Prior to our initial business combination, we may not issue additional securities that would entitle the holders thereof to (i) receive funds from the trust account or (ii) vote on our initial business combination;</w:t>
      </w:r>
    </w:p>
    <w:p>
      <w:pPr>
        <w:spacing w:after="0" w:line="170" w:lineRule="exact"/>
        <w:rPr>
          <w:rFonts w:ascii="Arial" w:cs="Arial" w:eastAsia="Arial" w:hAnsi="Arial"/>
          <w:sz w:val="18"/>
          <w:szCs w:val="18"/>
          <w:color w:val="auto"/>
        </w:rPr>
      </w:pPr>
    </w:p>
    <w:p>
      <w:pPr>
        <w:ind w:left="660" w:right="40" w:hanging="328"/>
        <w:spacing w:after="0" w:line="263" w:lineRule="auto"/>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In the event that we enter into a business combination with a target business that is affiliated with our sponsor, our directors or our officers, we, or a committee of independent and disinterested directors, will obtain an opinion from an independent investment banking firm or a valuation or appraisal firm that such a business combination is fair to our company from a financial point of view;</w:t>
      </w:r>
    </w:p>
    <w:p>
      <w:pPr>
        <w:spacing w:after="0" w:line="183" w:lineRule="exact"/>
        <w:rPr>
          <w:rFonts w:ascii="Arial" w:cs="Arial" w:eastAsia="Arial" w:hAnsi="Arial"/>
          <w:sz w:val="18"/>
          <w:szCs w:val="18"/>
          <w:color w:val="auto"/>
        </w:rPr>
      </w:pPr>
    </w:p>
    <w:p>
      <w:pPr>
        <w:ind w:left="660" w:hanging="328"/>
        <w:spacing w:after="0" w:line="279" w:lineRule="auto"/>
        <w:tabs>
          <w:tab w:leader="none" w:pos="660" w:val="left"/>
        </w:tabs>
        <w:numPr>
          <w:ilvl w:val="0"/>
          <w:numId w:val="61"/>
        </w:numPr>
        <w:rPr>
          <w:rFonts w:ascii="Arial" w:cs="Arial" w:eastAsia="Arial" w:hAnsi="Arial"/>
          <w:sz w:val="17"/>
          <w:szCs w:val="17"/>
          <w:color w:val="auto"/>
        </w:rPr>
      </w:pPr>
      <w:r>
        <w:rPr>
          <w:rFonts w:ascii="Arial" w:cs="Arial" w:eastAsia="Arial" w:hAnsi="Arial"/>
          <w:sz w:val="17"/>
          <w:szCs w:val="17"/>
          <w:color w:val="auto"/>
        </w:rPr>
        <w:t>If a shareholder vote on our initial business combination is not required by law and we do not decide to hold a shareholder vote for business or other reasons, we will offer to redeem our public shares pursuant to Rule 13e-4 and Regulation 14E of the Exchange Act, and will file tender offer documents with the SEC prior to completing our initial business combination which contain substantially the same financial and other information about our initial business combination and the redemption rights as is required under Regulation 14A of the Exchange Act;</w:t>
      </w:r>
    </w:p>
    <w:p>
      <w:pPr>
        <w:spacing w:after="0" w:line="171" w:lineRule="exact"/>
        <w:rPr>
          <w:rFonts w:ascii="Arial" w:cs="Arial" w:eastAsia="Arial" w:hAnsi="Arial"/>
          <w:sz w:val="17"/>
          <w:szCs w:val="17"/>
          <w:color w:val="auto"/>
        </w:rPr>
      </w:pPr>
    </w:p>
    <w:p>
      <w:pPr>
        <w:ind w:left="660" w:right="40" w:hanging="328"/>
        <w:spacing w:after="0" w:line="277" w:lineRule="auto"/>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We must complete one or more business combinations having an aggregate fair market value of at least 80% of the assets held in the trust account (excluding the deferred underwriting commissions and taxes payable on the income earned on the trust account);</w:t>
      </w:r>
    </w:p>
    <w:p>
      <w:pPr>
        <w:spacing w:after="0" w:line="170" w:lineRule="exact"/>
        <w:rPr>
          <w:rFonts w:ascii="Arial" w:cs="Arial" w:eastAsia="Arial" w:hAnsi="Arial"/>
          <w:sz w:val="18"/>
          <w:szCs w:val="18"/>
          <w:color w:val="auto"/>
        </w:rPr>
      </w:pPr>
    </w:p>
    <w:p>
      <w:pPr>
        <w:ind w:left="660" w:right="20" w:hanging="328"/>
        <w:spacing w:after="0" w:line="254" w:lineRule="auto"/>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If our shareholders approve an amendment to our amended and restated memorandum and articles of association (A) to modify the substance or timing of our obligation to allow redemption in connection with our initial business combination or to redeem 100% of our public shares if we have not consummated an initial business combination within 24 months from the closing of this offering or (B) with respect to any other material provisions relating to shareholders’ rights or pre-initial business combination activity, we will provide our public shareholders with the opportunity to redeem all or a portion of their Class A ordinary shares upon such approval at a per-share price, payable in cash, equal to the aggregate amount then on deposit in the trust account, including interest earned on the funds held in the trust account and not previously released to us to pay our taxes, divided by the number of then outstanding public shares, subject to the limitations and on the conditions described herein; and</w:t>
      </w:r>
    </w:p>
    <w:p>
      <w:pPr>
        <w:spacing w:after="0" w:line="191" w:lineRule="exact"/>
        <w:rPr>
          <w:rFonts w:ascii="Arial" w:cs="Arial" w:eastAsia="Arial" w:hAnsi="Arial"/>
          <w:sz w:val="18"/>
          <w:szCs w:val="18"/>
          <w:color w:val="auto"/>
        </w:rPr>
      </w:pPr>
    </w:p>
    <w:p>
      <w:pPr>
        <w:ind w:left="660" w:hanging="328"/>
        <w:spacing w:after="0"/>
        <w:tabs>
          <w:tab w:leader="none" w:pos="660" w:val="left"/>
        </w:tabs>
        <w:numPr>
          <w:ilvl w:val="0"/>
          <w:numId w:val="61"/>
        </w:numPr>
        <w:rPr>
          <w:rFonts w:ascii="Arial" w:cs="Arial" w:eastAsia="Arial" w:hAnsi="Arial"/>
          <w:sz w:val="16"/>
          <w:szCs w:val="16"/>
          <w:color w:val="auto"/>
        </w:rPr>
      </w:pPr>
      <w:r>
        <w:rPr>
          <w:rFonts w:ascii="Arial" w:cs="Arial" w:eastAsia="Arial" w:hAnsi="Arial"/>
          <w:sz w:val="16"/>
          <w:szCs w:val="16"/>
          <w:color w:val="auto"/>
        </w:rPr>
        <w:t>We will not effectuate our initial business combination solely with another blank check company or a similar company with nominal operations.</w:t>
      </w:r>
    </w:p>
    <w:p>
      <w:pPr>
        <w:spacing w:after="0" w:line="248"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In addition, our amended and restated memorandum and articles of association provide we will not redeem our public shares in an amount that would cause our net tangible assets to be less than $5,000,001. We may, however,</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584" w:right="379" w:bottom="1440" w:gutter="0" w:footer="0" w:header="0"/>
        </w:sectPr>
      </w:pPr>
    </w:p>
    <w:bookmarkStart w:id="145" w:name="page146"/>
    <w:bookmarkEnd w:id="145"/>
    <w:p>
      <w:pPr>
        <w:ind w:right="300"/>
        <w:spacing w:after="0" w:line="263" w:lineRule="auto"/>
        <w:rPr>
          <w:sz w:val="20"/>
          <w:szCs w:val="20"/>
          <w:color w:val="auto"/>
        </w:rPr>
      </w:pPr>
      <w:r>
        <w:rPr>
          <w:rFonts w:ascii="Arial" w:cs="Arial" w:eastAsia="Arial" w:hAnsi="Arial"/>
          <w:sz w:val="18"/>
          <w:szCs w:val="18"/>
          <w:color w:val="auto"/>
        </w:rPr>
        <w:t>raise funds through the issuance of equity or equity-linked securities or through loans, advances or other indebtedness in connection with our initial business combination, including pursuant to forward purchase agreements or backstop arrangements we may enter into following consummation of this offering, in order to, among other reasons, satisfy such net tangible assets requirement.</w:t>
      </w:r>
    </w:p>
    <w:p>
      <w:pPr>
        <w:spacing w:after="0" w:line="184" w:lineRule="exact"/>
        <w:rPr>
          <w:sz w:val="20"/>
          <w:szCs w:val="20"/>
          <w:color w:val="auto"/>
        </w:rPr>
      </w:pPr>
    </w:p>
    <w:p>
      <w:pPr>
        <w:ind w:right="60" w:firstLine="324"/>
        <w:spacing w:after="0" w:line="291" w:lineRule="auto"/>
        <w:rPr>
          <w:sz w:val="20"/>
          <w:szCs w:val="20"/>
          <w:color w:val="auto"/>
        </w:rPr>
      </w:pPr>
      <w:r>
        <w:rPr>
          <w:rFonts w:ascii="Arial" w:cs="Arial" w:eastAsia="Arial" w:hAnsi="Arial"/>
          <w:sz w:val="16"/>
          <w:szCs w:val="16"/>
          <w:color w:val="auto"/>
        </w:rPr>
        <w:t>The Companies Act permits a company incorporated in the Cayman Islands to amend its memorandum and articles of association with the approval of a special resolution. A company’s articles of association may specify that the approval of a higher majority is required but, provided the approval of the required majority is obtained, any Cayman Islands exempted company may amend its memorandum and articles of association regardless of whether its memorandum and articles of association provides otherwise. Accordingly, although we could amend any of the provisions relating to our proposed offering, structure and business plan which are contained in our amended and restated memorandum and articles of association, we view all of these provisions as binding obligations to our shareholders and neither we, nor our officers or directors, will take any action to amend or waive any of these provisions unless we provide dissenting public shareholders with the opportunity to redeem their public shares.</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Anti-Money Laundering—Cayman Islands</w:t>
      </w:r>
    </w:p>
    <w:p>
      <w:pPr>
        <w:spacing w:after="0" w:line="229"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If any person in the Cayman Islands knows or suspects or has reasonable grounds for knowing or suspecting that another person is engaged in criminal conduct or money laundering or is involved with terrorism or terrorist financing and property and the information for that knowledge or suspicion came to their attention in the course of business in the regulated sector, or other trade, profession, business or employment, the person will be required to report such knowledge or suspicion to (i) the Financial Reporting Authority of the Cayman Islands, pursuant to the Proceeds of Crime Act (As Revised) of the Cayman Islands if the disclosure relates to criminal conduct or money laundering, or (ii) a police officer of the rank of constable or higher, or the Financial Reporting Authority, pursuant to the Terrorism Act (As Revised) of the Cayman Islands, if the disclosure relates to involvement with terrorism or terrorist financing and property. Such a report shall not be treated as a breach of confidence or of any restriction upon the disclosure of information imposed by any enactment or otherwise.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Cayman Islands Data Protection</w:t>
      </w:r>
    </w:p>
    <w:p>
      <w:pPr>
        <w:spacing w:after="0" w:line="229"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We have certain duties under the Data Protection Act, 2017 of the Cayman Islands (the “DPA”) based on internationally accepted principles of data privacy.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Privacy Notice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Introduction</w:t>
      </w:r>
    </w:p>
    <w:p>
      <w:pPr>
        <w:spacing w:after="0" w:line="2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This privacy notice puts our shareholders on notice that through your investment in the Company you will provide us with certain personal information which constitutes personal data within the meaning of the DPA (“personal data”).</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the following discussion, the “company” refers to us and our affiliates and/or delegates, except where the context requires otherwise.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Investor Data</w:t>
      </w:r>
    </w:p>
    <w:p>
      <w:pPr>
        <w:spacing w:after="0" w:line="225" w:lineRule="exact"/>
        <w:rPr>
          <w:sz w:val="20"/>
          <w:szCs w:val="20"/>
          <w:color w:val="auto"/>
        </w:rPr>
      </w:pPr>
    </w:p>
    <w:p>
      <w:pPr>
        <w:ind w:right="20" w:firstLine="324"/>
        <w:spacing w:after="0" w:line="296" w:lineRule="auto"/>
        <w:rPr>
          <w:sz w:val="20"/>
          <w:szCs w:val="20"/>
          <w:color w:val="auto"/>
        </w:rPr>
      </w:pPr>
      <w:r>
        <w:rPr>
          <w:rFonts w:ascii="Arial" w:cs="Arial" w:eastAsia="Arial" w:hAnsi="Arial"/>
          <w:sz w:val="16"/>
          <w:szCs w:val="16"/>
          <w:color w:val="auto"/>
        </w:rPr>
        <w:t>We will collect, use, disclose, retain and secure personal data to the extent reasonably required only and within the parameters that could be reasonably expected during the normal course of business. We will only process, disclose, transfer or retain personal data to the extent legitimately required to conduct our activities of on an ongoing basis or to comply with legal and regulatory obligations to which we are subject. We will only transfer personal data in accordance with the requirements of the DPA, and will apply appropriate technical and organizational information security measures designed to protect against unauthorized or unlawful processing of the personal data and against the accidental loss, destruction or damage to the personal data.</w:t>
      </w:r>
    </w:p>
    <w:p>
      <w:pPr>
        <w:spacing w:after="0" w:line="161" w:lineRule="exact"/>
        <w:rPr>
          <w:sz w:val="20"/>
          <w:szCs w:val="20"/>
          <w:color w:val="auto"/>
        </w:rPr>
      </w:pPr>
    </w:p>
    <w:p>
      <w:pPr>
        <w:ind w:right="180" w:firstLine="324"/>
        <w:spacing w:after="0" w:line="263" w:lineRule="auto"/>
        <w:rPr>
          <w:sz w:val="20"/>
          <w:szCs w:val="20"/>
          <w:color w:val="auto"/>
        </w:rPr>
      </w:pPr>
      <w:r>
        <w:rPr>
          <w:rFonts w:ascii="Arial" w:cs="Arial" w:eastAsia="Arial" w:hAnsi="Arial"/>
          <w:sz w:val="18"/>
          <w:szCs w:val="18"/>
          <w:color w:val="auto"/>
        </w:rPr>
        <w:t>In our use of this personal data, we will be characterized as a “data controller” for the purposes of the DPA, while our affiliates and service providers who may receive this personal data from us in the conduct of our activities may either act as our “data processors” for the purposes of the DPA or may process personal information for their own lawful purposes in connection with services provided to us.</w:t>
      </w:r>
    </w:p>
    <w:p>
      <w:pPr>
        <w:spacing w:after="0" w:line="29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146" w:name="page147"/>
    <w:bookmarkEnd w:id="146"/>
    <w:p>
      <w:pPr>
        <w:ind w:right="100" w:firstLine="324"/>
        <w:spacing w:after="0" w:line="279" w:lineRule="auto"/>
        <w:rPr>
          <w:sz w:val="20"/>
          <w:szCs w:val="20"/>
          <w:color w:val="auto"/>
        </w:rPr>
      </w:pPr>
      <w:r>
        <w:rPr>
          <w:rFonts w:ascii="Arial" w:cs="Arial" w:eastAsia="Arial" w:hAnsi="Arial"/>
          <w:sz w:val="17"/>
          <w:szCs w:val="17"/>
          <w:color w:val="auto"/>
        </w:rPr>
        <w:t>We may also obtain personal data from other public sources. Personal data includes, without limitation, the following information relating to a shareholder and/or any individuals connected with a shareholder as an investor: name, residential address, email address, contact details, corporate contact information, signature, nationality, place of birth, date of birth, tax identification, credit history, correspondence records, passport number, bank account details, source of funds details and details relating to the shareholder’s investment activity.</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Who this Affects</w:t>
      </w:r>
    </w:p>
    <w:p>
      <w:pPr>
        <w:spacing w:after="0" w:line="225"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If you are a natural person, this will affect you directly. If you are a corporate investor (including, for these purposes, legal arrangements such as trusts or exempted limited partnerships) that provides us with personal data on individuals connected to you for any reason in relation your investment in the Company, this will be relevant for those individuals and you should transmit the content of this Privacy Notice to such individuals or otherwise advise them of its content.</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How the Company May Use a Shareholder’s Personal Data</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as the data controller, may collect, store and use personal data for lawful purposes, including, in particular:</w:t>
      </w:r>
    </w:p>
    <w:p>
      <w:pPr>
        <w:spacing w:after="0" w:line="225" w:lineRule="exact"/>
        <w:rPr>
          <w:sz w:val="20"/>
          <w:szCs w:val="20"/>
          <w:color w:val="auto"/>
        </w:rPr>
      </w:pPr>
    </w:p>
    <w:p>
      <w:pPr>
        <w:ind w:left="660" w:hanging="328"/>
        <w:spacing w:after="0"/>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where this is necessary for the performance of our rights and obligations under any purchase agreements;</w:t>
      </w:r>
    </w:p>
    <w:p>
      <w:pPr>
        <w:spacing w:after="0" w:line="225" w:lineRule="exact"/>
        <w:rPr>
          <w:rFonts w:ascii="Arial" w:cs="Arial" w:eastAsia="Arial" w:hAnsi="Arial"/>
          <w:sz w:val="18"/>
          <w:szCs w:val="18"/>
          <w:color w:val="auto"/>
        </w:rPr>
      </w:pPr>
    </w:p>
    <w:p>
      <w:pPr>
        <w:ind w:left="660" w:right="560" w:hanging="328"/>
        <w:spacing w:after="0" w:line="277" w:lineRule="auto"/>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where this is necessary for compliance with a legal and regulatory obligation to which we are subject (such as compliance with anti-money laundering and FATCA/CRS requirements); and/or</w:t>
      </w:r>
    </w:p>
    <w:p>
      <w:pPr>
        <w:spacing w:after="0" w:line="170" w:lineRule="exact"/>
        <w:rPr>
          <w:rFonts w:ascii="Arial" w:cs="Arial" w:eastAsia="Arial" w:hAnsi="Arial"/>
          <w:sz w:val="18"/>
          <w:szCs w:val="18"/>
          <w:color w:val="auto"/>
        </w:rPr>
      </w:pPr>
    </w:p>
    <w:p>
      <w:pPr>
        <w:ind w:left="660" w:right="240" w:hanging="328"/>
        <w:spacing w:after="0" w:line="277" w:lineRule="auto"/>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where this is necessary for the purposes of our legitimate interests and such interests are not overridden by your interests, fundamental rights or freedoms.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Should we wish to use personal data for other specific purposes (including, if applicable, any purpose that requires your consent), we will contact you.</w:t>
      </w:r>
    </w:p>
    <w:p>
      <w:pPr>
        <w:spacing w:after="0" w:line="2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Why We May Transfer Your Personal Data</w:t>
      </w:r>
    </w:p>
    <w:p>
      <w:pPr>
        <w:spacing w:after="0" w:line="225" w:lineRule="exact"/>
        <w:rPr>
          <w:sz w:val="20"/>
          <w:szCs w:val="20"/>
          <w:color w:val="auto"/>
        </w:rPr>
      </w:pPr>
    </w:p>
    <w:p>
      <w:pPr>
        <w:ind w:right="40" w:firstLine="324"/>
        <w:spacing w:after="0" w:line="263" w:lineRule="auto"/>
        <w:rPr>
          <w:sz w:val="20"/>
          <w:szCs w:val="20"/>
          <w:color w:val="auto"/>
        </w:rPr>
      </w:pPr>
      <w:r>
        <w:rPr>
          <w:rFonts w:ascii="Arial" w:cs="Arial" w:eastAsia="Arial" w:hAnsi="Arial"/>
          <w:sz w:val="18"/>
          <w:szCs w:val="18"/>
          <w:color w:val="auto"/>
        </w:rPr>
        <w:t>In certain circumstances we may be legally obliged to share personal data and other information with respect to your shareholding with the relevant regulatory authorities such as the Cayman Islands Monetary Authority or the Tax Information Authority. They, in turn, may exchange this information with foreign authorities, including tax authorities.</w:t>
      </w:r>
    </w:p>
    <w:p>
      <w:pPr>
        <w:spacing w:after="0" w:line="184" w:lineRule="exact"/>
        <w:rPr>
          <w:sz w:val="20"/>
          <w:szCs w:val="20"/>
          <w:color w:val="auto"/>
        </w:rPr>
      </w:pPr>
    </w:p>
    <w:p>
      <w:pPr>
        <w:ind w:right="60" w:firstLine="324"/>
        <w:spacing w:after="0" w:line="308" w:lineRule="auto"/>
        <w:rPr>
          <w:sz w:val="20"/>
          <w:szCs w:val="20"/>
          <w:color w:val="auto"/>
        </w:rPr>
      </w:pPr>
      <w:r>
        <w:rPr>
          <w:rFonts w:ascii="Arial" w:cs="Arial" w:eastAsia="Arial" w:hAnsi="Arial"/>
          <w:sz w:val="17"/>
          <w:szCs w:val="17"/>
          <w:color w:val="auto"/>
        </w:rPr>
        <w:t>We anticipates disclosing personal data to persons who provide services to us and their respective affiliates (which may include certain entities located outside the United States, the Cayman Islands or the European Economic Area), who will process your personal data on our behalf.</w:t>
      </w:r>
    </w:p>
    <w:p>
      <w:pPr>
        <w:spacing w:after="0" w:line="1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Data Protection Measures We Take</w:t>
      </w:r>
    </w:p>
    <w:p>
      <w:pPr>
        <w:spacing w:after="0" w:line="225"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Any transfer of personal data by us or our duly authorized affiliates and/or delegates outside of the Cayman Islands shall be in accordance with the requirements of the DPA.</w:t>
      </w:r>
    </w:p>
    <w:p>
      <w:pPr>
        <w:spacing w:after="0" w:line="170" w:lineRule="exact"/>
        <w:rPr>
          <w:sz w:val="20"/>
          <w:szCs w:val="20"/>
          <w:color w:val="auto"/>
        </w:rPr>
      </w:pPr>
    </w:p>
    <w:p>
      <w:pPr>
        <w:ind w:right="140" w:firstLine="324"/>
        <w:spacing w:after="0" w:line="342" w:lineRule="auto"/>
        <w:rPr>
          <w:sz w:val="20"/>
          <w:szCs w:val="20"/>
          <w:color w:val="auto"/>
        </w:rPr>
      </w:pPr>
      <w:r>
        <w:rPr>
          <w:rFonts w:ascii="Arial" w:cs="Arial" w:eastAsia="Arial" w:hAnsi="Arial"/>
          <w:sz w:val="16"/>
          <w:szCs w:val="16"/>
          <w:color w:val="auto"/>
        </w:rPr>
        <w:t>We and our duly authorized affiliates and/or delegates shall apply appropriate technical and organizational information security measures designed to protect against unauthorized or unlawful processing of personal data, and against accidental loss or destruction of, or damage to, personal data.</w:t>
      </w:r>
    </w:p>
    <w:p>
      <w:pPr>
        <w:spacing w:after="0" w:line="124"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We shall notify you of any personal data breach that is reasonably likely to result in a risk to your interests, fundamental rights or freedoms or those data subjects to whom the relevant personal data relates.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Anti-Takeover Provisions of our Amended and Restated Memorandum and Articles of Association</w:t>
      </w:r>
    </w:p>
    <w:p>
      <w:pPr>
        <w:spacing w:after="0" w:line="229" w:lineRule="exact"/>
        <w:rPr>
          <w:sz w:val="20"/>
          <w:szCs w:val="20"/>
          <w:color w:val="auto"/>
        </w:rPr>
      </w:pPr>
    </w:p>
    <w:p>
      <w:pPr>
        <w:ind w:right="80" w:firstLine="324"/>
        <w:spacing w:after="0" w:line="263" w:lineRule="auto"/>
        <w:rPr>
          <w:sz w:val="20"/>
          <w:szCs w:val="20"/>
          <w:color w:val="auto"/>
        </w:rPr>
      </w:pPr>
      <w:r>
        <w:rPr>
          <w:rFonts w:ascii="Arial" w:cs="Arial" w:eastAsia="Arial" w:hAnsi="Arial"/>
          <w:sz w:val="18"/>
          <w:szCs w:val="18"/>
          <w:color w:val="auto"/>
        </w:rPr>
        <w:t>Our amended and restated memorandum and articles of association provide that our board of directors will be classified into three classes of directors. As a result, in most circumstances, a person can gain control of our board only by successfully engaging in a proxy contest at two or more annual general meetings.</w:t>
      </w:r>
    </w:p>
    <w:p>
      <w:pPr>
        <w:spacing w:after="0" w:line="29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147" w:name="page148"/>
    <w:bookmarkEnd w:id="147"/>
    <w:p>
      <w:pPr>
        <w:jc w:val="both"/>
        <w:ind w:right="80" w:firstLine="324"/>
        <w:spacing w:after="0" w:line="259" w:lineRule="auto"/>
        <w:rPr>
          <w:sz w:val="20"/>
          <w:szCs w:val="20"/>
          <w:color w:val="auto"/>
        </w:rPr>
      </w:pPr>
      <w:r>
        <w:rPr>
          <w:rFonts w:ascii="Arial" w:cs="Arial" w:eastAsia="Arial" w:hAnsi="Arial"/>
          <w:sz w:val="18"/>
          <w:szCs w:val="18"/>
          <w:color w:val="auto"/>
        </w:rPr>
        <w:t>Our authorized but unissued Class A ordinary shares and preferred shares are available for future issuances without shareholder approval and could be utilized for a variety of corporate purposes, including future offerings to raise additional capital, acquisitions and employee benefit plans. The existence of authorized but unissued and unreserved Class A ordinary shares and preferred shares could render more difficult or discourage an attempt to obtain control of us by means of a proxy contest, tender offer, merger or otherwise.</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Eligible for Future Sale</w:t>
      </w:r>
    </w:p>
    <w:p>
      <w:pPr>
        <w:spacing w:after="0" w:line="229"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Immediately after this offering we will have 31,250,000 (or 35,937,500 if the underwriters’ over-allotment option is exercised in full) ordinary shares outstanding. Of these shares, the Class A ordinary shares sold in this offering (25,000,000 Class A ordinary shares if the underwriters’ over-allotment option is not exercised and 28,750,000 Class A ordinary shares if the underwriters’ over-allotment option is exercised in full) will be freely tradable without restriction or further registration under the Securities Act, except for any Class A ordinary shares purchased by one of our affiliates within the meaning of Rule 144 under the Securities Act (which includes the up to 2,475,000 units that may be purchased, directly or indirectly, by the PIMCO private fund or its affiliates in this offering). All of the outstanding founder shares (6,250,000 founder shares if the underwriters’ over-allotment option is not exercised and 7,187,500 founder shares if the underwriters’ over-allotment option is exercised in full) and all of the outstanding private placement warrants (5,000,000 private placement warrants if the underwriters’ over-allotment option is not exercised and 5,500,000 private placement warrants if the underwriters’ over-allotment option is exercised in full) will be restricted securities under Rule 144, in that they were issued in private transactions not involving a public offering, and are subject to transfer restrictions as set forth elsewhere in this prospectus.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144</w:t>
      </w:r>
    </w:p>
    <w:p>
      <w:pPr>
        <w:spacing w:after="0" w:line="229" w:lineRule="exact"/>
        <w:rPr>
          <w:sz w:val="20"/>
          <w:szCs w:val="20"/>
          <w:color w:val="auto"/>
        </w:rPr>
      </w:pPr>
    </w:p>
    <w:p>
      <w:pPr>
        <w:ind w:right="40" w:firstLine="324"/>
        <w:spacing w:after="0" w:line="301" w:lineRule="auto"/>
        <w:rPr>
          <w:sz w:val="20"/>
          <w:szCs w:val="20"/>
          <w:color w:val="auto"/>
        </w:rPr>
      </w:pPr>
      <w:r>
        <w:rPr>
          <w:rFonts w:ascii="Arial" w:cs="Arial" w:eastAsia="Arial" w:hAnsi="Arial"/>
          <w:sz w:val="16"/>
          <w:szCs w:val="16"/>
          <w:color w:val="auto"/>
        </w:rPr>
        <w:t>Pursuant to Rule 144, a person who has beneficially owned restricted shares or warrants for at least six months would be entitled to sell their securities provided that (i) such person is not deemed to have been one of our affiliates at the time of, or at any time during the three months preceding, a sale and (ii) we are subject to the Exchange Act periodic reporting requirements for at least three months before the sale and have filed all required reports under Section 13 or 15(d) of the Exchange Act during the 12 months (or such shorter period as we were required to file reports) preceding the sale.</w:t>
      </w:r>
    </w:p>
    <w:p>
      <w:pPr>
        <w:spacing w:after="0" w:line="157"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Persons who have beneficially owned restricted shares or warrants for at least six months but who are our affiliates at the time of, or at any time during the three months preceding, a sale, would be subject to additional restrictions, by which such person would be entitled to sell within any three-month period only a number of securities that does not exceed the greater of:</w:t>
      </w:r>
    </w:p>
    <w:p>
      <w:pPr>
        <w:spacing w:after="0" w:line="184" w:lineRule="exact"/>
        <w:rPr>
          <w:sz w:val="20"/>
          <w:szCs w:val="20"/>
          <w:color w:val="auto"/>
        </w:rPr>
      </w:pPr>
    </w:p>
    <w:p>
      <w:pPr>
        <w:ind w:left="660" w:right="380" w:hanging="328"/>
        <w:spacing w:after="0" w:line="277" w:lineRule="auto"/>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1% of the total number of ordinary shares then outstanding, which will equal 312,500 shares immediately after this offering (or 359,375 if the underwriters exercise in full their over-allotment option); or</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average weekly reported trading volume of the Class A ordinary shares during the four calendar weeks preceding the filing of a notice on Form 144 with respect to the sale.</w:t>
      </w:r>
    </w:p>
    <w:p>
      <w:pPr>
        <w:spacing w:after="0" w:line="170"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Sales by our affiliates under Rule 144 are also limited by manner of sale provisions and notice requirements and to the availability of current public information about us.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Restrictions on the Use of Rule 144 by Shell Companies or Former Shell Companies</w:t>
      </w:r>
    </w:p>
    <w:p>
      <w:pPr>
        <w:spacing w:after="0" w:line="229" w:lineRule="exact"/>
        <w:rPr>
          <w:sz w:val="20"/>
          <w:szCs w:val="20"/>
          <w:color w:val="auto"/>
        </w:rPr>
      </w:pPr>
    </w:p>
    <w:p>
      <w:pPr>
        <w:ind w:right="140" w:firstLine="324"/>
        <w:spacing w:after="0" w:line="263" w:lineRule="auto"/>
        <w:rPr>
          <w:sz w:val="20"/>
          <w:szCs w:val="20"/>
          <w:color w:val="auto"/>
        </w:rPr>
      </w:pPr>
      <w:r>
        <w:rPr>
          <w:rFonts w:ascii="Arial" w:cs="Arial" w:eastAsia="Arial" w:hAnsi="Arial"/>
          <w:sz w:val="18"/>
          <w:szCs w:val="18"/>
          <w:color w:val="auto"/>
        </w:rPr>
        <w:t>Rule 144 is not available for the resale of securities initially issued by shell companies (other than business combination related shell companies) or issuers that have been at any time previously a shell company. However, Rule 144 also includes an important exception to this prohibition if the following conditions are met:</w:t>
      </w:r>
    </w:p>
    <w:p>
      <w:pPr>
        <w:spacing w:after="0" w:line="184" w:lineRule="exact"/>
        <w:rPr>
          <w:sz w:val="20"/>
          <w:szCs w:val="20"/>
          <w:color w:val="auto"/>
        </w:rPr>
      </w:pPr>
    </w:p>
    <w:p>
      <w:pPr>
        <w:ind w:left="660" w:hanging="328"/>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issuer of the securities that was formerly a shell company has ceased to be a shell company;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issuer of the securities is subject to the reporting requirements of Section 13 or 15(d) of the Exchange Act;</w:t>
      </w:r>
    </w:p>
    <w:p>
      <w:pPr>
        <w:spacing w:after="0" w:line="225" w:lineRule="exact"/>
        <w:rPr>
          <w:rFonts w:ascii="Arial" w:cs="Arial" w:eastAsia="Arial" w:hAnsi="Arial"/>
          <w:sz w:val="18"/>
          <w:szCs w:val="18"/>
          <w:color w:val="auto"/>
        </w:rPr>
      </w:pPr>
    </w:p>
    <w:p>
      <w:pPr>
        <w:ind w:left="660" w:right="220" w:hanging="328"/>
        <w:spacing w:after="0" w:line="342" w:lineRule="auto"/>
        <w:tabs>
          <w:tab w:leader="none" w:pos="660" w:val="left"/>
        </w:tabs>
        <w:numPr>
          <w:ilvl w:val="0"/>
          <w:numId w:val="64"/>
        </w:numPr>
        <w:rPr>
          <w:rFonts w:ascii="Arial" w:cs="Arial" w:eastAsia="Arial" w:hAnsi="Arial"/>
          <w:sz w:val="16"/>
          <w:szCs w:val="16"/>
          <w:color w:val="auto"/>
        </w:rPr>
      </w:pPr>
      <w:r>
        <w:rPr>
          <w:rFonts w:ascii="Arial" w:cs="Arial" w:eastAsia="Arial" w:hAnsi="Arial"/>
          <w:sz w:val="16"/>
          <w:szCs w:val="16"/>
          <w:color w:val="auto"/>
        </w:rPr>
        <w:t>the issuer of the securities has filed all Exchange Act reports and material required to be filed, as applicable, during the preceding 12 months (or such shorter period that the issuer was required to file such reports and materials), other than Current Reports on Form 8-K; and</w:t>
      </w:r>
    </w:p>
    <w:p>
      <w:pPr>
        <w:spacing w:after="0" w:line="23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48" w:name="page149"/>
    <w:bookmarkEnd w:id="148"/>
    <w:p>
      <w:pPr>
        <w:ind w:left="660" w:right="20" w:hanging="328"/>
        <w:spacing w:after="0" w:line="277" w:lineRule="auto"/>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at least one year has elapsed from the time that the issuer filed current Form 10 type information with the SEC reflecting its status as an entity that is not a shell company.</w:t>
      </w:r>
    </w:p>
    <w:p>
      <w:pPr>
        <w:spacing w:after="0" w:line="170"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As a result, our initial shareholders will be able to sell their founder shares and private placement warrants, as applicable, pursuant to Rule 144 without registration one year after we have completed our initial business combination.</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Registration Rights</w:t>
      </w:r>
    </w:p>
    <w:p>
      <w:pPr>
        <w:spacing w:after="0" w:line="229"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The holders of the (i) founder shares, which were issued in a private placement prior to the closing of this offering, (ii) private placement warrants, which will be issued in a private placement simultaneously with the closing of this offering and the Class A ordinary shares underlying such private placement warrants and (iii) private placement warrants that may be issued upon conversion of working capital loans will have registration rights to require us to register the resale of any of our securities held by them pursuant to a registration rights agreement. Pursuant to the registration rights agreement and assuming the underwriters exercise their over-allotment option in full and $2,000,000 of working capital loans are converted into private placement warrants, we will be obligated to register up to 14,020,833 Class A ordinary shares and 6,833,333 warrants. The number of Class A ordinary shares includes (i) 7,187,500 Class A ordinary shares to be issued upon conversion of the founder shares, (ii) 5,500,000 Class A ordinary shares underlying the private placement warrants and (iii) 1,333,333 Class A ordinary shares underlying the private placement warrants issuable upon conversion of working capital loans. The number of warrants includes 5,500,000 private placement warrants issued in a private placement simultaneously with the closing of this offering and 1,333,333 private placement warrants issuable upon conversion of working capital loans. The holders of these securities are entitled to make up to three demands, excluding short form demands, that we register such securities. In addition, the holders have certain “piggy-back” registration rights with respect to registration statements filed subsequent to our completion of our initial business combination. We will bear the expenses incurred in connection with the filing of any such registration statements.</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Listing of Securities</w:t>
      </w:r>
    </w:p>
    <w:p>
      <w:pPr>
        <w:spacing w:after="0" w:line="229" w:lineRule="exact"/>
        <w:rPr>
          <w:sz w:val="20"/>
          <w:szCs w:val="20"/>
          <w:color w:val="auto"/>
        </w:rPr>
      </w:pPr>
    </w:p>
    <w:p>
      <w:pPr>
        <w:ind w:right="300" w:firstLine="324"/>
        <w:spacing w:after="0" w:line="263" w:lineRule="auto"/>
        <w:rPr>
          <w:sz w:val="20"/>
          <w:szCs w:val="20"/>
          <w:color w:val="auto"/>
        </w:rPr>
      </w:pPr>
      <w:r>
        <w:rPr>
          <w:rFonts w:ascii="Arial" w:cs="Arial" w:eastAsia="Arial" w:hAnsi="Arial"/>
          <w:sz w:val="18"/>
          <w:szCs w:val="18"/>
          <w:color w:val="auto"/>
        </w:rPr>
        <w:t>We have applied to list our units on the NYSE under the symbol “FACT.U” commencing on or promptly after the date of this prospectus. Once the securities comprising the units begin separate trading, we expect that the Class A ordinary shares and warrants will be listed on the NYSE under the symbols “FACT” and “FACT WS,” respectively.</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584" w:right="379" w:bottom="1440" w:gutter="0" w:footer="0" w:header="0"/>
        </w:sectPr>
      </w:pPr>
    </w:p>
    <w:bookmarkStart w:id="149" w:name="page150"/>
    <w:bookmarkEnd w:id="149"/>
    <w:p>
      <w:pPr>
        <w:jc w:val="center"/>
        <w:ind w:right="-19"/>
        <w:spacing w:after="0"/>
        <w:rPr>
          <w:sz w:val="20"/>
          <w:szCs w:val="20"/>
          <w:color w:val="auto"/>
        </w:rPr>
      </w:pPr>
      <w:r>
        <w:rPr>
          <w:rFonts w:ascii="Arial" w:cs="Arial" w:eastAsia="Arial" w:hAnsi="Arial"/>
          <w:sz w:val="18"/>
          <w:szCs w:val="18"/>
          <w:b w:val="1"/>
          <w:bCs w:val="1"/>
          <w:color w:val="auto"/>
        </w:rPr>
        <w:t>TAXATION</w:t>
      </w:r>
    </w:p>
    <w:p>
      <w:pPr>
        <w:spacing w:after="0" w:line="229" w:lineRule="exact"/>
        <w:rPr>
          <w:sz w:val="20"/>
          <w:szCs w:val="20"/>
          <w:color w:val="auto"/>
        </w:rPr>
      </w:pPr>
    </w:p>
    <w:p>
      <w:pPr>
        <w:ind w:right="260" w:firstLine="324"/>
        <w:spacing w:after="0" w:line="257" w:lineRule="auto"/>
        <w:rPr>
          <w:sz w:val="20"/>
          <w:szCs w:val="20"/>
          <w:color w:val="auto"/>
        </w:rPr>
      </w:pPr>
      <w:r>
        <w:rPr>
          <w:rFonts w:ascii="Arial" w:cs="Arial" w:eastAsia="Arial" w:hAnsi="Arial"/>
          <w:sz w:val="18"/>
          <w:szCs w:val="18"/>
          <w:color w:val="auto"/>
        </w:rPr>
        <w:t>The following summary of certain Cayman Islands and United States federal income tax considerations generally applicable to an investment in our units, each consisting of one Class A ordinary share and one-fourth of one redeemable warrant, which we refer to collectively as our securities, is based upon laws and relevant interpretations thereof in effect as of the date of this prospectus, all of which are subject to change. This summary does not deal with all possible tax consequences relating to an investment in our Class A ordinary shares and warrants, such as the tax consequences under state, local and other tax laws.</w:t>
      </w:r>
    </w:p>
    <w:p>
      <w:pPr>
        <w:spacing w:after="0" w:line="188"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Prospective investors should consult their advisors on the possible tax consequences of investing in our securities under the laws of their country of citizenship, residence or domicile.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Cayman Islands Tax Considerations</w:t>
      </w:r>
    </w:p>
    <w:p>
      <w:pPr>
        <w:spacing w:after="0" w:line="229" w:lineRule="exact"/>
        <w:rPr>
          <w:sz w:val="20"/>
          <w:szCs w:val="20"/>
          <w:color w:val="auto"/>
        </w:rPr>
      </w:pPr>
    </w:p>
    <w:p>
      <w:pPr>
        <w:ind w:right="20" w:firstLine="324"/>
        <w:spacing w:after="0" w:line="286" w:lineRule="auto"/>
        <w:rPr>
          <w:sz w:val="20"/>
          <w:szCs w:val="20"/>
          <w:color w:val="auto"/>
        </w:rPr>
      </w:pPr>
      <w:r>
        <w:rPr>
          <w:rFonts w:ascii="Arial" w:cs="Arial" w:eastAsia="Arial" w:hAnsi="Arial"/>
          <w:sz w:val="17"/>
          <w:szCs w:val="17"/>
          <w:color w:val="auto"/>
        </w:rPr>
        <w:t>The following is a discussion on certain Cayman Islands income tax consequences of an investment in the securities of the Company. The discussion is a general summary of present law, which is subject to prospective and retroactive change. It is not intended as tax advice, does not consider any investor’s particular circumstances, and does not consider tax consequences other than those arising under Cayman Islands law.</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Under Existing Cayman Islands Laws:</w:t>
      </w:r>
    </w:p>
    <w:p>
      <w:pPr>
        <w:spacing w:after="0" w:line="229"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Payments of dividends and capital in respect of our securities will not be subject to taxation in the Cayman Islands and no withholding will be required on the payment of a dividend or capital to any holder of the securities nor will gains derived from the disposal of the securities be subject to Cayman Islands income or corporate tax. The Cayman Islands currently has no income, corporation or capital gains tax and no estate duty, inheritance tax or gift tax.</w:t>
      </w:r>
    </w:p>
    <w:p>
      <w:pPr>
        <w:spacing w:after="0" w:line="187"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No stamp duty is payable in respect of the issue of the warrants. An instrument of transfer in respect of a warrant is stampable if executed in or brought into the Cayman Islands.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 stamp duty is payable in respect of the issue of our Class A ordinary shares or on an instrument of transfer in respect of such shares.</w:t>
      </w:r>
    </w:p>
    <w:p>
      <w:pPr>
        <w:spacing w:after="0" w:line="2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Company has been incorporated under the laws of the Cayman Islands as an exempted company with limited liability and, as such, has received an undertaking from the Financial Secretary of the Cayman Islands in the following form:</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Tax Concessions Law (2018 Revision)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Undertaking as to Tax Concessions</w:t>
      </w:r>
    </w:p>
    <w:p>
      <w:pPr>
        <w:spacing w:after="0" w:line="211" w:lineRule="exact"/>
        <w:rPr>
          <w:sz w:val="20"/>
          <w:szCs w:val="20"/>
          <w:color w:val="auto"/>
        </w:rPr>
      </w:pPr>
    </w:p>
    <w:p>
      <w:pPr>
        <w:ind w:right="660" w:firstLine="324"/>
        <w:spacing w:after="0" w:line="277" w:lineRule="auto"/>
        <w:rPr>
          <w:sz w:val="20"/>
          <w:szCs w:val="20"/>
          <w:color w:val="auto"/>
        </w:rPr>
      </w:pPr>
      <w:r>
        <w:rPr>
          <w:rFonts w:ascii="Arial" w:cs="Arial" w:eastAsia="Arial" w:hAnsi="Arial"/>
          <w:sz w:val="18"/>
          <w:szCs w:val="18"/>
          <w:color w:val="auto"/>
        </w:rPr>
        <w:t>In accordance with the provision of Section 6 of The Tax Concessions Law (2018 Revision), the Financial Secretary undertakes with Freedom Acquisition I Corp. (“the Company”):</w:t>
      </w:r>
    </w:p>
    <w:p>
      <w:pPr>
        <w:spacing w:after="0" w:line="170" w:lineRule="exact"/>
        <w:rPr>
          <w:sz w:val="20"/>
          <w:szCs w:val="20"/>
          <w:color w:val="auto"/>
        </w:rPr>
      </w:pPr>
    </w:p>
    <w:p>
      <w:pPr>
        <w:ind w:left="660" w:right="120" w:hanging="328"/>
        <w:spacing w:after="0" w:line="277" w:lineRule="auto"/>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That no law which is hereafter enacted in the Cayman Islands imposing any tax to be levied on profits, income, gains or appreciations shall apply to the Company or its operations; and</w:t>
      </w:r>
    </w:p>
    <w:p>
      <w:pPr>
        <w:spacing w:after="0" w:line="170" w:lineRule="exact"/>
        <w:rPr>
          <w:rFonts w:ascii="Arial" w:cs="Arial" w:eastAsia="Arial" w:hAnsi="Arial"/>
          <w:sz w:val="18"/>
          <w:szCs w:val="18"/>
          <w:color w:val="auto"/>
        </w:rPr>
      </w:pPr>
    </w:p>
    <w:p>
      <w:pPr>
        <w:ind w:left="660" w:right="340" w:hanging="328"/>
        <w:spacing w:after="0" w:line="277" w:lineRule="auto"/>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In addition, that no tax to be levied on profits, income, gains or appreciations or which is in the nature of estate duty or inheritance tax shall be payable:</w:t>
      </w:r>
    </w:p>
    <w:p>
      <w:pPr>
        <w:spacing w:after="0" w:line="170"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2.1 On or in respect of the shares, debentures or other obligations of the Company; or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2.2 by way of the withholding in whole or part, of any relevant payment as defined in the Tax Concessions Law (2018 Revision).</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These concessions shall be for a period of twenty years from the date hereof.</w:t>
      </w:r>
    </w:p>
    <w:p>
      <w:pPr>
        <w:spacing w:after="0" w:line="33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50" w:name="page151"/>
    <w:bookmarkEnd w:id="150"/>
    <w:p>
      <w:pPr>
        <w:jc w:val="center"/>
        <w:ind w:right="-39"/>
        <w:spacing w:after="0"/>
        <w:rPr>
          <w:sz w:val="20"/>
          <w:szCs w:val="20"/>
          <w:color w:val="auto"/>
        </w:rPr>
      </w:pPr>
      <w:r>
        <w:rPr>
          <w:rFonts w:ascii="Arial" w:cs="Arial" w:eastAsia="Arial" w:hAnsi="Arial"/>
          <w:sz w:val="18"/>
          <w:szCs w:val="18"/>
          <w:b w:val="1"/>
          <w:bCs w:val="1"/>
          <w:color w:val="auto"/>
        </w:rPr>
        <w:t>United States Federal Income Taxation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225"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The following discussion summarizes certain United States federal income tax considerations generally applicable to the acquisition, ownership and disposition of our units (each consisting of one Class A ordinary share and one-fourth of one redeemable warrant) that are purchased in this offering, which we refer to collectively as our securities, by U.S. Holders (as defined below) and Non-U.S. Holders (as defined below). Because the components of a unit are generally separable at the option of the holder, the holder of a unit generally should be treated, for United States federal income tax purposes, as the owner of the underlying Class A ordinary share and warrant components of the unit. As a result, the discussion below with respect to holders of Class A ordinary shares and warrants should also apply to holders of units (as the deemed owners of the underlying Class A ordinary shares and warrants that constitute the units).</w:t>
      </w:r>
    </w:p>
    <w:p>
      <w:pPr>
        <w:spacing w:after="0" w:line="195"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This discussion is limited to certain United States federal income tax considerations to beneficial owners of our securities who are initial purchasers of a unit pursuant to this offering and hold the unit and each component of the unit as a capital asset under the U.S. Internal Revenue Code of 1986, as amended (the “Code”). This discussion assumes that the Class A ordinary shares and warrants will trade separately and that any distributions made (or deemed made) by us on our Class A ordinary shares and any consideration received (or deemed received) by a holder in consideration for the sale or other disposition of our securities will be in U.S. dollars. This discussion is a summary only and does not consider all aspects of United States federal income taxation that may be relevant to the acquisition, ownership and disposition of a unit by a prospective investor in light of its particular circumstances, including:</w:t>
      </w:r>
    </w:p>
    <w:p>
      <w:pPr>
        <w:spacing w:after="0" w:line="195" w:lineRule="exact"/>
        <w:rPr>
          <w:sz w:val="20"/>
          <w:szCs w:val="20"/>
          <w:color w:val="auto"/>
        </w:rPr>
      </w:pPr>
    </w:p>
    <w:p>
      <w:pPr>
        <w:ind w:left="660" w:hanging="328"/>
        <w:spacing w:after="0"/>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sponsor;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financial institutions or financial services entities;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broker-dealers;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taxpayers that are subject to the mark-to-market tax accounting rules;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tax-exempt entities;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governments or agencies or instrumentalities thereof;</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regulated investment companies;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real estate investment trusts;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persons liable for alternative minimum tax;</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expatriates or former long-term residents of the United States;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7"/>
        </w:numPr>
        <w:rPr>
          <w:rFonts w:ascii="Arial" w:cs="Arial" w:eastAsia="Arial" w:hAnsi="Arial"/>
          <w:sz w:val="17"/>
          <w:szCs w:val="17"/>
          <w:color w:val="auto"/>
        </w:rPr>
      </w:pPr>
      <w:r>
        <w:rPr>
          <w:rFonts w:ascii="Arial" w:cs="Arial" w:eastAsia="Arial" w:hAnsi="Arial"/>
          <w:sz w:val="17"/>
          <w:szCs w:val="17"/>
          <w:color w:val="auto"/>
        </w:rPr>
        <w:t>persons that actually or constructively own ten percent or more of our voting shares or ten percent or more of the total value of our shares;</w:t>
      </w:r>
    </w:p>
    <w:p>
      <w:pPr>
        <w:spacing w:after="0" w:line="236" w:lineRule="exact"/>
        <w:rPr>
          <w:rFonts w:ascii="Arial" w:cs="Arial" w:eastAsia="Arial" w:hAnsi="Arial"/>
          <w:sz w:val="17"/>
          <w:szCs w:val="17"/>
          <w:color w:val="auto"/>
        </w:rPr>
      </w:pPr>
    </w:p>
    <w:p>
      <w:pPr>
        <w:ind w:left="660" w:right="440" w:hanging="328"/>
        <w:spacing w:after="0" w:line="277" w:lineRule="auto"/>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persons that acquired our securities pursuant to an exercise of employee share options, in connection with employee share incentive plans or otherwise as compensation;</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67"/>
        </w:numPr>
        <w:rPr>
          <w:rFonts w:ascii="Arial" w:cs="Arial" w:eastAsia="Arial" w:hAnsi="Arial"/>
          <w:sz w:val="17"/>
          <w:szCs w:val="17"/>
          <w:color w:val="auto"/>
        </w:rPr>
      </w:pPr>
      <w:r>
        <w:rPr>
          <w:rFonts w:ascii="Arial" w:cs="Arial" w:eastAsia="Arial" w:hAnsi="Arial"/>
          <w:sz w:val="17"/>
          <w:szCs w:val="17"/>
          <w:color w:val="auto"/>
        </w:rPr>
        <w:t>persons that hold our securities as part of a straddle, constructive sale, hedging, conversion or other integrated or similar transaction; or</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U.S. Holders whose functional currency is not the U.S. dollar.</w:t>
      </w:r>
    </w:p>
    <w:p>
      <w:pPr>
        <w:spacing w:after="0" w:line="225"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Moreover, the discussion below is based upon the provisions of the Code, the Treasury regulations promulgated thereunder and administrative and judicial interpretations thereof, all as of the date hereof, and such provisions may</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580" w:right="379" w:bottom="1440" w:gutter="0" w:footer="0" w:header="0"/>
        </w:sectPr>
      </w:pPr>
    </w:p>
    <w:bookmarkStart w:id="151" w:name="page152"/>
    <w:bookmarkEnd w:id="151"/>
    <w:p>
      <w:pPr>
        <w:ind w:right="40"/>
        <w:spacing w:after="0" w:line="263" w:lineRule="auto"/>
        <w:rPr>
          <w:sz w:val="20"/>
          <w:szCs w:val="20"/>
          <w:color w:val="auto"/>
        </w:rPr>
      </w:pPr>
      <w:r>
        <w:rPr>
          <w:rFonts w:ascii="Arial" w:cs="Arial" w:eastAsia="Arial" w:hAnsi="Arial"/>
          <w:sz w:val="18"/>
          <w:szCs w:val="18"/>
          <w:color w:val="auto"/>
        </w:rPr>
        <w:t>be repealed, revoked, modified or subject to differing interpretations, possibly on a retroactive basis, so as to result in United States federal income tax consequences different from those discussed below. Furthermore, this discussion does not address any aspect of United States federal non-income tax laws, such as gift, estate or Medicare contribution tax laws, or state, local or non-U.S. tax laws.</w:t>
      </w:r>
    </w:p>
    <w:p>
      <w:pPr>
        <w:spacing w:after="0" w:line="184" w:lineRule="exact"/>
        <w:rPr>
          <w:sz w:val="20"/>
          <w:szCs w:val="20"/>
          <w:color w:val="auto"/>
        </w:rPr>
      </w:pPr>
    </w:p>
    <w:p>
      <w:pPr>
        <w:ind w:right="220" w:firstLine="324"/>
        <w:spacing w:after="0" w:line="286" w:lineRule="auto"/>
        <w:rPr>
          <w:sz w:val="20"/>
          <w:szCs w:val="20"/>
          <w:color w:val="auto"/>
        </w:rPr>
      </w:pPr>
      <w:r>
        <w:rPr>
          <w:rFonts w:ascii="Arial" w:cs="Arial" w:eastAsia="Arial" w:hAnsi="Arial"/>
          <w:sz w:val="17"/>
          <w:szCs w:val="17"/>
          <w:color w:val="auto"/>
        </w:rPr>
        <w:t>We have not sought, and will not seek, a ruling from the IRS as to any United States federal income tax consequence described herein. The IRS may disagree with the discussion herein, and its determination may be upheld by a court. Moreover, there can be no assurance that future legislation, regulations, administrative rulings or court decisions will not change the accuracy of the statements in this discussion.</w:t>
      </w:r>
    </w:p>
    <w:p>
      <w:pPr>
        <w:spacing w:after="0" w:line="165"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As used herein, the term “U.S. Holder” means a beneficial owner of units, Class A ordinary shares or warrants who or that is for United States federal income tax purposes: (i) an individual citizen or resident of the United States, (ii) a corporation (or other entity treated as a corporation for United States federal income tax purposes) that is created or organized (or treated as created or organized) in or under the laws of the United States, any state thereof or the District of Columbia, (iii) an estate the income of which is subject to United States federal income taxation regardless of its source or (iv) a trust if (A) a court within the United States is able to exercise primary supervision over the administration of the trust and one or more U.S. persons have the authority to control all substantial decisions of the trust, or (B) it has in effect a valid election to be treated as a U.S. person.</w:t>
      </w:r>
    </w:p>
    <w:p>
      <w:pPr>
        <w:spacing w:after="0" w:line="178"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This discussion does not consider the tax treatment of partnerships or arrangements treated as partnerships or other pass-through entities or persons who hold our securities through such entities. If a partnership (or other entity or arrangement classified as a partnership for United States federal income tax purposes) is the beneficial owner of our securities, the United States federal income tax treatment of a partner in the partnership generally will depend on the status of the partner and the activities of the partnership. Partnerships holding our securities and partners in such partnerships are urged to consult their own tax advisors.</w:t>
      </w:r>
    </w:p>
    <w:p>
      <w:pPr>
        <w:spacing w:after="0" w:line="188" w:lineRule="exact"/>
        <w:rPr>
          <w:sz w:val="20"/>
          <w:szCs w:val="20"/>
          <w:color w:val="auto"/>
        </w:rPr>
      </w:pPr>
    </w:p>
    <w:p>
      <w:pPr>
        <w:ind w:right="200" w:firstLine="324"/>
        <w:spacing w:after="0" w:line="257" w:lineRule="auto"/>
        <w:rPr>
          <w:sz w:val="20"/>
          <w:szCs w:val="20"/>
          <w:color w:val="auto"/>
        </w:rPr>
      </w:pPr>
      <w:r>
        <w:rPr>
          <w:rFonts w:ascii="Arial" w:cs="Arial" w:eastAsia="Arial" w:hAnsi="Arial"/>
          <w:sz w:val="18"/>
          <w:szCs w:val="18"/>
          <w:color w:val="auto"/>
        </w:rPr>
        <w:t>THIS DISCUSSION IS ONLY A SUMMARY OF CERTAIN UNITED STATES FEDERAL INCOME TAX CONSIDERATIONS ASSOCIATED WITH THE ACQUISITION, OWNERSHIP AND DISPOSITION OF OUR SECURITIES. EACH PROSPECTIVE INVESTOR IN OUR SECURITIES IS URGED TO CONSULT ITS OWN TAX ADVISOR WITH RESPECT TO THE PARTICULAR TAX CONSEQUENCES TO SUCH INVESTOR OF THE ACQUISITION, OWNERSHIP AND DISPOSITION OF OUR SECURITIES, INCLUDING THE APPLICABILITY AND EFFECT OF ANY STATE, LOCAL, AND NON-U.S. TAX LAWS.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Allocation of Purchase Price and Characterization of a Unit</w:t>
      </w:r>
    </w:p>
    <w:p>
      <w:pPr>
        <w:spacing w:after="0" w:line="229" w:lineRule="exact"/>
        <w:rPr>
          <w:sz w:val="20"/>
          <w:szCs w:val="20"/>
          <w:color w:val="auto"/>
        </w:rPr>
      </w:pPr>
    </w:p>
    <w:p>
      <w:pPr>
        <w:ind w:right="40" w:firstLine="324"/>
        <w:spacing w:after="0" w:line="286" w:lineRule="auto"/>
        <w:rPr>
          <w:sz w:val="20"/>
          <w:szCs w:val="20"/>
          <w:color w:val="auto"/>
        </w:rPr>
      </w:pPr>
      <w:r>
        <w:rPr>
          <w:rFonts w:ascii="Arial" w:cs="Arial" w:eastAsia="Arial" w:hAnsi="Arial"/>
          <w:sz w:val="16"/>
          <w:szCs w:val="16"/>
          <w:color w:val="auto"/>
        </w:rPr>
        <w:t>No statutory, administrative or judicial authority directly addresses the treatment of a unit or instruments similar to a unit for United States federal income tax purposes, and therefore, that treatment is not entirely clear. The acquisition of a unit should be treated for United States federal income tax purposes as the acquisition of one Class A ordinary share and one-fourth of one warrant, a whole one of which is exercisable to acquire one Class A ordinary share. We intend to treat the acquisition of a unit in this manner. For United States federal income tax purposes, each holder of a unit must allocate the purchase price paid by such holder for such unit between the one Class A ordinary share and the one-fourth of one warrant based on the relative fair market value of each at the time of issuance. Under United States federal income tax law, each investor must make his or her own determination of such value based on all the facts and circumstances. Therefore, we strongly urge each investor to consult his or her tax advisor regarding the determination of value for these purposes. The price allocated to each Class A ordinary share and one-fourth of one warrant should be the shareholder’s tax basis in such share or warrant. Any disposition of a unit should be treated for United States federal income tax purposes as a disposition of the Class A ordinary share and one-fourth of one warrant comprising the unit, and the amount realized on the disposition should be allocated between the Class A ordinary share and warrant based on their relative fair market values at the time of disposition (as determined by each such unit holder based on all the facts and circumstances). Neither the separation of the Class A ordinary share and the one-fourth of one warrant constituting a unit nor the combination of fourths of warrants into a single warrant should be a taxable event for United States federal income tax purposes.</w:t>
      </w:r>
    </w:p>
    <w:p>
      <w:pPr>
        <w:spacing w:after="0" w:line="174"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The foregoing treatment of the Class A ordinary shares and warrants and a holder’s purchase price allocation are not binding on the IRS or the courts. Because there are no authorities that directly address instruments that are similar to the units, no assurance can be given that the IRS or the courts will agree with the characterization described above or the discussion below. Accordingly, each prospective investor is urged to consult its tax advisors regarding the tax consequences of an investment in a unit (including alternative characterizations of a unit). The balance of this discussion assumes that the characterization of the units described above is respected for United States federal income tax purposes.</w:t>
      </w:r>
    </w:p>
    <w:p>
      <w:pPr>
        <w:spacing w:after="0" w:line="28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52" w:name="page153"/>
    <w:bookmarkEnd w:id="152"/>
    <w:p>
      <w:pPr>
        <w:spacing w:after="0"/>
        <w:rPr>
          <w:sz w:val="20"/>
          <w:szCs w:val="20"/>
          <w:color w:val="auto"/>
        </w:rPr>
      </w:pPr>
      <w:r>
        <w:rPr>
          <w:rFonts w:ascii="Arial" w:cs="Arial" w:eastAsia="Arial" w:hAnsi="Arial"/>
          <w:sz w:val="18"/>
          <w:szCs w:val="18"/>
          <w:b w:val="1"/>
          <w:bCs w:val="1"/>
          <w:i w:val="1"/>
          <w:iCs w:val="1"/>
          <w:color w:val="auto"/>
        </w:rPr>
        <w:t>U.S. Holders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Distributions</w:t>
      </w:r>
    </w:p>
    <w:p>
      <w:pPr>
        <w:spacing w:after="0" w:line="229"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Subject to PFIC rules discussed below, a U.S. Holder generally will be required to include in gross income, in accordance with such U.S. Holder’s method of accounting for United States federal income tax purposes, as dividends the amount of any cash distribution paid on our Class A ordinary shares to the extent the distribution is paid out of our current or accumulated earnings and profits (as determined under United States federal income tax principles). Such dividends paid by us will be taxable to a corporate U.S. Holder at ordinary income rates and will not be eligible for the dividends-received deduction generally allowed to domestic corporations in respect of dividends received from other domestic corporations. Subject to the PFIC rules discussed below, distributions in excess of such earnings and profits generally will be applied against and reduce the U.S. Holder’s basis in its Class A ordinary shares (but not below zero) and, to the extent in excess of such basis, will be treated as gain from the sale or exchange of such Class A ordinary shares.</w:t>
      </w:r>
    </w:p>
    <w:p>
      <w:pPr>
        <w:spacing w:after="0" w:line="192"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With respect to non-corporate U.S. Holders, dividends generally will be taxed at the lower applicable long-term capital gains rate (see “Gain or Loss on Sale, Taxable Exchange or Other Taxable Disposition of Class A Ordinary Shares and Warrants” below) only if our Class A ordinary shares are readily tradable on an established securities market in the United States and certain other requirements, including certain holding period requirements, are met. It is unclear, however, whether certain redemption rights described in this prospectus may suspend the running of the applicable holding period for this purpose. U.S. Holders should consult their tax advisors regarding the availability of such lower rate for any dividends paid with respect to our Class A ordinary shares.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Gain or Loss on Sale, Taxable Exchange or Other Taxable Disposition of Class A Ordinary Shares and Warrants</w:t>
      </w:r>
    </w:p>
    <w:p>
      <w:pPr>
        <w:spacing w:after="0" w:line="229" w:lineRule="exact"/>
        <w:rPr>
          <w:sz w:val="20"/>
          <w:szCs w:val="20"/>
          <w:color w:val="auto"/>
        </w:rPr>
      </w:pPr>
    </w:p>
    <w:p>
      <w:pPr>
        <w:ind w:right="180" w:firstLine="324"/>
        <w:spacing w:after="0" w:line="291" w:lineRule="auto"/>
        <w:rPr>
          <w:sz w:val="20"/>
          <w:szCs w:val="20"/>
          <w:color w:val="auto"/>
        </w:rPr>
      </w:pPr>
      <w:r>
        <w:rPr>
          <w:rFonts w:ascii="Arial" w:cs="Arial" w:eastAsia="Arial" w:hAnsi="Arial"/>
          <w:sz w:val="16"/>
          <w:szCs w:val="16"/>
          <w:color w:val="auto"/>
        </w:rPr>
        <w:t>Subject to the PFIC rules discussed below, a U.S. Holder generally will recognize capital gain or loss on the sale or other taxable disposition of our Class A ordinary shares or warrants (including on our dissolution and liquidation if we do not consummate an initial business combination within the required time period). Any such capital gain or loss generally will be long-term capital gain or loss if the U.S. Holder’s holding period for such Class A ordinary shares or warrants exceeds one year. It is unclear, however, whether certain redemption rights described in this prospectus may suspend the running of the applicable holding period for this purpose. If the running of the holding period is suspended, then non-corporate U.S. Holders may not be able to satisfy the one-year holding period requirement for long-term capital gain treatment, in which case any gain on a sale or taxable disposition of our Class A ordinary shares or warrants would be subject to short-term capital gain treatment and would be taxed at ordinary income rates.</w:t>
      </w:r>
    </w:p>
    <w:p>
      <w:pPr>
        <w:spacing w:after="0" w:line="166" w:lineRule="exact"/>
        <w:rPr>
          <w:sz w:val="20"/>
          <w:szCs w:val="20"/>
          <w:color w:val="auto"/>
        </w:rPr>
      </w:pPr>
    </w:p>
    <w:p>
      <w:pPr>
        <w:ind w:right="40" w:firstLine="324"/>
        <w:spacing w:after="0" w:line="269" w:lineRule="auto"/>
        <w:rPr>
          <w:sz w:val="20"/>
          <w:szCs w:val="20"/>
          <w:color w:val="auto"/>
        </w:rPr>
      </w:pPr>
      <w:r>
        <w:rPr>
          <w:rFonts w:ascii="Arial" w:cs="Arial" w:eastAsia="Arial" w:hAnsi="Arial"/>
          <w:sz w:val="17"/>
          <w:szCs w:val="17"/>
          <w:color w:val="auto"/>
        </w:rPr>
        <w:t>The amount of gain or loss recognized on a sale or other taxable disposition generally will be equal to the difference between (i) the amount of cash and the fair market value of any property received in such disposition (or, if the Class A ordinary shares or warrants are held as part of units at the time of the disposition, the portion of the amount realized on such disposition that is allocated to the Class A ordinary shares or warrants based upon the then fair market values of the Class A ordinary shares and the warrants included in the units) and (ii) the U.S. Holder’s adjusted tax basis in its Class A ordinary shares or warrants so disposed of. A U.S. Holder’s adjusted tax basis in its Class A ordinary shares or warrants generally will equal the U.S. Holder’s acquisition cost (that is, the portion of the purchase price of a unit allocated to a Class A ordinary share or one-fourth of one warrant, as described above under “Allocation of Purchase Price and Characterization of a Unit”) reduced, with respect to the Class A ordinary shares, by any prior distributions treated as a return of capital. Long-term capital gain realized by a non-corporate U.S. Holder is currently eligible to be taxed at reduced rates. See “Exercise, Lapse or Redemption of a Warrant” below for a discussion regarding a U.S. Holder’s basis in a Class A ordinary share acquired pursuant to the exercise of a warrant. The deduction of capital losses is subject to certain limitations.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Redemption of Class A Ordinary Shares</w:t>
      </w:r>
    </w:p>
    <w:p>
      <w:pPr>
        <w:spacing w:after="0" w:line="229" w:lineRule="exact"/>
        <w:rPr>
          <w:sz w:val="20"/>
          <w:szCs w:val="20"/>
          <w:color w:val="auto"/>
        </w:rPr>
      </w:pPr>
    </w:p>
    <w:p>
      <w:pPr>
        <w:ind w:right="740" w:firstLine="324"/>
        <w:spacing w:after="0" w:line="277" w:lineRule="auto"/>
        <w:rPr>
          <w:sz w:val="20"/>
          <w:szCs w:val="20"/>
          <w:color w:val="auto"/>
        </w:rPr>
      </w:pPr>
      <w:r>
        <w:rPr>
          <w:rFonts w:ascii="Arial" w:cs="Arial" w:eastAsia="Arial" w:hAnsi="Arial"/>
          <w:sz w:val="18"/>
          <w:szCs w:val="18"/>
          <w:color w:val="auto"/>
        </w:rPr>
        <w:t>Subject to the PFIC rules discussed below, in the event that a U.S. Holder’s Class A ordinary shares are redeemed pursuant to the redemption provisions described in this prospectus under “Description of Securities—</w:t>
      </w:r>
    </w:p>
    <w:p>
      <w:pPr>
        <w:spacing w:after="0" w:line="27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53" w:name="page154"/>
    <w:bookmarkEnd w:id="153"/>
    <w:p>
      <w:pPr>
        <w:spacing w:after="0" w:line="287" w:lineRule="auto"/>
        <w:rPr>
          <w:sz w:val="20"/>
          <w:szCs w:val="20"/>
          <w:color w:val="auto"/>
        </w:rPr>
      </w:pPr>
      <w:r>
        <w:rPr>
          <w:rFonts w:ascii="Arial" w:cs="Arial" w:eastAsia="Arial" w:hAnsi="Arial"/>
          <w:sz w:val="16"/>
          <w:szCs w:val="16"/>
          <w:color w:val="auto"/>
        </w:rPr>
        <w:t>Ordinary Shares” or if we purchase a U.S. Holder’s Class A ordinary shares in an open market transaction, the treatment of the transaction for United States federal income tax purposes will depend on whether the redemption or purchase by us qualifies as a sale of the Class A ordinary shares under Section 302 of the Code. If the redemption or purchase by us qualifies as a sale of Class A ordinary shares, the U.S. Holder will be treated as described under “Gain or Loss on Sale, Taxable Exchange or Other Taxable Disposition of Class A Ordinary Shares and Warrants” above. If the redemption or purchase by us does not qualify as a sale of Class A ordinary shares, the U.S. Holder will be treated as receiving a corporate distribution with the tax consequences described above under “Taxation of Distributions.” Whether a redemption or purchase by us qualifies for sale treatment will depend largely on the total number of our shares treated as held by the U.S. Holder (including any Class A ordinary shares constructively owned by the U.S. Holder as a result of owning warrants) relative to all of our shares outstanding both before and after such redemption or purchase. The redemption or purchase by us of Class A ordinary shares generally will be treated as a sale of the Class A ordinary shares (rather than as a corporate distribution) if such redemption or purchase by us (i) is “substantially disproportionate” with respect to the U.S. Holder, (ii) results in a “complete termination” of the U.S. Holder’s interest in us or (iii) is “not essentially equivalent to a dividend” with respect to the U.S. Holder. These tests are explained more fully below.</w:t>
      </w:r>
    </w:p>
    <w:p>
      <w:pPr>
        <w:spacing w:after="0" w:line="172" w:lineRule="exact"/>
        <w:rPr>
          <w:sz w:val="20"/>
          <w:szCs w:val="20"/>
          <w:color w:val="auto"/>
        </w:rPr>
      </w:pPr>
    </w:p>
    <w:p>
      <w:pPr>
        <w:ind w:firstLine="324"/>
        <w:spacing w:after="0" w:line="267" w:lineRule="auto"/>
        <w:rPr>
          <w:sz w:val="20"/>
          <w:szCs w:val="20"/>
          <w:color w:val="auto"/>
        </w:rPr>
      </w:pPr>
      <w:r>
        <w:rPr>
          <w:rFonts w:ascii="Arial" w:cs="Arial" w:eastAsia="Arial" w:hAnsi="Arial"/>
          <w:sz w:val="17"/>
          <w:szCs w:val="17"/>
          <w:color w:val="auto"/>
        </w:rPr>
        <w:t>In determining whether any of the foregoing tests are satisfied, a U.S. Holder takes into account not only our shares actually owned by the U.S. Holder, but also our shares that are constructively owned by such holder. A U.S. Holder may constructively own, in addition to shares owned directly, shares owned by certain related individuals and entities in which the U.S. Holder has an interest or that have an interest in such U.S. Holder, as well as any shares the U.S. Holder has a right to acquire by exercise of an option, which would generally include Class A ordinary shares which could be acquired pursuant to the exercise of the warrants. In order to meet the substantially disproportionate test, the percentage of our issued and outstanding voting shares actually and constructively owned by the U.S. Holder immediately following the redemption or purchase by us of Class A ordinary shares must, among other requirements, be less than 80 percent of the percentage of our issued and outstanding voting shares actually and constructively owned by the U.S. Holder immediately before the redemption or purchase by us. Prior to our initial business combination the Class A ordinary shares may not be treated as voting shares for this purpose and, consequently, this substantially disproportionate test may not be applicable. There will be a complete termination of a U.S. Holder’s interest if either (i) all of our shares actually and constructively owned by the U.S. Holder are redeemed or (ii) all of our shares actually owned by the U.S. Holder are redeemed and the U.S. Holder is eligible to waive, and effectively waives in accordance with specific rules, the attribution of shares owned by certain family members and the U.S. Holder does not constructively own any other of our shares. The redemption or purchase by us of the Class A ordinary shares will not be essentially equivalent to a dividend if such redemption or purchase by us results in a “meaningful reduction” of the U.S. Holder’s proportionate interest in us. Whether the redemption or purchase by us will result in a meaningful reduction in a U.S. Holder’s proportionate interest in us will depend on the particular facts and circumstances. However, the IRS has indicated in a published ruling that even a small reduction in the proportionate interest of a small minority shareholder in a publicly held corporation who exercises no control over corporate affairs may constitute such a “meaningful reduction.” A U.S. Holder should consult its own tax advisors as to the tax consequences of a redemption or purchase by us of any Class A ordinary shares.</w:t>
      </w:r>
    </w:p>
    <w:p>
      <w:pPr>
        <w:spacing w:after="0" w:line="190" w:lineRule="exact"/>
        <w:rPr>
          <w:sz w:val="20"/>
          <w:szCs w:val="20"/>
          <w:color w:val="auto"/>
        </w:rPr>
      </w:pPr>
    </w:p>
    <w:p>
      <w:pPr>
        <w:ind w:right="60" w:firstLine="324"/>
        <w:spacing w:after="0" w:line="279" w:lineRule="auto"/>
        <w:rPr>
          <w:sz w:val="20"/>
          <w:szCs w:val="20"/>
          <w:color w:val="auto"/>
        </w:rPr>
      </w:pPr>
      <w:r>
        <w:rPr>
          <w:rFonts w:ascii="Arial" w:cs="Arial" w:eastAsia="Arial" w:hAnsi="Arial"/>
          <w:sz w:val="17"/>
          <w:szCs w:val="17"/>
          <w:color w:val="auto"/>
        </w:rPr>
        <w:t>If none of the foregoing tests are satisfied, then the redemption or purchase by us of any Class A ordinary shares will be treated as a corporate distribution and the tax effects will be as described under “Taxation of Distributions” above. After the application of those rules, any remaining tax basis of the U.S. Holder in the redeemed Class A ordinary shares will be added to the U.S. Holder’s adjusted tax basis in its remaining shares. If there are no remaining shares, a U.S. Holder is urged to consult its tax advisor as to the allocation of any remaining tax basis.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Exercise, Lapse or Redemption of a Warrant</w:t>
      </w:r>
    </w:p>
    <w:p>
      <w:pPr>
        <w:spacing w:after="0" w:line="229"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Subject to the PFIC rules discussed below and except as discussed below with respect to the cashless exercise of a warrant, a U.S. Holder generally will not recognize gain or loss upon the acquisition of a Class A ordinary share on the exercise of a warrant for cash. A U.S. Holder’s tax basis in a Class A ordinary share received upon exercise of the warrant generally will equal the sum of the U.S. Holder’s initial investment in the warrant (that is, the portion of the U.S. Holder’s purchase price for the units that is allocated to the warrant, as described above under “Allocation of Purchase Price and Characterization of a Unit”) and the exercise price. It is unclear whether a U.S. Holder’s holding period for the Class A ordinary share will commence on the date of exercise of the warrant or the day following the date of exercise of the warrant; in either case, the holding period will not include the period during which the U.S. Holder held the warrant. If a warrant is allowed to lapse unexercised, a U.S. Holder generally will recognize a capital loss equal to such holder’s tax basis in the warrant.</w:t>
      </w:r>
    </w:p>
    <w:p>
      <w:pPr>
        <w:spacing w:after="0" w:line="30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54" w:name="page155"/>
    <w:bookmarkEnd w:id="154"/>
    <w:p>
      <w:pPr>
        <w:ind w:firstLine="324"/>
        <w:spacing w:after="0" w:line="288" w:lineRule="auto"/>
        <w:rPr>
          <w:sz w:val="20"/>
          <w:szCs w:val="20"/>
          <w:color w:val="auto"/>
        </w:rPr>
      </w:pPr>
      <w:r>
        <w:rPr>
          <w:rFonts w:ascii="Arial" w:cs="Arial" w:eastAsia="Arial" w:hAnsi="Arial"/>
          <w:sz w:val="16"/>
          <w:szCs w:val="16"/>
          <w:color w:val="auto"/>
        </w:rPr>
        <w:t>The tax consequences of a cashless exercise of a warrant are not clear under current law. A cashless exercise may not be taxable, either because the exercise is not a realization event or because the exercise is treated as a recapitalization for United States federal income tax purposes (including if a U.S. Holder exercises its warrants on a cashless basis after we provide notice that we will redeem warrants for $0.10 as described in the section of this prospectus entitled “Description of Securities—Warrants—Public Stockholders’ Warrants—Redemption of warrants when the price per Class A ordinary share equals or exceeds $10.00” and “Description of Securities—Warrants—Public Stockholders’ Warrants—Redemption of warrants when the price per Class A ordinary share equals or exceeds $18.00” and such cashless exercise is characterized as a redemption of warrants for Class A ordinary shares). In either situation, a U.S. Holder’s tax basis in the Class A ordinary shares received generally would equal the U.S. Holder’s tax basis in the warrants. If the cashless exercise was not a realization event, it is unclear whether a U.S. Holder’s holding period for the Class A ordinary share will commence on the date of exercise of the warrant or the day following the date of exercise of the warrant. If the cashless exercise were treated as a recapitalization, the holding period of the Class A ordinary shares would include the holding period of the warrants.</w:t>
      </w:r>
    </w:p>
    <w:p>
      <w:pPr>
        <w:spacing w:after="0" w:line="168"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It is also possible that a cashless exercise may be treated in part as a taxable exchange in which gain or loss would be recognized. In such event, a portion of the warrants to be exercised on a cashless basis could, for U.S. federal income tax purposes, be deemed to have been surrendered in consideration for the exercise price of the remaining warrants, which would be deemed to be exercised. For this purpose, a U.S. Holder may be deemed to have surrendered warrants with an aggregate value equal to the exercise price for the total number of warrants to be deemed exercised. Subject to the PFIC rules discussed below, the U.S. Holder would recognize capital gain or loss in an amount equal to the difference between the fair market value of the warrants deemed surrendered and the U.S. Holder’s tax basis in such warrants. In this case, a U.S. Holder’s tax basis in the Class A ordinary shares received would equal the sum of the U.S. Holder’s initial investment in the warrants deemed exercised (i.e., the portion of the U.S. Holder’s purchase price for the units that is allocated to the warrant, as described above under “Allocation of Purchase Price and Characterization of a Unit”) and the exercise price of such warrants. It is unclear whether a U.S. Holder’s holding period for the Class A ordinary shares would commence on the date of exercise of the warrant or the day following the date of exercise of the warrant.</w:t>
      </w:r>
    </w:p>
    <w:p>
      <w:pPr>
        <w:spacing w:after="0" w:line="18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Due to the absence of authority on the United States federal income tax treatment of a cashless exercise, there can be no assurance which, if any, of the alternative tax consequences and holding periods described above would be adopted by the IRS or a court of law. Accordingly, U.S. Holders should consult their tax advisors regarding the tax consequences of a cashless exercise.</w:t>
      </w:r>
    </w:p>
    <w:p>
      <w:pPr>
        <w:spacing w:after="0" w:line="184"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Subject to the PFIC rules described below, if we redeem warrants for cash pursuant to the redemption provisions described in the section of this prospectus entitled “Description of Securities—Warrants—Public Shareholders’ Warrants” or if we purchase warrants in an open market transaction, such redemption or purchase generally will be treated as a taxable disposition to the U.S. Holder, taxed as described above under “Gain or Loss on Sale, Taxable Exchange or Other Taxable Disposition of Class A Ordinary Shares and Warrants.”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Possible Constructive Distributions</w:t>
      </w:r>
    </w:p>
    <w:p>
      <w:pPr>
        <w:spacing w:after="0" w:line="229" w:lineRule="exact"/>
        <w:rPr>
          <w:sz w:val="20"/>
          <w:szCs w:val="20"/>
          <w:color w:val="auto"/>
        </w:rPr>
      </w:pPr>
    </w:p>
    <w:p>
      <w:pPr>
        <w:ind w:right="60" w:firstLine="324"/>
        <w:spacing w:after="0" w:line="269" w:lineRule="auto"/>
        <w:rPr>
          <w:sz w:val="20"/>
          <w:szCs w:val="20"/>
          <w:color w:val="auto"/>
        </w:rPr>
      </w:pPr>
      <w:r>
        <w:rPr>
          <w:rFonts w:ascii="Arial" w:cs="Arial" w:eastAsia="Arial" w:hAnsi="Arial"/>
          <w:sz w:val="17"/>
          <w:szCs w:val="17"/>
          <w:color w:val="auto"/>
        </w:rPr>
        <w:t>The terms of each warrant provide for an adjustment to the number of Class A ordinary shares for which the warrant may be exercised or to the exercise price of the warrant in certain events, as discussed in the section of this prospectus captioned “Description of Securities—Warrants—Public Shareholders’ Warrants.” An adjustment which has the effect of preventing dilution generally is not taxable. The U.S. Holders of the warrants would, however, be treated as receiving a constructive distribution from us if, for example, the adjustment increases such U.S. Holders’ proportionate interest in our assets or earnings and profits (e.g., through an increase in the number of Class A ordinary shares that would be obtained upon exercise or through a decrease in the exercise price of the warrant) as a result of a distribution of cash or other property such as other securities to the holders of our Class A ordinary shares which is taxable to the U.S. Holders of such Class A ordinary shares as described under “Taxation of Distributions” above. Such constructive distribution would be subject to tax as described under that section in the same manner as if the U.S. Holders of the warrants received a cash distribution from us equal to the fair market value of the increase in the interest. For certain information reporting purposes, we are required to determine the date and amount of any such constructive distributions. Proposed Treasury regulations, which we may rely on prior to the issuance of final regulations, specify how the date and amount of constructive distributions are determined.</w:t>
      </w: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584" w:right="379" w:bottom="1440" w:gutter="0" w:footer="0" w:header="0"/>
        </w:sectPr>
      </w:pPr>
    </w:p>
    <w:bookmarkStart w:id="155" w:name="page156"/>
    <w:bookmarkEnd w:id="155"/>
    <w:p>
      <w:pPr>
        <w:spacing w:after="0"/>
        <w:rPr>
          <w:sz w:val="20"/>
          <w:szCs w:val="20"/>
          <w:color w:val="auto"/>
        </w:rPr>
      </w:pPr>
      <w:r>
        <w:rPr>
          <w:rFonts w:ascii="Arial" w:cs="Arial" w:eastAsia="Arial" w:hAnsi="Arial"/>
          <w:sz w:val="18"/>
          <w:szCs w:val="18"/>
          <w:b w:val="1"/>
          <w:bCs w:val="1"/>
          <w:color w:val="auto"/>
        </w:rPr>
        <w:t>Passive Foreign Investment Company Rules</w:t>
      </w:r>
    </w:p>
    <w:p>
      <w:pPr>
        <w:spacing w:after="0" w:line="229" w:lineRule="exact"/>
        <w:rPr>
          <w:sz w:val="20"/>
          <w:szCs w:val="20"/>
          <w:color w:val="auto"/>
        </w:rPr>
      </w:pPr>
    </w:p>
    <w:p>
      <w:pPr>
        <w:ind w:right="100" w:firstLine="324"/>
        <w:spacing w:after="0" w:line="273" w:lineRule="auto"/>
        <w:rPr>
          <w:sz w:val="20"/>
          <w:szCs w:val="20"/>
          <w:color w:val="auto"/>
        </w:rPr>
      </w:pPr>
      <w:r>
        <w:rPr>
          <w:rFonts w:ascii="Arial" w:cs="Arial" w:eastAsia="Arial" w:hAnsi="Arial"/>
          <w:sz w:val="17"/>
          <w:szCs w:val="17"/>
          <w:color w:val="auto"/>
        </w:rPr>
        <w:t>A non-U.S. corporation will be classified as a PFIC for United States federal income tax purposes if either (i) at least 75% of its gross income in a taxable year, including its pro rata share of the gross income of any corporation in which it is considered to own at least 25% of the shares by value, is passive income or (ii) at least 50% of its assets in a taxable year (ordinarily determined based on fair market value and averaged quarterly over the year), including its pro rata share of the assets of any corporation in which it is considered to own at least 25% of the shares by value, are held for the production of, or produce, passive income. Passive income generally includes dividends, interest, rents and royalties (other than rents or royalties derived from the active conduct of a trade or business) and gains from the disposition of passive assets.</w:t>
      </w:r>
    </w:p>
    <w:p>
      <w:pPr>
        <w:spacing w:after="0" w:line="178"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Because we are a blank check company, with no current active business, we believe that it is likely that we will meet the PFIC asset or income test for our current taxable year ending December 31, 2021 and any other periods prior to the initial business combination. However, pursuant to a start-up exception, a corporation will not be a PFIC for the first taxable year the corporation has gross income (the “start-up year”), if (i) no predecessor of the corporation was a PFIC; (ii) the corporation satisfies the IRS that it will not be a PFIC for either of the first two taxable years following the start-up year; and (iii) the corporation is not in fact a PFIC for either of those years. Although subject to uncertainty, we may qualify for the start-up exception for 2021, and, in such case, we would not be treated as a PFIC for 2021. The applicability of the start-up exception to us will not be known until after the close of our current taxable year ending December 31, 2021 and, perhaps, until after the close of the first two taxable years following our start-up year (within the meaning of the start-up exception). Further, after the acquisition of a company or assets in a business combination, we may still meet one of the PFIC tests depending on the timing of the acquisition and the amount of our passive income and assets as well as the passive income and assets of the acquired business. If the company that we acquire in a business combination is a PFIC, then we will likely not qualify for the start-up exception and will be a PFIC for our current taxable year ending December 31, 2021. Our actual PFIC status for our current taxable year or any subsequent taxable year will not be determinable until after the end of such taxable year. Accordingly, there can be no assurance with respect to our status as a PFIC for our current taxable year ending December 31, 2021 or any future taxable year.</w:t>
      </w:r>
    </w:p>
    <w:p>
      <w:pPr>
        <w:spacing w:after="0" w:line="186"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Although our PFIC status is determined annually, an initial determination that our company is a PFIC will generally apply for subsequent years to a U.S. Holder who held (or is deemed to have held) Class A ordinary shares or warrants while we were a PFIC, whether or not we meet the test for PFIC status in those subsequent years. If we are determined to be a PFIC for any taxable year (or portion thereof) that is included in the holding period of a U.S. Holder of our Class A ordinary shares or warrants and, in the case of our Class A ordinary shares, the U.S. Holder did not make either a timely qualified electing fund (“QEF”) election or a mark-to-market election for our first taxable year as a PFIC in which the U.S. Holder held (or was deemed to hold) Class A ordinary shares, as described below, such U.S. Holder generally will be subject to special rules with respect to (i) any gain recognized by the U.S. Holder on the sale or other disposition of its Class A ordinary shares or warrants and (ii) any “excess distribution” made to the U.S. Holder (generally, any distributions to such U.S. Holder during a taxable year of the U.S. Holder that are greater than 125% of the average annual distributions received by such U.S. Holder in respect of the Class A ordinary shares during the three preceding taxable years of such U.S. Holder or, if shorter, such U.S. Holder’s holding period for the Class A ordinary shares).</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Under these rules:</w:t>
      </w:r>
    </w:p>
    <w:p>
      <w:pPr>
        <w:spacing w:after="0" w:line="225" w:lineRule="exact"/>
        <w:rPr>
          <w:sz w:val="20"/>
          <w:szCs w:val="20"/>
          <w:color w:val="auto"/>
        </w:rPr>
      </w:pPr>
    </w:p>
    <w:p>
      <w:pPr>
        <w:ind w:left="660" w:right="140" w:hanging="328"/>
        <w:spacing w:after="0" w:line="311" w:lineRule="auto"/>
        <w:tabs>
          <w:tab w:leader="none" w:pos="660" w:val="left"/>
        </w:tabs>
        <w:numPr>
          <w:ilvl w:val="0"/>
          <w:numId w:val="68"/>
        </w:numPr>
        <w:rPr>
          <w:rFonts w:ascii="Arial" w:cs="Arial" w:eastAsia="Arial" w:hAnsi="Arial"/>
          <w:sz w:val="16"/>
          <w:szCs w:val="16"/>
          <w:color w:val="auto"/>
        </w:rPr>
      </w:pPr>
      <w:r>
        <w:rPr>
          <w:rFonts w:ascii="Arial" w:cs="Arial" w:eastAsia="Arial" w:hAnsi="Arial"/>
          <w:sz w:val="16"/>
          <w:szCs w:val="16"/>
          <w:color w:val="auto"/>
        </w:rPr>
        <w:t>the U.S. Holder’s gain (including upon a disposition, redemption or expiration or, under certain circumstances, a pledge) or excess distribution will be allocated ratably over the U.S. Holder’s holding period for the Class A ordinary shares or warrants, possibly including gain realized by reason of transfers of Class A ordinary shares or warrants that would otherwise qualify as tax free for United States federal income tax purposes;</w:t>
      </w:r>
    </w:p>
    <w:p>
      <w:pPr>
        <w:spacing w:after="0" w:line="148" w:lineRule="exact"/>
        <w:rPr>
          <w:rFonts w:ascii="Arial" w:cs="Arial" w:eastAsia="Arial" w:hAnsi="Arial"/>
          <w:sz w:val="16"/>
          <w:szCs w:val="16"/>
          <w:color w:val="auto"/>
        </w:rPr>
      </w:pPr>
    </w:p>
    <w:p>
      <w:pPr>
        <w:jc w:val="both"/>
        <w:ind w:left="660" w:right="140" w:hanging="328"/>
        <w:spacing w:after="0" w:line="342" w:lineRule="auto"/>
        <w:tabs>
          <w:tab w:leader="none" w:pos="660" w:val="left"/>
        </w:tabs>
        <w:numPr>
          <w:ilvl w:val="0"/>
          <w:numId w:val="68"/>
        </w:numPr>
        <w:rPr>
          <w:rFonts w:ascii="Arial" w:cs="Arial" w:eastAsia="Arial" w:hAnsi="Arial"/>
          <w:sz w:val="16"/>
          <w:szCs w:val="16"/>
          <w:color w:val="auto"/>
        </w:rPr>
      </w:pPr>
      <w:r>
        <w:rPr>
          <w:rFonts w:ascii="Arial" w:cs="Arial" w:eastAsia="Arial" w:hAnsi="Arial"/>
          <w:sz w:val="16"/>
          <w:szCs w:val="16"/>
          <w:color w:val="auto"/>
        </w:rPr>
        <w:t>the amount allocated to the U.S. Holder’s taxable year in which the U.S. Holder recognized the gain or received the excess distribution, or to the period in the U.S. Holder’s holding period before the first day of our first taxable year in which we are a PFIC, will be taxed as ordinary income;</w:t>
      </w:r>
    </w:p>
    <w:p>
      <w:pPr>
        <w:spacing w:after="0" w:line="123" w:lineRule="exact"/>
        <w:rPr>
          <w:rFonts w:ascii="Arial" w:cs="Arial" w:eastAsia="Arial" w:hAnsi="Arial"/>
          <w:sz w:val="16"/>
          <w:szCs w:val="16"/>
          <w:color w:val="auto"/>
        </w:rPr>
      </w:pPr>
    </w:p>
    <w:p>
      <w:pPr>
        <w:jc w:val="both"/>
        <w:ind w:left="660" w:right="160" w:hanging="328"/>
        <w:spacing w:after="0" w:line="263" w:lineRule="auto"/>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amount allocated to other taxable years (or portions thereof) of the U.S. Holder and included in its holding period will be taxed at the highest tax rate in effect for that year and applicable to the U.S. Holder without regard to the U.S. Holder’s other items of income and loss for such year; and</w:t>
      </w:r>
    </w:p>
    <w:p>
      <w:pPr>
        <w:spacing w:after="0" w:line="29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156" w:name="page157"/>
    <w:bookmarkEnd w:id="156"/>
    <w:p>
      <w:pPr>
        <w:ind w:left="660" w:right="140" w:hanging="328"/>
        <w:spacing w:after="0" w:line="277" w:lineRule="auto"/>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an additional tax equal to the interest charge generally applicable to underpayments of tax will be imposed on the U.S. Holder with respect to the tax attributable to each such other taxable year of the U.S. Holder.</w:t>
      </w:r>
    </w:p>
    <w:p>
      <w:pPr>
        <w:spacing w:after="0" w:line="170" w:lineRule="exact"/>
        <w:rPr>
          <w:sz w:val="20"/>
          <w:szCs w:val="20"/>
          <w:color w:val="auto"/>
        </w:rPr>
      </w:pPr>
    </w:p>
    <w:p>
      <w:pPr>
        <w:ind w:right="60" w:firstLine="324"/>
        <w:spacing w:after="0" w:line="296" w:lineRule="auto"/>
        <w:rPr>
          <w:sz w:val="20"/>
          <w:szCs w:val="20"/>
          <w:color w:val="auto"/>
        </w:rPr>
      </w:pPr>
      <w:r>
        <w:rPr>
          <w:rFonts w:ascii="Arial" w:cs="Arial" w:eastAsia="Arial" w:hAnsi="Arial"/>
          <w:sz w:val="16"/>
          <w:szCs w:val="16"/>
          <w:color w:val="auto"/>
        </w:rPr>
        <w:t>In general, if we are determined to be a PFIC, a U.S. Holder will avoid the PFIC tax consequences described above in respect to our Class A ordinary shares (but not our warrants) by making a timely and valid QEF election (if eligible to do so) to include in income its pro rata share of our net capital gains (as long-term capital gain) and other earnings and profits (as ordinary income), on a current basis, in each case whether or not distributed, in the taxable year of the U.S. Holder in which or with which our taxable year ends. A U.S. Holder generally may make a separate election to defer the payment of taxes on undistributed income inclusions under the QEF rules, but if deferred, any such taxes will be subject to an interest charge.</w:t>
      </w:r>
    </w:p>
    <w:p>
      <w:pPr>
        <w:spacing w:after="0" w:line="161"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A U.S. Holder may not make a QEF election with respect to its warrants to acquire our Class A ordinary shares. As a result, if a U.S. Holder sells or otherwise disposes of such warrants (other than upon exercise of such warrants) and we were a PFIC at any time during the U.S. Holder’s holding period of such warrants, any gain recognized generally will be treated as an excess distribution, taxed as described above. If a U.S. Holder that exercises such warrants properly makes a QEF election with respect to the newly acquired Class A ordinary shares (or has previously made a QEF election with respect to our Class A ordinary shares), the QEF election will apply to the newly acquired Class A ordinary shares. Notwithstanding the foregoing, the adverse tax consequences relating to PFIC shares, adjusted to take into account the current income inclusions resulting from the QEF election, will continue to apply with respect to such newly acquired Class A ordinary shares (which generally will be deemed to have a holding period for purposes of the PFIC rules that includes the period the U.S. Holder held the warrants) for the pre-QEF election period, unless the U.S. Holder makes a purging election under the PFIC rules. Under one type of purging election, the U.S. Holder will be deemed to have sold such shares at their fair market value and any gain recognized on such deemed sale will be treated as an excess distribution, as described above. As a result of this election, the U.S. Holder will generally have additional basis (to the extent of any gain recognized on the deemed sale) and, solely for purposes of the PFIC rules, a new holding period in the Class A ordinary shares acquired upon the exercise of the warrants. U.S. Holders are urged to consult their tax advisors as to the application of the rules governing purging elections to their particular circumstances (including a separate “deemed dividend” election that may be available if we are a controlled foreign corporation).</w:t>
      </w:r>
    </w:p>
    <w:p>
      <w:pPr>
        <w:spacing w:after="0" w:line="184"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The QEF election is made on a shareholder-by-shareholder basis and, once made, can be revoked only with the consent of the IRS. A U.S. Holder generally makes a QEF election by attaching a completed IRS Form 8621 (Information Return by a Shareholder of a Passive Foreign Investment Company or Qualified Electing Fund), including the information provided in a PFIC annual information statement, to a timely filed United States federal income tax return for the tax year to which the election relates. Retroactive QEF elections generally may be made only by filing a protective statement with such return and if certain other conditions are met or with the consent of the IRS. U.S. Holders should consult their tax advisors regarding the availability and tax consequences of a retroactive QEF election under their particular circumstances.</w:t>
      </w:r>
    </w:p>
    <w:p>
      <w:pPr>
        <w:spacing w:after="0" w:line="178"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In order to comply with the requirements of a QEF election, a U.S. Holder must receive a PFIC annual information statement from us. If we determine we are a PFIC for any taxable year (of which there can be no assurance), we will endeavor to provide to a U.S. Holder such information as the IRS may require, including a PFIC annual information statement, in order to enable the U.S. Holder to make and maintain a QEF election, but there is no assurance that we will timely provide such required information. There is also no assurance that we will have timely knowledge of our status as a PFIC in the future or of the required information to be provided.</w:t>
      </w:r>
    </w:p>
    <w:p>
      <w:pPr>
        <w:spacing w:after="0" w:line="188"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If a U.S. Holder has made a QEF election with respect to our Class A ordinary shares, and the excess distribution rules discussed above do not apply to such shares (because of a timely QEF election for our first taxable year as a PFIC in which the U.S. Holder holds (or is deemed to hold) such shares or a purge of the PFIC taint pursuant to a purging election, as described above), any gain recognized on the sale of our Class A ordinary shares generally will be taxable as capital gain and no additional tax or interest charge will be imposed under the PFIC rules. As discussed above, if we are a PFIC for any taxable year, a U.S. Holder of our Class A ordinary shares that has made a QEF election will be currently taxed on its pro rata share of our earnings and profits, whether or not distributed for such year. A subsequent distribution of such earnings and profits that were previously included in income generally should not be taxable when distributed to such U.S. Holder. The tax basis of a U.S. Holder’s shares in a QEF will be increased by amounts that are included in income, and decreased by amounts distributed but not taxed as dividends, under the above rules. In addition, if we are not a PFIC for any taxable year, such U.S. Holder will not be subject to the QEF inclusion regime with respect to our Class A ordinary shares for such a taxable year.</w:t>
      </w:r>
    </w:p>
    <w:p>
      <w:pPr>
        <w:spacing w:after="0" w:line="27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157" w:name="page158"/>
    <w:bookmarkEnd w:id="157"/>
    <w:p>
      <w:pPr>
        <w:ind w:firstLine="324"/>
        <w:spacing w:after="0" w:line="270" w:lineRule="auto"/>
        <w:rPr>
          <w:sz w:val="20"/>
          <w:szCs w:val="20"/>
          <w:color w:val="auto"/>
        </w:rPr>
      </w:pPr>
      <w:r>
        <w:rPr>
          <w:rFonts w:ascii="Arial" w:cs="Arial" w:eastAsia="Arial" w:hAnsi="Arial"/>
          <w:sz w:val="17"/>
          <w:szCs w:val="17"/>
          <w:color w:val="auto"/>
        </w:rPr>
        <w:t>If we are a PFIC and our Class A ordinary shares constitute “marketable stock,” a U.S. Holder may avoid the adverse PFIC tax consequences discussed above if such U.S. Holder, at the close of the first taxable year in which it holds (or is deemed to hold) our Class A ordinary shares, makes a mark-to-market election with respect to such shares for such taxable year. Such U.S. Holder generally will include for each of its taxable years as ordinary income the excess, if any, of the fair market value of its Class A ordinary shares at the end of such year over its adjusted basis in its Class A ordinary shares. The U.S. Holder also will recognize an ordinary loss in respect of the excess, if any, of its adjusted basis of its Class A ordinary shares over the fair market value of its Class A ordinary shares at the end of its taxable year (but only to the extent of the net amount of previously included income as a result of the mark-to-market election). The U.S. Holder’s basis in its Class A ordinary shares will be adjusted to reflect any such income or loss amounts, and any further gain recognized on a sale or other taxable disposition of its Class A ordinary shares will be treated as ordinary income. Currently, a mark-to-market election may not be made with respect to warrants.</w:t>
      </w:r>
    </w:p>
    <w:p>
      <w:pPr>
        <w:spacing w:after="0" w:line="181" w:lineRule="exact"/>
        <w:rPr>
          <w:sz w:val="20"/>
          <w:szCs w:val="20"/>
          <w:color w:val="auto"/>
        </w:rPr>
      </w:pPr>
    </w:p>
    <w:p>
      <w:pPr>
        <w:ind w:right="80" w:firstLine="324"/>
        <w:spacing w:after="0" w:line="271" w:lineRule="auto"/>
        <w:rPr>
          <w:sz w:val="20"/>
          <w:szCs w:val="20"/>
          <w:color w:val="auto"/>
        </w:rPr>
      </w:pPr>
      <w:r>
        <w:rPr>
          <w:rFonts w:ascii="Arial" w:cs="Arial" w:eastAsia="Arial" w:hAnsi="Arial"/>
          <w:sz w:val="17"/>
          <w:szCs w:val="17"/>
          <w:color w:val="auto"/>
        </w:rPr>
        <w:t>The mark-to-market election is available only for “marketable stock,” generally, stock that is regularly traded on a national securities exchange that is registered with the Securities and Exchange Commission, including NYSE, or on a foreign exchange or market that the IRS determines has rules sufficient to ensure that the market price represents a legitimate and sound fair market value. In general, the Class A ordinary shares will be treated as regularly traded in any calendar year in which more than a de minimis quantity of Class A ordinary shares are traded on a qualified exchange on at least 15 days during each calendar quarter. If made, a mark-to-market election would be effective for the taxable year for which the election was made and for all subsequent taxable years unless the ordinary shares ceased to qualify as “marketable stock” for purposes of the PFIC rules or the IRS consented to the revocation of the election. U.S. Holders should consult their own tax advisors regarding the availability and tax consequences of a mark-to-market election in respect to our Class A ordinary shares under their particular circumstances.</w:t>
      </w:r>
    </w:p>
    <w:p>
      <w:pPr>
        <w:spacing w:after="0" w:line="178" w:lineRule="exact"/>
        <w:rPr>
          <w:sz w:val="20"/>
          <w:szCs w:val="20"/>
          <w:color w:val="auto"/>
        </w:rPr>
      </w:pPr>
    </w:p>
    <w:p>
      <w:pPr>
        <w:ind w:right="20" w:firstLine="324"/>
        <w:spacing w:after="0" w:line="289" w:lineRule="auto"/>
        <w:rPr>
          <w:sz w:val="20"/>
          <w:szCs w:val="20"/>
          <w:color w:val="auto"/>
        </w:rPr>
      </w:pPr>
      <w:r>
        <w:rPr>
          <w:rFonts w:ascii="Arial" w:cs="Arial" w:eastAsia="Arial" w:hAnsi="Arial"/>
          <w:sz w:val="16"/>
          <w:szCs w:val="16"/>
          <w:color w:val="auto"/>
        </w:rPr>
        <w:t>If we are a PFIC and, at any time, have a foreign subsidiary that is classified as a PFIC, U.S. Holders generally would be deemed to own a portion of the shares of such lower-tier PFIC, and generally could incur liability for the deferred tax and interest charge described above if we receive a distribution from, or dispose of all or part of our interest in, the lower-tier PFIC or the U.S. Holders otherwise were deemed to have disposed of an interest in the lower-tier PFIC. The mark-to-market election discussed above will not apply to any of such lower-tier PFIC. Accordingly, U.S. Holders may continue to be subject to tax under the PFIC excess distribution regime with respect to any lower-tier PFIC notwithstanding a mark-to-market election for the Class A ordinary shares. We will endeavor to cause any lower-tier PFIC to provide to a U.S. Holder the information that may be required to make or maintain a QEF election with respect to the lower-tier PFIC. There can be no assurance that we will have timely knowledge of the status of any such lower-tier PFIC. In addition, we may not hold a controlling interest in any such lower-tier PFIC and thus there can be no assurance we will be able to cause the lower-tier PFIC to provide such required information. U.S. Holders are urged to consult their tax advisors regarding the tax issues raised by lower-tier PFICs.</w:t>
      </w:r>
    </w:p>
    <w:p>
      <w:pPr>
        <w:spacing w:after="0" w:line="166" w:lineRule="exact"/>
        <w:rPr>
          <w:sz w:val="20"/>
          <w:szCs w:val="20"/>
          <w:color w:val="auto"/>
        </w:rPr>
      </w:pPr>
    </w:p>
    <w:p>
      <w:pPr>
        <w:ind w:right="140" w:firstLine="324"/>
        <w:spacing w:after="0" w:line="263" w:lineRule="auto"/>
        <w:rPr>
          <w:sz w:val="20"/>
          <w:szCs w:val="20"/>
          <w:color w:val="auto"/>
        </w:rPr>
      </w:pPr>
      <w:r>
        <w:rPr>
          <w:rFonts w:ascii="Arial" w:cs="Arial" w:eastAsia="Arial" w:hAnsi="Arial"/>
          <w:sz w:val="18"/>
          <w:szCs w:val="18"/>
          <w:color w:val="auto"/>
        </w:rPr>
        <w:t>A U.S. Holder that owns (or is deemed to own) shares in a PFIC during any taxable year of the U.S. Holder, may have to file an IRS Form 8621 (whether or not a QEF or mark-to-market election is made) and such other information as may be required by the U.S. Treasury Department. Failure to do so, if required, will extend the statute of limitations until such required information is furnished to the IRS.</w:t>
      </w:r>
    </w:p>
    <w:p>
      <w:pPr>
        <w:spacing w:after="0" w:line="184" w:lineRule="exact"/>
        <w:rPr>
          <w:sz w:val="20"/>
          <w:szCs w:val="20"/>
          <w:color w:val="auto"/>
        </w:rPr>
      </w:pPr>
    </w:p>
    <w:p>
      <w:pPr>
        <w:jc w:val="both"/>
        <w:ind w:right="60" w:firstLine="324"/>
        <w:spacing w:after="0" w:line="263" w:lineRule="auto"/>
        <w:rPr>
          <w:sz w:val="20"/>
          <w:szCs w:val="20"/>
          <w:color w:val="auto"/>
        </w:rPr>
      </w:pPr>
      <w:r>
        <w:rPr>
          <w:rFonts w:ascii="Arial" w:cs="Arial" w:eastAsia="Arial" w:hAnsi="Arial"/>
          <w:sz w:val="18"/>
          <w:szCs w:val="18"/>
          <w:color w:val="auto"/>
        </w:rPr>
        <w:t>The rules dealing with PFICs and with the QEF and mark-to-market elections are very complex and are affected by various factors in addition to those described above. Accordingly, U.S. Holders of our Class A ordinary shares or warrants should consult their own tax advisors concerning the application of the PFIC rules to our securities under their particular circumstances.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Reporting</w:t>
      </w:r>
    </w:p>
    <w:p>
      <w:pPr>
        <w:spacing w:after="0" w:line="229"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Certain U.S. Holders may be required to file an IRS Form 926 (Return by a U.S. Transferor of Property to a Foreign Corporation) to report a transfer of property (including cash) to us. Substantial penalties may be imposed on a U.S. Holder that fails to comply with this reporting requirement. Furthermore, certain U.S. Holders who are individuals and certain entities will be required to report information with respect to such U.S. Holder’s investment in “specified foreign financial assets” on IRS Form 8938 (Statement of Specified Foreign Financial Assets), subject</w:t>
      </w:r>
    </w:p>
    <w:p>
      <w:pPr>
        <w:spacing w:after="0" w:line="27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58" w:name="page159"/>
    <w:bookmarkEnd w:id="158"/>
    <w:p>
      <w:pPr>
        <w:ind w:right="100"/>
        <w:spacing w:after="0" w:line="301" w:lineRule="auto"/>
        <w:rPr>
          <w:sz w:val="20"/>
          <w:szCs w:val="20"/>
          <w:color w:val="auto"/>
        </w:rPr>
      </w:pPr>
      <w:r>
        <w:rPr>
          <w:rFonts w:ascii="Arial" w:cs="Arial" w:eastAsia="Arial" w:hAnsi="Arial"/>
          <w:sz w:val="16"/>
          <w:szCs w:val="16"/>
          <w:color w:val="auto"/>
        </w:rPr>
        <w:t>to certain exceptions. An interest in the Company constitutes a specified foreign financial asset for these purposes. Persons who are required to report specified foreign financial assets and fail to do so may be subject to substantial penalties and the period of limitations on assessment and collection of U.S. federal income taxes will be extended in the event of a failure to comply. Potential investors are urged to consult their tax advisors regarding the foreign financial asset and other reporting obligations and their application to an investment in our Class A ordinary shares and warrants.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Non-U.S. Holders</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This section applies to you if you are a “Non-U.S. Holder.” As used herein, the term “Non-U.S. Holder” means a beneficial owner of our units, Class A ordinary shares or warrants (other than a partnership or other entity or arrangement treated as a partnership for U.S. federal income tax purposes) that is for United States federal income tax purposes:</w:t>
      </w:r>
    </w:p>
    <w:p>
      <w:pPr>
        <w:spacing w:after="0" w:line="184" w:lineRule="exact"/>
        <w:rPr>
          <w:sz w:val="20"/>
          <w:szCs w:val="20"/>
          <w:color w:val="auto"/>
        </w:rPr>
      </w:pPr>
    </w:p>
    <w:p>
      <w:pPr>
        <w:ind w:left="660" w:hanging="328"/>
        <w:spacing w:after="0"/>
        <w:tabs>
          <w:tab w:leader="none" w:pos="660" w:val="left"/>
        </w:tabs>
        <w:numPr>
          <w:ilvl w:val="0"/>
          <w:numId w:val="70"/>
        </w:numPr>
        <w:rPr>
          <w:rFonts w:ascii="Arial" w:cs="Arial" w:eastAsia="Arial" w:hAnsi="Arial"/>
          <w:sz w:val="17"/>
          <w:szCs w:val="17"/>
          <w:color w:val="auto"/>
        </w:rPr>
      </w:pPr>
      <w:r>
        <w:rPr>
          <w:rFonts w:ascii="Arial" w:cs="Arial" w:eastAsia="Arial" w:hAnsi="Arial"/>
          <w:sz w:val="17"/>
          <w:szCs w:val="17"/>
          <w:color w:val="auto"/>
        </w:rPr>
        <w:t>a non-resident alien individual (other than certain former citizens and residents of the United States subject to U.S. tax as expatriates);</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 foreign corporation; or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an estate or trust that is not a U.S. Holder;</w:t>
      </w:r>
    </w:p>
    <w:p>
      <w:pPr>
        <w:spacing w:after="0" w:line="225"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but generally does not include an individual who is present in the United States for 183 days or more in the taxable year of disposition. If you are such an individual, you should consult your tax advisor regarding the United States federal income tax consequences of the sale or other disposition of our securities.</w:t>
      </w:r>
    </w:p>
    <w:p>
      <w:pPr>
        <w:spacing w:after="0" w:line="184" w:lineRule="exact"/>
        <w:rPr>
          <w:sz w:val="20"/>
          <w:szCs w:val="20"/>
          <w:color w:val="auto"/>
        </w:rPr>
      </w:pPr>
    </w:p>
    <w:p>
      <w:pPr>
        <w:ind w:right="80" w:firstLine="324"/>
        <w:spacing w:after="0" w:line="272" w:lineRule="auto"/>
        <w:rPr>
          <w:sz w:val="20"/>
          <w:szCs w:val="20"/>
          <w:color w:val="auto"/>
        </w:rPr>
      </w:pPr>
      <w:r>
        <w:rPr>
          <w:rFonts w:ascii="Arial" w:cs="Arial" w:eastAsia="Arial" w:hAnsi="Arial"/>
          <w:sz w:val="17"/>
          <w:szCs w:val="17"/>
          <w:color w:val="auto"/>
        </w:rPr>
        <w:t>Dividends (including constructive distributions treated as dividends) paid or deemed paid to a Non-U.S. Holder in respect of our Class A ordinary shares generally will not be subject to United States federal income tax, unless the dividends are effectively connected with the Non-U.S. Holder’s conduct of a trade or business within the United States (and, if required by an applicable income tax treaty, are attributable to a permanent establishment or fixed base that such Non-U.S. Holder maintains in the United States). In addition, a Non-U.S. Holder generally will not be subject to United States federal income tax on any gain attributable to a sale or other disposition of our Class A ordinary shares or warrants unless such gain is effectively connected with its conduct of a trade or business in the United States (and, if required by an applicable income tax treaty, is attributable to a permanent establishment or fixed base that such holder maintains in the United States).</w:t>
      </w:r>
    </w:p>
    <w:p>
      <w:pPr>
        <w:spacing w:after="0" w:line="177" w:lineRule="exact"/>
        <w:rPr>
          <w:sz w:val="20"/>
          <w:szCs w:val="20"/>
          <w:color w:val="auto"/>
        </w:rPr>
      </w:pPr>
    </w:p>
    <w:p>
      <w:pPr>
        <w:ind w:right="20" w:firstLine="324"/>
        <w:spacing w:after="0" w:line="275" w:lineRule="auto"/>
        <w:rPr>
          <w:sz w:val="20"/>
          <w:szCs w:val="20"/>
          <w:color w:val="auto"/>
        </w:rPr>
      </w:pPr>
      <w:r>
        <w:rPr>
          <w:rFonts w:ascii="Arial" w:cs="Arial" w:eastAsia="Arial" w:hAnsi="Arial"/>
          <w:sz w:val="17"/>
          <w:szCs w:val="17"/>
          <w:color w:val="auto"/>
        </w:rPr>
        <w:t>Dividends (including constructive distributions treated as dividends) and gains that are effectively connected with the Non-U.S. Holder’s conduct of a trade or business in the United States (and, if required by an applicable income tax treaty, are attributable to a permanent establishment or fixed base in the United States) generally will be subject to United States federal income tax at the same regular United States federal income tax rates applicable to a comparable U.S. Holder and, in the case of a Non-U.S. Holder that is a corporation for United States federal income tax purposes, also may be subject to an additional branch profits tax at a 30% rate or a lower applicable tax treaty rate.</w:t>
      </w:r>
    </w:p>
    <w:p>
      <w:pPr>
        <w:spacing w:after="0" w:line="176"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color w:val="auto"/>
        </w:rPr>
        <w:t>The characterization for United States federal income tax purposes of the exercise, lapse or redemption of a warrant held by a Non-U.S. Holder will correspond to the characterization described under “U.S. Holders—Exercise, Lapse or Redemption of a Warrant” above, although to the extent a cashless exercise results in a taxable exchange, the consequences would be similar to those described in the preceding paragraphs above for a Non-U.S. Holder’s gain on the sale or other disposition of our Class A ordinary shares and warrants.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Information Reporting and Backup Withholding</w:t>
      </w:r>
    </w:p>
    <w:p>
      <w:pPr>
        <w:spacing w:after="0" w:line="225" w:lineRule="exact"/>
        <w:rPr>
          <w:sz w:val="20"/>
          <w:szCs w:val="20"/>
          <w:color w:val="auto"/>
        </w:rPr>
      </w:pPr>
    </w:p>
    <w:p>
      <w:pPr>
        <w:ind w:right="160" w:firstLine="324"/>
        <w:spacing w:after="0" w:line="254" w:lineRule="auto"/>
        <w:rPr>
          <w:sz w:val="20"/>
          <w:szCs w:val="20"/>
          <w:color w:val="auto"/>
        </w:rPr>
      </w:pPr>
      <w:r>
        <w:rPr>
          <w:rFonts w:ascii="Arial" w:cs="Arial" w:eastAsia="Arial" w:hAnsi="Arial"/>
          <w:sz w:val="18"/>
          <w:szCs w:val="18"/>
          <w:color w:val="auto"/>
        </w:rPr>
        <w:t>Dividend payments with respect to our Class A ordinary shares and proceeds from the sale, exchange or redemption of our Class A ordinary shares may be subject to information reporting to the IRS and possible United States backup withholding. Backup withholding will not apply, however, to a U.S. Holder who furnishes a correct taxpayer identification number and makes other required certifications, or who is otherwise exempt from backup withholding and establishes such exempt status. U.S. Holders who are required to establish their exempt status may be required to provide such certification on IRS Form W-9. A Non-U.S. Holder generally will eliminate the requirement for information reporting and backup withholding by providing certification of its foreign status, under penalties of perjury, on a duly executed applicable IRS Form W-8 or by otherwise establishing an exemption.</w:t>
      </w:r>
    </w:p>
    <w:p>
      <w:pPr>
        <w:spacing w:after="0" w:line="30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59" w:name="page160"/>
    <w:bookmarkEnd w:id="159"/>
    <w:p>
      <w:pPr>
        <w:ind w:firstLine="324"/>
        <w:spacing w:after="0" w:line="301" w:lineRule="auto"/>
        <w:rPr>
          <w:sz w:val="20"/>
          <w:szCs w:val="20"/>
          <w:color w:val="auto"/>
        </w:rPr>
      </w:pPr>
      <w:r>
        <w:rPr>
          <w:rFonts w:ascii="Arial" w:cs="Arial" w:eastAsia="Arial" w:hAnsi="Arial"/>
          <w:sz w:val="16"/>
          <w:szCs w:val="16"/>
          <w:color w:val="auto"/>
        </w:rPr>
        <w:t>Backup withholding is not an additional tax. Amounts withheld as backup withholding may be credited against a holder’s United States federal income tax liability, and a holder generally may obtain a refund of any excess amounts withheld under the backup withholding rules by timely filing the appropriate claim for refund with the IRS and furnishing any required information. Holders are urged to consult their own tax advisors regarding the application of backup withholding and the availability of and procedure for obtaining an exemption from backup withholding in their particular circumstances.</w:t>
      </w:r>
    </w:p>
    <w:p>
      <w:pPr>
        <w:spacing w:after="0" w:line="157"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The U.S. federal income tax discussion set forth above is included for general information only and may not be applicable depending upon a holder’s particular situation. Holders are urged to consult their tax advisors with respect to the tax consequences to them of the acquisition, ownership and disposition of our Class A ordinary shares and warrants, including the tax consequences under state, local, estate, foreign and other tax laws and tax treaties and the possible effects of changes in U.S. or other tax laws.</w:t>
      </w:r>
    </w:p>
    <w:p>
      <w:pPr>
        <w:spacing w:after="0" w:line="29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60" w:name="page161"/>
    <w:bookmarkEnd w:id="160"/>
    <w:p>
      <w:pPr>
        <w:jc w:val="center"/>
        <w:spacing w:after="0"/>
        <w:rPr>
          <w:sz w:val="20"/>
          <w:szCs w:val="20"/>
          <w:color w:val="auto"/>
        </w:rPr>
      </w:pPr>
      <w:r>
        <w:rPr>
          <w:rFonts w:ascii="Arial" w:cs="Arial" w:eastAsia="Arial" w:hAnsi="Arial"/>
          <w:sz w:val="18"/>
          <w:szCs w:val="18"/>
          <w:b w:val="1"/>
          <w:bCs w:val="1"/>
          <w:color w:val="auto"/>
        </w:rPr>
        <w:t>UNDERWRITING</w:t>
      </w:r>
    </w:p>
    <w:p>
      <w:pPr>
        <w:spacing w:after="0" w:line="229"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We are offering the units described in this prospectus through a number of underwriters. J.P. Morgan Securities LLC is acting as book running manager of the offering and as representative of the underwriters. We have entered into an underwriting agreement with the representative of the underwriters. Subject to the terms and conditions of the underwriting agreement, we have agreed to sell to the underwriters, and each underwriter has severally agreed to purchase, at the public offering price less the underwriting discounts and commissions set forth on the cover page of this prospectus, the number of units listed next to its name in the following table:</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20" w:type="dxa"/>
            <w:vAlign w:val="bottom"/>
          </w:tcPr>
          <w:p>
            <w:pPr>
              <w:ind w:left="4420"/>
              <w:spacing w:after="0"/>
              <w:rPr>
                <w:sz w:val="20"/>
                <w:szCs w:val="20"/>
                <w:color w:val="auto"/>
              </w:rPr>
            </w:pPr>
            <w:r>
              <w:rPr>
                <w:rFonts w:ascii="Arial" w:cs="Arial" w:eastAsia="Arial" w:hAnsi="Arial"/>
                <w:sz w:val="18"/>
                <w:szCs w:val="18"/>
                <w:b w:val="1"/>
                <w:bCs w:val="1"/>
                <w:color w:val="auto"/>
              </w:rPr>
              <w:t>Underwriter</w:t>
            </w:r>
          </w:p>
        </w:tc>
        <w:tc>
          <w:tcPr>
            <w:tcW w:w="3620" w:type="dxa"/>
            <w:vAlign w:val="bottom"/>
          </w:tcPr>
          <w:p>
            <w:pPr>
              <w:jc w:val="center"/>
              <w:ind w:left="2070"/>
              <w:spacing w:after="0"/>
              <w:rPr>
                <w:sz w:val="20"/>
                <w:szCs w:val="20"/>
                <w:color w:val="auto"/>
              </w:rPr>
            </w:pPr>
            <w:r>
              <w:rPr>
                <w:rFonts w:ascii="Arial" w:cs="Arial" w:eastAsia="Arial" w:hAnsi="Arial"/>
                <w:sz w:val="18"/>
                <w:szCs w:val="18"/>
                <w:b w:val="1"/>
                <w:bCs w:val="1"/>
                <w:color w:val="auto"/>
                <w:w w:val="92"/>
              </w:rPr>
              <w:t>Number of Units</w:t>
            </w:r>
          </w:p>
        </w:tc>
      </w:tr>
      <w:tr>
        <w:trPr>
          <w:trHeight w:val="216"/>
        </w:trPr>
        <w:tc>
          <w:tcPr>
            <w:tcW w:w="7620" w:type="dxa"/>
            <w:vAlign w:val="bottom"/>
            <w:shd w:val="clear" w:color="auto" w:fill="D5EAEA"/>
          </w:tcPr>
          <w:p>
            <w:pPr>
              <w:spacing w:after="0"/>
              <w:rPr>
                <w:sz w:val="20"/>
                <w:szCs w:val="20"/>
                <w:color w:val="auto"/>
              </w:rPr>
            </w:pPr>
            <w:r>
              <w:rPr>
                <w:rFonts w:ascii="Arial" w:cs="Arial" w:eastAsia="Arial" w:hAnsi="Arial"/>
                <w:sz w:val="18"/>
                <w:szCs w:val="18"/>
                <w:color w:val="auto"/>
              </w:rPr>
              <w:t>J.P. Morgan Securities LLC</w:t>
            </w:r>
          </w:p>
        </w:tc>
        <w:tc>
          <w:tcPr>
            <w:tcW w:w="3620" w:type="dxa"/>
            <w:vAlign w:val="bottom"/>
            <w:shd w:val="clear" w:color="auto" w:fill="D5EAEA"/>
          </w:tcPr>
          <w:p>
            <w:pPr>
              <w:spacing w:after="0"/>
              <w:rPr>
                <w:sz w:val="18"/>
                <w:szCs w:val="18"/>
                <w:color w:val="auto"/>
              </w:rPr>
            </w:pPr>
          </w:p>
        </w:tc>
      </w:tr>
      <w:tr>
        <w:trPr>
          <w:trHeight w:val="216"/>
        </w:trPr>
        <w:tc>
          <w:tcPr>
            <w:tcW w:w="7620" w:type="dxa"/>
            <w:vAlign w:val="bottom"/>
          </w:tcPr>
          <w:p>
            <w:pPr>
              <w:spacing w:after="0"/>
              <w:rPr>
                <w:sz w:val="20"/>
                <w:szCs w:val="20"/>
                <w:color w:val="auto"/>
              </w:rPr>
            </w:pPr>
            <w:r>
              <w:rPr>
                <w:rFonts w:ascii="Arial" w:cs="Arial" w:eastAsia="Arial" w:hAnsi="Arial"/>
                <w:sz w:val="18"/>
                <w:szCs w:val="18"/>
                <w:color w:val="auto"/>
              </w:rPr>
              <w:t>Deutsche Bank Securities Inc.</w:t>
            </w:r>
          </w:p>
        </w:tc>
        <w:tc>
          <w:tcPr>
            <w:tcW w:w="3620" w:type="dxa"/>
            <w:vAlign w:val="bottom"/>
          </w:tcPr>
          <w:p>
            <w:pPr>
              <w:spacing w:after="0"/>
              <w:rPr>
                <w:sz w:val="18"/>
                <w:szCs w:val="18"/>
                <w:color w:val="auto"/>
              </w:rPr>
            </w:pPr>
          </w:p>
        </w:tc>
      </w:tr>
      <w:tr>
        <w:trPr>
          <w:trHeight w:val="216"/>
        </w:trPr>
        <w:tc>
          <w:tcPr>
            <w:tcW w:w="7620" w:type="dxa"/>
            <w:vAlign w:val="bottom"/>
            <w:shd w:val="clear" w:color="auto" w:fill="D5EAEA"/>
          </w:tcPr>
          <w:p>
            <w:pPr>
              <w:spacing w:after="0"/>
              <w:rPr>
                <w:sz w:val="20"/>
                <w:szCs w:val="20"/>
                <w:color w:val="auto"/>
              </w:rPr>
            </w:pPr>
            <w:r>
              <w:rPr>
                <w:rFonts w:ascii="Arial" w:cs="Arial" w:eastAsia="Arial" w:hAnsi="Arial"/>
                <w:sz w:val="18"/>
                <w:szCs w:val="18"/>
                <w:color w:val="auto"/>
              </w:rPr>
              <w:t>Morgan Stanley &amp; Co. LLC</w:t>
            </w:r>
          </w:p>
        </w:tc>
        <w:tc>
          <w:tcPr>
            <w:tcW w:w="3620" w:type="dxa"/>
            <w:vAlign w:val="bottom"/>
            <w:shd w:val="clear" w:color="auto" w:fill="D5EAEA"/>
          </w:tcPr>
          <w:p>
            <w:pPr>
              <w:spacing w:after="0"/>
              <w:rPr>
                <w:sz w:val="18"/>
                <w:szCs w:val="18"/>
                <w:color w:val="auto"/>
              </w:rPr>
            </w:pPr>
          </w:p>
        </w:tc>
      </w:tr>
      <w:tr>
        <w:trPr>
          <w:trHeight w:val="230"/>
        </w:trPr>
        <w:tc>
          <w:tcPr>
            <w:tcW w:w="7620" w:type="dxa"/>
            <w:vAlign w:val="bottom"/>
          </w:tcPr>
          <w:p>
            <w:pPr>
              <w:ind w:left="180"/>
              <w:spacing w:after="0"/>
              <w:rPr>
                <w:sz w:val="20"/>
                <w:szCs w:val="20"/>
                <w:color w:val="auto"/>
              </w:rPr>
            </w:pPr>
            <w:r>
              <w:rPr>
                <w:rFonts w:ascii="Arial" w:cs="Arial" w:eastAsia="Arial" w:hAnsi="Arial"/>
                <w:sz w:val="18"/>
                <w:szCs w:val="18"/>
                <w:color w:val="auto"/>
              </w:rPr>
              <w:t>Total</w:t>
            </w:r>
          </w:p>
        </w:tc>
        <w:tc>
          <w:tcPr>
            <w:tcW w:w="3620" w:type="dxa"/>
            <w:vAlign w:val="bottom"/>
          </w:tcPr>
          <w:p>
            <w:pPr>
              <w:jc w:val="right"/>
              <w:ind w:right="230"/>
              <w:spacing w:after="0"/>
              <w:rPr>
                <w:sz w:val="20"/>
                <w:szCs w:val="20"/>
                <w:color w:val="auto"/>
              </w:rPr>
            </w:pPr>
            <w:r>
              <w:rPr>
                <w:rFonts w:ascii="Arial" w:cs="Arial" w:eastAsia="Arial" w:hAnsi="Arial"/>
                <w:sz w:val="18"/>
                <w:szCs w:val="18"/>
                <w:color w:val="auto"/>
              </w:rPr>
              <w:t>25,000,000</w:t>
            </w:r>
          </w:p>
        </w:tc>
      </w:tr>
    </w:tbl>
    <w:p>
      <w:pPr>
        <w:spacing w:after="0" w:line="187" w:lineRule="exact"/>
        <w:rPr>
          <w:sz w:val="20"/>
          <w:szCs w:val="20"/>
          <w:color w:val="auto"/>
        </w:rPr>
      </w:pPr>
    </w:p>
    <w:p>
      <w:pPr>
        <w:ind w:right="140" w:firstLine="324"/>
        <w:spacing w:after="0" w:line="308" w:lineRule="auto"/>
        <w:rPr>
          <w:sz w:val="20"/>
          <w:szCs w:val="20"/>
          <w:color w:val="auto"/>
        </w:rPr>
      </w:pPr>
      <w:r>
        <w:rPr>
          <w:rFonts w:ascii="Arial" w:cs="Arial" w:eastAsia="Arial" w:hAnsi="Arial"/>
          <w:sz w:val="17"/>
          <w:szCs w:val="17"/>
          <w:color w:val="auto"/>
        </w:rPr>
        <w:t>The underwriters are committed to purchase all the units offered by us if they purchase any units. The underwriting agreement also provides that if an underwriter defaults, the purchase commitments of non-defaulting underwriters may also be increased or the offering may be terminated.</w:t>
      </w:r>
    </w:p>
    <w:p>
      <w:pPr>
        <w:spacing w:after="0" w:line="14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underwriters propose to offer the units directly to the public at the initial public offering price set forth on the cover page of this prospectus and to</w:t>
      </w:r>
    </w:p>
    <w:p>
      <w:pPr>
        <w:spacing w:after="0" w:line="46" w:lineRule="exact"/>
        <w:rPr>
          <w:sz w:val="20"/>
          <w:szCs w:val="20"/>
          <w:color w:val="auto"/>
        </w:rPr>
      </w:pPr>
    </w:p>
    <w:p>
      <w:pPr>
        <w:jc w:val="both"/>
        <w:ind w:right="260"/>
        <w:spacing w:after="0" w:line="255" w:lineRule="auto"/>
        <w:rPr>
          <w:sz w:val="20"/>
          <w:szCs w:val="20"/>
          <w:color w:val="auto"/>
        </w:rPr>
      </w:pPr>
      <w:r>
        <w:rPr>
          <w:rFonts w:ascii="Arial" w:cs="Arial" w:eastAsia="Arial" w:hAnsi="Arial"/>
          <w:sz w:val="18"/>
          <w:szCs w:val="18"/>
          <w:color w:val="auto"/>
        </w:rPr>
        <w:t>certain dealers at that price less a concession not in excess of $ per unit. After the initial offering of the units to the public, if all of the units are not sold at the initial public offering price, the underwriters may change the offering price and the other selling terms. Sales of any units made outside of the United States may be made by affiliates of the underwriters.</w:t>
      </w:r>
    </w:p>
    <w:p>
      <w:pPr>
        <w:spacing w:after="0" w:line="190"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The underwriters have an option to buy up to 3,750,000 additional units from us to cover sales of units by the underwriters which exceed the number of units specified in the table above. The underwriters have 45 days from the date of this prospectus to exercise this option to purchase additional units. If any units are purchased with this option to purchase additional units, the underwriters will purchase units in approximately the same proportion as shown in the table above. If any additional units are purchased, the underwriters will offer the additional units on the same terms as those on which the units are being offered.</w:t>
      </w:r>
    </w:p>
    <w:p>
      <w:pPr>
        <w:spacing w:after="0" w:line="188"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The following table shows the per unit and total underwriting discounts and commissions to be paid to the underwriters assuming both no exercise and full exercise of the underwriters’ option to purchase additional units.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20" w:type="dxa"/>
            <w:vAlign w:val="bottom"/>
            <w:gridSpan w:val="5"/>
          </w:tcPr>
          <w:p>
            <w:pPr>
              <w:ind w:left="760"/>
              <w:spacing w:after="0"/>
              <w:rPr>
                <w:sz w:val="20"/>
                <w:szCs w:val="20"/>
                <w:color w:val="auto"/>
              </w:rPr>
            </w:pPr>
            <w:r>
              <w:rPr>
                <w:rFonts w:ascii="Arial" w:cs="Arial" w:eastAsia="Arial" w:hAnsi="Arial"/>
                <w:sz w:val="18"/>
                <w:szCs w:val="18"/>
                <w:b w:val="1"/>
                <w:bCs w:val="1"/>
                <w:color w:val="auto"/>
              </w:rPr>
              <w:t>Per Unit(1)(2)</w:t>
            </w:r>
          </w:p>
        </w:tc>
        <w:tc>
          <w:tcPr>
            <w:tcW w:w="100" w:type="dxa"/>
            <w:vAlign w:val="bottom"/>
          </w:tcPr>
          <w:p>
            <w:pPr>
              <w:spacing w:after="0"/>
              <w:rPr>
                <w:sz w:val="20"/>
                <w:szCs w:val="20"/>
                <w:color w:val="auto"/>
              </w:rPr>
            </w:pPr>
          </w:p>
        </w:tc>
        <w:tc>
          <w:tcPr>
            <w:tcW w:w="2680" w:type="dxa"/>
            <w:vAlign w:val="bottom"/>
            <w:gridSpan w:val="4"/>
          </w:tcPr>
          <w:p>
            <w:pPr>
              <w:jc w:val="right"/>
              <w:ind w:right="990"/>
              <w:spacing w:after="0"/>
              <w:rPr>
                <w:sz w:val="20"/>
                <w:szCs w:val="20"/>
                <w:color w:val="auto"/>
              </w:rPr>
            </w:pPr>
            <w:r>
              <w:rPr>
                <w:rFonts w:ascii="Arial" w:cs="Arial" w:eastAsia="Arial" w:hAnsi="Arial"/>
                <w:sz w:val="18"/>
                <w:szCs w:val="18"/>
                <w:b w:val="1"/>
                <w:bCs w:val="1"/>
                <w:color w:val="auto"/>
              </w:rPr>
              <w:t>Total(2)</w:t>
            </w:r>
          </w:p>
        </w:tc>
      </w:tr>
      <w:tr>
        <w:trPr>
          <w:trHeight w:val="191"/>
        </w:trPr>
        <w:tc>
          <w:tcPr>
            <w:tcW w:w="55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jc w:val="right"/>
              <w:ind w:right="30"/>
              <w:spacing w:after="0" w:line="191" w:lineRule="exact"/>
              <w:rPr>
                <w:sz w:val="20"/>
                <w:szCs w:val="20"/>
                <w:color w:val="auto"/>
              </w:rPr>
            </w:pPr>
            <w:r>
              <w:rPr>
                <w:rFonts w:ascii="Arial" w:cs="Arial" w:eastAsia="Arial" w:hAnsi="Arial"/>
                <w:sz w:val="18"/>
                <w:szCs w:val="18"/>
                <w:b w:val="1"/>
                <w:bCs w:val="1"/>
                <w:color w:val="auto"/>
                <w:w w:val="94"/>
              </w:rPr>
              <w:t>Without Over-</w:t>
            </w:r>
          </w:p>
        </w:tc>
        <w:tc>
          <w:tcPr>
            <w:tcW w:w="1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center"/>
              <w:ind w:right="90"/>
              <w:spacing w:after="0" w:line="191" w:lineRule="exact"/>
              <w:rPr>
                <w:sz w:val="20"/>
                <w:szCs w:val="20"/>
                <w:color w:val="auto"/>
              </w:rPr>
            </w:pPr>
            <w:r>
              <w:rPr>
                <w:rFonts w:ascii="Arial" w:cs="Arial" w:eastAsia="Arial" w:hAnsi="Arial"/>
                <w:sz w:val="18"/>
                <w:szCs w:val="18"/>
                <w:b w:val="1"/>
                <w:bCs w:val="1"/>
                <w:color w:val="auto"/>
                <w:w w:val="96"/>
              </w:rPr>
              <w:t>With Over-</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right"/>
              <w:ind w:right="30"/>
              <w:spacing w:after="0" w:line="191" w:lineRule="exact"/>
              <w:rPr>
                <w:sz w:val="20"/>
                <w:szCs w:val="20"/>
                <w:color w:val="auto"/>
              </w:rPr>
            </w:pPr>
            <w:r>
              <w:rPr>
                <w:rFonts w:ascii="Arial" w:cs="Arial" w:eastAsia="Arial" w:hAnsi="Arial"/>
                <w:sz w:val="18"/>
                <w:szCs w:val="18"/>
                <w:b w:val="1"/>
                <w:bCs w:val="1"/>
                <w:color w:val="auto"/>
                <w:w w:val="92"/>
              </w:rPr>
              <w:t>Without Over-</w:t>
            </w:r>
          </w:p>
        </w:tc>
        <w:tc>
          <w:tcPr>
            <w:tcW w:w="1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center"/>
              <w:ind w:right="70"/>
              <w:spacing w:after="0" w:line="191" w:lineRule="exact"/>
              <w:rPr>
                <w:sz w:val="20"/>
                <w:szCs w:val="20"/>
                <w:color w:val="auto"/>
              </w:rPr>
            </w:pPr>
            <w:r>
              <w:rPr>
                <w:rFonts w:ascii="Arial" w:cs="Arial" w:eastAsia="Arial" w:hAnsi="Arial"/>
                <w:sz w:val="18"/>
                <w:szCs w:val="18"/>
                <w:b w:val="1"/>
                <w:bCs w:val="1"/>
                <w:color w:val="auto"/>
                <w:w w:val="94"/>
              </w:rPr>
              <w:t>With Over-</w:t>
            </w:r>
          </w:p>
        </w:tc>
      </w:tr>
      <w:tr>
        <w:trPr>
          <w:trHeight w:val="234"/>
        </w:trPr>
        <w:tc>
          <w:tcPr>
            <w:tcW w:w="5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jc w:val="right"/>
              <w:ind w:right="230"/>
              <w:spacing w:after="0"/>
              <w:rPr>
                <w:sz w:val="20"/>
                <w:szCs w:val="20"/>
                <w:color w:val="auto"/>
              </w:rPr>
            </w:pPr>
            <w:r>
              <w:rPr>
                <w:rFonts w:ascii="Arial" w:cs="Arial" w:eastAsia="Arial" w:hAnsi="Arial"/>
                <w:sz w:val="18"/>
                <w:szCs w:val="18"/>
                <w:b w:val="1"/>
                <w:bCs w:val="1"/>
                <w:color w:val="auto"/>
              </w:rPr>
              <w:t>allotment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allotment</w:t>
            </w:r>
          </w:p>
        </w:tc>
        <w:tc>
          <w:tcPr>
            <w:tcW w:w="100" w:type="dxa"/>
            <w:vAlign w:val="bottom"/>
          </w:tcPr>
          <w:p>
            <w:pPr>
              <w:spacing w:after="0"/>
              <w:rPr>
                <w:sz w:val="20"/>
                <w:szCs w:val="20"/>
                <w:color w:val="auto"/>
              </w:rPr>
            </w:pPr>
          </w:p>
        </w:tc>
        <w:tc>
          <w:tcPr>
            <w:tcW w:w="1240" w:type="dxa"/>
            <w:vAlign w:val="bottom"/>
          </w:tcPr>
          <w:p>
            <w:pPr>
              <w:jc w:val="right"/>
              <w:ind w:right="210"/>
              <w:spacing w:after="0"/>
              <w:rPr>
                <w:sz w:val="20"/>
                <w:szCs w:val="20"/>
                <w:color w:val="auto"/>
              </w:rPr>
            </w:pPr>
            <w:r>
              <w:rPr>
                <w:rFonts w:ascii="Arial" w:cs="Arial" w:eastAsia="Arial" w:hAnsi="Arial"/>
                <w:sz w:val="18"/>
                <w:szCs w:val="18"/>
                <w:b w:val="1"/>
                <w:bCs w:val="1"/>
                <w:color w:val="auto"/>
              </w:rPr>
              <w:t>allotment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center"/>
              <w:ind w:right="70"/>
              <w:spacing w:after="0"/>
              <w:rPr>
                <w:sz w:val="20"/>
                <w:szCs w:val="20"/>
                <w:color w:val="auto"/>
              </w:rPr>
            </w:pPr>
            <w:r>
              <w:rPr>
                <w:rFonts w:ascii="Arial" w:cs="Arial" w:eastAsia="Arial" w:hAnsi="Arial"/>
                <w:sz w:val="18"/>
                <w:szCs w:val="18"/>
                <w:b w:val="1"/>
                <w:bCs w:val="1"/>
                <w:color w:val="auto"/>
                <w:w w:val="92"/>
              </w:rPr>
              <w:t>allotment</w:t>
            </w:r>
          </w:p>
        </w:tc>
      </w:tr>
      <w:tr>
        <w:trPr>
          <w:trHeight w:val="209"/>
        </w:trPr>
        <w:tc>
          <w:tcPr>
            <w:tcW w:w="5520" w:type="dxa"/>
            <w:vAlign w:val="bottom"/>
            <w:tcBorders>
              <w:top w:val="single" w:sz="8" w:color="D5EAEA"/>
            </w:tcBorders>
            <w:shd w:val="clear" w:color="auto" w:fill="D5EAEA"/>
          </w:tcPr>
          <w:p>
            <w:pPr>
              <w:spacing w:after="0"/>
              <w:rPr>
                <w:sz w:val="20"/>
                <w:szCs w:val="20"/>
                <w:color w:val="auto"/>
              </w:rPr>
            </w:pPr>
            <w:r>
              <w:rPr>
                <w:rFonts w:ascii="Arial" w:cs="Arial" w:eastAsia="Arial" w:hAnsi="Arial"/>
                <w:sz w:val="18"/>
                <w:szCs w:val="18"/>
                <w:color w:val="auto"/>
              </w:rPr>
              <w:t>Underwriting Discounts and Commissions paid by us</w:t>
            </w:r>
          </w:p>
        </w:tc>
        <w:tc>
          <w:tcPr>
            <w:tcW w:w="120" w:type="dxa"/>
            <w:vAlign w:val="bottom"/>
            <w:tcBorders>
              <w:top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0.55</w:t>
            </w:r>
          </w:p>
        </w:tc>
        <w:tc>
          <w:tcPr>
            <w:tcW w:w="120" w:type="dxa"/>
            <w:vAlign w:val="bottom"/>
            <w:tcBorders>
              <w:top w:val="single" w:sz="8" w:color="D5EAEA"/>
            </w:tcBorders>
            <w:shd w:val="clear" w:color="auto" w:fill="D5EAEA"/>
          </w:tcPr>
          <w:p>
            <w:pPr>
              <w:spacing w:after="0"/>
              <w:rPr>
                <w:sz w:val="18"/>
                <w:szCs w:val="18"/>
                <w:color w:val="auto"/>
              </w:rPr>
            </w:pPr>
          </w:p>
        </w:tc>
        <w:tc>
          <w:tcPr>
            <w:tcW w:w="160" w:type="dxa"/>
            <w:vAlign w:val="bottom"/>
            <w:tcBorders>
              <w:top w:val="single" w:sz="8" w:color="auto"/>
            </w:tcBorders>
            <w:shd w:val="clear" w:color="auto" w:fill="D5EAEA"/>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0.55</w:t>
            </w:r>
          </w:p>
        </w:tc>
        <w:tc>
          <w:tcPr>
            <w:tcW w:w="100" w:type="dxa"/>
            <w:vAlign w:val="bottom"/>
            <w:tcBorders>
              <w:top w:val="single" w:sz="8" w:color="D5EAEA"/>
            </w:tcBorders>
            <w:shd w:val="clear" w:color="auto" w:fill="D5EAEA"/>
          </w:tcPr>
          <w:p>
            <w:pPr>
              <w:spacing w:after="0"/>
              <w:rPr>
                <w:sz w:val="18"/>
                <w:szCs w:val="18"/>
                <w:color w:val="auto"/>
              </w:rPr>
            </w:pPr>
          </w:p>
        </w:tc>
        <w:tc>
          <w:tcPr>
            <w:tcW w:w="100" w:type="dxa"/>
            <w:vAlign w:val="bottom"/>
            <w:tcBorders>
              <w:top w:val="single" w:sz="8" w:color="auto"/>
            </w:tcBorders>
            <w:shd w:val="clear" w:color="auto" w:fill="D5EAEA"/>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13,255,000</w:t>
            </w:r>
          </w:p>
        </w:tc>
        <w:tc>
          <w:tcPr>
            <w:tcW w:w="100" w:type="dxa"/>
            <w:vAlign w:val="bottom"/>
            <w:tcBorders>
              <w:top w:val="single" w:sz="8" w:color="D5EAEA"/>
            </w:tcBorders>
            <w:shd w:val="clear" w:color="auto" w:fill="D5EAEA"/>
          </w:tcPr>
          <w:p>
            <w:pPr>
              <w:spacing w:after="0"/>
              <w:rPr>
                <w:sz w:val="18"/>
                <w:szCs w:val="18"/>
                <w:color w:val="auto"/>
              </w:rPr>
            </w:pPr>
          </w:p>
        </w:tc>
        <w:tc>
          <w:tcPr>
            <w:tcW w:w="160" w:type="dxa"/>
            <w:vAlign w:val="bottom"/>
            <w:tcBorders>
              <w:top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15,317,500</w:t>
            </w:r>
          </w:p>
        </w:tc>
      </w:tr>
      <w:tr>
        <w:trPr>
          <w:trHeight w:val="245"/>
        </w:trPr>
        <w:tc>
          <w:tcPr>
            <w:tcW w:w="5520" w:type="dxa"/>
            <w:vAlign w:val="bottom"/>
          </w:tcPr>
          <w:p>
            <w:pPr>
              <w:spacing w:after="0" w:line="245" w:lineRule="exact"/>
              <w:rPr>
                <w:sz w:val="20"/>
                <w:szCs w:val="20"/>
                <w:color w:val="auto"/>
              </w:rPr>
            </w:pPr>
            <w:r>
              <w:rPr>
                <w:rFonts w:ascii="Arial" w:cs="Arial" w:eastAsia="Arial" w:hAnsi="Arial"/>
                <w:sz w:val="22"/>
                <w:szCs w:val="22"/>
                <w:color w:val="auto"/>
              </w:rPr>
              <w:t>________________________</w:t>
            </w: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r>
    </w:tbl>
    <w:p>
      <w:pPr>
        <w:ind w:left="340" w:hanging="332"/>
        <w:spacing w:after="0" w:line="264" w:lineRule="auto"/>
        <w:tabs>
          <w:tab w:leader="none" w:pos="340" w:val="left"/>
        </w:tabs>
        <w:numPr>
          <w:ilvl w:val="0"/>
          <w:numId w:val="71"/>
        </w:numPr>
        <w:rPr>
          <w:rFonts w:ascii="Arial" w:cs="Arial" w:eastAsia="Arial" w:hAnsi="Arial"/>
          <w:sz w:val="17"/>
          <w:szCs w:val="17"/>
          <w:color w:val="auto"/>
        </w:rPr>
      </w:pPr>
      <w:r>
        <w:rPr>
          <w:rFonts w:ascii="Arial" w:cs="Arial" w:eastAsia="Arial" w:hAnsi="Arial"/>
          <w:sz w:val="17"/>
          <w:szCs w:val="17"/>
          <w:color w:val="auto"/>
        </w:rPr>
        <w:t>Includes $0.35 per unit, or $8,750,000 (or $10,062,500 if the over-allotment option is exercised in full) in the aggregate, payable to the underwriters for deferred underwriting commissions to be placed in a trust account located in the United States as described herein. The deferred commissions will be released to the underwriters only on completion of an initial business combination, in an amount equal to $0.35 multiplied by the number of Class A ordinary shares sold as part of the units in this offering, as described in this prospectus. Of such deferred commissions, at the sole and absolute discretion of our management team, after consultation with the underwriters, up to $0.1225 per unit, or up to $3,062,500 (or $3,521,875 if the over-allotment option is exercised in full) may be paid to any one or more regulated broker-dealers, which may include one or more underwriters in this offering, that assist us in consummating our initial business combination.</w:t>
      </w:r>
    </w:p>
    <w:p>
      <w:pPr>
        <w:spacing w:after="0" w:line="5" w:lineRule="exact"/>
        <w:rPr>
          <w:rFonts w:ascii="Arial" w:cs="Arial" w:eastAsia="Arial" w:hAnsi="Arial"/>
          <w:sz w:val="17"/>
          <w:szCs w:val="17"/>
          <w:color w:val="auto"/>
        </w:rPr>
      </w:pPr>
    </w:p>
    <w:p>
      <w:pPr>
        <w:ind w:left="340" w:right="700" w:hanging="332"/>
        <w:spacing w:after="0" w:line="255" w:lineRule="auto"/>
        <w:tabs>
          <w:tab w:leader="none" w:pos="3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Total assumes the PIMCO private fund or its affiliates purchase 2,475,000 units in this offering. The underwriters will not receive any upfront underwriting discounts or commissions on units purchased by the PIMCO private fund or its affiliates but will receive deferred underwriting commissions with respect to such units in an amount of $0.35 per unit.</w:t>
      </w:r>
    </w:p>
    <w:p>
      <w:pPr>
        <w:spacing w:after="0" w:line="190" w:lineRule="exact"/>
        <w:rPr>
          <w:sz w:val="20"/>
          <w:szCs w:val="20"/>
          <w:color w:val="auto"/>
        </w:rPr>
      </w:pPr>
    </w:p>
    <w:p>
      <w:pPr>
        <w:ind w:right="620" w:firstLine="324"/>
        <w:spacing w:after="0" w:line="277" w:lineRule="auto"/>
        <w:rPr>
          <w:sz w:val="20"/>
          <w:szCs w:val="20"/>
          <w:color w:val="auto"/>
        </w:rPr>
      </w:pPr>
      <w:r>
        <w:rPr>
          <w:rFonts w:ascii="Arial" w:cs="Arial" w:eastAsia="Arial" w:hAnsi="Arial"/>
          <w:sz w:val="18"/>
          <w:szCs w:val="18"/>
          <w:color w:val="auto"/>
        </w:rPr>
        <w:t>We estimate that our non-reimbursed out-of-pocket expenses for this offering will be approximately $1,000,000. We have agreed to pay for the FINRA-related fees and expenses of the underwriters’ legal counsel, not to exceed $25,000.</w:t>
      </w:r>
    </w:p>
    <w:p>
      <w:pPr>
        <w:spacing w:after="0" w:line="170"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A prospectus in electronic format may be made available on the web sites maintained by one or more underwriters, or selling group members, if any, participating in the offering. The underwriters may agree to allocate a number of units to underwriters and selling group members for sale to their online brokerage account holders. Internet distributions will be allocated by the representative to underwriters and selling group members that may make Internet distributions on the same basis as other allocations.</w:t>
      </w:r>
    </w:p>
    <w:p>
      <w:pPr>
        <w:spacing w:after="0" w:line="29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61" w:name="page162"/>
    <w:bookmarkEnd w:id="161"/>
    <w:p>
      <w:pPr>
        <w:ind w:right="120" w:firstLine="324"/>
        <w:spacing w:after="0" w:line="287" w:lineRule="auto"/>
        <w:rPr>
          <w:sz w:val="20"/>
          <w:szCs w:val="20"/>
          <w:color w:val="auto"/>
        </w:rPr>
      </w:pPr>
      <w:r>
        <w:rPr>
          <w:rFonts w:ascii="Arial" w:cs="Arial" w:eastAsia="Arial" w:hAnsi="Arial"/>
          <w:sz w:val="16"/>
          <w:szCs w:val="16"/>
          <w:color w:val="auto"/>
        </w:rPr>
        <w:t>We, our sponsor and our officers and directors have agreed that we will not offer, sell, contract to sell, pledge or otherwise dispose of, directly or indirectly, without the prior written consent of J.P. Morgan Securities LLC for a period of 180 days after the date of this prospectus, any units, warrants, Class A ordinary shares or any other securities convertible into, or exercisable, or exchangeable for, Class A ordinary shares; provided, however, that we may (1) issue and sell the private placement warrants; (2) issue and sell the additional units to cover our underwriters’ over-allotment option (if any); (3) register with the SEC pursuant to an agreement to be entered into concurrently with the issuance and sale of the securities in this offering, the resale of the private placement warrants and the Class A ordinary shares issuable upon exercise of the warrants and the founder shares; and (4) issue securities in connection with our initial business combination. However, the foregoing shall not apply to the forfeiture of any founder shares pursuant to their terms or any transfer of founder shares to any current or future independent director of the Company (as long as such current or future independent director is subject to the terms of the letter agreement, filed herewith, at the time of such transfer; and as long as, to the extent any Section 16 reporting obligation is triggered as a result of such transfer, any related Section 16 filing includes a practical explanation as to the nature of the transfer). J.P. Morgan Securities LLC in its sole discretion may release any of the securities subject to these lock-up agreements at any time without notice.</w:t>
      </w:r>
    </w:p>
    <w:p>
      <w:pPr>
        <w:spacing w:after="0" w:line="172" w:lineRule="exact"/>
        <w:rPr>
          <w:sz w:val="20"/>
          <w:szCs w:val="20"/>
          <w:color w:val="auto"/>
        </w:rPr>
      </w:pPr>
    </w:p>
    <w:p>
      <w:pPr>
        <w:ind w:right="80" w:firstLine="324"/>
        <w:spacing w:after="0" w:line="270" w:lineRule="auto"/>
        <w:rPr>
          <w:sz w:val="20"/>
          <w:szCs w:val="20"/>
          <w:color w:val="auto"/>
        </w:rPr>
      </w:pPr>
      <w:r>
        <w:rPr>
          <w:rFonts w:ascii="Arial" w:cs="Arial" w:eastAsia="Arial" w:hAnsi="Arial"/>
          <w:sz w:val="17"/>
          <w:szCs w:val="17"/>
          <w:color w:val="auto"/>
        </w:rPr>
        <w:t>Our initial shareholders have agreed not to transfer, assign or sell any of their founder shares (including the Class A ordinary shares issued upon conversion thereof) until the earlier to occur of (A) one year after the completion of our initial business combination; and (B) subsequent to our initial business combination, (x) if the last reported sale price of the Class A ordinary shares equals or exceeds $12.00 per share (as adjusted for share sub-divisions, share capitalizations, reorganizations, recapitalizations and the like) for any 20 trading days within any 30-trading day period commencing at least 150 days after our initial business combination, or (y) the date following the completion of our initial business combination on which we complete a liquidation, merger, amalgamation, stock exchange, reorganization or other similar transaction that results in all of our public shareholders having the right to exchange their Class A ordinary shares for cash, securities or other property (except with respect to permitted transferees as described herein under “Principal Shareholders—Transfers of Founder Shares and Private Placement Warrants”). Any permitted transferees would be subject to the same restrictions and other agreements of our initial shareholders with respect to any founder shares.</w:t>
      </w:r>
    </w:p>
    <w:p>
      <w:pPr>
        <w:spacing w:after="0" w:line="181" w:lineRule="exact"/>
        <w:rPr>
          <w:sz w:val="20"/>
          <w:szCs w:val="20"/>
          <w:color w:val="auto"/>
        </w:rPr>
      </w:pPr>
    </w:p>
    <w:p>
      <w:pPr>
        <w:ind w:right="340" w:firstLine="324"/>
        <w:spacing w:after="0" w:line="286" w:lineRule="auto"/>
        <w:rPr>
          <w:sz w:val="20"/>
          <w:szCs w:val="20"/>
          <w:color w:val="auto"/>
        </w:rPr>
      </w:pPr>
      <w:r>
        <w:rPr>
          <w:rFonts w:ascii="Arial" w:cs="Arial" w:eastAsia="Arial" w:hAnsi="Arial"/>
          <w:sz w:val="17"/>
          <w:szCs w:val="17"/>
          <w:color w:val="auto"/>
        </w:rPr>
        <w:t>The private placement warrants (including the Class A ordinary shares issuable upon exercise of the private placement warrants) will not be transferable, assignable or salable until 30 days after the completion of our initial business combination (except with respect to permitted transferees as described herein under “Principal Shareholders—Transfers of Founder Shares and Private Placement Warrants”).</w:t>
      </w:r>
    </w:p>
    <w:p>
      <w:pPr>
        <w:spacing w:after="0" w:line="165"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We have agreed to indemnify the underwriters against certain liabilities under the Securities Act, or contribute to payments that the underwriters may be required to make in that respect.</w:t>
      </w:r>
    </w:p>
    <w:p>
      <w:pPr>
        <w:spacing w:after="0" w:line="170" w:lineRule="exact"/>
        <w:rPr>
          <w:sz w:val="20"/>
          <w:szCs w:val="20"/>
          <w:color w:val="auto"/>
        </w:rPr>
      </w:pPr>
    </w:p>
    <w:p>
      <w:pPr>
        <w:ind w:right="60" w:firstLine="324"/>
        <w:spacing w:after="0" w:line="308" w:lineRule="auto"/>
        <w:rPr>
          <w:sz w:val="20"/>
          <w:szCs w:val="20"/>
          <w:color w:val="auto"/>
        </w:rPr>
      </w:pPr>
      <w:r>
        <w:rPr>
          <w:rFonts w:ascii="Arial" w:cs="Arial" w:eastAsia="Arial" w:hAnsi="Arial"/>
          <w:sz w:val="17"/>
          <w:szCs w:val="17"/>
          <w:color w:val="auto"/>
        </w:rPr>
        <w:t>We expect our units to be listed on the NYSE, under the symbol “FACT.U” and, once the Class A ordinary shares and warrants begin separate trading, to have our Class A ordinary shares and warrants listed on the NYSE under the symbols “FACT” and “FACT WS,” respectively.</w:t>
      </w:r>
    </w:p>
    <w:p>
      <w:pPr>
        <w:spacing w:after="0" w:line="146"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Prior to this offering, there has been no public market for our securities. Consequently, the initial public offering price for the units was determined by negotiations between us and the representative.</w:t>
      </w:r>
    </w:p>
    <w:p>
      <w:pPr>
        <w:spacing w:after="0" w:line="170"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The determination of our per unit offering price was more arbitrary than would typically be the case if we were an operating company. Among the factors considered in determining the initial public offering price were the history and prospects of companies whose principal business is the acquisition of other companies, prior offerings of those companies, our management, our capital structure, and currently prevailing general conditions in equity securities markets, including current market valuations of publicly traded companies considered comparable to our company. We cannot assure you, however, that the price at which the units, Class A ordinary shares or warrants will sell in the public market after this offering will not be lower than the initial public offering price or that an active trading market in our units, Class A ordinary shares or warrants will develop and continue after this offering.</w:t>
      </w:r>
    </w:p>
    <w:p>
      <w:pPr>
        <w:spacing w:after="0" w:line="164" w:lineRule="exact"/>
        <w:rPr>
          <w:sz w:val="20"/>
          <w:szCs w:val="20"/>
          <w:color w:val="auto"/>
        </w:rPr>
      </w:pPr>
    </w:p>
    <w:p>
      <w:pPr>
        <w:ind w:right="180" w:firstLine="324"/>
        <w:spacing w:after="0" w:line="279" w:lineRule="auto"/>
        <w:rPr>
          <w:sz w:val="20"/>
          <w:szCs w:val="20"/>
          <w:color w:val="auto"/>
        </w:rPr>
      </w:pPr>
      <w:r>
        <w:rPr>
          <w:rFonts w:ascii="Arial" w:cs="Arial" w:eastAsia="Arial" w:hAnsi="Arial"/>
          <w:sz w:val="17"/>
          <w:szCs w:val="17"/>
          <w:color w:val="auto"/>
        </w:rPr>
        <w:t>If we do not complete our initial business combination within 24 months from the closing of this offering or during any Extension Period, the trustee and the underwriters have agreed that: (1) they will forfeit any rights or claims to their deferred underwriting discounts and commissions, including any accrued interest thereon, then in the trust account; and (2) the deferred underwriters’ discounts and commissions will be distributed on a pro rata basis, together with any accrued interest thereon (which interest shall be net of taxes payable) to the public shareholders.</w:t>
      </w:r>
    </w:p>
    <w:p>
      <w:pPr>
        <w:spacing w:after="0" w:line="27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162" w:name="page163"/>
    <w:bookmarkEnd w:id="162"/>
    <w:p>
      <w:pPr>
        <w:ind w:right="80" w:firstLine="324"/>
        <w:spacing w:after="0" w:line="269" w:lineRule="auto"/>
        <w:rPr>
          <w:sz w:val="20"/>
          <w:szCs w:val="20"/>
          <w:color w:val="auto"/>
        </w:rPr>
      </w:pPr>
      <w:r>
        <w:rPr>
          <w:rFonts w:ascii="Arial" w:cs="Arial" w:eastAsia="Arial" w:hAnsi="Arial"/>
          <w:sz w:val="17"/>
          <w:szCs w:val="17"/>
          <w:color w:val="auto"/>
        </w:rPr>
        <w:t>In connection with this offering, the underwriters may engage in stabilizing transactions, which involve making bids for, purchasing and selling securities in the open market for the purpose of preventing or retarding a decline in the market price of the securities while this offering is in progress. These stabilizing transactions may include making short sales of securities, which involves the sale by the underwriters of a greater number of securities than they are required to purchase in this offering, and purchasing securities on the open market to cover positions created by short sales. Short sales may be “covered” shorts, which are short positions in an amount not greater than the underwriters’ option to purchase additional securities referred to above, or may be “naked” shorts, which are short positions in excess of that amount. The underwriters may close out any covered short position either by exercising their option to purchase additional securities, in whole or in part, or by purchasing securities in the open market. In making this determination, the underwriters will consider, among other things, the price of shares available for purchase in the open market compared to the price at which the underwriters may purchase securities through the option to purchase additional securities. A naked short position is more likely to be created if the underwriters are concerned that there may be downward pressure on the price of the securities in the open market that could adversely affect investors who purchase in this offering. To the extent that the underwriters create a naked short position, they will purchase securities in the open market to cover the position.</w:t>
      </w:r>
    </w:p>
    <w:p>
      <w:pPr>
        <w:spacing w:after="0" w:line="179" w:lineRule="exact"/>
        <w:rPr>
          <w:sz w:val="20"/>
          <w:szCs w:val="20"/>
          <w:color w:val="auto"/>
        </w:rPr>
      </w:pPr>
    </w:p>
    <w:p>
      <w:pPr>
        <w:ind w:right="100" w:firstLine="324"/>
        <w:spacing w:after="0" w:line="279" w:lineRule="auto"/>
        <w:rPr>
          <w:sz w:val="20"/>
          <w:szCs w:val="20"/>
          <w:color w:val="auto"/>
        </w:rPr>
      </w:pPr>
      <w:r>
        <w:rPr>
          <w:rFonts w:ascii="Arial" w:cs="Arial" w:eastAsia="Arial" w:hAnsi="Arial"/>
          <w:sz w:val="17"/>
          <w:szCs w:val="17"/>
          <w:color w:val="auto"/>
        </w:rPr>
        <w:t>The underwriters have advised us that, pursuant to Regulation M of the Securities Act, they may also engage in other activities that stabilize, maintain or otherwise affect the price of the securities, including the imposition of penalty bids. This means that if the representatives of the underwriters purchase securities in the open market in stabilizing transactions or to cover short sales, the representatives can require the underwriters that sold those securities as part of this offering to repay the underwriting discount received by them.</w:t>
      </w:r>
    </w:p>
    <w:p>
      <w:pPr>
        <w:spacing w:after="0" w:line="171"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These activities may have the effect of raising or maintaining the market price of the securities or preventing or retarding a decline in the market price of the securities, and, as a result, the price of the securities may be higher than the price that otherwise might exist in the open market. If the underwriters commence these activities, they may discontinue them at any time. The underwriters may carry out these transactions on the NYSE, in the over the counter market or otherwise.</w:t>
      </w:r>
    </w:p>
    <w:p>
      <w:pPr>
        <w:spacing w:after="0" w:line="187" w:lineRule="exact"/>
        <w:rPr>
          <w:sz w:val="20"/>
          <w:szCs w:val="20"/>
          <w:color w:val="auto"/>
        </w:rPr>
      </w:pPr>
    </w:p>
    <w:p>
      <w:pPr>
        <w:ind w:right="140" w:firstLine="324"/>
        <w:spacing w:after="0" w:line="272" w:lineRule="auto"/>
        <w:rPr>
          <w:sz w:val="20"/>
          <w:szCs w:val="20"/>
          <w:color w:val="auto"/>
        </w:rPr>
      </w:pPr>
      <w:r>
        <w:rPr>
          <w:rFonts w:ascii="Arial" w:cs="Arial" w:eastAsia="Arial" w:hAnsi="Arial"/>
          <w:sz w:val="17"/>
          <w:szCs w:val="17"/>
          <w:color w:val="auto"/>
        </w:rPr>
        <w:t>Other than in the United States, no action has been taken by us or the underwriters that would permit a public offering of the securities offered by this prospectus in any jurisdiction where action for that purpose is required. The securities offered by this prospectus may not be offered or sold, directly or indirectly, nor may this prospectus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comes are advised to inform themselves about and to observe any restrictions relating to the offering and the distribution of this prospectus. This prospectus does not constitute an offer to sell or a solicitation of an offer to buy any securities offered by this prospectus in any jurisdiction in which such an offer or a solicitation is unlawful.</w:t>
      </w:r>
    </w:p>
    <w:p>
      <w:pPr>
        <w:spacing w:after="0" w:line="177"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We are not under any contractual obligation to engage any of the underwriters to provide any services for us after this offering, but we may do so at our discretion. However, any of the underwriters may introduce us to potential target businesses, provide financial advisory services to us in connection with a business combination or assist us in raising additional capital in the future, including by acting as a placement agent in a private offering or underwriting or arranging debt financing. If any of the underwriters provide services to us after this offering, we may pay such underwriter fair and reasonable fees that would be determined at that time in an arm’s length negotiation; provided that no agreement will be entered into with any of the underwriters and no fees for such services will be paid to any of the underwriters prior to the date that is 60 days from the date of this prospectus, unless such payment would not be deemed underwriters’ compensation in connection with this offering. We may pay the underwriters of this offering or any entity with which they are affiliated, a finder’s fee or other compensation for services rendered to us in connection with the completion of a business combination. Any fees we may pay the underwriters or their affiliates for services rendered to us after this offering may be contingent on the completion of a business combination and may include non-cash compensation. The underwriters or their affiliates that provide these services to us may have a potential conflict of interest given that the underwriters are entitled to the deferred portion of their underwriting compensation for this offering only if an initial business combination is completed within the specified timeframe.</w:t>
      </w:r>
    </w:p>
    <w:p>
      <w:pPr>
        <w:spacing w:after="0" w:line="179"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Certain of the underwriters and their affiliates have provided in the past to our affiliates and may provide from time to time in the future certain commercial banking, financial advisory, investment banking and other services for us and such affiliates in the ordinary course of their business, for which they have received and may continue to receive customary fees and commissions. In addition, from time to time, certain of the underwriters and their affiliates may effect transactions for their own account or the account of customers, and hold on behalf of themselves or their customers, long or short positions in our debt or equity securities or loans, and may do so in the future.</w:t>
      </w:r>
    </w:p>
    <w:p>
      <w:pPr>
        <w:spacing w:after="0" w:line="29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63" w:name="page164"/>
    <w:bookmarkEnd w:id="163"/>
    <w:p>
      <w:pPr>
        <w:ind w:firstLine="324"/>
        <w:spacing w:after="0" w:line="263" w:lineRule="auto"/>
        <w:rPr>
          <w:sz w:val="20"/>
          <w:szCs w:val="20"/>
          <w:color w:val="auto"/>
        </w:rPr>
      </w:pPr>
      <w:r>
        <w:rPr>
          <w:rFonts w:ascii="Arial" w:cs="Arial" w:eastAsia="Arial" w:hAnsi="Arial"/>
          <w:sz w:val="18"/>
          <w:szCs w:val="18"/>
          <w:color w:val="auto"/>
        </w:rPr>
        <w:t>Such investments and securities activities may involve securities and/or instruments of ours or our affiliates.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Notice to Prospective Investors in the European Economic Area</w:t>
      </w:r>
    </w:p>
    <w:p>
      <w:pPr>
        <w:spacing w:after="0" w:line="229"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In relation to each Member State of the European Economic Area (each a “Relevant State”), no units have been offered or will be offered pursuant to this offering to the public in that Relevant State prior to the publication of a prospectus in relation to the units which has been approved by the competent authority in that Relevant State or, where appropriate, approved in another Relevant State and notified to the competent authority in that Relevant State, all in accordance with the Prospectus Regulation, except that offers of units may be made to the public in that Relevant State at any time under the following exemptions under the Prospectus Regulation:</w:t>
      </w:r>
    </w:p>
    <w:p>
      <w:pPr>
        <w:spacing w:after="0" w:line="188" w:lineRule="exact"/>
        <w:rPr>
          <w:sz w:val="20"/>
          <w:szCs w:val="20"/>
          <w:color w:val="auto"/>
        </w:rPr>
      </w:pPr>
    </w:p>
    <w:p>
      <w:pPr>
        <w:ind w:left="660" w:hanging="328"/>
        <w:spacing w:after="0"/>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under the Prospectus Regulation;</w:t>
      </w:r>
    </w:p>
    <w:p>
      <w:pPr>
        <w:spacing w:after="0" w:line="225" w:lineRule="exact"/>
        <w:rPr>
          <w:rFonts w:ascii="Arial" w:cs="Arial" w:eastAsia="Arial" w:hAnsi="Arial"/>
          <w:sz w:val="18"/>
          <w:szCs w:val="18"/>
          <w:color w:val="auto"/>
        </w:rPr>
      </w:pPr>
    </w:p>
    <w:p>
      <w:pPr>
        <w:ind w:left="660" w:right="400" w:hanging="328"/>
        <w:spacing w:after="0" w:line="277" w:lineRule="auto"/>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under the Prospectus Regulation), subject to obtaining the prior consent of the Representative for any such offer; or</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1(4) of the Prospectus Regulation,</w:t>
      </w:r>
    </w:p>
    <w:p>
      <w:pPr>
        <w:spacing w:after="0" w:line="22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provided that no such offer of units shall require the issuer or any underwriter to publish a prospectus pursuant to Article 3 of the Prospectus Regulation or supplement a prospectus pursuant to Article 23 of the Prospectus Regulation.</w:t>
      </w:r>
    </w:p>
    <w:p>
      <w:pPr>
        <w:spacing w:after="0" w:line="170" w:lineRule="exact"/>
        <w:rPr>
          <w:sz w:val="20"/>
          <w:szCs w:val="20"/>
          <w:color w:val="auto"/>
        </w:rPr>
      </w:pPr>
    </w:p>
    <w:p>
      <w:pPr>
        <w:ind w:right="160" w:firstLine="324"/>
        <w:spacing w:after="0" w:line="286" w:lineRule="auto"/>
        <w:rPr>
          <w:sz w:val="20"/>
          <w:szCs w:val="20"/>
          <w:color w:val="auto"/>
        </w:rPr>
      </w:pPr>
      <w:r>
        <w:rPr>
          <w:rFonts w:ascii="Arial" w:cs="Arial" w:eastAsia="Arial" w:hAnsi="Arial"/>
          <w:sz w:val="17"/>
          <w:szCs w:val="17"/>
          <w:color w:val="auto"/>
        </w:rPr>
        <w:t>For the purposes of this provision, the expression an “offer to the public” in relation to any units in any Relevant State means the communication in any form and by any means of sufficient information on the terms of the offer and any units to be offered so as to enable an investor to decide to purchase or subscribe for any units, and the expression “Prospectus Regulation” means Regulation (EU) 2017/1129.</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Notice to Prospective Investors in the United Kingdom</w:t>
      </w:r>
    </w:p>
    <w:p>
      <w:pPr>
        <w:spacing w:after="0" w:line="229"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In relation to the United Kingdom, no units have been offered or will be offered pursuant to this offering to the public in the United Kingdom prior to the publication of a prospectus in relation to the units that either (i) has been approved by the Financial Conduct Authority, or (ii) is to be treated as if it had been approved by the Financial Conduct Authority in accordance with the transitional provision in Regulation 74 of the Prospectus (Amendment etc.) (EU Exit) Regulations 2019, except that offers of units may be made to the public in the United Kingdom at any time under the following exemptions under the UK Prospectus Regulation:</w:t>
      </w:r>
    </w:p>
    <w:p>
      <w:pPr>
        <w:spacing w:after="0" w:line="188" w:lineRule="exact"/>
        <w:rPr>
          <w:sz w:val="20"/>
          <w:szCs w:val="20"/>
          <w:color w:val="auto"/>
        </w:rPr>
      </w:pPr>
    </w:p>
    <w:p>
      <w:pPr>
        <w:ind w:left="660" w:hanging="328"/>
        <w:spacing w:after="0"/>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Article 2 of the UK Prospectus Regulation;</w:t>
      </w:r>
    </w:p>
    <w:p>
      <w:pPr>
        <w:spacing w:after="0" w:line="225" w:lineRule="exact"/>
        <w:rPr>
          <w:rFonts w:ascii="Arial" w:cs="Arial" w:eastAsia="Arial" w:hAnsi="Arial"/>
          <w:sz w:val="18"/>
          <w:szCs w:val="18"/>
          <w:color w:val="auto"/>
        </w:rPr>
      </w:pPr>
    </w:p>
    <w:p>
      <w:pPr>
        <w:ind w:left="660" w:right="480" w:hanging="328"/>
        <w:spacing w:after="0" w:line="277" w:lineRule="auto"/>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in Article 2 of the UK Prospectus Regulation), subject to obtaining the prior consent of the Representative for any such offer; or</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in any other circumstances falling within section 86 of the Financial Services and Markets Act 2000, as amended (the “FSMA”),,</w:t>
      </w:r>
    </w:p>
    <w:p>
      <w:pPr>
        <w:spacing w:after="0" w:line="22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provided that no such offer of units shall require the issuer or any underwriter to publish a prospectus pursuant to section 85 of the FSMA or supplement a prospectus pursuant to Article 23 of the UK Prospectus Regulation.</w:t>
      </w:r>
    </w:p>
    <w:p>
      <w:pPr>
        <w:spacing w:after="0" w:line="170" w:lineRule="exact"/>
        <w:rPr>
          <w:sz w:val="20"/>
          <w:szCs w:val="20"/>
          <w:color w:val="auto"/>
        </w:rPr>
      </w:pPr>
    </w:p>
    <w:p>
      <w:pPr>
        <w:jc w:val="both"/>
        <w:ind w:right="100" w:firstLine="324"/>
        <w:spacing w:after="0" w:line="259" w:lineRule="auto"/>
        <w:rPr>
          <w:sz w:val="20"/>
          <w:szCs w:val="20"/>
          <w:color w:val="auto"/>
        </w:rPr>
      </w:pPr>
      <w:r>
        <w:rPr>
          <w:rFonts w:ascii="Arial" w:cs="Arial" w:eastAsia="Arial" w:hAnsi="Arial"/>
          <w:sz w:val="18"/>
          <w:szCs w:val="18"/>
          <w:color w:val="auto"/>
        </w:rPr>
        <w:t>For the purposes of this provision, the expression an “offer to the public” in relation to any units in the United Kingdom means the communication in any form and by any means of sufficient information on the terms of the offer and any units to be offered so as to enable an investor to decide to purchase or subscribe for any units, and the expression “UK Prospectus Regulation” means Regulation (EU) 2017/1129 as it forms part of domestic law by virtue of the European Union (Withdrawal) Act 2018.</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Each underwriter has represented and agreed that:</w:t>
      </w:r>
    </w:p>
    <w:p>
      <w:pPr>
        <w:spacing w:after="0" w:line="225" w:lineRule="exact"/>
        <w:rPr>
          <w:sz w:val="20"/>
          <w:szCs w:val="20"/>
          <w:color w:val="auto"/>
        </w:rPr>
      </w:pPr>
    </w:p>
    <w:p>
      <w:pPr>
        <w:ind w:left="660" w:right="140" w:hanging="328"/>
        <w:spacing w:after="0" w:line="263" w:lineRule="auto"/>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it has only communicated or caused to be communicated and will only communicate or cause to be communicated an invitation or inducement to engage in investment activity (within the meaning of Section 21 of the FSMA) received by it in connection with the issue or sale of any units in circumstances in which Section 21(1) of the FSMA does not apply to the issuer; and</w:t>
      </w:r>
    </w:p>
    <w:p>
      <w:pPr>
        <w:spacing w:after="0" w:line="29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64" w:name="page165"/>
    <w:bookmarkEnd w:id="164"/>
    <w:p>
      <w:pPr>
        <w:ind w:left="660" w:right="60" w:hanging="328"/>
        <w:spacing w:after="0" w:line="277" w:lineRule="auto"/>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it has complied and will comply with all applicable provisions of the FSMA with respect to anything done by it in relation to any units in, from or otherwise involving the United Kingdom.</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Notice to Residents of Japan</w:t>
      </w:r>
    </w:p>
    <w:p>
      <w:pPr>
        <w:spacing w:after="0" w:line="229" w:lineRule="exact"/>
        <w:rPr>
          <w:sz w:val="20"/>
          <w:szCs w:val="20"/>
          <w:color w:val="auto"/>
        </w:rPr>
      </w:pPr>
    </w:p>
    <w:p>
      <w:pPr>
        <w:ind w:firstLine="324"/>
        <w:spacing w:after="0" w:line="301" w:lineRule="auto"/>
        <w:rPr>
          <w:sz w:val="20"/>
          <w:szCs w:val="20"/>
          <w:color w:val="auto"/>
        </w:rPr>
      </w:pPr>
      <w:r>
        <w:rPr>
          <w:rFonts w:ascii="Arial" w:cs="Arial" w:eastAsia="Arial" w:hAnsi="Arial"/>
          <w:sz w:val="16"/>
          <w:szCs w:val="16"/>
          <w:color w:val="auto"/>
        </w:rPr>
        <w:t>The underwriters will not offer or sell any of our units directly or indirectly in Japan or to, or for the benefit of any Japanese person or to others, for re-offering or re-sale directly or indirectly in Japan or to any Japanese person, except in each case pursuant to an exemption from the registration requirements of, and otherwise in compliance with, the Securities and Exchange Law of Japan and any other applicable laws and regulations of Japan. For purposes of this paragraph, “Japanese person” means any person resident in Japan, including any corporation or other entity organized under the laws of Japan.</w:t>
      </w:r>
    </w:p>
    <w:p>
      <w:pPr>
        <w:spacing w:after="0" w:line="15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Notice to Residents of Hong Kong</w:t>
      </w:r>
    </w:p>
    <w:p>
      <w:pPr>
        <w:spacing w:after="0" w:line="229"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The underwriters and each of their affiliates have not (1) offered or sold, and will not offer or sell, in Hong Kong, by means of any document, our units other than (A) to “professional investors” as defined in the Securities and Futures Ordinance (Cap.571) of Hong Kong and any rules made under that Ordinance or (B) in other circumstances which do not result in the document being a “prospectus” as defined in the Companies Ordinance (Cap. 32 of Hong Kong) or which do not constitute an offer to the public within the meaning of that Ordinance or (2) issued or had in its possession for the purposes of issue, and will not issue or have in its possession for the purposes of issue, whether in Hong Kong or elsewhere any advertisement, invitation or document relating to our units which is directed at, or the contents of which are likely to be accessed or read by, the public in Hong Kong (except if permitted to do so under the securities laws of Hong Kong) other than with respect to our securities which are or are intended to be disposed of only to persons outside Hong Kong or only to “professional investors” as defined in the Securities and Futures Ordinance and any rules made under that Ordinance. The contents of this document have not been reviewed by any regulatory authority in Hong Kong. You are advised to exercise caution in relation to the offer. If you are in any doubt about any of the contents of this document, you should obtain independent professional advice.</w:t>
      </w: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Notice to Residents of Singapore</w:t>
      </w:r>
    </w:p>
    <w:p>
      <w:pPr>
        <w:spacing w:after="0" w:line="229" w:lineRule="exact"/>
        <w:rPr>
          <w:sz w:val="20"/>
          <w:szCs w:val="20"/>
          <w:color w:val="auto"/>
        </w:rPr>
      </w:pPr>
    </w:p>
    <w:p>
      <w:pPr>
        <w:ind w:right="60" w:firstLine="324"/>
        <w:spacing w:after="0" w:line="291" w:lineRule="auto"/>
        <w:rPr>
          <w:sz w:val="20"/>
          <w:szCs w:val="20"/>
          <w:color w:val="auto"/>
        </w:rPr>
      </w:pPr>
      <w:r>
        <w:rPr>
          <w:rFonts w:ascii="Arial" w:cs="Arial" w:eastAsia="Arial" w:hAnsi="Arial"/>
          <w:sz w:val="16"/>
          <w:szCs w:val="16"/>
          <w:color w:val="auto"/>
        </w:rPr>
        <w:t>This prospectus or any other offering material relating to our units has not been and will not be registered as a prospectus with the Monetary Authority of Singapore, and the units will be offered in Singapore pursuant to exemptions under Section 274 and Section 275 of the Securities and Futures Act, Chapter 289 of Singapore (the “Securities and Futures Act”). Accordingly our units may not be offered or sold, or be the subject of an invitation for subscription or purchase, nor may this prospectus or any other offering material relating to our units be circulated or distributed, whether directly or indirectly, to the public or any member of the public in Singapore other than (a) to an institutional investor or other person specified in Section 274 of the Securities and Futures Act, (b) to a sophisticated investor, and in accordance with the conditions specified in Section 275 of the Securities and Futures Act or (c) otherwise pursuant to, and in accordance with the conditions of, any other applicable provision of the Securities and Futures Act.</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Where the units are subscribed or purchased under Section 275 of the Securities and Futures Act by a relevant person which is:</w:t>
      </w:r>
    </w:p>
    <w:p>
      <w:pPr>
        <w:spacing w:after="0" w:line="225" w:lineRule="exact"/>
        <w:rPr>
          <w:sz w:val="20"/>
          <w:szCs w:val="20"/>
          <w:color w:val="auto"/>
        </w:rPr>
      </w:pPr>
    </w:p>
    <w:p>
      <w:pPr>
        <w:ind w:left="660" w:right="320" w:hanging="328"/>
        <w:spacing w:after="0" w:line="342" w:lineRule="auto"/>
        <w:tabs>
          <w:tab w:leader="none" w:pos="660" w:val="left"/>
        </w:tabs>
        <w:numPr>
          <w:ilvl w:val="0"/>
          <w:numId w:val="76"/>
        </w:numPr>
        <w:rPr>
          <w:rFonts w:ascii="Arial" w:cs="Arial" w:eastAsia="Arial" w:hAnsi="Arial"/>
          <w:sz w:val="16"/>
          <w:szCs w:val="16"/>
          <w:color w:val="auto"/>
        </w:rPr>
      </w:pPr>
      <w:r>
        <w:rPr>
          <w:rFonts w:ascii="Arial" w:cs="Arial" w:eastAsia="Arial" w:hAnsi="Arial"/>
          <w:sz w:val="16"/>
          <w:szCs w:val="16"/>
          <w:color w:val="auto"/>
        </w:rPr>
        <w:t>a corporation (which is not an accredited investor (as defined in Section 4A of the Securities and Futures Act)) the sole business of which is to hold investments and the entire share capital of which is owned by one or more individuals, each of whom is an accredited investor; or</w:t>
      </w:r>
    </w:p>
    <w:p>
      <w:pPr>
        <w:spacing w:after="0" w:line="123" w:lineRule="exact"/>
        <w:rPr>
          <w:rFonts w:ascii="Arial" w:cs="Arial" w:eastAsia="Arial" w:hAnsi="Arial"/>
          <w:sz w:val="16"/>
          <w:szCs w:val="16"/>
          <w:color w:val="auto"/>
        </w:rPr>
      </w:pPr>
    </w:p>
    <w:p>
      <w:pPr>
        <w:ind w:left="660" w:right="160" w:hanging="328"/>
        <w:spacing w:after="0" w:line="259" w:lineRule="auto"/>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 trust (where the trustee is not an accredited investor) whose sole purpose is to hold investments and each beneficiary is an individual who is an accredited investor, shares, debentures and units of shares and debentures of that corporation or the beneficiaries’ rights and interest (howsoever described) in that trust shall not be transferred within six months after that corporation or that trust has acquired the shares pursuant to an offer made under Section 275 of the Securities and Futures Act except:</w:t>
      </w:r>
    </w:p>
    <w:p>
      <w:pPr>
        <w:spacing w:after="0" w:line="187" w:lineRule="exact"/>
        <w:rPr>
          <w:sz w:val="20"/>
          <w:szCs w:val="20"/>
          <w:color w:val="auto"/>
        </w:rPr>
      </w:pPr>
    </w:p>
    <w:p>
      <w:pPr>
        <w:ind w:left="1300" w:right="60" w:hanging="320"/>
        <w:spacing w:after="0" w:line="255" w:lineRule="auto"/>
        <w:tabs>
          <w:tab w:leader="none" w:pos="13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to an institutional investor (for corporations, under Section 274 of the Securities and Futures Act) or to a relevant person defined in Section 275(2) of the Securities and Futures Act, or to any person pursuant to an offer that is made on terms that such shares, debentures and units of shares and debentures of that corporation or such rights and interest in that trust are acquired at a consideration of not less than $200,000 (or its equivalent in a foreign currency) for each transaction, whether such amount is to be paid for in cash or by exchange of securities or other assets, and further for corporations, in accordance with the conditions specified in Section 275 of the Securities and Futures Act;</w:t>
      </w:r>
    </w:p>
    <w:p>
      <w:pPr>
        <w:spacing w:after="0" w:line="192" w:lineRule="exact"/>
        <w:rPr>
          <w:rFonts w:ascii="Arial" w:cs="Arial" w:eastAsia="Arial" w:hAnsi="Arial"/>
          <w:sz w:val="18"/>
          <w:szCs w:val="18"/>
          <w:color w:val="auto"/>
        </w:rPr>
      </w:pPr>
    </w:p>
    <w:p>
      <w:pPr>
        <w:ind w:left="1300" w:hanging="320"/>
        <w:spacing w:after="0"/>
        <w:tabs>
          <w:tab w:leader="none" w:pos="13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 or</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225" w:lineRule="exact"/>
        <w:rPr>
          <w:sz w:val="20"/>
          <w:szCs w:val="20"/>
          <w:color w:val="auto"/>
        </w:rPr>
      </w:pPr>
    </w:p>
    <w:p>
      <w:pPr>
        <w:ind w:right="200" w:firstLine="369"/>
        <w:spacing w:after="0" w:line="311" w:lineRule="auto"/>
        <w:rPr>
          <w:sz w:val="20"/>
          <w:szCs w:val="20"/>
          <w:color w:val="auto"/>
        </w:rPr>
      </w:pPr>
      <w:r>
        <w:rPr>
          <w:rFonts w:ascii="Arial" w:cs="Arial" w:eastAsia="Arial" w:hAnsi="Arial"/>
          <w:sz w:val="16"/>
          <w:szCs w:val="16"/>
          <w:color w:val="auto"/>
        </w:rPr>
        <w:t>Notification under Section 309B(1)(c) of the Securities and Futures Act, Chapter 289 of Singapore. The securities are “prescribed capital markets products” (as defined in the Securities and Futures (Capital Markets Products) Regulations 2018) and Excluded Investment Products (as defined in MAS Notice SFA 04-N12: Notice on the Sale of Investment Products and MAS Notice FAA-N16: Notice on Recommendations on Investment Products).</w:t>
      </w:r>
    </w:p>
    <w:p>
      <w:pPr>
        <w:spacing w:after="0" w:line="14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Notice to Residents of Germany</w:t>
      </w:r>
    </w:p>
    <w:p>
      <w:pPr>
        <w:spacing w:after="0" w:line="229"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Each person who is in possession of this prospectus is aware that no German sales prospectus (Verkaufsprospekt) within the meaning of the Securities Sales Prospectus Act (Wertpapier-Verkaufsprospektgesetz, the “Act”) of the Federal Republic of Germany has been or will be published with respect to our units. In particular, each underwriter has represented that it has not engaged and has agreed that it will not engage in a public offering (offentliches Angebot) within the meaning of the Act with respect to any of our units otherwise then in accordance with the Act and all other applicable legal and regulatory requirements.</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Notice to Residents of France</w:t>
      </w:r>
    </w:p>
    <w:p>
      <w:pPr>
        <w:spacing w:after="0" w:line="229"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The units are being issued and sold outside the Republic of France and that, in connection with their initial distribution, it has not offered or sold and will not offer or sell, directly or indirectly, any units to the public in the</w:t>
      </w:r>
    </w:p>
    <w:p>
      <w:pPr>
        <w:spacing w:after="0" w:line="27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84" w:right="359" w:bottom="38" w:gutter="0" w:footer="0" w:header="0"/>
        </w:sectPr>
      </w:pPr>
    </w:p>
    <w:bookmarkStart w:id="165" w:name="page166"/>
    <w:bookmarkEnd w:id="165"/>
    <w:p>
      <w:pPr>
        <w:ind w:right="20"/>
        <w:spacing w:after="0" w:line="259" w:lineRule="auto"/>
        <w:rPr>
          <w:sz w:val="20"/>
          <w:szCs w:val="20"/>
          <w:color w:val="auto"/>
        </w:rPr>
      </w:pPr>
      <w:r>
        <w:rPr>
          <w:rFonts w:ascii="Arial" w:cs="Arial" w:eastAsia="Arial" w:hAnsi="Arial"/>
          <w:sz w:val="18"/>
          <w:szCs w:val="18"/>
          <w:color w:val="auto"/>
        </w:rPr>
        <w:t>Republic of France, and that it has not distributed and will not distribute or cause to be distributed to the public in the Republic of France this prospectus or any other offering material relating to the units, and that such offers, sales and distributions have been and will be made in the Republic of France only to qualified investors (investisseurs qualifiés) in accordance with Article L.411-2 of the Monetary and Financial Code and decrét no. 98-880 dated October 1, 1998.</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Notice to Residents of the Netherlands</w:t>
      </w:r>
    </w:p>
    <w:p>
      <w:pPr>
        <w:spacing w:after="0" w:line="229"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Our units may not be offered, sold, transferred or delivered in or from the Netherlands as part of their initial distribution or at any time thereafter, directly or indirectly, other than to, individuals or legal entities situated in The Netherlands who or which trade or invest in securities in the conduct of a business or profession (which includes banks, securities intermediaries (including dealers and brokers), insurance companies, pension funds, collective investment institution, central governments, large international and supranational organizations, other institutional investors and other parties, including treasury departments of commercial enterprises, which as an ancillary activity regularly invest in securities; hereinafter, “Professional Investors”); provided that in the offer, prospectus and in any other documents or advertisements in which a forthcoming offering of our units is publicly announced (whether electronically or otherwise) in The Netherlands it is stated that such offer is and will be exclusively made to such Professional Investors. Individual or legal entities who are not Professional Investors may not participate in the offering of our units, and this prospectus or any other offering material relating to our units may not be considered an offer or the prospect of an offer to sell or exchange our units.</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Notice to Prospective Investors in the Cayman Islands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 invitation, whether directly or indirectly, may be made to the public in the Cayman Islands to subscribe for our units.</w:t>
      </w: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Notice to Canadian Residents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Resale Restrictions</w:t>
      </w:r>
    </w:p>
    <w:p>
      <w:pPr>
        <w:spacing w:after="0" w:line="225" w:lineRule="exact"/>
        <w:rPr>
          <w:sz w:val="20"/>
          <w:szCs w:val="20"/>
          <w:color w:val="auto"/>
        </w:rPr>
      </w:pPr>
    </w:p>
    <w:p>
      <w:pPr>
        <w:ind w:right="20" w:firstLine="324"/>
        <w:spacing w:after="0" w:line="275" w:lineRule="auto"/>
        <w:rPr>
          <w:sz w:val="20"/>
          <w:szCs w:val="20"/>
          <w:color w:val="auto"/>
        </w:rPr>
      </w:pPr>
      <w:r>
        <w:rPr>
          <w:rFonts w:ascii="Arial" w:cs="Arial" w:eastAsia="Arial" w:hAnsi="Arial"/>
          <w:sz w:val="17"/>
          <w:szCs w:val="17"/>
          <w:color w:val="auto"/>
        </w:rPr>
        <w:t>The distribution of units in Canada is being made only in the provinces of Ontario, Quebec, Alberta and British Columbia on a private placement basis exempt from the requirement that we prepare and file a prospectus with the securities regulatory authorities in each province where trades of these securities are made. Any resale of the units in Canada must be made under applicable securities laws which may vary depending on the relevant jurisdiction, and which may require resales to be made under available statutory exemptions or under a discretionary exemption granted by the applicable Canadian securities regulatory authority. Purchasers are advised to seek legal advice prior to any resale of the securities.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Representations of Canadian Purchasers</w:t>
      </w:r>
    </w:p>
    <w:p>
      <w:pPr>
        <w:spacing w:after="0" w:line="225" w:lineRule="exact"/>
        <w:rPr>
          <w:sz w:val="20"/>
          <w:szCs w:val="20"/>
          <w:color w:val="auto"/>
        </w:rPr>
      </w:pPr>
    </w:p>
    <w:p>
      <w:pPr>
        <w:ind w:right="400" w:firstLine="324"/>
        <w:spacing w:after="0" w:line="277" w:lineRule="auto"/>
        <w:rPr>
          <w:sz w:val="20"/>
          <w:szCs w:val="20"/>
          <w:color w:val="auto"/>
        </w:rPr>
      </w:pPr>
      <w:r>
        <w:rPr>
          <w:rFonts w:ascii="Arial" w:cs="Arial" w:eastAsia="Arial" w:hAnsi="Arial"/>
          <w:sz w:val="18"/>
          <w:szCs w:val="18"/>
          <w:color w:val="auto"/>
        </w:rPr>
        <w:t>By purchasing units in Canada and accepting delivery of a purchase confirmation, a purchaser is representing to us and the dealer from whom the purchase confirmation is received that:</w:t>
      </w:r>
    </w:p>
    <w:p>
      <w:pPr>
        <w:spacing w:after="0" w:line="170" w:lineRule="exact"/>
        <w:rPr>
          <w:sz w:val="20"/>
          <w:szCs w:val="20"/>
          <w:color w:val="auto"/>
        </w:rPr>
      </w:pPr>
    </w:p>
    <w:p>
      <w:pPr>
        <w:ind w:left="660" w:right="80" w:hanging="328"/>
        <w:spacing w:after="0" w:line="308" w:lineRule="auto"/>
        <w:tabs>
          <w:tab w:leader="none" w:pos="660" w:val="left"/>
        </w:tabs>
        <w:numPr>
          <w:ilvl w:val="0"/>
          <w:numId w:val="78"/>
        </w:numPr>
        <w:rPr>
          <w:rFonts w:ascii="Arial" w:cs="Arial" w:eastAsia="Arial" w:hAnsi="Arial"/>
          <w:sz w:val="17"/>
          <w:szCs w:val="17"/>
          <w:color w:val="auto"/>
        </w:rPr>
      </w:pPr>
      <w:r>
        <w:rPr>
          <w:rFonts w:ascii="Arial" w:cs="Arial" w:eastAsia="Arial" w:hAnsi="Arial"/>
          <w:sz w:val="17"/>
          <w:szCs w:val="17"/>
          <w:color w:val="auto"/>
        </w:rPr>
        <w:t>the purchaser is entitled under applicable provincial securities laws to purchase the units without the benefit of a prospectus qualified under those securities laws as it is an “accredited investor” as defined under National Instrument 45-106—Prospectus Exemptions;</w:t>
      </w:r>
    </w:p>
    <w:p>
      <w:pPr>
        <w:spacing w:after="0" w:line="146" w:lineRule="exact"/>
        <w:rPr>
          <w:rFonts w:ascii="Arial" w:cs="Arial" w:eastAsia="Arial" w:hAnsi="Arial"/>
          <w:sz w:val="17"/>
          <w:szCs w:val="17"/>
          <w:color w:val="auto"/>
        </w:rPr>
      </w:pPr>
    </w:p>
    <w:p>
      <w:pPr>
        <w:ind w:left="660" w:right="120" w:hanging="328"/>
        <w:spacing w:after="0" w:line="277" w:lineRule="auto"/>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purchaser is a “permitted client” as defined in National Instrument 31-103—Registration Requirements, Exemptions and Ongoing Registrant Obligations;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where required by law, the purchaser is purchasing as principal and not as agent;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purchaser has reviewed the text above under “Resale Restrictions.”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Conflicts of Interest</w:t>
      </w:r>
    </w:p>
    <w:p>
      <w:pPr>
        <w:spacing w:after="0" w:line="225" w:lineRule="exact"/>
        <w:rPr>
          <w:sz w:val="20"/>
          <w:szCs w:val="20"/>
          <w:color w:val="auto"/>
        </w:rPr>
      </w:pPr>
    </w:p>
    <w:p>
      <w:pPr>
        <w:ind w:right="180" w:firstLine="324"/>
        <w:spacing w:after="0" w:line="308" w:lineRule="auto"/>
        <w:rPr>
          <w:sz w:val="20"/>
          <w:szCs w:val="20"/>
          <w:color w:val="auto"/>
        </w:rPr>
      </w:pPr>
      <w:r>
        <w:rPr>
          <w:rFonts w:ascii="Arial" w:cs="Arial" w:eastAsia="Arial" w:hAnsi="Arial"/>
          <w:sz w:val="17"/>
          <w:szCs w:val="17"/>
          <w:color w:val="auto"/>
        </w:rPr>
        <w:t>Canadian purchasers are hereby notified that the underwriters are relying on the exemption set out in section 3A.3 or 3A.4, if applicable, of National Instrument 33-105—Underwriting Conflicts from having to provide certain conflict of interest disclosure in this document.</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584" w:right="379" w:bottom="1440" w:gutter="0" w:footer="0" w:header="0"/>
        </w:sectPr>
      </w:pPr>
    </w:p>
    <w:bookmarkStart w:id="166" w:name="page167"/>
    <w:bookmarkEnd w:id="166"/>
    <w:p>
      <w:pPr>
        <w:spacing w:after="0"/>
        <w:rPr>
          <w:sz w:val="20"/>
          <w:szCs w:val="20"/>
          <w:color w:val="auto"/>
        </w:rPr>
      </w:pPr>
      <w:r>
        <w:rPr>
          <w:rFonts w:ascii="Arial" w:cs="Arial" w:eastAsia="Arial" w:hAnsi="Arial"/>
          <w:sz w:val="18"/>
          <w:szCs w:val="18"/>
          <w:b w:val="1"/>
          <w:bCs w:val="1"/>
          <w:i w:val="1"/>
          <w:iCs w:val="1"/>
          <w:color w:val="auto"/>
        </w:rPr>
        <w:t>Statutory Rights of Action</w:t>
      </w:r>
    </w:p>
    <w:p>
      <w:pPr>
        <w:spacing w:after="0" w:line="225" w:lineRule="exact"/>
        <w:rPr>
          <w:sz w:val="20"/>
          <w:szCs w:val="20"/>
          <w:color w:val="auto"/>
        </w:rPr>
      </w:pPr>
    </w:p>
    <w:p>
      <w:pPr>
        <w:ind w:right="60" w:firstLine="324"/>
        <w:spacing w:after="0" w:line="286" w:lineRule="auto"/>
        <w:rPr>
          <w:sz w:val="20"/>
          <w:szCs w:val="20"/>
          <w:color w:val="auto"/>
        </w:rPr>
      </w:pPr>
      <w:r>
        <w:rPr>
          <w:rFonts w:ascii="Arial" w:cs="Arial" w:eastAsia="Arial" w:hAnsi="Arial"/>
          <w:sz w:val="17"/>
          <w:szCs w:val="17"/>
          <w:color w:val="auto"/>
        </w:rPr>
        <w:t>Securities legislation in certain provinces or territories of Canada may provide a purchaser with remedies for rescission or damages if the prospectus (including any amendment thereto) such as this document contains a misrepresentation, provided that the remedies for rescission or damages are exercised by the purchaser within the time limit prescribed by the securities legislation of the purchaser’s province or territory.</w:t>
      </w:r>
    </w:p>
    <w:p>
      <w:pPr>
        <w:spacing w:after="0" w:line="165" w:lineRule="exact"/>
        <w:rPr>
          <w:sz w:val="20"/>
          <w:szCs w:val="20"/>
          <w:color w:val="auto"/>
        </w:rPr>
      </w:pPr>
    </w:p>
    <w:p>
      <w:pPr>
        <w:ind w:right="580" w:firstLine="324"/>
        <w:spacing w:after="0" w:line="277" w:lineRule="auto"/>
        <w:rPr>
          <w:sz w:val="20"/>
          <w:szCs w:val="20"/>
          <w:color w:val="auto"/>
        </w:rPr>
      </w:pPr>
      <w:r>
        <w:rPr>
          <w:rFonts w:ascii="Arial" w:cs="Arial" w:eastAsia="Arial" w:hAnsi="Arial"/>
          <w:sz w:val="18"/>
          <w:szCs w:val="18"/>
          <w:color w:val="auto"/>
        </w:rPr>
        <w:t>The purchaser of these securities in Canada should refer to any applicable provisions of the securities legislation of the purchaser’s province or territory for particulars of these rights or consult with a legal advisor.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Enforcement of Legal Rights</w:t>
      </w:r>
    </w:p>
    <w:p>
      <w:pPr>
        <w:spacing w:after="0" w:line="225"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All of our directors and officers as well as the experts named herein may be located outside of Canada and, as a result, it may not be possible for Canadian purchasers to effect service of process within Canada upon us or those persons. All or a substantial portion of our assets and the assets of those persons may be located outside of Canada and, as a result, it may not be possible to satisfy a judgment against us or those persons in Canada or to enforce a judgment obtained in Canadian courts against us or those persons outside of Canada.</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Taxation and Eligibility for Investment</w:t>
      </w:r>
    </w:p>
    <w:p>
      <w:pPr>
        <w:spacing w:after="0" w:line="225" w:lineRule="exact"/>
        <w:rPr>
          <w:sz w:val="20"/>
          <w:szCs w:val="20"/>
          <w:color w:val="auto"/>
        </w:rPr>
      </w:pPr>
    </w:p>
    <w:p>
      <w:pPr>
        <w:ind w:right="40" w:firstLine="324"/>
        <w:spacing w:after="0" w:line="308" w:lineRule="auto"/>
        <w:rPr>
          <w:sz w:val="20"/>
          <w:szCs w:val="20"/>
          <w:color w:val="auto"/>
        </w:rPr>
      </w:pPr>
      <w:r>
        <w:rPr>
          <w:rFonts w:ascii="Arial" w:cs="Arial" w:eastAsia="Arial" w:hAnsi="Arial"/>
          <w:sz w:val="17"/>
          <w:szCs w:val="17"/>
          <w:color w:val="auto"/>
        </w:rPr>
        <w:t>Canadian purchasers of units should consult their own legal and tax advisors with respect to the tax consequences of an investment in the units in their particular circumstances and about the eligibility of the units for investment by the purchaser under relevant Canadian legislation.</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584" w:right="379" w:bottom="1440" w:gutter="0" w:footer="0" w:header="0"/>
        </w:sectPr>
      </w:pPr>
    </w:p>
    <w:bookmarkStart w:id="167" w:name="page168"/>
    <w:bookmarkEnd w:id="167"/>
    <w:p>
      <w:pPr>
        <w:jc w:val="center"/>
        <w:ind w:right="-7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jc w:val="both"/>
        <w:ind w:right="40" w:firstLine="324"/>
        <w:spacing w:after="0" w:line="279" w:lineRule="auto"/>
        <w:rPr>
          <w:sz w:val="20"/>
          <w:szCs w:val="20"/>
          <w:color w:val="auto"/>
        </w:rPr>
      </w:pPr>
      <w:r>
        <w:rPr>
          <w:rFonts w:ascii="Arial" w:cs="Arial" w:eastAsia="Arial" w:hAnsi="Arial"/>
          <w:sz w:val="17"/>
          <w:szCs w:val="17"/>
          <w:color w:val="auto"/>
        </w:rPr>
        <w:t>Davis Polk &amp; Wardwell LLP, New York, New York, is acting as counsel in connection with the registration of our securities under the Securities Act, and as such, will pass upon the validity of the securities offered in this prospectus with respect to units and warrants. Maples and Calder, Cayman Islands, will pass upon the validity of the securities offered in this prospectus with respect to the ordinary shares and matters of Cayman Islands law. In connection with this offering, Skadden, Arps, Slate, Meagher &amp; Flom LLP is acting as counsel to the underwriters.</w:t>
      </w:r>
    </w:p>
    <w:p>
      <w:pPr>
        <w:spacing w:after="0" w:line="16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right="260" w:firstLine="324"/>
        <w:spacing w:after="0" w:line="259" w:lineRule="auto"/>
        <w:rPr>
          <w:sz w:val="20"/>
          <w:szCs w:val="20"/>
          <w:color w:val="auto"/>
        </w:rPr>
      </w:pPr>
      <w:r>
        <w:rPr>
          <w:rFonts w:ascii="Arial" w:cs="Arial" w:eastAsia="Arial" w:hAnsi="Arial"/>
          <w:sz w:val="18"/>
          <w:szCs w:val="18"/>
          <w:color w:val="auto"/>
        </w:rPr>
        <w:t>The financial statements of Freedom Acquisition I Corp. as of December 31, 2020 and for the period from December 23, 2020 (inception) through December 31, 2020 appearing in this prospectus have been audited by Marcum LLP, independent registered public accounting firm, as set forth in their report thereon, appearing elsewhere in this prospectus, and are included in reliance upon such report given on the authority of such firm as experts in accounting and auditing.</w:t>
      </w:r>
    </w:p>
    <w:p>
      <w:pPr>
        <w:spacing w:after="0" w:line="18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229"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We have filed with the SEC a registration statement on Form S-1 under the Securities Act with respect to the securities we are offering by this prospectus. This prospectus does not contain all of the information included in the registration statement. For further information about us and our securities, you should refer to the registration statement and the exhibits and schedules filed with the registration statement. Whenever we make reference in this prospectus to any of our contracts, agreements or other documents, the references are materially complete but may not include a description of all aspects of such contracts, agreements or other documents, and you should refer to the exhibits attached to the registration statement for copies of the actual contract, agreement or other document.</w:t>
      </w:r>
    </w:p>
    <w:p>
      <w:pPr>
        <w:spacing w:after="0" w:line="192"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Upon completion of this offering, we will be subject to the information requirements of the Exchange Act and will file annual, quarterly and current event reports, proxy statements and other information with the SEC. You can read our SEC filings, including the registration statement, over the Internet at the SEC’s website at www.sec.gov.</w:t>
      </w:r>
    </w:p>
    <w:p>
      <w:pPr>
        <w:spacing w:after="0" w:line="2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580" w:right="419" w:bottom="1440" w:gutter="0" w:footer="0" w:header="0"/>
        </w:sectPr>
      </w:pPr>
    </w:p>
    <w:bookmarkStart w:id="168" w:name="page169"/>
    <w:bookmarkEnd w:id="168"/>
    <w:p>
      <w:pPr>
        <w:ind w:left="4160"/>
        <w:spacing w:after="0"/>
        <w:rPr>
          <w:sz w:val="20"/>
          <w:szCs w:val="20"/>
          <w:color w:val="auto"/>
        </w:rPr>
      </w:pPr>
      <w:r>
        <w:rPr>
          <w:rFonts w:ascii="Arial" w:cs="Arial" w:eastAsia="Arial" w:hAnsi="Arial"/>
          <w:sz w:val="18"/>
          <w:szCs w:val="18"/>
          <w:b w:val="1"/>
          <w:bCs w:val="1"/>
          <w:color w:val="auto"/>
        </w:rPr>
        <w:t>FREEDOM ACQUISITION I CORP.</w:t>
      </w:r>
    </w:p>
    <w:p>
      <w:pPr>
        <w:spacing w:after="0" w:line="27"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INDEX TO FINANCIAL STATEMENTS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0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Page</w:t>
            </w:r>
          </w:p>
        </w:tc>
      </w:tr>
      <w:tr>
        <w:trPr>
          <w:trHeight w:val="418"/>
        </w:trPr>
        <w:tc>
          <w:tcPr>
            <w:tcW w:w="10000" w:type="dxa"/>
            <w:vAlign w:val="bottom"/>
          </w:tcPr>
          <w:p>
            <w:pPr>
              <w:spacing w:after="0"/>
              <w:rPr>
                <w:rFonts w:ascii="Arial" w:cs="Arial" w:eastAsia="Arial" w:hAnsi="Arial"/>
                <w:sz w:val="18"/>
                <w:szCs w:val="18"/>
                <w:u w:val="single" w:color="auto"/>
                <w:color w:val="0000EE"/>
              </w:rPr>
            </w:pPr>
            <w:hyperlink w:anchor="page170">
              <w:r>
                <w:rPr>
                  <w:rFonts w:ascii="Arial" w:cs="Arial" w:eastAsia="Arial" w:hAnsi="Arial"/>
                  <w:sz w:val="18"/>
                  <w:szCs w:val="18"/>
                  <w:u w:val="single" w:color="auto"/>
                  <w:color w:val="0000EE"/>
                </w:rPr>
                <w:t>Report of Independent Registered Public Accounting Firm</w:t>
              </w:r>
            </w:hyperlink>
          </w:p>
        </w:tc>
        <w:tc>
          <w:tcPr>
            <w:tcW w:w="1240" w:type="dxa"/>
            <w:vAlign w:val="bottom"/>
          </w:tcPr>
          <w:p>
            <w:pPr>
              <w:jc w:val="right"/>
              <w:spacing w:after="0"/>
              <w:rPr>
                <w:rFonts w:ascii="Arial" w:cs="Arial" w:eastAsia="Arial" w:hAnsi="Arial"/>
                <w:sz w:val="18"/>
                <w:szCs w:val="18"/>
                <w:u w:val="single" w:color="auto"/>
                <w:color w:val="0000EE"/>
              </w:rPr>
            </w:pPr>
            <w:hyperlink w:anchor="page170">
              <w:r>
                <w:rPr>
                  <w:rFonts w:ascii="Arial" w:cs="Arial" w:eastAsia="Arial" w:hAnsi="Arial"/>
                  <w:sz w:val="18"/>
                  <w:szCs w:val="18"/>
                  <w:u w:val="single" w:color="auto"/>
                  <w:color w:val="0000EE"/>
                </w:rPr>
                <w:t>F-2</w:t>
              </w:r>
            </w:hyperlink>
          </w:p>
        </w:tc>
      </w:tr>
      <w:tr>
        <w:trPr>
          <w:trHeight w:val="216"/>
        </w:trPr>
        <w:tc>
          <w:tcPr>
            <w:tcW w:w="10000" w:type="dxa"/>
            <w:vAlign w:val="bottom"/>
          </w:tcPr>
          <w:p>
            <w:pPr>
              <w:spacing w:after="0"/>
              <w:rPr>
                <w:rFonts w:ascii="Arial" w:cs="Arial" w:eastAsia="Arial" w:hAnsi="Arial"/>
                <w:sz w:val="18"/>
                <w:szCs w:val="18"/>
                <w:u w:val="single" w:color="auto"/>
                <w:color w:val="0000EE"/>
              </w:rPr>
            </w:pPr>
            <w:hyperlink w:anchor="page172">
              <w:r>
                <w:rPr>
                  <w:rFonts w:ascii="Arial" w:cs="Arial" w:eastAsia="Arial" w:hAnsi="Arial"/>
                  <w:sz w:val="18"/>
                  <w:szCs w:val="18"/>
                  <w:u w:val="single" w:color="auto"/>
                  <w:color w:val="0000EE"/>
                </w:rPr>
                <w:t>Balance Sheet December 31, 2020</w:t>
              </w:r>
            </w:hyperlink>
          </w:p>
        </w:tc>
        <w:tc>
          <w:tcPr>
            <w:tcW w:w="1240" w:type="dxa"/>
            <w:vAlign w:val="bottom"/>
          </w:tcPr>
          <w:p>
            <w:pPr>
              <w:jc w:val="right"/>
              <w:spacing w:after="0"/>
              <w:rPr>
                <w:rFonts w:ascii="Arial" w:cs="Arial" w:eastAsia="Arial" w:hAnsi="Arial"/>
                <w:sz w:val="18"/>
                <w:szCs w:val="18"/>
                <w:u w:val="single" w:color="auto"/>
                <w:color w:val="0000EE"/>
              </w:rPr>
            </w:pPr>
            <w:hyperlink w:anchor="page172">
              <w:r>
                <w:rPr>
                  <w:rFonts w:ascii="Arial" w:cs="Arial" w:eastAsia="Arial" w:hAnsi="Arial"/>
                  <w:sz w:val="18"/>
                  <w:szCs w:val="18"/>
                  <w:u w:val="single" w:color="auto"/>
                  <w:color w:val="0000EE"/>
                </w:rPr>
                <w:t>F-3</w:t>
              </w:r>
            </w:hyperlink>
          </w:p>
        </w:tc>
      </w:tr>
      <w:tr>
        <w:trPr>
          <w:trHeight w:val="216"/>
        </w:trPr>
        <w:tc>
          <w:tcPr>
            <w:tcW w:w="10000" w:type="dxa"/>
            <w:vAlign w:val="bottom"/>
          </w:tcPr>
          <w:p>
            <w:pPr>
              <w:spacing w:after="0"/>
              <w:rPr>
                <w:rFonts w:ascii="Arial" w:cs="Arial" w:eastAsia="Arial" w:hAnsi="Arial"/>
                <w:sz w:val="18"/>
                <w:szCs w:val="18"/>
                <w:u w:val="single" w:color="auto"/>
                <w:color w:val="0000EE"/>
              </w:rPr>
            </w:pPr>
            <w:hyperlink w:anchor="page173">
              <w:r>
                <w:rPr>
                  <w:rFonts w:ascii="Arial" w:cs="Arial" w:eastAsia="Arial" w:hAnsi="Arial"/>
                  <w:sz w:val="18"/>
                  <w:szCs w:val="18"/>
                  <w:u w:val="single" w:color="auto"/>
                  <w:color w:val="0000EE"/>
                </w:rPr>
                <w:t>Statement of Operations for the period from December 23, 2020 (inception) through December 31, 2020</w:t>
              </w:r>
            </w:hyperlink>
          </w:p>
        </w:tc>
        <w:tc>
          <w:tcPr>
            <w:tcW w:w="1240" w:type="dxa"/>
            <w:vAlign w:val="bottom"/>
          </w:tcPr>
          <w:p>
            <w:pPr>
              <w:jc w:val="right"/>
              <w:spacing w:after="0"/>
              <w:rPr>
                <w:rFonts w:ascii="Arial" w:cs="Arial" w:eastAsia="Arial" w:hAnsi="Arial"/>
                <w:sz w:val="18"/>
                <w:szCs w:val="18"/>
                <w:u w:val="single" w:color="auto"/>
                <w:color w:val="0000EE"/>
              </w:rPr>
            </w:pPr>
            <w:hyperlink w:anchor="page173">
              <w:r>
                <w:rPr>
                  <w:rFonts w:ascii="Arial" w:cs="Arial" w:eastAsia="Arial" w:hAnsi="Arial"/>
                  <w:sz w:val="18"/>
                  <w:szCs w:val="18"/>
                  <w:u w:val="single" w:color="auto"/>
                  <w:color w:val="0000EE"/>
                </w:rPr>
                <w:t>F-4</w:t>
              </w:r>
            </w:hyperlink>
          </w:p>
        </w:tc>
      </w:tr>
      <w:tr>
        <w:trPr>
          <w:trHeight w:val="216"/>
        </w:trPr>
        <w:tc>
          <w:tcPr>
            <w:tcW w:w="10000" w:type="dxa"/>
            <w:vAlign w:val="bottom"/>
          </w:tcPr>
          <w:p>
            <w:pPr>
              <w:spacing w:after="0"/>
              <w:rPr>
                <w:rFonts w:ascii="Arial" w:cs="Arial" w:eastAsia="Arial" w:hAnsi="Arial"/>
                <w:sz w:val="18"/>
                <w:szCs w:val="18"/>
                <w:u w:val="single" w:color="auto"/>
                <w:color w:val="0000EE"/>
                <w:w w:val="99"/>
              </w:rPr>
            </w:pPr>
            <w:hyperlink w:anchor="page174">
              <w:r>
                <w:rPr>
                  <w:rFonts w:ascii="Arial" w:cs="Arial" w:eastAsia="Arial" w:hAnsi="Arial"/>
                  <w:sz w:val="18"/>
                  <w:szCs w:val="18"/>
                  <w:u w:val="single" w:color="auto"/>
                  <w:color w:val="0000EE"/>
                  <w:w w:val="99"/>
                </w:rPr>
                <w:t>Statement of Changes in Shareholder’s Equity for the period from December 23, 2020 (inception) through December 31, 2020</w:t>
              </w:r>
            </w:hyperlink>
          </w:p>
        </w:tc>
        <w:tc>
          <w:tcPr>
            <w:tcW w:w="1240" w:type="dxa"/>
            <w:vAlign w:val="bottom"/>
          </w:tcPr>
          <w:p>
            <w:pPr>
              <w:jc w:val="right"/>
              <w:spacing w:after="0"/>
              <w:rPr>
                <w:rFonts w:ascii="Arial" w:cs="Arial" w:eastAsia="Arial" w:hAnsi="Arial"/>
                <w:sz w:val="18"/>
                <w:szCs w:val="18"/>
                <w:u w:val="single" w:color="auto"/>
                <w:color w:val="0000EE"/>
              </w:rPr>
            </w:pPr>
            <w:hyperlink w:anchor="page174">
              <w:r>
                <w:rPr>
                  <w:rFonts w:ascii="Arial" w:cs="Arial" w:eastAsia="Arial" w:hAnsi="Arial"/>
                  <w:sz w:val="18"/>
                  <w:szCs w:val="18"/>
                  <w:u w:val="single" w:color="auto"/>
                  <w:color w:val="0000EE"/>
                </w:rPr>
                <w:t>F-5</w:t>
              </w:r>
            </w:hyperlink>
          </w:p>
        </w:tc>
      </w:tr>
      <w:tr>
        <w:trPr>
          <w:trHeight w:val="216"/>
        </w:trPr>
        <w:tc>
          <w:tcPr>
            <w:tcW w:w="10000" w:type="dxa"/>
            <w:vAlign w:val="bottom"/>
          </w:tcPr>
          <w:p>
            <w:pPr>
              <w:spacing w:after="0"/>
              <w:rPr>
                <w:rFonts w:ascii="Arial" w:cs="Arial" w:eastAsia="Arial" w:hAnsi="Arial"/>
                <w:sz w:val="18"/>
                <w:szCs w:val="18"/>
                <w:u w:val="single" w:color="auto"/>
                <w:color w:val="0000EE"/>
              </w:rPr>
            </w:pPr>
            <w:hyperlink w:anchor="page175">
              <w:r>
                <w:rPr>
                  <w:rFonts w:ascii="Arial" w:cs="Arial" w:eastAsia="Arial" w:hAnsi="Arial"/>
                  <w:sz w:val="18"/>
                  <w:szCs w:val="18"/>
                  <w:u w:val="single" w:color="auto"/>
                  <w:color w:val="0000EE"/>
                </w:rPr>
                <w:t>Statement of Cash Flows for the period from December 23, 2020 (inception) through December 31, 2020</w:t>
              </w:r>
            </w:hyperlink>
          </w:p>
        </w:tc>
        <w:tc>
          <w:tcPr>
            <w:tcW w:w="1240" w:type="dxa"/>
            <w:vAlign w:val="bottom"/>
          </w:tcPr>
          <w:p>
            <w:pPr>
              <w:jc w:val="right"/>
              <w:spacing w:after="0"/>
              <w:rPr>
                <w:rFonts w:ascii="Arial" w:cs="Arial" w:eastAsia="Arial" w:hAnsi="Arial"/>
                <w:sz w:val="18"/>
                <w:szCs w:val="18"/>
                <w:u w:val="single" w:color="auto"/>
                <w:color w:val="0000EE"/>
              </w:rPr>
            </w:pPr>
            <w:hyperlink w:anchor="page175">
              <w:r>
                <w:rPr>
                  <w:rFonts w:ascii="Arial" w:cs="Arial" w:eastAsia="Arial" w:hAnsi="Arial"/>
                  <w:sz w:val="18"/>
                  <w:szCs w:val="18"/>
                  <w:u w:val="single" w:color="auto"/>
                  <w:color w:val="0000EE"/>
                </w:rPr>
                <w:t>F-6</w:t>
              </w:r>
            </w:hyperlink>
          </w:p>
        </w:tc>
      </w:tr>
      <w:tr>
        <w:trPr>
          <w:trHeight w:val="230"/>
        </w:trPr>
        <w:tc>
          <w:tcPr>
            <w:tcW w:w="10000" w:type="dxa"/>
            <w:vAlign w:val="bottom"/>
          </w:tcPr>
          <w:p>
            <w:pPr>
              <w:spacing w:after="0"/>
              <w:rPr>
                <w:rFonts w:ascii="Arial" w:cs="Arial" w:eastAsia="Arial" w:hAnsi="Arial"/>
                <w:sz w:val="18"/>
                <w:szCs w:val="18"/>
                <w:u w:val="single" w:color="auto"/>
                <w:color w:val="0000EE"/>
              </w:rPr>
            </w:pPr>
            <w:hyperlink w:anchor="page176">
              <w:r>
                <w:rPr>
                  <w:rFonts w:ascii="Arial" w:cs="Arial" w:eastAsia="Arial" w:hAnsi="Arial"/>
                  <w:sz w:val="18"/>
                  <w:szCs w:val="18"/>
                  <w:u w:val="single" w:color="auto"/>
                  <w:color w:val="0000EE"/>
                </w:rPr>
                <w:t>Notes to Financial Statements</w:t>
              </w:r>
            </w:hyperlink>
          </w:p>
        </w:tc>
        <w:tc>
          <w:tcPr>
            <w:tcW w:w="1240" w:type="dxa"/>
            <w:vAlign w:val="bottom"/>
          </w:tcPr>
          <w:p>
            <w:pPr>
              <w:jc w:val="right"/>
              <w:spacing w:after="0"/>
              <w:rPr>
                <w:rFonts w:ascii="Arial" w:cs="Arial" w:eastAsia="Arial" w:hAnsi="Arial"/>
                <w:sz w:val="18"/>
                <w:szCs w:val="18"/>
                <w:u w:val="single" w:color="auto"/>
                <w:color w:val="0000EE"/>
              </w:rPr>
            </w:pPr>
            <w:hyperlink w:anchor="page176">
              <w:r>
                <w:rPr>
                  <w:rFonts w:ascii="Arial" w:cs="Arial" w:eastAsia="Arial" w:hAnsi="Arial"/>
                  <w:sz w:val="18"/>
                  <w:szCs w:val="18"/>
                  <w:u w:val="single" w:color="auto"/>
                  <w:color w:val="0000EE"/>
                </w:rPr>
                <w:t>F-7</w:t>
              </w:r>
            </w:hyperlink>
          </w:p>
        </w:tc>
      </w:tr>
      <w:tr>
        <w:trPr>
          <w:trHeight w:val="567"/>
        </w:trPr>
        <w:tc>
          <w:tcPr>
            <w:tcW w:w="10000" w:type="dxa"/>
            <w:vAlign w:val="bottom"/>
            <w:tcBorders>
              <w:bottom w:val="single" w:sz="8" w:color="auto"/>
            </w:tcBorders>
          </w:tcPr>
          <w:p>
            <w:pPr>
              <w:ind w:left="5480"/>
              <w:spacing w:after="0"/>
              <w:rPr>
                <w:sz w:val="20"/>
                <w:szCs w:val="20"/>
                <w:color w:val="auto"/>
              </w:rPr>
            </w:pPr>
            <w:r>
              <w:rPr>
                <w:rFonts w:ascii="Arial" w:cs="Arial" w:eastAsia="Arial" w:hAnsi="Arial"/>
                <w:sz w:val="18"/>
                <w:szCs w:val="18"/>
                <w:color w:val="auto"/>
              </w:rPr>
              <w:t>F-1</w:t>
            </w:r>
          </w:p>
        </w:tc>
        <w:tc>
          <w:tcPr>
            <w:tcW w:w="12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96" w:right="339" w:bottom="1440" w:gutter="0" w:footer="0" w:header="0"/>
        </w:sectPr>
      </w:pPr>
    </w:p>
    <w:bookmarkStart w:id="169" w:name="page170"/>
    <w:bookmarkEnd w:id="169"/>
    <w:p>
      <w:pPr>
        <w:spacing w:after="0"/>
        <w:rPr>
          <w:rFonts w:ascii="Arial" w:cs="Arial" w:eastAsia="Arial" w:hAnsi="Arial"/>
          <w:sz w:val="16"/>
          <w:szCs w:val="16"/>
          <w:b w:val="1"/>
          <w:bCs w:val="1"/>
          <w:u w:val="single" w:color="auto"/>
          <w:color w:val="0000EE"/>
        </w:rPr>
      </w:pPr>
      <w:hyperlink w:anchor="page5">
        <w:r>
          <w:rPr>
            <w:rFonts w:ascii="Arial" w:cs="Arial" w:eastAsia="Arial" w:hAnsi="Arial"/>
            <w:sz w:val="16"/>
            <w:szCs w:val="16"/>
            <w:b w:val="1"/>
            <w:bCs w:val="1"/>
            <w:u w:val="single" w:color="auto"/>
            <w:color w:val="0000EE"/>
          </w:rPr>
          <w:t>Table of Contents</w:t>
        </w:r>
      </w:hyperlink>
    </w:p>
    <w:p>
      <w:pPr>
        <w:spacing w:after="0" w:line="122"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 and Board of Directors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Freedom Acquisition I Corp.</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have audited the accompanying balance sheet of Freedom Acquisition I Corp. (the “Company”) as of December 31, 2020, the related statements of operations, changes in shareholder’s equity and cash flow for the period from December 23, 2020 (inception) through December 31, 2020, and the related notes (collectively referred to as the “financial statements”). In our opinion, the financial statements present fairly, in all material respects, the financial position of the Company as of December 31, 2020, and the results of its operations and its cash flows for the period from December 23, 2020 through December 31, 2020, in conformity with accounting principles generally accepted in the United States of America.</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Explanatory Paragraph – Going Concern</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accompanying financial statements have been prepared assuming that the Company will continue as a going concern. As more fully described in Note 1 to the financial statements, the Company’s ability to execute its business plan is dependent upon its completion of the proposed initial public offering described in Note 3 to the financial statements. The Company has a working capital deficiency as of December 31, 2020, and lacks the financial resources it needs to sustain operations for a reasonable period of time, which is considered to be one year from issuance date of the financial statements. These conditions raise substantial doubt about the Company's ability to continue as a going concern. Management's plans with regard to these matters are also described in Notes 1 and 3. The financial statements do not include any adjustments that might become necessary should the Company be unable to continue as a going concern.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the financial</w:t>
      </w:r>
    </w:p>
    <w:p>
      <w:pPr>
        <w:spacing w:after="0" w:line="200" w:lineRule="exact"/>
        <w:rPr>
          <w:sz w:val="20"/>
          <w:szCs w:val="20"/>
          <w:color w:val="auto"/>
        </w:rPr>
      </w:pPr>
    </w:p>
    <w:p>
      <w:pPr>
        <w:spacing w:after="0" w:line="29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34" w:right="339" w:bottom="1440" w:gutter="0" w:footer="0" w:header="0"/>
        </w:sectPr>
      </w:pPr>
    </w:p>
    <w:bookmarkStart w:id="170" w:name="page171"/>
    <w:bookmarkEnd w:id="170"/>
    <w:p>
      <w:pPr>
        <w:spacing w:after="0"/>
        <w:rPr>
          <w:rFonts w:ascii="Arial" w:cs="Arial" w:eastAsia="Arial" w:hAnsi="Arial"/>
          <w:sz w:val="16"/>
          <w:szCs w:val="16"/>
          <w:b w:val="1"/>
          <w:bCs w:val="1"/>
          <w:u w:val="single" w:color="auto"/>
          <w:color w:val="0000EE"/>
        </w:rPr>
      </w:pPr>
      <w:hyperlink w:anchor="page5">
        <w:r>
          <w:rPr>
            <w:rFonts w:ascii="Arial" w:cs="Arial" w:eastAsia="Arial" w:hAnsi="Arial"/>
            <w:sz w:val="16"/>
            <w:szCs w:val="16"/>
            <w:b w:val="1"/>
            <w:bCs w:val="1"/>
            <w:u w:val="single" w:color="auto"/>
            <w:color w:val="0000EE"/>
          </w:rPr>
          <w:t>Table of Contents</w:t>
        </w:r>
      </w:hyperlink>
    </w:p>
    <w:p>
      <w:pPr>
        <w:spacing w:after="0" w:line="34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w:t>
      </w:r>
      <w:r>
        <w:rPr>
          <w:rFonts w:ascii="Arial" w:cs="Arial" w:eastAsia="Arial" w:hAnsi="Arial"/>
          <w:sz w:val="16"/>
          <w:szCs w:val="16"/>
          <w:b w:val="1"/>
          <w:bCs w:val="1"/>
          <w:color w:val="auto"/>
        </w:rPr>
        <w:t>s</w:t>
      </w:r>
      <w:r>
        <w:rPr>
          <w:rFonts w:ascii="Arial" w:cs="Arial" w:eastAsia="Arial" w:hAnsi="Arial"/>
          <w:sz w:val="16"/>
          <w:szCs w:val="16"/>
          <w:color w:val="auto"/>
        </w:rPr>
        <w:t xml:space="preserve"> a reasonable basis for our opinion.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 Marcum </w:t>
      </w:r>
      <w:r>
        <w:rPr>
          <w:rFonts w:ascii="Arial" w:cs="Arial" w:eastAsia="Arial" w:hAnsi="Arial"/>
          <w:sz w:val="12"/>
          <w:szCs w:val="12"/>
          <w:color w:val="auto"/>
        </w:rPr>
        <w:t>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Marcum </w:t>
      </w:r>
      <w:r>
        <w:rPr>
          <w:rFonts w:ascii="Arial" w:cs="Arial" w:eastAsia="Arial" w:hAnsi="Arial"/>
          <w:sz w:val="12"/>
          <w:szCs w:val="12"/>
          <w:color w:val="auto"/>
        </w:rPr>
        <w:t>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 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January 8,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34" w:right="339" w:bottom="1440" w:gutter="0" w:footer="0" w:header="0"/>
        </w:sectPr>
      </w:pPr>
    </w:p>
    <w:bookmarkStart w:id="171" w:name="page172"/>
    <w:bookmarkEnd w:id="171"/>
    <w:p>
      <w:pPr>
        <w:spacing w:after="0"/>
        <w:rPr>
          <w:rFonts w:ascii="Arial" w:cs="Arial" w:eastAsia="Arial" w:hAnsi="Arial"/>
          <w:sz w:val="16"/>
          <w:szCs w:val="16"/>
          <w:b w:val="1"/>
          <w:bCs w:val="1"/>
          <w:u w:val="single" w:color="auto"/>
          <w:color w:val="0000EE"/>
        </w:rPr>
      </w:pPr>
      <w:hyperlink w:anchor="page5">
        <w:r>
          <w:rPr>
            <w:rFonts w:ascii="Arial" w:cs="Arial" w:eastAsia="Arial" w:hAnsi="Arial"/>
            <w:sz w:val="16"/>
            <w:szCs w:val="16"/>
            <w:b w:val="1"/>
            <w:bCs w:val="1"/>
            <w:u w:val="single" w:color="auto"/>
            <w:color w:val="0000EE"/>
          </w:rPr>
          <w:t>Table of Contents</w:t>
        </w:r>
      </w:hyperlink>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20" w:type="dxa"/>
            <w:vAlign w:val="bottom"/>
          </w:tcPr>
          <w:p>
            <w:pPr>
              <w:spacing w:after="0"/>
              <w:rPr>
                <w:sz w:val="18"/>
                <w:szCs w:val="18"/>
                <w:color w:val="auto"/>
              </w:rPr>
            </w:pPr>
          </w:p>
        </w:tc>
        <w:tc>
          <w:tcPr>
            <w:tcW w:w="6380" w:type="dxa"/>
            <w:vAlign w:val="bottom"/>
          </w:tcPr>
          <w:p>
            <w:pPr>
              <w:jc w:val="center"/>
              <w:ind w:right="670"/>
              <w:spacing w:after="0"/>
              <w:rPr>
                <w:sz w:val="20"/>
                <w:szCs w:val="20"/>
                <w:color w:val="auto"/>
              </w:rPr>
            </w:pPr>
            <w:r>
              <w:rPr>
                <w:rFonts w:ascii="Arial" w:cs="Arial" w:eastAsia="Arial" w:hAnsi="Arial"/>
                <w:sz w:val="18"/>
                <w:szCs w:val="18"/>
                <w:b w:val="1"/>
                <w:bCs w:val="1"/>
                <w:color w:val="auto"/>
              </w:rPr>
              <w:t>FREEDOM ACQUISITION I CORP.</w:t>
            </w: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2820" w:type="dxa"/>
            <w:vAlign w:val="bottom"/>
          </w:tcPr>
          <w:p>
            <w:pPr>
              <w:spacing w:after="0"/>
              <w:rPr>
                <w:sz w:val="18"/>
                <w:szCs w:val="18"/>
                <w:color w:val="auto"/>
              </w:rPr>
            </w:pPr>
          </w:p>
        </w:tc>
        <w:tc>
          <w:tcPr>
            <w:tcW w:w="6380" w:type="dxa"/>
            <w:vAlign w:val="bottom"/>
          </w:tcPr>
          <w:p>
            <w:pPr>
              <w:jc w:val="center"/>
              <w:ind w:right="690"/>
              <w:spacing w:after="0"/>
              <w:rPr>
                <w:sz w:val="20"/>
                <w:szCs w:val="20"/>
                <w:color w:val="auto"/>
              </w:rPr>
            </w:pPr>
            <w:r>
              <w:rPr>
                <w:rFonts w:ascii="Arial" w:cs="Arial" w:eastAsia="Arial" w:hAnsi="Arial"/>
                <w:sz w:val="18"/>
                <w:szCs w:val="18"/>
                <w:b w:val="1"/>
                <w:bCs w:val="1"/>
                <w:color w:val="auto"/>
                <w:w w:val="99"/>
              </w:rPr>
              <w:t>BALANCE SHEET</w:t>
            </w: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34"/>
        </w:trPr>
        <w:tc>
          <w:tcPr>
            <w:tcW w:w="2820" w:type="dxa"/>
            <w:vAlign w:val="bottom"/>
          </w:tcPr>
          <w:p>
            <w:pPr>
              <w:spacing w:after="0"/>
              <w:rPr>
                <w:sz w:val="20"/>
                <w:szCs w:val="20"/>
                <w:color w:val="auto"/>
              </w:rPr>
            </w:pPr>
          </w:p>
        </w:tc>
        <w:tc>
          <w:tcPr>
            <w:tcW w:w="6380" w:type="dxa"/>
            <w:vAlign w:val="bottom"/>
          </w:tcPr>
          <w:p>
            <w:pPr>
              <w:jc w:val="center"/>
              <w:ind w:right="690"/>
              <w:spacing w:after="0"/>
              <w:rPr>
                <w:sz w:val="20"/>
                <w:szCs w:val="20"/>
                <w:color w:val="auto"/>
              </w:rPr>
            </w:pPr>
            <w:r>
              <w:rPr>
                <w:rFonts w:ascii="Arial" w:cs="Arial" w:eastAsia="Arial" w:hAnsi="Arial"/>
                <w:sz w:val="18"/>
                <w:szCs w:val="18"/>
                <w:b w:val="1"/>
                <w:bCs w:val="1"/>
                <w:color w:val="auto"/>
                <w:w w:val="96"/>
              </w:rPr>
              <w:t>DECEMBER 31, 2020</w:t>
            </w:r>
          </w:p>
        </w:tc>
        <w:tc>
          <w:tcPr>
            <w:tcW w:w="7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432"/>
        </w:trPr>
        <w:tc>
          <w:tcPr>
            <w:tcW w:w="9200" w:type="dxa"/>
            <w:vAlign w:val="bottom"/>
            <w:gridSpan w:val="2"/>
          </w:tcPr>
          <w:p>
            <w:pPr>
              <w:spacing w:after="0"/>
              <w:rPr>
                <w:sz w:val="20"/>
                <w:szCs w:val="20"/>
                <w:color w:val="auto"/>
              </w:rPr>
            </w:pPr>
            <w:r>
              <w:rPr>
                <w:rFonts w:ascii="Arial" w:cs="Arial" w:eastAsia="Arial" w:hAnsi="Arial"/>
                <w:sz w:val="18"/>
                <w:szCs w:val="18"/>
                <w:color w:val="auto"/>
              </w:rPr>
              <w:t>Assets</w:t>
            </w: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29"/>
        </w:trPr>
        <w:tc>
          <w:tcPr>
            <w:tcW w:w="920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Deferred offering costs</w:t>
            </w:r>
          </w:p>
        </w:tc>
        <w:tc>
          <w:tcPr>
            <w:tcW w:w="1080" w:type="dxa"/>
            <w:vAlign w:val="bottom"/>
            <w:gridSpan w:val="2"/>
            <w:shd w:val="clear" w:color="auto" w:fill="D5EAEA"/>
          </w:tcPr>
          <w:p>
            <w:pPr>
              <w:jc w:val="right"/>
              <w:ind w:right="190"/>
              <w:spacing w:after="0"/>
              <w:rPr>
                <w:sz w:val="20"/>
                <w:szCs w:val="20"/>
                <w:color w:val="auto"/>
              </w:rPr>
            </w:pPr>
            <w:r>
              <w:rPr>
                <w:rFonts w:ascii="Arial" w:cs="Arial" w:eastAsia="Arial" w:hAnsi="Arial"/>
                <w:sz w:val="18"/>
                <w:szCs w:val="18"/>
                <w:color w:val="auto"/>
              </w:rPr>
              <w:t>$</w:t>
            </w:r>
          </w:p>
        </w:tc>
        <w:tc>
          <w:tcPr>
            <w:tcW w:w="96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127,691</w:t>
            </w:r>
          </w:p>
        </w:tc>
      </w:tr>
      <w:tr>
        <w:trPr>
          <w:trHeight w:val="263"/>
        </w:trPr>
        <w:tc>
          <w:tcPr>
            <w:tcW w:w="9200" w:type="dxa"/>
            <w:vAlign w:val="bottom"/>
            <w:tcBorders>
              <w:bottom w:val="single" w:sz="8" w:color="D5EAEA"/>
            </w:tcBorders>
            <w:gridSpan w:val="2"/>
          </w:tcPr>
          <w:p>
            <w:pPr>
              <w:spacing w:after="0"/>
              <w:rPr>
                <w:sz w:val="20"/>
                <w:szCs w:val="20"/>
                <w:color w:val="auto"/>
              </w:rPr>
            </w:pPr>
            <w:r>
              <w:rPr>
                <w:rFonts w:ascii="Arial" w:cs="Arial" w:eastAsia="Arial" w:hAnsi="Arial"/>
                <w:sz w:val="18"/>
                <w:szCs w:val="18"/>
                <w:color w:val="auto"/>
              </w:rPr>
              <w:t>Total Assets</w:t>
            </w:r>
          </w:p>
        </w:tc>
        <w:tc>
          <w:tcPr>
            <w:tcW w:w="700" w:type="dxa"/>
            <w:vAlign w:val="bottom"/>
            <w:tcBorders>
              <w:bottom w:val="single" w:sz="8" w:color="D5EAEA"/>
            </w:tcBorders>
          </w:tcPr>
          <w:p>
            <w:pPr>
              <w:spacing w:after="0"/>
              <w:rPr>
                <w:sz w:val="22"/>
                <w:szCs w:val="22"/>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127,691</w:t>
            </w:r>
          </w:p>
        </w:tc>
      </w:tr>
      <w:tr>
        <w:trPr>
          <w:trHeight w:val="196"/>
        </w:trPr>
        <w:tc>
          <w:tcPr>
            <w:tcW w:w="9200" w:type="dxa"/>
            <w:vAlign w:val="bottom"/>
            <w:gridSpan w:val="2"/>
            <w:shd w:val="clear" w:color="auto" w:fill="D5EAEA"/>
          </w:tcPr>
          <w:p>
            <w:pPr>
              <w:spacing w:after="0" w:line="196" w:lineRule="exact"/>
              <w:rPr>
                <w:sz w:val="20"/>
                <w:szCs w:val="20"/>
                <w:color w:val="auto"/>
              </w:rPr>
            </w:pPr>
            <w:r>
              <w:rPr>
                <w:rFonts w:ascii="Arial" w:cs="Arial" w:eastAsia="Arial" w:hAnsi="Arial"/>
                <w:sz w:val="18"/>
                <w:szCs w:val="18"/>
                <w:color w:val="auto"/>
              </w:rPr>
              <w:t>Liabilities and Shareholder’s Equity</w:t>
            </w:r>
          </w:p>
        </w:tc>
        <w:tc>
          <w:tcPr>
            <w:tcW w:w="700" w:type="dxa"/>
            <w:vAlign w:val="bottom"/>
            <w:shd w:val="clear" w:color="auto" w:fill="D5EAEA"/>
          </w:tcPr>
          <w:p>
            <w:pPr>
              <w:spacing w:after="0"/>
              <w:rPr>
                <w:sz w:val="17"/>
                <w:szCs w:val="17"/>
                <w:color w:val="auto"/>
              </w:rPr>
            </w:pPr>
          </w:p>
        </w:tc>
        <w:tc>
          <w:tcPr>
            <w:tcW w:w="380" w:type="dxa"/>
            <w:vAlign w:val="bottom"/>
            <w:shd w:val="clear" w:color="auto" w:fill="D5EAEA"/>
          </w:tcPr>
          <w:p>
            <w:pPr>
              <w:spacing w:after="0"/>
              <w:rPr>
                <w:sz w:val="17"/>
                <w:szCs w:val="17"/>
                <w:color w:val="auto"/>
              </w:rPr>
            </w:pPr>
          </w:p>
        </w:tc>
        <w:tc>
          <w:tcPr>
            <w:tcW w:w="960" w:type="dxa"/>
            <w:vAlign w:val="bottom"/>
            <w:shd w:val="clear" w:color="auto" w:fill="D5EAEA"/>
          </w:tcPr>
          <w:p>
            <w:pPr>
              <w:spacing w:after="0"/>
              <w:rPr>
                <w:sz w:val="17"/>
                <w:szCs w:val="17"/>
                <w:color w:val="auto"/>
              </w:rPr>
            </w:pPr>
          </w:p>
        </w:tc>
      </w:tr>
      <w:tr>
        <w:trPr>
          <w:trHeight w:val="216"/>
        </w:trPr>
        <w:tc>
          <w:tcPr>
            <w:tcW w:w="920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29"/>
        </w:trPr>
        <w:tc>
          <w:tcPr>
            <w:tcW w:w="920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Accrued offering costs and expenses</w:t>
            </w:r>
          </w:p>
        </w:tc>
        <w:tc>
          <w:tcPr>
            <w:tcW w:w="1080" w:type="dxa"/>
            <w:vAlign w:val="bottom"/>
            <w:gridSpan w:val="2"/>
            <w:shd w:val="clear" w:color="auto" w:fill="D5EAEA"/>
          </w:tcPr>
          <w:p>
            <w:pPr>
              <w:jc w:val="right"/>
              <w:ind w:right="190"/>
              <w:spacing w:after="0"/>
              <w:rPr>
                <w:sz w:val="20"/>
                <w:szCs w:val="20"/>
                <w:color w:val="auto"/>
              </w:rPr>
            </w:pPr>
            <w:r>
              <w:rPr>
                <w:rFonts w:ascii="Arial" w:cs="Arial" w:eastAsia="Arial" w:hAnsi="Arial"/>
                <w:sz w:val="18"/>
                <w:szCs w:val="18"/>
                <w:color w:val="auto"/>
              </w:rPr>
              <w:t>$</w:t>
            </w:r>
          </w:p>
        </w:tc>
        <w:tc>
          <w:tcPr>
            <w:tcW w:w="96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108,185</w:t>
            </w:r>
          </w:p>
        </w:tc>
      </w:tr>
      <w:tr>
        <w:trPr>
          <w:trHeight w:val="209"/>
        </w:trPr>
        <w:tc>
          <w:tcPr>
            <w:tcW w:w="9200" w:type="dxa"/>
            <w:vAlign w:val="bottom"/>
            <w:tcBorders>
              <w:bottom w:val="single" w:sz="8" w:color="D5EAEA"/>
            </w:tcBorders>
            <w:gridSpan w:val="2"/>
          </w:tcPr>
          <w:p>
            <w:pPr>
              <w:spacing w:after="0"/>
              <w:rPr>
                <w:sz w:val="20"/>
                <w:szCs w:val="20"/>
                <w:color w:val="auto"/>
              </w:rPr>
            </w:pPr>
            <w:r>
              <w:rPr>
                <w:rFonts w:ascii="Arial" w:cs="Arial" w:eastAsia="Arial" w:hAnsi="Arial"/>
                <w:sz w:val="18"/>
                <w:szCs w:val="18"/>
                <w:color w:val="auto"/>
              </w:rPr>
              <w:t>Total current liabilities</w:t>
            </w:r>
          </w:p>
        </w:tc>
        <w:tc>
          <w:tcPr>
            <w:tcW w:w="700" w:type="dxa"/>
            <w:vAlign w:val="bottom"/>
            <w:tcBorders>
              <w:bottom w:val="single" w:sz="8" w:color="D5EAEA"/>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108,185</w:t>
            </w:r>
          </w:p>
        </w:tc>
      </w:tr>
      <w:tr>
        <w:trPr>
          <w:trHeight w:val="210"/>
        </w:trPr>
        <w:tc>
          <w:tcPr>
            <w:tcW w:w="920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Commitments and Contingencies</w:t>
            </w:r>
          </w:p>
        </w:tc>
        <w:tc>
          <w:tcPr>
            <w:tcW w:w="700" w:type="dxa"/>
            <w:vAlign w:val="bottom"/>
            <w:shd w:val="clear" w:color="auto" w:fill="D5EAEA"/>
          </w:tcPr>
          <w:p>
            <w:pPr>
              <w:spacing w:after="0"/>
              <w:rPr>
                <w:sz w:val="18"/>
                <w:szCs w:val="18"/>
                <w:color w:val="auto"/>
              </w:rPr>
            </w:pPr>
          </w:p>
        </w:tc>
        <w:tc>
          <w:tcPr>
            <w:tcW w:w="380" w:type="dxa"/>
            <w:vAlign w:val="bottom"/>
            <w:shd w:val="clear" w:color="auto" w:fill="D5EAEA"/>
          </w:tcPr>
          <w:p>
            <w:pPr>
              <w:spacing w:after="0"/>
              <w:rPr>
                <w:sz w:val="18"/>
                <w:szCs w:val="18"/>
                <w:color w:val="auto"/>
              </w:rPr>
            </w:pPr>
          </w:p>
        </w:tc>
        <w:tc>
          <w:tcPr>
            <w:tcW w:w="960" w:type="dxa"/>
            <w:vAlign w:val="bottom"/>
            <w:shd w:val="clear" w:color="auto" w:fill="D5EAEA"/>
          </w:tcPr>
          <w:p>
            <w:pPr>
              <w:spacing w:after="0"/>
              <w:rPr>
                <w:sz w:val="18"/>
                <w:szCs w:val="18"/>
                <w:color w:val="auto"/>
              </w:rPr>
            </w:pPr>
          </w:p>
        </w:tc>
      </w:tr>
      <w:tr>
        <w:trPr>
          <w:trHeight w:val="216"/>
        </w:trPr>
        <w:tc>
          <w:tcPr>
            <w:tcW w:w="9200" w:type="dxa"/>
            <w:vAlign w:val="bottom"/>
            <w:gridSpan w:val="2"/>
          </w:tcPr>
          <w:p>
            <w:pPr>
              <w:spacing w:after="0"/>
              <w:rPr>
                <w:sz w:val="20"/>
                <w:szCs w:val="20"/>
                <w:color w:val="auto"/>
              </w:rPr>
            </w:pPr>
            <w:r>
              <w:rPr>
                <w:rFonts w:ascii="Arial" w:cs="Arial" w:eastAsia="Arial" w:hAnsi="Arial"/>
                <w:sz w:val="18"/>
                <w:szCs w:val="18"/>
                <w:color w:val="auto"/>
              </w:rPr>
              <w:t>Shareholder’s Equity:</w:t>
            </w: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920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Preferred shares, $0.0001 par value; 1,000,000 shares authorized; none issued and outstanding</w:t>
            </w:r>
          </w:p>
        </w:tc>
        <w:tc>
          <w:tcPr>
            <w:tcW w:w="700" w:type="dxa"/>
            <w:vAlign w:val="bottom"/>
            <w:shd w:val="clear" w:color="auto" w:fill="D5EAEA"/>
          </w:tcPr>
          <w:p>
            <w:pPr>
              <w:spacing w:after="0"/>
              <w:rPr>
                <w:sz w:val="18"/>
                <w:szCs w:val="18"/>
                <w:color w:val="auto"/>
              </w:rPr>
            </w:pPr>
          </w:p>
        </w:tc>
        <w:tc>
          <w:tcPr>
            <w:tcW w:w="380" w:type="dxa"/>
            <w:vAlign w:val="bottom"/>
            <w:shd w:val="clear" w:color="auto" w:fill="D5EAEA"/>
          </w:tcPr>
          <w:p>
            <w:pPr>
              <w:spacing w:after="0"/>
              <w:rPr>
                <w:sz w:val="18"/>
                <w:szCs w:val="18"/>
                <w:color w:val="auto"/>
              </w:rPr>
            </w:pPr>
          </w:p>
        </w:tc>
        <w:tc>
          <w:tcPr>
            <w:tcW w:w="96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9200" w:type="dxa"/>
            <w:vAlign w:val="bottom"/>
            <w:gridSpan w:val="2"/>
          </w:tcPr>
          <w:p>
            <w:pPr>
              <w:spacing w:after="0"/>
              <w:rPr>
                <w:sz w:val="20"/>
                <w:szCs w:val="20"/>
                <w:color w:val="auto"/>
              </w:rPr>
            </w:pPr>
            <w:r>
              <w:rPr>
                <w:rFonts w:ascii="Arial" w:cs="Arial" w:eastAsia="Arial" w:hAnsi="Arial"/>
                <w:sz w:val="18"/>
                <w:szCs w:val="18"/>
                <w:color w:val="auto"/>
              </w:rPr>
              <w:t>Class A ordinary shares, $0.0001 par value; 200,000,000 shares authorized; none issued and outstanding</w:t>
            </w: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9200" w:type="dxa"/>
            <w:vAlign w:val="bottom"/>
            <w:gridSpan w:val="2"/>
            <w:shd w:val="clear" w:color="auto" w:fill="D5EAEA"/>
          </w:tcPr>
          <w:p>
            <w:pPr>
              <w:spacing w:after="0"/>
              <w:rPr>
                <w:sz w:val="20"/>
                <w:szCs w:val="20"/>
                <w:color w:val="auto"/>
              </w:rPr>
            </w:pPr>
            <w:r>
              <w:rPr>
                <w:rFonts w:ascii="Arial" w:cs="Arial" w:eastAsia="Arial" w:hAnsi="Arial"/>
                <w:sz w:val="18"/>
                <w:szCs w:val="18"/>
                <w:color w:val="auto"/>
                <w:w w:val="96"/>
              </w:rPr>
              <w:t>Class B ordinary shares, $0.0001 par value; 20,000,000 shares authorized; 7,187,500 shares issued and outstanding(1)</w:t>
            </w:r>
          </w:p>
        </w:tc>
        <w:tc>
          <w:tcPr>
            <w:tcW w:w="700" w:type="dxa"/>
            <w:vAlign w:val="bottom"/>
            <w:shd w:val="clear" w:color="auto" w:fill="D5EAEA"/>
          </w:tcPr>
          <w:p>
            <w:pPr>
              <w:spacing w:after="0"/>
              <w:rPr>
                <w:sz w:val="18"/>
                <w:szCs w:val="18"/>
                <w:color w:val="auto"/>
              </w:rPr>
            </w:pPr>
          </w:p>
        </w:tc>
        <w:tc>
          <w:tcPr>
            <w:tcW w:w="380" w:type="dxa"/>
            <w:vAlign w:val="bottom"/>
            <w:shd w:val="clear" w:color="auto" w:fill="D5EAEA"/>
          </w:tcPr>
          <w:p>
            <w:pPr>
              <w:spacing w:after="0"/>
              <w:rPr>
                <w:sz w:val="18"/>
                <w:szCs w:val="18"/>
                <w:color w:val="auto"/>
              </w:rPr>
            </w:pPr>
          </w:p>
        </w:tc>
        <w:tc>
          <w:tcPr>
            <w:tcW w:w="96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719</w:t>
            </w:r>
          </w:p>
        </w:tc>
      </w:tr>
      <w:tr>
        <w:trPr>
          <w:trHeight w:val="216"/>
        </w:trPr>
        <w:tc>
          <w:tcPr>
            <w:tcW w:w="9200" w:type="dxa"/>
            <w:vAlign w:val="bottom"/>
            <w:gridSpan w:val="2"/>
          </w:tcPr>
          <w:p>
            <w:pPr>
              <w:spacing w:after="0"/>
              <w:rPr>
                <w:sz w:val="20"/>
                <w:szCs w:val="20"/>
                <w:color w:val="auto"/>
              </w:rPr>
            </w:pPr>
            <w:r>
              <w:rPr>
                <w:rFonts w:ascii="Arial" w:cs="Arial" w:eastAsia="Arial" w:hAnsi="Arial"/>
                <w:sz w:val="18"/>
                <w:szCs w:val="18"/>
                <w:color w:val="auto"/>
              </w:rPr>
              <w:t>Additional paid-in capital</w:t>
            </w: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24,281</w:t>
            </w:r>
          </w:p>
        </w:tc>
      </w:tr>
      <w:tr>
        <w:trPr>
          <w:trHeight w:val="229"/>
        </w:trPr>
        <w:tc>
          <w:tcPr>
            <w:tcW w:w="920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Accumulated deficit</w:t>
            </w:r>
          </w:p>
        </w:tc>
        <w:tc>
          <w:tcPr>
            <w:tcW w:w="700" w:type="dxa"/>
            <w:vAlign w:val="bottom"/>
            <w:shd w:val="clear" w:color="auto" w:fill="D5EAEA"/>
          </w:tcPr>
          <w:p>
            <w:pPr>
              <w:spacing w:after="0"/>
              <w:rPr>
                <w:sz w:val="19"/>
                <w:szCs w:val="19"/>
                <w:color w:val="auto"/>
              </w:rPr>
            </w:pPr>
          </w:p>
        </w:tc>
        <w:tc>
          <w:tcPr>
            <w:tcW w:w="380" w:type="dxa"/>
            <w:vAlign w:val="bottom"/>
            <w:tcBorders>
              <w:bottom w:val="single" w:sz="8" w:color="auto"/>
            </w:tcBorders>
            <w:shd w:val="clear" w:color="auto" w:fill="D5EAEA"/>
          </w:tcPr>
          <w:p>
            <w:pPr>
              <w:spacing w:after="0"/>
              <w:rPr>
                <w:sz w:val="19"/>
                <w:szCs w:val="19"/>
                <w:color w:val="auto"/>
              </w:rPr>
            </w:pPr>
          </w:p>
        </w:tc>
        <w:tc>
          <w:tcPr>
            <w:tcW w:w="96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(5,494)</w:t>
            </w:r>
          </w:p>
        </w:tc>
      </w:tr>
      <w:tr>
        <w:trPr>
          <w:trHeight w:val="209"/>
        </w:trPr>
        <w:tc>
          <w:tcPr>
            <w:tcW w:w="9200" w:type="dxa"/>
            <w:vAlign w:val="bottom"/>
            <w:tcBorders>
              <w:bottom w:val="single" w:sz="8" w:color="D5EAEA"/>
            </w:tcBorders>
            <w:gridSpan w:val="2"/>
          </w:tcPr>
          <w:p>
            <w:pPr>
              <w:spacing w:after="0"/>
              <w:rPr>
                <w:sz w:val="20"/>
                <w:szCs w:val="20"/>
                <w:color w:val="auto"/>
              </w:rPr>
            </w:pPr>
            <w:r>
              <w:rPr>
                <w:rFonts w:ascii="Arial" w:cs="Arial" w:eastAsia="Arial" w:hAnsi="Arial"/>
                <w:sz w:val="18"/>
                <w:szCs w:val="18"/>
                <w:color w:val="auto"/>
              </w:rPr>
              <w:t>Total shareholder’s equity</w:t>
            </w:r>
          </w:p>
        </w:tc>
        <w:tc>
          <w:tcPr>
            <w:tcW w:w="700" w:type="dxa"/>
            <w:vAlign w:val="bottom"/>
            <w:tcBorders>
              <w:bottom w:val="single" w:sz="8" w:color="D5EAEA"/>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19,506</w:t>
            </w:r>
          </w:p>
        </w:tc>
      </w:tr>
      <w:tr>
        <w:trPr>
          <w:trHeight w:val="223"/>
        </w:trPr>
        <w:tc>
          <w:tcPr>
            <w:tcW w:w="9200" w:type="dxa"/>
            <w:vAlign w:val="bottom"/>
            <w:tcBorders>
              <w:bottom w:val="single" w:sz="8" w:color="D5EAEA"/>
            </w:tcBorders>
            <w:gridSpan w:val="2"/>
            <w:shd w:val="clear" w:color="auto" w:fill="D5EAEA"/>
          </w:tcPr>
          <w:p>
            <w:pPr>
              <w:spacing w:after="0"/>
              <w:rPr>
                <w:sz w:val="20"/>
                <w:szCs w:val="20"/>
                <w:color w:val="auto"/>
              </w:rPr>
            </w:pPr>
            <w:r>
              <w:rPr>
                <w:rFonts w:ascii="Arial" w:cs="Arial" w:eastAsia="Arial" w:hAnsi="Arial"/>
                <w:sz w:val="18"/>
                <w:szCs w:val="18"/>
                <w:color w:val="auto"/>
              </w:rPr>
              <w:t>Total Liabilities and Shareholder’s Equity</w:t>
            </w:r>
          </w:p>
        </w:tc>
        <w:tc>
          <w:tcPr>
            <w:tcW w:w="700" w:type="dxa"/>
            <w:vAlign w:val="bottom"/>
            <w:tcBorders>
              <w:bottom w:val="single" w:sz="8" w:color="D5EAEA"/>
            </w:tcBorders>
            <w:shd w:val="clear" w:color="auto" w:fill="D5EAEA"/>
          </w:tcPr>
          <w:p>
            <w:pPr>
              <w:spacing w:after="0"/>
              <w:rPr>
                <w:sz w:val="19"/>
                <w:szCs w:val="19"/>
                <w:color w:val="auto"/>
              </w:rPr>
            </w:pPr>
          </w:p>
        </w:tc>
        <w:tc>
          <w:tcPr>
            <w:tcW w:w="380" w:type="dxa"/>
            <w:vAlign w:val="bottom"/>
            <w:tcBorders>
              <w:bottom w:val="single" w:sz="8" w:color="auto"/>
            </w:tcBorders>
            <w:shd w:val="clear" w:color="auto" w:fill="D5EAEA"/>
          </w:tcPr>
          <w:p>
            <w:pPr>
              <w:jc w:val="right"/>
              <w:ind w:right="1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127,691</w:t>
            </w:r>
          </w:p>
        </w:tc>
      </w:tr>
      <w:tr>
        <w:trPr>
          <w:trHeight w:val="20"/>
        </w:trPr>
        <w:tc>
          <w:tcPr>
            <w:tcW w:w="28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34"/>
        </w:trPr>
        <w:tc>
          <w:tcPr>
            <w:tcW w:w="2820" w:type="dxa"/>
            <w:vAlign w:val="bottom"/>
            <w:tcBorders>
              <w:bottom w:val="single" w:sz="8" w:color="auto"/>
            </w:tcBorders>
          </w:tcPr>
          <w:p>
            <w:pPr>
              <w:spacing w:after="0"/>
              <w:rPr>
                <w:sz w:val="3"/>
                <w:szCs w:val="3"/>
                <w:color w:val="auto"/>
              </w:rPr>
            </w:pPr>
          </w:p>
        </w:tc>
        <w:tc>
          <w:tcPr>
            <w:tcW w:w="6380" w:type="dxa"/>
            <w:vAlign w:val="bottom"/>
          </w:tcPr>
          <w:p>
            <w:pPr>
              <w:spacing w:after="0"/>
              <w:rPr>
                <w:sz w:val="3"/>
                <w:szCs w:val="3"/>
                <w:color w:val="auto"/>
              </w:rPr>
            </w:pPr>
          </w:p>
        </w:tc>
        <w:tc>
          <w:tcPr>
            <w:tcW w:w="700" w:type="dxa"/>
            <w:vAlign w:val="bottom"/>
          </w:tcPr>
          <w:p>
            <w:pPr>
              <w:spacing w:after="0"/>
              <w:rPr>
                <w:sz w:val="3"/>
                <w:szCs w:val="3"/>
                <w:color w:val="auto"/>
              </w:rPr>
            </w:pPr>
          </w:p>
        </w:tc>
        <w:tc>
          <w:tcPr>
            <w:tcW w:w="380" w:type="dxa"/>
            <w:vAlign w:val="bottom"/>
          </w:tcPr>
          <w:p>
            <w:pPr>
              <w:spacing w:after="0"/>
              <w:rPr>
                <w:sz w:val="3"/>
                <w:szCs w:val="3"/>
                <w:color w:val="auto"/>
              </w:rPr>
            </w:pPr>
          </w:p>
        </w:tc>
        <w:tc>
          <w:tcPr>
            <w:tcW w:w="960" w:type="dxa"/>
            <w:vAlign w:val="bottom"/>
          </w:tcPr>
          <w:p>
            <w:pPr>
              <w:spacing w:after="0"/>
              <w:rPr>
                <w:sz w:val="3"/>
                <w:szCs w:val="3"/>
                <w:color w:val="auto"/>
              </w:rPr>
            </w:pPr>
          </w:p>
        </w:tc>
      </w:tr>
    </w:tbl>
    <w:p>
      <w:pPr>
        <w:spacing w:after="0" w:line="53" w:lineRule="exact"/>
        <w:rPr>
          <w:sz w:val="20"/>
          <w:szCs w:val="20"/>
          <w:color w:val="auto"/>
        </w:rPr>
      </w:pPr>
    </w:p>
    <w:p>
      <w:pPr>
        <w:ind w:left="340" w:right="240" w:hanging="332"/>
        <w:spacing w:after="0" w:line="277" w:lineRule="auto"/>
        <w:tabs>
          <w:tab w:leader="none" w:pos="3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This number includes up to 937,500 Class B ordinary shares subject to forfeiture if the over-allotment option is not exercised in full or in part by the underwriters (see Note 5).</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33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34" w:right="339" w:bottom="1440" w:gutter="0" w:footer="0" w:header="0"/>
        </w:sectPr>
      </w:pPr>
    </w:p>
    <w:bookmarkStart w:id="172" w:name="page173"/>
    <w:bookmarkEnd w:id="172"/>
    <w:p>
      <w:pPr>
        <w:spacing w:after="0"/>
        <w:rPr>
          <w:rFonts w:ascii="Arial" w:cs="Arial" w:eastAsia="Arial" w:hAnsi="Arial"/>
          <w:sz w:val="16"/>
          <w:szCs w:val="16"/>
          <w:b w:val="1"/>
          <w:bCs w:val="1"/>
          <w:u w:val="single" w:color="auto"/>
          <w:color w:val="0000EE"/>
        </w:rPr>
      </w:pPr>
      <w:hyperlink w:anchor="page5">
        <w:r>
          <w:rPr>
            <w:rFonts w:ascii="Arial" w:cs="Arial" w:eastAsia="Arial" w:hAnsi="Arial"/>
            <w:sz w:val="16"/>
            <w:szCs w:val="16"/>
            <w:b w:val="1"/>
            <w:bCs w:val="1"/>
            <w:u w:val="single" w:color="auto"/>
            <w:color w:val="0000EE"/>
          </w:rPr>
          <w:t>Table of Contents</w:t>
        </w:r>
      </w:hyperlink>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FREEDOM ACQUISITION I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PERIOD FROM DECEMBER 23, 2020 (INCEPTION) THROUGH DECEMBER 31, 2020</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90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Formation and operating costs</w:t>
            </w:r>
          </w:p>
        </w:tc>
        <w:tc>
          <w:tcPr>
            <w:tcW w:w="300" w:type="dxa"/>
            <w:vAlign w:val="bottom"/>
            <w:gridSpan w:val="2"/>
            <w:shd w:val="clear" w:color="auto" w:fill="D5EAEA"/>
          </w:tcPr>
          <w:p>
            <w:pPr>
              <w:jc w:val="right"/>
              <w:ind w:right="127"/>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5,494</w:t>
            </w:r>
          </w:p>
        </w:tc>
        <w:tc>
          <w:tcPr>
            <w:tcW w:w="0" w:type="dxa"/>
            <w:vAlign w:val="bottom"/>
          </w:tcPr>
          <w:p>
            <w:pPr>
              <w:spacing w:after="0"/>
              <w:rPr>
                <w:sz w:val="1"/>
                <w:szCs w:val="1"/>
                <w:color w:val="auto"/>
              </w:rPr>
            </w:pPr>
          </w:p>
        </w:tc>
      </w:tr>
      <w:tr>
        <w:trPr>
          <w:trHeight w:val="263"/>
        </w:trPr>
        <w:tc>
          <w:tcPr>
            <w:tcW w:w="9900" w:type="dxa"/>
            <w:vAlign w:val="bottom"/>
            <w:tcBorders>
              <w:bottom w:val="single" w:sz="8" w:color="D5EAEA"/>
            </w:tcBorders>
            <w:gridSpan w:val="2"/>
          </w:tcPr>
          <w:p>
            <w:pPr>
              <w:spacing w:after="0"/>
              <w:rPr>
                <w:sz w:val="20"/>
                <w:szCs w:val="20"/>
                <w:color w:val="auto"/>
              </w:rPr>
            </w:pPr>
            <w:r>
              <w:rPr>
                <w:rFonts w:ascii="Arial" w:cs="Arial" w:eastAsia="Arial" w:hAnsi="Arial"/>
                <w:sz w:val="18"/>
                <w:szCs w:val="18"/>
                <w:color w:val="auto"/>
              </w:rPr>
              <w:t>Net loss</w:t>
            </w:r>
          </w:p>
        </w:tc>
        <w:tc>
          <w:tcPr>
            <w:tcW w:w="20" w:type="dxa"/>
            <w:vAlign w:val="bottom"/>
            <w:tcBorders>
              <w:bottom w:val="single" w:sz="8" w:color="D5EAEA"/>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(5,494)</w:t>
            </w:r>
          </w:p>
        </w:tc>
        <w:tc>
          <w:tcPr>
            <w:tcW w:w="0" w:type="dxa"/>
            <w:vAlign w:val="bottom"/>
          </w:tcPr>
          <w:p>
            <w:pPr>
              <w:spacing w:after="0"/>
              <w:rPr>
                <w:sz w:val="1"/>
                <w:szCs w:val="1"/>
                <w:color w:val="auto"/>
              </w:rPr>
            </w:pPr>
          </w:p>
        </w:tc>
      </w:tr>
      <w:tr>
        <w:trPr>
          <w:trHeight w:val="196"/>
        </w:trPr>
        <w:tc>
          <w:tcPr>
            <w:tcW w:w="9900" w:type="dxa"/>
            <w:vAlign w:val="bottom"/>
            <w:tcBorders>
              <w:bottom w:val="single" w:sz="8" w:color="D5EAEA"/>
            </w:tcBorders>
            <w:gridSpan w:val="2"/>
            <w:shd w:val="clear" w:color="auto" w:fill="D5EAEA"/>
          </w:tcPr>
          <w:p>
            <w:pPr>
              <w:spacing w:after="0" w:line="190" w:lineRule="exact"/>
              <w:rPr>
                <w:sz w:val="20"/>
                <w:szCs w:val="20"/>
                <w:color w:val="auto"/>
              </w:rPr>
            </w:pPr>
            <w:r>
              <w:rPr>
                <w:rFonts w:ascii="Arial" w:cs="Arial" w:eastAsia="Arial" w:hAnsi="Arial"/>
                <w:sz w:val="18"/>
                <w:szCs w:val="18"/>
                <w:color w:val="auto"/>
              </w:rPr>
              <w:t>Basic and diluted weighted average Class B shares outstanding(1)</w:t>
            </w:r>
          </w:p>
        </w:tc>
        <w:tc>
          <w:tcPr>
            <w:tcW w:w="20" w:type="dxa"/>
            <w:vAlign w:val="bottom"/>
            <w:tcBorders>
              <w:bottom w:val="single" w:sz="8" w:color="D5EAEA"/>
            </w:tcBorders>
            <w:shd w:val="clear" w:color="auto" w:fill="D5EAEA"/>
          </w:tcPr>
          <w:p>
            <w:pPr>
              <w:spacing w:after="0"/>
              <w:rPr>
                <w:sz w:val="17"/>
                <w:szCs w:val="17"/>
                <w:color w:val="auto"/>
              </w:rPr>
            </w:pPr>
          </w:p>
        </w:tc>
        <w:tc>
          <w:tcPr>
            <w:tcW w:w="280" w:type="dxa"/>
            <w:vAlign w:val="bottom"/>
            <w:tcBorders>
              <w:bottom w:val="single" w:sz="8" w:color="auto"/>
            </w:tcBorders>
            <w:shd w:val="clear" w:color="auto" w:fill="D5EAEA"/>
          </w:tcPr>
          <w:p>
            <w:pPr>
              <w:spacing w:after="0"/>
              <w:rPr>
                <w:sz w:val="17"/>
                <w:szCs w:val="17"/>
                <w:color w:val="auto"/>
              </w:rPr>
            </w:pPr>
          </w:p>
        </w:tc>
        <w:tc>
          <w:tcPr>
            <w:tcW w:w="1040" w:type="dxa"/>
            <w:vAlign w:val="bottom"/>
            <w:tcBorders>
              <w:bottom w:val="single" w:sz="8" w:color="auto"/>
            </w:tcBorders>
            <w:shd w:val="clear" w:color="auto" w:fill="D5EAEA"/>
          </w:tcPr>
          <w:p>
            <w:pPr>
              <w:jc w:val="right"/>
              <w:ind w:right="10"/>
              <w:spacing w:after="0" w:line="196" w:lineRule="exact"/>
              <w:rPr>
                <w:sz w:val="20"/>
                <w:szCs w:val="20"/>
                <w:color w:val="auto"/>
              </w:rPr>
            </w:pPr>
            <w:r>
              <w:rPr>
                <w:rFonts w:ascii="Arial" w:cs="Arial" w:eastAsia="Arial" w:hAnsi="Arial"/>
                <w:sz w:val="18"/>
                <w:szCs w:val="18"/>
                <w:color w:val="auto"/>
              </w:rPr>
              <w:t>6,250,000</w:t>
            </w:r>
          </w:p>
        </w:tc>
        <w:tc>
          <w:tcPr>
            <w:tcW w:w="0" w:type="dxa"/>
            <w:vAlign w:val="bottom"/>
          </w:tcPr>
          <w:p>
            <w:pPr>
              <w:spacing w:after="0"/>
              <w:rPr>
                <w:sz w:val="1"/>
                <w:szCs w:val="1"/>
                <w:color w:val="auto"/>
              </w:rPr>
            </w:pPr>
          </w:p>
        </w:tc>
      </w:tr>
      <w:tr>
        <w:trPr>
          <w:trHeight w:val="20"/>
        </w:trPr>
        <w:tc>
          <w:tcPr>
            <w:tcW w:w="9900" w:type="dxa"/>
            <w:vAlign w:val="bottom"/>
            <w:gridSpan w:val="2"/>
            <w:vMerge w:val="restart"/>
          </w:tcPr>
          <w:p>
            <w:pPr>
              <w:spacing w:after="0"/>
              <w:rPr>
                <w:sz w:val="20"/>
                <w:szCs w:val="20"/>
                <w:color w:val="auto"/>
              </w:rPr>
            </w:pPr>
            <w:r>
              <w:rPr>
                <w:rFonts w:ascii="Arial" w:cs="Arial" w:eastAsia="Arial" w:hAnsi="Arial"/>
                <w:sz w:val="18"/>
                <w:szCs w:val="18"/>
                <w:color w:val="auto"/>
              </w:rPr>
              <w:t>Basic and diluted net loss per share</w:t>
            </w:r>
          </w:p>
        </w:tc>
        <w:tc>
          <w:tcPr>
            <w:tcW w:w="20" w:type="dxa"/>
            <w:vAlign w:val="bottom"/>
            <w:vMerge w:val="restart"/>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9900" w:type="dxa"/>
            <w:vAlign w:val="bottom"/>
            <w:gridSpan w:val="2"/>
            <w:vMerge w:val="continue"/>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2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
        </w:trPr>
        <w:tc>
          <w:tcPr>
            <w:tcW w:w="2820" w:type="dxa"/>
            <w:vAlign w:val="bottom"/>
            <w:tcBorders>
              <w:bottom w:val="single" w:sz="8" w:color="auto"/>
            </w:tcBorders>
          </w:tcPr>
          <w:p>
            <w:pPr>
              <w:spacing w:after="0"/>
              <w:rPr>
                <w:sz w:val="3"/>
                <w:szCs w:val="3"/>
                <w:color w:val="auto"/>
              </w:rPr>
            </w:pPr>
          </w:p>
        </w:tc>
        <w:tc>
          <w:tcPr>
            <w:tcW w:w="708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340" w:right="40" w:hanging="332"/>
        <w:spacing w:after="0" w:line="277" w:lineRule="auto"/>
        <w:tabs>
          <w:tab w:leader="none" w:pos="34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This number excludes an aggregate of up to 937,500 Class B ordinary shares subject to forfeiture if the over-allotment option is not exercised in full or in part by the underwriters (see Note 5).</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33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34" w:right="339" w:bottom="1440" w:gutter="0" w:footer="0" w:header="0"/>
        </w:sectPr>
      </w:pPr>
    </w:p>
    <w:bookmarkStart w:id="173" w:name="page174"/>
    <w:bookmarkEnd w:id="173"/>
    <w:p>
      <w:pPr>
        <w:spacing w:after="0"/>
        <w:rPr>
          <w:rFonts w:ascii="Arial" w:cs="Arial" w:eastAsia="Arial" w:hAnsi="Arial"/>
          <w:sz w:val="16"/>
          <w:szCs w:val="16"/>
          <w:b w:val="1"/>
          <w:bCs w:val="1"/>
          <w:u w:val="single" w:color="auto"/>
          <w:color w:val="0000EE"/>
        </w:rPr>
      </w:pPr>
      <w:hyperlink w:anchor="page5">
        <w:r>
          <w:rPr>
            <w:rFonts w:ascii="Arial" w:cs="Arial" w:eastAsia="Arial" w:hAnsi="Arial"/>
            <w:sz w:val="16"/>
            <w:szCs w:val="16"/>
            <w:b w:val="1"/>
            <w:bCs w:val="1"/>
            <w:u w:val="single" w:color="auto"/>
            <w:color w:val="0000EE"/>
          </w:rPr>
          <w:t>Table of Contents</w:t>
        </w:r>
      </w:hyperlink>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FREEDOM ACQUISITION I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CHANGES IN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FOR THE PERIOD FROM DECEMBER 23, 2020 (INCEPTION) THROUGH DECEMBER 31, 2020</w:t>
      </w:r>
    </w:p>
    <w:p>
      <w:pPr>
        <w:sectPr>
          <w:pgSz w:w="11900" w:h="16838" w:orient="portrait"/>
          <w:cols w:equalWidth="0" w:num="1">
            <w:col w:w="11240"/>
          </w:cols>
          <w:pgMar w:left="320" w:top="23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Balance as of December 23, 2020 (inception) Class B ordinary shares issued to Sponsor Net loss</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Balance as of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178308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center"/>
              <w:ind w:right="30"/>
              <w:spacing w:after="0"/>
              <w:rPr>
                <w:sz w:val="20"/>
                <w:szCs w:val="20"/>
                <w:color w:val="auto"/>
              </w:rPr>
            </w:pPr>
            <w:r>
              <w:rPr>
                <w:rFonts w:ascii="Arial" w:cs="Arial" w:eastAsia="Arial" w:hAnsi="Arial"/>
                <w:sz w:val="18"/>
                <w:szCs w:val="18"/>
                <w:b w:val="1"/>
                <w:bCs w:val="1"/>
                <w:color w:val="auto"/>
                <w:w w:val="88"/>
              </w:rPr>
              <w:t>Total</w:t>
            </w:r>
          </w:p>
        </w:tc>
        <w:tc>
          <w:tcPr>
            <w:tcW w:w="0" w:type="dxa"/>
            <w:vAlign w:val="bottom"/>
          </w:tcPr>
          <w:p>
            <w:pPr>
              <w:spacing w:after="0"/>
              <w:rPr>
                <w:sz w:val="1"/>
                <w:szCs w:val="1"/>
                <w:color w:val="auto"/>
              </w:rPr>
            </w:pPr>
          </w:p>
        </w:tc>
      </w:tr>
      <w:tr>
        <w:trPr>
          <w:trHeight w:val="216"/>
        </w:trPr>
        <w:tc>
          <w:tcPr>
            <w:tcW w:w="1760" w:type="dxa"/>
            <w:vAlign w:val="bottom"/>
            <w:gridSpan w:val="3"/>
          </w:tcPr>
          <w:p>
            <w:pPr>
              <w:jc w:val="right"/>
              <w:spacing w:after="0"/>
              <w:rPr>
                <w:sz w:val="20"/>
                <w:szCs w:val="20"/>
                <w:color w:val="auto"/>
              </w:rPr>
            </w:pPr>
            <w:r>
              <w:rPr>
                <w:rFonts w:ascii="Arial" w:cs="Arial" w:eastAsia="Arial" w:hAnsi="Arial"/>
                <w:sz w:val="18"/>
                <w:szCs w:val="18"/>
                <w:b w:val="1"/>
                <w:bCs w:val="1"/>
                <w:color w:val="auto"/>
              </w:rPr>
              <w:t>Class B</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Additional</w:t>
            </w:r>
          </w:p>
        </w:tc>
        <w:tc>
          <w:tcPr>
            <w:tcW w:w="120" w:type="dxa"/>
            <w:vAlign w:val="bottom"/>
          </w:tcPr>
          <w:p>
            <w:pPr>
              <w:spacing w:after="0"/>
              <w:rPr>
                <w:sz w:val="18"/>
                <w:szCs w:val="18"/>
                <w:color w:val="auto"/>
              </w:rPr>
            </w:pPr>
          </w:p>
        </w:tc>
        <w:tc>
          <w:tcPr>
            <w:tcW w:w="1320" w:type="dxa"/>
            <w:vAlign w:val="bottom"/>
            <w:gridSpan w:val="2"/>
          </w:tcPr>
          <w:p>
            <w:pPr>
              <w:ind w:left="40"/>
              <w:spacing w:after="0"/>
              <w:rPr>
                <w:sz w:val="20"/>
                <w:szCs w:val="20"/>
                <w:color w:val="auto"/>
              </w:rPr>
            </w:pPr>
            <w:r>
              <w:rPr>
                <w:rFonts w:ascii="Arial" w:cs="Arial" w:eastAsia="Arial" w:hAnsi="Arial"/>
                <w:sz w:val="18"/>
                <w:szCs w:val="18"/>
                <w:b w:val="1"/>
                <w:bCs w:val="1"/>
                <w:color w:val="auto"/>
              </w:rPr>
              <w:t>Accumulated</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center"/>
              <w:ind w:right="30"/>
              <w:spacing w:after="0"/>
              <w:rPr>
                <w:sz w:val="20"/>
                <w:szCs w:val="20"/>
                <w:color w:val="auto"/>
              </w:rPr>
            </w:pPr>
            <w:r>
              <w:rPr>
                <w:rFonts w:ascii="Arial" w:cs="Arial" w:eastAsia="Arial" w:hAnsi="Arial"/>
                <w:sz w:val="18"/>
                <w:szCs w:val="18"/>
                <w:b w:val="1"/>
                <w:bCs w:val="1"/>
                <w:color w:val="auto"/>
                <w:w w:val="88"/>
              </w:rPr>
              <w:t>Shareholder’s</w:t>
            </w:r>
          </w:p>
        </w:tc>
        <w:tc>
          <w:tcPr>
            <w:tcW w:w="0" w:type="dxa"/>
            <w:vAlign w:val="bottom"/>
          </w:tcPr>
          <w:p>
            <w:pPr>
              <w:spacing w:after="0"/>
              <w:rPr>
                <w:sz w:val="1"/>
                <w:szCs w:val="1"/>
                <w:color w:val="auto"/>
              </w:rPr>
            </w:pPr>
          </w:p>
        </w:tc>
      </w:tr>
      <w:tr>
        <w:trPr>
          <w:trHeight w:val="234"/>
        </w:trPr>
        <w:tc>
          <w:tcPr>
            <w:tcW w:w="2820" w:type="dxa"/>
            <w:vAlign w:val="bottom"/>
            <w:tcBorders>
              <w:bottom w:val="single" w:sz="8" w:color="auto"/>
            </w:tcBorders>
            <w:gridSpan w:val="4"/>
          </w:tcPr>
          <w:p>
            <w:pPr>
              <w:jc w:val="right"/>
              <w:ind w:right="670"/>
              <w:spacing w:after="0"/>
              <w:rPr>
                <w:sz w:val="20"/>
                <w:szCs w:val="20"/>
                <w:color w:val="auto"/>
              </w:rPr>
            </w:pPr>
            <w:r>
              <w:rPr>
                <w:rFonts w:ascii="Arial" w:cs="Arial" w:eastAsia="Arial" w:hAnsi="Arial"/>
                <w:sz w:val="18"/>
                <w:szCs w:val="18"/>
                <w:b w:val="1"/>
                <w:bCs w:val="1"/>
                <w:color w:val="auto"/>
              </w:rPr>
              <w:t>Ordinary Shares</w:t>
            </w:r>
          </w:p>
        </w:tc>
        <w:tc>
          <w:tcPr>
            <w:tcW w:w="120" w:type="dxa"/>
            <w:vAlign w:val="bottom"/>
          </w:tcPr>
          <w:p>
            <w:pPr>
              <w:spacing w:after="0"/>
              <w:rPr>
                <w:sz w:val="20"/>
                <w:szCs w:val="20"/>
                <w:color w:val="auto"/>
              </w:rPr>
            </w:pPr>
          </w:p>
        </w:tc>
        <w:tc>
          <w:tcPr>
            <w:tcW w:w="13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4"/>
              </w:rPr>
              <w:t>Paid-in Capital</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Deficit</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4"/>
              </w:rPr>
              <w:t>Equity</w:t>
            </w:r>
          </w:p>
        </w:tc>
        <w:tc>
          <w:tcPr>
            <w:tcW w:w="0" w:type="dxa"/>
            <w:vAlign w:val="bottom"/>
          </w:tcPr>
          <w:p>
            <w:pPr>
              <w:spacing w:after="0"/>
              <w:rPr>
                <w:sz w:val="1"/>
                <w:szCs w:val="1"/>
                <w:color w:val="auto"/>
              </w:rPr>
            </w:pPr>
          </w:p>
        </w:tc>
      </w:tr>
      <w:tr>
        <w:trPr>
          <w:trHeight w:val="223"/>
        </w:trPr>
        <w:tc>
          <w:tcPr>
            <w:tcW w:w="1480" w:type="dxa"/>
            <w:vAlign w:val="bottom"/>
            <w:gridSpan w:val="2"/>
          </w:tcPr>
          <w:p>
            <w:pPr>
              <w:ind w:left="320"/>
              <w:spacing w:after="0"/>
              <w:rPr>
                <w:sz w:val="20"/>
                <w:szCs w:val="20"/>
                <w:color w:val="auto"/>
              </w:rPr>
            </w:pPr>
            <w:r>
              <w:rPr>
                <w:rFonts w:ascii="Arial" w:cs="Arial" w:eastAsia="Arial" w:hAnsi="Arial"/>
                <w:sz w:val="18"/>
                <w:szCs w:val="18"/>
                <w:b w:val="1"/>
                <w:bCs w:val="1"/>
                <w:color w:val="auto"/>
              </w:rPr>
              <w:t>Shares(1)</w:t>
            </w:r>
          </w:p>
        </w:tc>
        <w:tc>
          <w:tcPr>
            <w:tcW w:w="280" w:type="dxa"/>
            <w:vAlign w:val="bottom"/>
          </w:tcPr>
          <w:p>
            <w:pPr>
              <w:spacing w:after="0"/>
              <w:rPr>
                <w:sz w:val="19"/>
                <w:szCs w:val="19"/>
                <w:color w:val="auto"/>
              </w:rPr>
            </w:pPr>
          </w:p>
        </w:tc>
        <w:tc>
          <w:tcPr>
            <w:tcW w:w="1060" w:type="dxa"/>
            <w:vAlign w:val="bottom"/>
          </w:tcPr>
          <w:p>
            <w:pPr>
              <w:jc w:val="right"/>
              <w:ind w:right="250"/>
              <w:spacing w:after="0"/>
              <w:rPr>
                <w:sz w:val="20"/>
                <w:szCs w:val="20"/>
                <w:color w:val="auto"/>
              </w:rPr>
            </w:pPr>
            <w:r>
              <w:rPr>
                <w:rFonts w:ascii="Arial" w:cs="Arial" w:eastAsia="Arial" w:hAnsi="Arial"/>
                <w:sz w:val="18"/>
                <w:szCs w:val="18"/>
                <w:b w:val="1"/>
                <w:bCs w:val="1"/>
                <w:color w:val="auto"/>
              </w:rPr>
              <w:t>Amount</w:t>
            </w:r>
          </w:p>
        </w:tc>
        <w:tc>
          <w:tcPr>
            <w:tcW w:w="28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gridSpan w:val="2"/>
            <w:vMerge w:val="restart"/>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vMerge w:val="restart"/>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5"/>
        </w:trPr>
        <w:tc>
          <w:tcPr>
            <w:tcW w:w="1360" w:type="dxa"/>
            <w:vAlign w:val="bottom"/>
            <w:tcBorders>
              <w:top w:val="single" w:sz="8" w:color="auto"/>
            </w:tcBorders>
          </w:tcPr>
          <w:p>
            <w:pPr>
              <w:jc w:val="right"/>
              <w:ind w:right="30"/>
              <w:spacing w:after="0" w:line="195"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6"/>
                <w:szCs w:val="16"/>
                <w:color w:val="auto"/>
              </w:rPr>
            </w:pPr>
          </w:p>
        </w:tc>
        <w:tc>
          <w:tcPr>
            <w:tcW w:w="280" w:type="dxa"/>
            <w:vAlign w:val="bottom"/>
            <w:tcBorders>
              <w:top w:val="single" w:sz="8" w:color="auto"/>
            </w:tcBorders>
          </w:tcPr>
          <w:p>
            <w:pPr>
              <w:jc w:val="right"/>
              <w:ind w:right="90"/>
              <w:spacing w:after="0" w:line="195" w:lineRule="exact"/>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10"/>
              <w:spacing w:after="0" w:line="195" w:lineRule="exact"/>
              <w:rPr>
                <w:sz w:val="20"/>
                <w:szCs w:val="20"/>
                <w:color w:val="auto"/>
              </w:rPr>
            </w:pPr>
            <w:r>
              <w:rPr>
                <w:rFonts w:ascii="Arial" w:cs="Arial" w:eastAsia="Arial" w:hAnsi="Arial"/>
                <w:sz w:val="18"/>
                <w:szCs w:val="18"/>
                <w:color w:val="auto"/>
              </w:rPr>
              <w:t>—</w:t>
            </w:r>
          </w:p>
        </w:tc>
        <w:tc>
          <w:tcPr>
            <w:tcW w:w="280" w:type="dxa"/>
            <w:vAlign w:val="bottom"/>
            <w:gridSpan w:val="2"/>
            <w:vMerge w:val="continue"/>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120" w:type="dxa"/>
            <w:vAlign w:val="bottom"/>
            <w:gridSpan w:val="2"/>
            <w:vMerge w:val="continue"/>
          </w:tcPr>
          <w:p>
            <w:pPr>
              <w:spacing w:after="0"/>
              <w:rPr>
                <w:sz w:val="16"/>
                <w:szCs w:val="16"/>
                <w:color w:val="auto"/>
              </w:rPr>
            </w:pPr>
          </w:p>
        </w:tc>
        <w:tc>
          <w:tcPr>
            <w:tcW w:w="1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1360" w:type="dxa"/>
            <w:vAlign w:val="bottom"/>
          </w:tcPr>
          <w:p>
            <w:pPr>
              <w:jc w:val="right"/>
              <w:ind w:right="30"/>
              <w:spacing w:after="0"/>
              <w:rPr>
                <w:sz w:val="20"/>
                <w:szCs w:val="20"/>
                <w:color w:val="auto"/>
              </w:rPr>
            </w:pPr>
            <w:r>
              <w:rPr>
                <w:rFonts w:ascii="Arial" w:cs="Arial" w:eastAsia="Arial" w:hAnsi="Arial"/>
                <w:sz w:val="18"/>
                <w:szCs w:val="18"/>
                <w:color w:val="auto"/>
              </w:rPr>
              <w:t>7,187,500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719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24,281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30"/>
        </w:trPr>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(5,494)</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(5,494)</w:t>
            </w:r>
          </w:p>
        </w:tc>
        <w:tc>
          <w:tcPr>
            <w:tcW w:w="0" w:type="dxa"/>
            <w:vAlign w:val="bottom"/>
          </w:tcPr>
          <w:p>
            <w:pPr>
              <w:spacing w:after="0"/>
              <w:rPr>
                <w:sz w:val="1"/>
                <w:szCs w:val="1"/>
                <w:color w:val="auto"/>
              </w:rPr>
            </w:pPr>
          </w:p>
        </w:tc>
      </w:tr>
      <w:tr>
        <w:trPr>
          <w:trHeight w:val="223"/>
        </w:trPr>
        <w:tc>
          <w:tcPr>
            <w:tcW w:w="13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7,187,500</w:t>
            </w:r>
          </w:p>
        </w:tc>
        <w:tc>
          <w:tcPr>
            <w:tcW w:w="1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719</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24,281</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(5,494)</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19,506</w:t>
            </w:r>
          </w:p>
        </w:tc>
        <w:tc>
          <w:tcPr>
            <w:tcW w:w="0" w:type="dxa"/>
            <w:vAlign w:val="bottom"/>
          </w:tcPr>
          <w:p>
            <w:pPr>
              <w:spacing w:after="0"/>
              <w:rPr>
                <w:sz w:val="1"/>
                <w:szCs w:val="1"/>
                <w:color w:val="auto"/>
              </w:rPr>
            </w:pPr>
          </w:p>
        </w:tc>
      </w:tr>
      <w:tr>
        <w:trPr>
          <w:trHeight w:val="20"/>
        </w:trPr>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-2585085</wp:posOffset>
            </wp:positionH>
            <wp:positionV relativeFrom="paragraph">
              <wp:posOffset>-607695</wp:posOffset>
            </wp:positionV>
            <wp:extent cx="7132320" cy="14541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-2585085</wp:posOffset>
            </wp:positionH>
            <wp:positionV relativeFrom="paragraph">
              <wp:posOffset>-325120</wp:posOffset>
            </wp:positionV>
            <wp:extent cx="7132320" cy="14605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21" w:lineRule="exact"/>
        <w:rPr>
          <w:sz w:val="20"/>
          <w:szCs w:val="20"/>
          <w:color w:val="auto"/>
        </w:rPr>
      </w:pPr>
    </w:p>
    <w:p>
      <w:pPr>
        <w:sectPr>
          <w:pgSz w:w="11900" w:h="16838" w:orient="portrait"/>
          <w:cols w:equalWidth="0" w:num="2">
            <w:col w:w="3360" w:space="720"/>
            <w:col w:w="7160"/>
          </w:cols>
          <w:pgMar w:left="320" w:top="234" w:right="339" w:bottom="1440" w:gutter="0" w:footer="0" w:header="0"/>
          <w:type w:val="continuous"/>
        </w:sectPr>
      </w:pPr>
    </w:p>
    <w:p>
      <w:pPr>
        <w:ind w:left="340" w:right="240" w:hanging="332"/>
        <w:spacing w:after="0" w:line="277" w:lineRule="auto"/>
        <w:tabs>
          <w:tab w:leader="none" w:pos="3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This number includes up to 937,500 Class B ordinary shares subject to forfeiture if the over-allotment option is not exercised in full or in part by the underwriters (see Note 5).</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33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34" w:right="339" w:bottom="1440" w:gutter="0" w:footer="0" w:header="0"/>
          <w:type w:val="continuous"/>
        </w:sectPr>
      </w:pPr>
    </w:p>
    <w:bookmarkStart w:id="174" w:name="page175"/>
    <w:bookmarkEnd w:id="174"/>
    <w:p>
      <w:pPr>
        <w:spacing w:after="0"/>
        <w:rPr>
          <w:rFonts w:ascii="Arial" w:cs="Arial" w:eastAsia="Arial" w:hAnsi="Arial"/>
          <w:sz w:val="16"/>
          <w:szCs w:val="16"/>
          <w:b w:val="1"/>
          <w:bCs w:val="1"/>
          <w:u w:val="single" w:color="auto"/>
          <w:color w:val="0000EE"/>
        </w:rPr>
      </w:pPr>
      <w:hyperlink w:anchor="page5">
        <w:r>
          <w:rPr>
            <w:rFonts w:ascii="Arial" w:cs="Arial" w:eastAsia="Arial" w:hAnsi="Arial"/>
            <w:sz w:val="16"/>
            <w:szCs w:val="16"/>
            <w:b w:val="1"/>
            <w:bCs w:val="1"/>
            <w:u w:val="single" w:color="auto"/>
            <w:color w:val="0000EE"/>
          </w:rPr>
          <w:t>Table of Contents</w:t>
        </w:r>
      </w:hyperlink>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FREEDOM ACQUISITION I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PERIOD FROM DECEMBER 23, 2020 (INCEPTION) THROUGH DECEMBER 31, 2020</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100" w:type="dxa"/>
            <w:vAlign w:val="bottom"/>
          </w:tcPr>
          <w:p>
            <w:pPr>
              <w:spacing w:after="0"/>
              <w:rPr>
                <w:sz w:val="20"/>
                <w:szCs w:val="20"/>
                <w:color w:val="auto"/>
              </w:rPr>
            </w:pPr>
            <w:r>
              <w:rPr>
                <w:rFonts w:ascii="Arial" w:cs="Arial" w:eastAsia="Arial" w:hAnsi="Arial"/>
                <w:sz w:val="18"/>
                <w:szCs w:val="18"/>
                <w:color w:val="auto"/>
              </w:rPr>
              <w:t>Cash Flows from Operating Activities:</w:t>
            </w:r>
          </w:p>
        </w:tc>
        <w:tc>
          <w:tcPr>
            <w:tcW w:w="8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100" w:type="dxa"/>
            <w:vAlign w:val="bottom"/>
            <w:shd w:val="clear" w:color="auto" w:fill="D5EAEA"/>
          </w:tcPr>
          <w:p>
            <w:pPr>
              <w:spacing w:after="0"/>
              <w:rPr>
                <w:sz w:val="20"/>
                <w:szCs w:val="20"/>
                <w:color w:val="auto"/>
              </w:rPr>
            </w:pPr>
            <w:r>
              <w:rPr>
                <w:rFonts w:ascii="Arial" w:cs="Arial" w:eastAsia="Arial" w:hAnsi="Arial"/>
                <w:sz w:val="18"/>
                <w:szCs w:val="18"/>
                <w:color w:val="auto"/>
              </w:rPr>
              <w:t>Net loss</w:t>
            </w:r>
          </w:p>
        </w:tc>
        <w:tc>
          <w:tcPr>
            <w:tcW w:w="1180" w:type="dxa"/>
            <w:vAlign w:val="bottom"/>
            <w:gridSpan w:val="2"/>
            <w:shd w:val="clear" w:color="auto" w:fill="D5EAEA"/>
          </w:tcPr>
          <w:p>
            <w:pPr>
              <w:jc w:val="right"/>
              <w:ind w:right="190"/>
              <w:spacing w:after="0"/>
              <w:rPr>
                <w:sz w:val="20"/>
                <w:szCs w:val="20"/>
                <w:color w:val="auto"/>
              </w:rPr>
            </w:pPr>
            <w:r>
              <w:rPr>
                <w:rFonts w:ascii="Arial" w:cs="Arial" w:eastAsia="Arial" w:hAnsi="Arial"/>
                <w:sz w:val="18"/>
                <w:szCs w:val="18"/>
                <w:color w:val="auto"/>
              </w:rPr>
              <w:t>$</w:t>
            </w:r>
          </w:p>
        </w:tc>
        <w:tc>
          <w:tcPr>
            <w:tcW w:w="960" w:type="dxa"/>
            <w:vAlign w:val="bottom"/>
            <w:shd w:val="clear" w:color="auto" w:fill="D5EAEA"/>
          </w:tcPr>
          <w:p>
            <w:pPr>
              <w:jc w:val="right"/>
              <w:spacing w:after="0"/>
              <w:rPr>
                <w:sz w:val="20"/>
                <w:szCs w:val="20"/>
                <w:color w:val="auto"/>
              </w:rPr>
            </w:pPr>
            <w:r>
              <w:rPr>
                <w:rFonts w:ascii="Arial" w:cs="Arial" w:eastAsia="Arial" w:hAnsi="Arial"/>
                <w:sz w:val="18"/>
                <w:szCs w:val="18"/>
                <w:color w:val="auto"/>
              </w:rPr>
              <w:t>(5,494)</w:t>
            </w:r>
          </w:p>
        </w:tc>
        <w:tc>
          <w:tcPr>
            <w:tcW w:w="0" w:type="dxa"/>
            <w:vAlign w:val="bottom"/>
          </w:tcPr>
          <w:p>
            <w:pPr>
              <w:spacing w:after="0"/>
              <w:rPr>
                <w:sz w:val="1"/>
                <w:szCs w:val="1"/>
                <w:color w:val="auto"/>
              </w:rPr>
            </w:pPr>
          </w:p>
        </w:tc>
      </w:tr>
      <w:tr>
        <w:trPr>
          <w:trHeight w:val="229"/>
        </w:trPr>
        <w:tc>
          <w:tcPr>
            <w:tcW w:w="9100" w:type="dxa"/>
            <w:vAlign w:val="bottom"/>
            <w:tcBorders>
              <w:bottom w:val="single" w:sz="8" w:color="D5EAEA"/>
            </w:tcBorders>
          </w:tcPr>
          <w:p>
            <w:pPr>
              <w:spacing w:after="0"/>
              <w:rPr>
                <w:sz w:val="20"/>
                <w:szCs w:val="20"/>
                <w:color w:val="auto"/>
              </w:rPr>
            </w:pPr>
            <w:r>
              <w:rPr>
                <w:rFonts w:ascii="Arial" w:cs="Arial" w:eastAsia="Arial" w:hAnsi="Arial"/>
                <w:sz w:val="18"/>
                <w:szCs w:val="18"/>
                <w:color w:val="auto"/>
              </w:rPr>
              <w:t>Formation cost paid by related party</w:t>
            </w:r>
          </w:p>
        </w:tc>
        <w:tc>
          <w:tcPr>
            <w:tcW w:w="800" w:type="dxa"/>
            <w:vAlign w:val="bottom"/>
            <w:tcBorders>
              <w:bottom w:val="single" w:sz="8" w:color="D5EAEA"/>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5,494</w:t>
            </w:r>
          </w:p>
        </w:tc>
        <w:tc>
          <w:tcPr>
            <w:tcW w:w="0" w:type="dxa"/>
            <w:vAlign w:val="bottom"/>
          </w:tcPr>
          <w:p>
            <w:pPr>
              <w:spacing w:after="0"/>
              <w:rPr>
                <w:sz w:val="1"/>
                <w:szCs w:val="1"/>
                <w:color w:val="auto"/>
              </w:rPr>
            </w:pPr>
          </w:p>
        </w:tc>
      </w:tr>
      <w:tr>
        <w:trPr>
          <w:trHeight w:val="210"/>
        </w:trPr>
        <w:tc>
          <w:tcPr>
            <w:tcW w:w="9100" w:type="dxa"/>
            <w:vAlign w:val="bottom"/>
            <w:shd w:val="clear" w:color="auto" w:fill="D5EAEA"/>
          </w:tcPr>
          <w:p>
            <w:pPr>
              <w:spacing w:after="0"/>
              <w:rPr>
                <w:sz w:val="20"/>
                <w:szCs w:val="20"/>
                <w:color w:val="auto"/>
              </w:rPr>
            </w:pPr>
            <w:r>
              <w:rPr>
                <w:rFonts w:ascii="Arial" w:cs="Arial" w:eastAsia="Arial" w:hAnsi="Arial"/>
                <w:sz w:val="18"/>
                <w:szCs w:val="18"/>
                <w:color w:val="auto"/>
              </w:rPr>
              <w:t>Net cash used in operating activities</w:t>
            </w:r>
          </w:p>
        </w:tc>
        <w:tc>
          <w:tcPr>
            <w:tcW w:w="800" w:type="dxa"/>
            <w:vAlign w:val="bottom"/>
            <w:shd w:val="clear" w:color="auto" w:fill="D5EAEA"/>
          </w:tcPr>
          <w:p>
            <w:pPr>
              <w:spacing w:after="0"/>
              <w:rPr>
                <w:sz w:val="18"/>
                <w:szCs w:val="18"/>
                <w:color w:val="auto"/>
              </w:rPr>
            </w:pPr>
          </w:p>
        </w:tc>
        <w:tc>
          <w:tcPr>
            <w:tcW w:w="380" w:type="dxa"/>
            <w:vAlign w:val="bottom"/>
            <w:tcBorders>
              <w:bottom w:val="single" w:sz="8" w:color="auto"/>
            </w:tcBorders>
            <w:shd w:val="clear" w:color="auto" w:fill="D5EAEA"/>
          </w:tcPr>
          <w:p>
            <w:pPr>
              <w:spacing w:after="0"/>
              <w:rPr>
                <w:sz w:val="18"/>
                <w:szCs w:val="18"/>
                <w:color w:val="auto"/>
              </w:rPr>
            </w:pPr>
          </w:p>
        </w:tc>
        <w:tc>
          <w:tcPr>
            <w:tcW w:w="96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9100" w:type="dxa"/>
            <w:vAlign w:val="bottom"/>
          </w:tcPr>
          <w:p>
            <w:pPr>
              <w:spacing w:after="0"/>
              <w:rPr>
                <w:sz w:val="20"/>
                <w:szCs w:val="20"/>
                <w:color w:val="auto"/>
              </w:rPr>
            </w:pPr>
            <w:r>
              <w:rPr>
                <w:rFonts w:ascii="Arial" w:cs="Arial" w:eastAsia="Arial" w:hAnsi="Arial"/>
                <w:sz w:val="18"/>
                <w:szCs w:val="18"/>
                <w:color w:val="auto"/>
              </w:rPr>
              <w:t>Net change in cash</w:t>
            </w: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9100" w:type="dxa"/>
            <w:vAlign w:val="bottom"/>
            <w:shd w:val="clear" w:color="auto" w:fill="D5EAEA"/>
          </w:tcPr>
          <w:p>
            <w:pPr>
              <w:spacing w:after="0"/>
              <w:rPr>
                <w:sz w:val="20"/>
                <w:szCs w:val="20"/>
                <w:color w:val="auto"/>
              </w:rPr>
            </w:pPr>
            <w:r>
              <w:rPr>
                <w:rFonts w:ascii="Arial" w:cs="Arial" w:eastAsia="Arial" w:hAnsi="Arial"/>
                <w:sz w:val="18"/>
                <w:szCs w:val="18"/>
                <w:color w:val="auto"/>
              </w:rPr>
              <w:t>Cash, December 23, 2020 (inception)</w:t>
            </w:r>
          </w:p>
        </w:tc>
        <w:tc>
          <w:tcPr>
            <w:tcW w:w="800" w:type="dxa"/>
            <w:vAlign w:val="bottom"/>
            <w:shd w:val="clear" w:color="auto" w:fill="D5EAEA"/>
          </w:tcPr>
          <w:p>
            <w:pPr>
              <w:spacing w:after="0"/>
              <w:rPr>
                <w:sz w:val="19"/>
                <w:szCs w:val="19"/>
                <w:color w:val="auto"/>
              </w:rPr>
            </w:pPr>
          </w:p>
        </w:tc>
        <w:tc>
          <w:tcPr>
            <w:tcW w:w="380" w:type="dxa"/>
            <w:vAlign w:val="bottom"/>
            <w:tcBorders>
              <w:bottom w:val="single" w:sz="8" w:color="auto"/>
            </w:tcBorders>
            <w:shd w:val="clear" w:color="auto" w:fill="D5EAEA"/>
          </w:tcPr>
          <w:p>
            <w:pPr>
              <w:spacing w:after="0"/>
              <w:rPr>
                <w:sz w:val="19"/>
                <w:szCs w:val="19"/>
                <w:color w:val="auto"/>
              </w:rPr>
            </w:pPr>
          </w:p>
        </w:tc>
        <w:tc>
          <w:tcPr>
            <w:tcW w:w="96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9100" w:type="dxa"/>
            <w:vAlign w:val="bottom"/>
            <w:tcBorders>
              <w:bottom w:val="single" w:sz="8" w:color="D5EAEA"/>
            </w:tcBorders>
          </w:tcPr>
          <w:p>
            <w:pPr>
              <w:spacing w:after="0"/>
              <w:rPr>
                <w:sz w:val="20"/>
                <w:szCs w:val="20"/>
                <w:color w:val="auto"/>
              </w:rPr>
            </w:pPr>
            <w:r>
              <w:rPr>
                <w:rFonts w:ascii="Arial" w:cs="Arial" w:eastAsia="Arial" w:hAnsi="Arial"/>
                <w:sz w:val="18"/>
                <w:szCs w:val="18"/>
                <w:color w:val="auto"/>
              </w:rPr>
              <w:t>Cash, end of the period</w:t>
            </w:r>
          </w:p>
        </w:tc>
        <w:tc>
          <w:tcPr>
            <w:tcW w:w="800" w:type="dxa"/>
            <w:vAlign w:val="bottom"/>
            <w:tcBorders>
              <w:bottom w:val="single" w:sz="8" w:color="D5EAEA"/>
            </w:tcBorders>
          </w:tcPr>
          <w:p>
            <w:pPr>
              <w:spacing w:after="0"/>
              <w:rPr>
                <w:sz w:val="22"/>
                <w:szCs w:val="22"/>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7"/>
        </w:trPr>
        <w:tc>
          <w:tcPr>
            <w:tcW w:w="9100" w:type="dxa"/>
            <w:vAlign w:val="bottom"/>
            <w:shd w:val="clear" w:color="auto" w:fill="D5EAEA"/>
          </w:tcPr>
          <w:p>
            <w:pPr>
              <w:spacing w:after="0" w:line="196" w:lineRule="exact"/>
              <w:rPr>
                <w:sz w:val="20"/>
                <w:szCs w:val="20"/>
                <w:color w:val="auto"/>
              </w:rPr>
            </w:pPr>
            <w:r>
              <w:rPr>
                <w:rFonts w:ascii="Arial" w:cs="Arial" w:eastAsia="Arial" w:hAnsi="Arial"/>
                <w:sz w:val="18"/>
                <w:szCs w:val="18"/>
                <w:color w:val="auto"/>
              </w:rPr>
              <w:t>Supplemental disclosure of cash flow information:</w:t>
            </w:r>
          </w:p>
        </w:tc>
        <w:tc>
          <w:tcPr>
            <w:tcW w:w="800" w:type="dxa"/>
            <w:vAlign w:val="bottom"/>
            <w:shd w:val="clear" w:color="auto" w:fill="D5EAEA"/>
          </w:tcPr>
          <w:p>
            <w:pPr>
              <w:spacing w:after="0"/>
              <w:rPr>
                <w:sz w:val="17"/>
                <w:szCs w:val="17"/>
                <w:color w:val="auto"/>
              </w:rPr>
            </w:pPr>
          </w:p>
        </w:tc>
        <w:tc>
          <w:tcPr>
            <w:tcW w:w="380" w:type="dxa"/>
            <w:vAlign w:val="bottom"/>
            <w:shd w:val="clear" w:color="auto" w:fill="D5EAEA"/>
          </w:tcPr>
          <w:p>
            <w:pPr>
              <w:spacing w:after="0"/>
              <w:rPr>
                <w:sz w:val="17"/>
                <w:szCs w:val="17"/>
                <w:color w:val="auto"/>
              </w:rPr>
            </w:pPr>
          </w:p>
        </w:tc>
        <w:tc>
          <w:tcPr>
            <w:tcW w:w="960" w:type="dxa"/>
            <w:vAlign w:val="bottom"/>
            <w:shd w:val="clear" w:color="auto" w:fill="D5EAEA"/>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9100" w:type="dxa"/>
            <w:vAlign w:val="bottom"/>
          </w:tcPr>
          <w:p>
            <w:pPr>
              <w:spacing w:after="0"/>
              <w:rPr>
                <w:sz w:val="20"/>
                <w:szCs w:val="20"/>
                <w:color w:val="auto"/>
              </w:rPr>
            </w:pPr>
            <w:r>
              <w:rPr>
                <w:rFonts w:ascii="Arial" w:cs="Arial" w:eastAsia="Arial" w:hAnsi="Arial"/>
                <w:sz w:val="18"/>
                <w:szCs w:val="18"/>
                <w:color w:val="auto"/>
              </w:rPr>
              <w:t>Deferred offering costs paid by Sponsor in exchange for issuance of Class B ordinary shares</w:t>
            </w:r>
          </w:p>
        </w:tc>
        <w:tc>
          <w:tcPr>
            <w:tcW w:w="118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197"/>
        </w:trPr>
        <w:tc>
          <w:tcPr>
            <w:tcW w:w="9100" w:type="dxa"/>
            <w:vAlign w:val="bottom"/>
            <w:tcBorders>
              <w:top w:val="single" w:sz="8" w:color="D5EAEA"/>
              <w:bottom w:val="single" w:sz="8" w:color="D5EAEA"/>
            </w:tcBorders>
            <w:shd w:val="clear" w:color="auto" w:fill="D5EAEA"/>
          </w:tcPr>
          <w:p>
            <w:pPr>
              <w:spacing w:after="0" w:line="190" w:lineRule="exact"/>
              <w:rPr>
                <w:sz w:val="20"/>
                <w:szCs w:val="20"/>
                <w:color w:val="auto"/>
              </w:rPr>
            </w:pPr>
            <w:r>
              <w:rPr>
                <w:rFonts w:ascii="Arial" w:cs="Arial" w:eastAsia="Arial" w:hAnsi="Arial"/>
                <w:sz w:val="18"/>
                <w:szCs w:val="18"/>
                <w:color w:val="auto"/>
              </w:rPr>
              <w:t>Deferred offering costs included in accrued offerings costs and expenses</w:t>
            </w:r>
          </w:p>
        </w:tc>
        <w:tc>
          <w:tcPr>
            <w:tcW w:w="800" w:type="dxa"/>
            <w:vAlign w:val="bottom"/>
            <w:tcBorders>
              <w:top w:val="single" w:sz="8" w:color="D5EAEA"/>
              <w:bottom w:val="single" w:sz="8" w:color="D5EAEA"/>
            </w:tcBorders>
            <w:shd w:val="clear" w:color="auto" w:fill="D5EAEA"/>
          </w:tcPr>
          <w:p>
            <w:pPr>
              <w:spacing w:after="0"/>
              <w:rPr>
                <w:sz w:val="17"/>
                <w:szCs w:val="17"/>
                <w:color w:val="auto"/>
              </w:rPr>
            </w:pPr>
          </w:p>
        </w:tc>
        <w:tc>
          <w:tcPr>
            <w:tcW w:w="380" w:type="dxa"/>
            <w:vAlign w:val="bottom"/>
            <w:tcBorders>
              <w:top w:val="single" w:sz="8" w:color="auto"/>
              <w:bottom w:val="single" w:sz="8" w:color="auto"/>
            </w:tcBorders>
            <w:shd w:val="clear" w:color="auto" w:fill="D5EAEA"/>
          </w:tcPr>
          <w:p>
            <w:pPr>
              <w:jc w:val="right"/>
              <w:ind w:right="19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D5EAEA"/>
          </w:tcPr>
          <w:p>
            <w:pPr>
              <w:jc w:val="right"/>
              <w:ind w:right="10"/>
              <w:spacing w:after="0" w:line="196" w:lineRule="exact"/>
              <w:rPr>
                <w:sz w:val="20"/>
                <w:szCs w:val="20"/>
                <w:color w:val="auto"/>
              </w:rPr>
            </w:pPr>
            <w:r>
              <w:rPr>
                <w:rFonts w:ascii="Arial" w:cs="Arial" w:eastAsia="Arial" w:hAnsi="Arial"/>
                <w:sz w:val="18"/>
                <w:szCs w:val="18"/>
                <w:color w:val="auto"/>
              </w:rPr>
              <w:t>108,185</w:t>
            </w:r>
          </w:p>
        </w:tc>
        <w:tc>
          <w:tcPr>
            <w:tcW w:w="0" w:type="dxa"/>
            <w:vAlign w:val="bottom"/>
          </w:tcPr>
          <w:p>
            <w:pPr>
              <w:spacing w:after="0"/>
              <w:rPr>
                <w:sz w:val="1"/>
                <w:szCs w:val="1"/>
                <w:color w:val="auto"/>
              </w:rPr>
            </w:pPr>
          </w:p>
        </w:tc>
      </w:tr>
      <w:tr>
        <w:trPr>
          <w:trHeight w:val="20"/>
        </w:trPr>
        <w:tc>
          <w:tcPr>
            <w:tcW w:w="9100" w:type="dxa"/>
            <w:vAlign w:val="bottom"/>
            <w:vMerge w:val="restart"/>
          </w:tcPr>
          <w:p>
            <w:pPr>
              <w:ind w:left="2960"/>
              <w:spacing w:after="0"/>
              <w:rPr>
                <w:sz w:val="20"/>
                <w:szCs w:val="20"/>
                <w:color w:val="auto"/>
              </w:rPr>
            </w:pPr>
            <w:r>
              <w:rPr>
                <w:rFonts w:ascii="Arial" w:cs="Arial" w:eastAsia="Arial" w:hAnsi="Arial"/>
                <w:sz w:val="18"/>
                <w:szCs w:val="18"/>
                <w:color w:val="auto"/>
              </w:rPr>
              <w:t>The accompanying notes are an integral part of these financial statements.</w:t>
            </w:r>
          </w:p>
        </w:tc>
        <w:tc>
          <w:tcPr>
            <w:tcW w:w="8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9100" w:type="dxa"/>
            <w:vAlign w:val="bottom"/>
            <w:vMerge w:val="continue"/>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9100" w:type="dxa"/>
            <w:vAlign w:val="bottom"/>
            <w:tcBorders>
              <w:bottom w:val="single" w:sz="8" w:color="auto"/>
            </w:tcBorders>
          </w:tcPr>
          <w:p>
            <w:pPr>
              <w:ind w:left="5480"/>
              <w:spacing w:after="0"/>
              <w:rPr>
                <w:sz w:val="20"/>
                <w:szCs w:val="20"/>
                <w:color w:val="auto"/>
              </w:rPr>
            </w:pPr>
            <w:r>
              <w:rPr>
                <w:rFonts w:ascii="Arial" w:cs="Arial" w:eastAsia="Arial" w:hAnsi="Arial"/>
                <w:sz w:val="18"/>
                <w:szCs w:val="18"/>
                <w:color w:val="auto"/>
              </w:rPr>
              <w:t>F-7</w:t>
            </w:r>
          </w:p>
        </w:tc>
        <w:tc>
          <w:tcPr>
            <w:tcW w:w="8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34" w:right="339" w:bottom="1440" w:gutter="0" w:footer="0" w:header="0"/>
        </w:sectPr>
      </w:pPr>
    </w:p>
    <w:bookmarkStart w:id="175" w:name="page176"/>
    <w:bookmarkEnd w:id="175"/>
    <w:p>
      <w:pPr>
        <w:spacing w:after="0"/>
        <w:rPr>
          <w:rFonts w:ascii="Arial" w:cs="Arial" w:eastAsia="Arial" w:hAnsi="Arial"/>
          <w:sz w:val="16"/>
          <w:szCs w:val="16"/>
          <w:b w:val="1"/>
          <w:bCs w:val="1"/>
          <w:u w:val="single" w:color="auto"/>
          <w:color w:val="0000EE"/>
        </w:rPr>
      </w:pPr>
      <w:hyperlink w:anchor="page5">
        <w:r>
          <w:rPr>
            <w:rFonts w:ascii="Arial" w:cs="Arial" w:eastAsia="Arial" w:hAnsi="Arial"/>
            <w:sz w:val="16"/>
            <w:szCs w:val="16"/>
            <w:b w:val="1"/>
            <w:bCs w:val="1"/>
            <w:u w:val="single" w:color="auto"/>
            <w:color w:val="0000EE"/>
          </w:rPr>
          <w:t>Table of Contents</w:t>
        </w:r>
      </w:hyperlink>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FREEDOM ACQUISITION I CORP.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DESCRIPTION OF ORGANIZATION, BUSINESS OPERATIONS AND GOING CONCERN</w:t>
      </w:r>
    </w:p>
    <w:p>
      <w:pPr>
        <w:spacing w:after="0" w:line="229" w:lineRule="exact"/>
        <w:rPr>
          <w:sz w:val="20"/>
          <w:szCs w:val="20"/>
          <w:color w:val="auto"/>
        </w:rPr>
      </w:pPr>
    </w:p>
    <w:p>
      <w:pPr>
        <w:jc w:val="both"/>
        <w:ind w:firstLine="360"/>
        <w:spacing w:after="0" w:line="257" w:lineRule="auto"/>
        <w:rPr>
          <w:sz w:val="20"/>
          <w:szCs w:val="20"/>
          <w:color w:val="auto"/>
        </w:rPr>
      </w:pPr>
      <w:r>
        <w:rPr>
          <w:rFonts w:ascii="Arial" w:cs="Arial" w:eastAsia="Arial" w:hAnsi="Arial"/>
          <w:sz w:val="18"/>
          <w:szCs w:val="18"/>
          <w:color w:val="auto"/>
        </w:rPr>
        <w:t>Freedom Acquisition I Corp. (the “Company”), was incorporated as a Cayman Islands exempted company on December 23, 2020. The Company was incorporated for the purpose of effecting a merger, share exchange, asset acquisition, share purchase, reorganization or similar business combination with one or more businesses (the “Business Combination”). The Company has not selected any specific Business Combination target and it has not, nor has anyone on the Company's behalf, engaged in any substantive discussions, directly or indirectly, with any potential Business Combination target with respect to an initial Business Combination with the Company.</w:t>
      </w:r>
    </w:p>
    <w:p>
      <w:pPr>
        <w:spacing w:after="0" w:line="188" w:lineRule="exact"/>
        <w:rPr>
          <w:sz w:val="20"/>
          <w:szCs w:val="20"/>
          <w:color w:val="auto"/>
        </w:rPr>
      </w:pPr>
    </w:p>
    <w:p>
      <w:pPr>
        <w:jc w:val="both"/>
        <w:ind w:firstLine="360"/>
        <w:spacing w:after="0" w:line="257" w:lineRule="auto"/>
        <w:rPr>
          <w:sz w:val="20"/>
          <w:szCs w:val="20"/>
          <w:color w:val="auto"/>
        </w:rPr>
      </w:pPr>
      <w:r>
        <w:rPr>
          <w:rFonts w:ascii="Arial" w:cs="Arial" w:eastAsia="Arial" w:hAnsi="Arial"/>
          <w:sz w:val="18"/>
          <w:szCs w:val="18"/>
          <w:color w:val="auto"/>
        </w:rPr>
        <w:t>As of December 31, 2020, the Company had not commenced any operations. All activity for the period from December 23, 2020 (inception) through December 31, 2020 relates to the Company’s formation and the Proposed Public Offering described below. The Company will not generate any operating revenues until after the completion of its initial Business Combination, at the earliest. The Company will generate non-operating income in the form of interest income on cash and cash equivalents from the proceeds derived from the Proposed Public Offering (as defined below). The Company has selected December 31 as its fiscal year end.</w:t>
      </w:r>
    </w:p>
    <w:p>
      <w:pPr>
        <w:spacing w:after="0" w:line="188" w:lineRule="exact"/>
        <w:rPr>
          <w:sz w:val="20"/>
          <w:szCs w:val="20"/>
          <w:color w:val="auto"/>
        </w:rPr>
      </w:pPr>
    </w:p>
    <w:p>
      <w:pPr>
        <w:jc w:val="both"/>
        <w:ind w:firstLine="360"/>
        <w:spacing w:after="0" w:line="290" w:lineRule="auto"/>
        <w:rPr>
          <w:sz w:val="20"/>
          <w:szCs w:val="20"/>
          <w:color w:val="auto"/>
        </w:rPr>
      </w:pPr>
      <w:r>
        <w:rPr>
          <w:rFonts w:ascii="Arial" w:cs="Arial" w:eastAsia="Arial" w:hAnsi="Arial"/>
          <w:sz w:val="16"/>
          <w:szCs w:val="16"/>
          <w:color w:val="auto"/>
        </w:rPr>
        <w:t>The Company’s sponsor is Freedom Acquisition I LLC, a Cayman Islands limited liability company (the “Sponsor”). The Company’s ability to commence operations is contingent upon obtaining adequate financial resources through a proposed public offering (the “Proposed Public Offering”) of 25,000,000 units (each, a “Unit” and collectively, the “Units”) at $10.00 per Unit (or 28,750,000 units if the underwriters’ over-allotment option is exercised in full), which is discussed in Note 3, and the sale of 5,000,000 warrants (or 5,500,000 warrants if the underwriters’ over-allotment option is exercised in full) (each, a “Private Placement Warrant” and collectively, the “Private Placement Warrants”), each exercisable to purchase one Class A ordinary share at $11.50 per share, at a price of $1.50 per Private Placement Warrant in a private placement to the Sponsor that will close simultaneously with the Proposed Public Offering. The PIMCO private fund (an affiliate of the Sponsor) has expressed an intent to purchase, or to have one or more of its affiliates purchase, up to an aggregate of 2,475,000 Units in the Proposed Public Offering at the Proposed Public Offering price.</w:t>
      </w:r>
    </w:p>
    <w:p>
      <w:pPr>
        <w:spacing w:after="0" w:line="165" w:lineRule="exact"/>
        <w:rPr>
          <w:sz w:val="20"/>
          <w:szCs w:val="20"/>
          <w:color w:val="auto"/>
        </w:rPr>
      </w:pPr>
    </w:p>
    <w:p>
      <w:pPr>
        <w:jc w:val="both"/>
        <w:ind w:firstLine="360"/>
        <w:spacing w:after="0" w:line="289" w:lineRule="auto"/>
        <w:rPr>
          <w:sz w:val="20"/>
          <w:szCs w:val="20"/>
          <w:color w:val="auto"/>
        </w:rPr>
      </w:pPr>
      <w:r>
        <w:rPr>
          <w:rFonts w:ascii="Arial" w:cs="Arial" w:eastAsia="Arial" w:hAnsi="Arial"/>
          <w:sz w:val="16"/>
          <w:szCs w:val="16"/>
          <w:color w:val="auto"/>
        </w:rPr>
        <w:t>The Company’s management has broad discretion with respect to the specific application of the net proceeds of the Proposed Public Offering and the sale of Private Placement Warrants, although substantially all of the net proceeds are intended to be applied generally toward consummating a Business Combination. The Company must complete one or more initial Business Combinations having an aggregate fair market value of at least 80% of the assets held in the Trust Account (as defined below) (excluding the amount of any deferred underwriting commission held in the Trust Account) at the time of signing a definitive agreement in connection with the initial Business Combination. However, the Company will only complete a Business Combination if the post-transaction company owns or acquires 50% or more of the outstanding voting securities of the target or otherwise acquires a controlling interest in the target sufficient for it not to be required to register as an investment company under the Investment Company Act 1940, as amended (the “Investment Company Act”). There is no assurance that the Company will be able to complete a Business Combination successfully. In addition, the Company has agreed not to enter into a definitive agreement regarding an initial Business Combination without the prior written consent of the PIMCO private fund.</w:t>
      </w:r>
    </w:p>
    <w:p>
      <w:pPr>
        <w:spacing w:after="0" w:line="166" w:lineRule="exact"/>
        <w:rPr>
          <w:sz w:val="20"/>
          <w:szCs w:val="20"/>
          <w:color w:val="auto"/>
        </w:rPr>
      </w:pPr>
    </w:p>
    <w:p>
      <w:pPr>
        <w:jc w:val="both"/>
        <w:ind w:firstLine="360"/>
        <w:spacing w:after="0" w:line="288" w:lineRule="auto"/>
        <w:rPr>
          <w:sz w:val="20"/>
          <w:szCs w:val="20"/>
          <w:color w:val="auto"/>
        </w:rPr>
      </w:pPr>
      <w:r>
        <w:rPr>
          <w:rFonts w:ascii="Arial" w:cs="Arial" w:eastAsia="Arial" w:hAnsi="Arial"/>
          <w:sz w:val="16"/>
          <w:szCs w:val="16"/>
          <w:color w:val="auto"/>
        </w:rPr>
        <w:t>Upon the closing of the Proposed Public Offering, management has agreed that an amount equal to at least $10.00 per Unit sold in the Proposed Public Offering, including the proceeds of the Private Placement Warrants, will be held in a trust account (“Trust Account”), located in the United States at J.P. Morgan Chase Bank, N.A., with Continental Stock Transfer &amp; Trust Company acting as trustee, and will invest only in United States “government securities” within the meaning of Section 2(a)(16) of the Investment Company Act having a maturity of 185 days or less or in money market funds meeting certain conditions under Rule 2a-7 promulgated under the Investment Company Act that invest only in direct U.S. government treasury obligations. Except with respect to interest earned on the funds held in the Trust Account that may be released to the Company to pay taxes, if any, the proceeds from the Proposed Public Offering and the sale of the Private Placement Warrants will not be released from the Trust Account until the earliest of (i) the completion of initial Business Combination, (ii) the redemption of the Company’s public shares if the Company does not complete an initial Business Combination within 24 months from the closing of the Proposed Public Offering, subject to applicable law, or (iii) the redemption of the Company’s public shares properly submitted in connection with a shareholder vote to amend the Company’s amended and restated memorandum and articles of association.</w:t>
      </w:r>
    </w:p>
    <w:p>
      <w:pPr>
        <w:spacing w:after="0" w:line="27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34" w:right="339" w:bottom="1440" w:gutter="0" w:footer="0" w:header="0"/>
        </w:sectPr>
      </w:pPr>
    </w:p>
    <w:bookmarkStart w:id="176" w:name="page177"/>
    <w:bookmarkEnd w:id="176"/>
    <w:p>
      <w:pPr>
        <w:spacing w:after="0"/>
        <w:rPr>
          <w:rFonts w:ascii="Arial" w:cs="Arial" w:eastAsia="Arial" w:hAnsi="Arial"/>
          <w:sz w:val="16"/>
          <w:szCs w:val="16"/>
          <w:b w:val="1"/>
          <w:bCs w:val="1"/>
          <w:u w:val="single" w:color="auto"/>
          <w:color w:val="0000EE"/>
        </w:rPr>
      </w:pPr>
      <w:hyperlink w:anchor="page5">
        <w:r>
          <w:rPr>
            <w:rFonts w:ascii="Arial" w:cs="Arial" w:eastAsia="Arial" w:hAnsi="Arial"/>
            <w:sz w:val="16"/>
            <w:szCs w:val="16"/>
            <w:b w:val="1"/>
            <w:bCs w:val="1"/>
            <w:u w:val="single" w:color="auto"/>
            <w:color w:val="0000EE"/>
          </w:rPr>
          <w:t>Table of Contents</w:t>
        </w:r>
      </w:hyperlink>
    </w:p>
    <w:p>
      <w:pPr>
        <w:spacing w:after="0" w:line="126" w:lineRule="exact"/>
        <w:rPr>
          <w:sz w:val="20"/>
          <w:szCs w:val="20"/>
          <w:color w:val="auto"/>
        </w:rPr>
      </w:pPr>
    </w:p>
    <w:p>
      <w:pPr>
        <w:ind w:firstLine="360"/>
        <w:spacing w:after="0" w:line="291" w:lineRule="auto"/>
        <w:rPr>
          <w:sz w:val="20"/>
          <w:szCs w:val="20"/>
          <w:color w:val="auto"/>
        </w:rPr>
      </w:pPr>
      <w:r>
        <w:rPr>
          <w:rFonts w:ascii="Arial" w:cs="Arial" w:eastAsia="Arial" w:hAnsi="Arial"/>
          <w:sz w:val="16"/>
          <w:szCs w:val="16"/>
          <w:color w:val="auto"/>
        </w:rPr>
        <w:t>The Company will provide shareholders (the “Public Shareholders”) of its Class A ordinary shares, par value $0.0001, sold in the Proposed Public Offering (the “Public Shares”), with the opportunity to redeem all or a portion of their Public Shares upon the completion of a Business Combination either</w:t>
      </w:r>
    </w:p>
    <w:p>
      <w:pPr>
        <w:jc w:val="both"/>
        <w:ind w:firstLine="8"/>
        <w:spacing w:after="0" w:line="268" w:lineRule="auto"/>
        <w:tabs>
          <w:tab w:leader="none" w:pos="232" w:val="left"/>
        </w:tabs>
        <w:numPr>
          <w:ilvl w:val="0"/>
          <w:numId w:val="82"/>
        </w:numPr>
        <w:rPr>
          <w:rFonts w:ascii="Arial" w:cs="Arial" w:eastAsia="Arial" w:hAnsi="Arial"/>
          <w:sz w:val="17"/>
          <w:szCs w:val="17"/>
          <w:color w:val="auto"/>
        </w:rPr>
      </w:pPr>
      <w:r>
        <w:rPr>
          <w:rFonts w:ascii="Arial" w:cs="Arial" w:eastAsia="Arial" w:hAnsi="Arial"/>
          <w:sz w:val="17"/>
          <w:szCs w:val="17"/>
          <w:color w:val="auto"/>
        </w:rPr>
        <w:t>in connection with a general meeting called to approve the Business Combination or (ii) without a shareholder vote by means of a tender offer. The decision as to whether the Company will seek shareholder approval of a Business Combination or conduct a tender offer will be made by the Company, solely in its discretion. The Public Shareholders will be entitled to redeem all or a portion of their Public Shares upon the completion of the initial Business Combination at a per-share price, payable in cash, equal to the aggregate amount then on deposit in the Trust Account calculated as of two business days prior to the consummation of the initial Business Combination, including interest earned on the funds held in the Trust Account and not previously released to the Company to pay the Company’s income taxes, if any, divided by the number of the then-outstanding Public Shares. The amount in the Trust Account is initially anticipated to be $10.00 per Public Share. The per share amount the Company will distribute to investors who properly redeem their shares will not be reduced by the deferred underwriting commissions the Company will pay to the underwriters.</w:t>
      </w:r>
    </w:p>
    <w:p>
      <w:pPr>
        <w:spacing w:after="0" w:line="183" w:lineRule="exact"/>
        <w:rPr>
          <w:sz w:val="20"/>
          <w:szCs w:val="20"/>
          <w:color w:val="auto"/>
        </w:rPr>
      </w:pPr>
    </w:p>
    <w:p>
      <w:pPr>
        <w:jc w:val="both"/>
        <w:ind w:firstLine="360"/>
        <w:spacing w:after="0" w:line="257" w:lineRule="auto"/>
        <w:rPr>
          <w:sz w:val="20"/>
          <w:szCs w:val="20"/>
          <w:color w:val="auto"/>
        </w:rPr>
      </w:pPr>
      <w:r>
        <w:rPr>
          <w:rFonts w:ascii="Arial" w:cs="Arial" w:eastAsia="Arial" w:hAnsi="Arial"/>
          <w:sz w:val="18"/>
          <w:szCs w:val="18"/>
          <w:color w:val="auto"/>
        </w:rPr>
        <w:t>The shares of ordinary share subject to redemption will be recorded at a redemption value and classified as temporary equity upon the completion of the Proposed Public Offering, in accordance with Financial Accounting Standards Board’s (“FASB”) Accounting Standards Codification (“ASC”) Topic 480 “Distinguishing Liabilities from Equity.” In such case, the Company will proceed with a Business Combination if the Company has net tangible assets of at least $5,000,001 upon such consummation of a Business Combination and, if the Company seeks shareholder approval, a majority of the issued and outstanding shares voted are voted in favor of the Business Combination.</w:t>
      </w:r>
    </w:p>
    <w:p>
      <w:pPr>
        <w:spacing w:after="0" w:line="188" w:lineRule="exact"/>
        <w:rPr>
          <w:sz w:val="20"/>
          <w:szCs w:val="20"/>
          <w:color w:val="auto"/>
        </w:rPr>
      </w:pPr>
    </w:p>
    <w:p>
      <w:pPr>
        <w:jc w:val="both"/>
        <w:ind w:firstLine="360"/>
        <w:spacing w:after="0" w:line="290" w:lineRule="auto"/>
        <w:rPr>
          <w:sz w:val="20"/>
          <w:szCs w:val="20"/>
          <w:color w:val="auto"/>
        </w:rPr>
      </w:pPr>
      <w:r>
        <w:rPr>
          <w:rFonts w:ascii="Arial" w:cs="Arial" w:eastAsia="Arial" w:hAnsi="Arial"/>
          <w:sz w:val="16"/>
          <w:szCs w:val="16"/>
          <w:color w:val="auto"/>
        </w:rPr>
        <w:t>If the Company is unable to complete a Business Combination within 24 months from the closing of the Proposed Public Offering (the “Combination Period”), the Company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(less taxes payable and up to $100,000 of interest income to pay dissolution expenses), divided by the number of then issued and outstanding Public Shares, which redemption will completely extinguish Public Shareholders’ rights as shareholders (including the right to receive further liquidation distributions, if any) and (iii) as promptly as reasonably possible following such redemption, subject to the approval of the remaining shareholders and the board of directors, liquidate and dissolve, subject, in each case, to the Company’s obligations under Cayman Islands law to provide for claims of creditors and in all cases subject to the other requirements of applicable law.</w:t>
      </w:r>
    </w:p>
    <w:p>
      <w:pPr>
        <w:spacing w:after="0" w:line="165" w:lineRule="exact"/>
        <w:rPr>
          <w:sz w:val="20"/>
          <w:szCs w:val="20"/>
          <w:color w:val="auto"/>
        </w:rPr>
      </w:pPr>
    </w:p>
    <w:p>
      <w:pPr>
        <w:jc w:val="both"/>
        <w:ind w:firstLine="360"/>
        <w:spacing w:after="0" w:line="269" w:lineRule="auto"/>
        <w:rPr>
          <w:sz w:val="20"/>
          <w:szCs w:val="20"/>
          <w:color w:val="auto"/>
        </w:rPr>
      </w:pPr>
      <w:r>
        <w:rPr>
          <w:rFonts w:ascii="Arial" w:cs="Arial" w:eastAsia="Arial" w:hAnsi="Arial"/>
          <w:sz w:val="17"/>
          <w:szCs w:val="17"/>
          <w:color w:val="auto"/>
        </w:rPr>
        <w:t>The initial shareholders, the Sponsor, officers and directors have agreed to (i) waive their redemption rights with respect to their Founder Shares and public shares in connection with the completion of the initial Business Combination, (ii) waive their redemption rights with respect to their Founder Shares and public shares in connection with a shareholder vote to approve an amendment to the Company’s amended and restated memorandum and articles of association (A) to modify the substance or timing of the Company’s obligation to allow redemption in connection with the initial Business Combination or to redeem 100% of its public shares if the Company has not consummated an initial Business Combination within the Combination Period or (B) with respect to any other material provisions relating to shareholders’ rights or pre-initial Business Combination activity, (iii) waive their rights to liquidating distributions from the Trust Account with respect to their Founder Shares if the Company fails to complete an initial Business Combination within the Combination Period, although they will be entitled to liquidating distributions from the Trust Account with respect to any public shares they hold if the Company fails to complete the initial Business Combination within such time period and (iv) vote any Founder Shares held by them and any public shares purchased during or after the Proposed Public Offering (including in open market and privately-negotiated transactions) in favor of the Company’s initial Business Combination.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Going Concern Consideration</w:t>
      </w:r>
    </w:p>
    <w:p>
      <w:pPr>
        <w:spacing w:after="0" w:line="225" w:lineRule="exact"/>
        <w:rPr>
          <w:sz w:val="20"/>
          <w:szCs w:val="20"/>
          <w:color w:val="auto"/>
        </w:rPr>
      </w:pPr>
    </w:p>
    <w:p>
      <w:pPr>
        <w:jc w:val="both"/>
        <w:ind w:firstLine="360"/>
        <w:spacing w:after="0" w:line="255" w:lineRule="auto"/>
        <w:rPr>
          <w:sz w:val="20"/>
          <w:szCs w:val="20"/>
          <w:color w:val="auto"/>
        </w:rPr>
      </w:pPr>
      <w:r>
        <w:rPr>
          <w:rFonts w:ascii="Arial" w:cs="Arial" w:eastAsia="Arial" w:hAnsi="Arial"/>
          <w:sz w:val="18"/>
          <w:szCs w:val="18"/>
          <w:color w:val="auto"/>
        </w:rPr>
        <w:t>At December 31, 2020, the Company had $-0- cash and a working capital deficit of $108,185 (excluding deferred offering costs). The Company has incurred and expects to continue to incur significant costs in pursuit of its financing and acquisition plans. These conditions raise substantial doubt about the Company’s ability to continue as a going concern within one year after the date that the financial statements are issued. Management plans to address this uncertainty through a Proposed Public Offering as discussed in Note 3. There is no assurance that the Company’s plans to raise capital or to consummate a Business Combination will be successful or successful within the Combination Period. The financial statements do not include any adjustments that might result from the outcome of this uncertainty.</w:t>
      </w:r>
    </w:p>
    <w:p>
      <w:pPr>
        <w:spacing w:after="0" w:line="30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34" w:right="339" w:bottom="1440" w:gutter="0" w:footer="0" w:header="0"/>
        </w:sectPr>
      </w:pPr>
    </w:p>
    <w:bookmarkStart w:id="177" w:name="page178"/>
    <w:bookmarkEnd w:id="177"/>
    <w:p>
      <w:pPr>
        <w:spacing w:after="0"/>
        <w:rPr>
          <w:rFonts w:ascii="Arial" w:cs="Arial" w:eastAsia="Arial" w:hAnsi="Arial"/>
          <w:sz w:val="16"/>
          <w:szCs w:val="16"/>
          <w:b w:val="1"/>
          <w:bCs w:val="1"/>
          <w:u w:val="single" w:color="auto"/>
          <w:color w:val="0000EE"/>
        </w:rPr>
      </w:pPr>
      <w:hyperlink w:anchor="page5">
        <w:r>
          <w:rPr>
            <w:rFonts w:ascii="Arial" w:cs="Arial" w:eastAsia="Arial" w:hAnsi="Arial"/>
            <w:sz w:val="16"/>
            <w:szCs w:val="16"/>
            <w:b w:val="1"/>
            <w:bCs w:val="1"/>
            <w:u w:val="single" w:color="auto"/>
            <w:color w:val="0000EE"/>
          </w:rPr>
          <w:t>Table of Contents</w:t>
        </w:r>
      </w:hyperlink>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Emerging Growth Company</w:t>
      </w:r>
    </w:p>
    <w:p>
      <w:pPr>
        <w:spacing w:after="0" w:line="225" w:lineRule="exact"/>
        <w:rPr>
          <w:sz w:val="20"/>
          <w:szCs w:val="20"/>
          <w:color w:val="auto"/>
        </w:rPr>
      </w:pPr>
    </w:p>
    <w:p>
      <w:pPr>
        <w:jc w:val="both"/>
        <w:ind w:firstLine="360"/>
        <w:spacing w:after="0" w:line="273" w:lineRule="auto"/>
        <w:rPr>
          <w:sz w:val="20"/>
          <w:szCs w:val="20"/>
          <w:color w:val="auto"/>
        </w:rPr>
      </w:pPr>
      <w:r>
        <w:rPr>
          <w:rFonts w:ascii="Arial" w:cs="Arial" w:eastAsia="Arial" w:hAnsi="Arial"/>
          <w:sz w:val="17"/>
          <w:szCs w:val="17"/>
          <w:color w:val="auto"/>
        </w:rPr>
        <w:t>The Company is an “emerging growth company,” as defined in Section 2(a) of the Securities Act of 1933, as amended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shareholder approval of any golden parachute payments not previously approved.</w:t>
      </w:r>
    </w:p>
    <w:p>
      <w:pPr>
        <w:spacing w:after="0" w:line="178" w:lineRule="exact"/>
        <w:rPr>
          <w:sz w:val="20"/>
          <w:szCs w:val="20"/>
          <w:color w:val="auto"/>
        </w:rPr>
      </w:pPr>
    </w:p>
    <w:p>
      <w:pPr>
        <w:jc w:val="both"/>
        <w:ind w:firstLine="360"/>
        <w:spacing w:after="0" w:line="289" w:lineRule="auto"/>
        <w:rPr>
          <w:sz w:val="20"/>
          <w:szCs w:val="20"/>
          <w:color w:val="auto"/>
        </w:rPr>
      </w:pPr>
      <w:r>
        <w:rPr>
          <w:rFonts w:ascii="Arial" w:cs="Arial" w:eastAsia="Arial" w:hAnsi="Arial"/>
          <w:sz w:val="16"/>
          <w:szCs w:val="16"/>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an emerging growth company can elect to opt out of the extended transition period and comply with the requirements that apply to non-emerging growth companies but any such an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the comparison of the Company’s financial statements with those of another public company that is neither an emerging growth company nor an emerging growth company that has opted out of using the extended transition period difficult or impossible because of the potential differences in accounting standards used.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jc w:val="both"/>
        <w:ind w:right="20" w:firstLine="360"/>
        <w:spacing w:after="0" w:line="277" w:lineRule="auto"/>
        <w:rPr>
          <w:sz w:val="20"/>
          <w:szCs w:val="20"/>
          <w:color w:val="auto"/>
        </w:rPr>
      </w:pPr>
      <w:r>
        <w:rPr>
          <w:rFonts w:ascii="Arial" w:cs="Arial" w:eastAsia="Arial" w:hAnsi="Arial"/>
          <w:sz w:val="18"/>
          <w:szCs w:val="18"/>
          <w:color w:val="auto"/>
        </w:rPr>
        <w:t>The accompanying financial statements are presented in U.S. dollars in conformity with accounting principles generally accepted in the United States of America (“U.S. GAAP”) and pursuant to the rules and regulations of the SEC.</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jc w:val="both"/>
        <w:ind w:firstLine="360"/>
        <w:spacing w:after="0" w:line="263" w:lineRule="auto"/>
        <w:rPr>
          <w:sz w:val="20"/>
          <w:szCs w:val="20"/>
          <w:color w:val="auto"/>
        </w:rPr>
      </w:pPr>
      <w:r>
        <w:rPr>
          <w:rFonts w:ascii="Arial" w:cs="Arial" w:eastAsia="Arial" w:hAnsi="Arial"/>
          <w:sz w:val="18"/>
          <w:szCs w:val="18"/>
          <w:color w:val="auto"/>
        </w:rPr>
        <w:t>The preparation of financial statements in conformity with U.S. GAAP requires the Company’s management to make estimates and assumptions that affect the reported amounts of assets and liabilities and disclosure of contingent assets and liabilities at the financial statements and the reported amounts of expenses during the reporting period. Actual results could differ from those estimates.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25" w:lineRule="exact"/>
        <w:rPr>
          <w:sz w:val="20"/>
          <w:szCs w:val="20"/>
          <w:color w:val="auto"/>
        </w:rPr>
      </w:pPr>
    </w:p>
    <w:p>
      <w:pPr>
        <w:jc w:val="both"/>
        <w:ind w:firstLine="360"/>
        <w:spacing w:after="0" w:line="277" w:lineRule="auto"/>
        <w:rPr>
          <w:sz w:val="20"/>
          <w:szCs w:val="20"/>
          <w:color w:val="auto"/>
        </w:rPr>
      </w:pPr>
      <w:r>
        <w:rPr>
          <w:rFonts w:ascii="Arial" w:cs="Arial" w:eastAsia="Arial" w:hAnsi="Arial"/>
          <w:sz w:val="18"/>
          <w:szCs w:val="18"/>
          <w:color w:val="auto"/>
        </w:rPr>
        <w:t>The Company considers all short-term investments with an original maturity of three months or less when purchased to be cash equivalents. The Company did not have any cash equivalents as of December 31, 2020.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Offering Costs</w:t>
      </w:r>
    </w:p>
    <w:p>
      <w:pPr>
        <w:spacing w:after="0" w:line="225" w:lineRule="exact"/>
        <w:rPr>
          <w:sz w:val="20"/>
          <w:szCs w:val="20"/>
          <w:color w:val="auto"/>
        </w:rPr>
      </w:pPr>
    </w:p>
    <w:p>
      <w:pPr>
        <w:jc w:val="both"/>
        <w:ind w:firstLine="360"/>
        <w:spacing w:after="0" w:line="286" w:lineRule="auto"/>
        <w:rPr>
          <w:sz w:val="20"/>
          <w:szCs w:val="20"/>
          <w:color w:val="auto"/>
        </w:rPr>
      </w:pPr>
      <w:r>
        <w:rPr>
          <w:rFonts w:ascii="Arial" w:cs="Arial" w:eastAsia="Arial" w:hAnsi="Arial"/>
          <w:sz w:val="17"/>
          <w:szCs w:val="17"/>
          <w:color w:val="auto"/>
        </w:rPr>
        <w:t>Deferred offering costs consist of legal and accounting expenses incurred through the balance sheet date that are directly related to the Proposed Public Offering and that will be charged to shareholders’ equity upon the completion of the Proposed Public Offering. Should the Proposed Public Offering prove to be unsuccessful, these deferred costs, as well as additional expenses to be incurred, will be charged to operations.</w:t>
      </w:r>
    </w:p>
    <w:p>
      <w:pPr>
        <w:spacing w:after="0" w:line="27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34" w:right="339" w:bottom="1440" w:gutter="0" w:footer="0" w:header="0"/>
        </w:sectPr>
      </w:pPr>
    </w:p>
    <w:bookmarkStart w:id="178" w:name="page179"/>
    <w:bookmarkEnd w:id="178"/>
    <w:p>
      <w:pPr>
        <w:spacing w:after="0"/>
        <w:rPr>
          <w:rFonts w:ascii="Arial" w:cs="Arial" w:eastAsia="Arial" w:hAnsi="Arial"/>
          <w:sz w:val="16"/>
          <w:szCs w:val="16"/>
          <w:b w:val="1"/>
          <w:bCs w:val="1"/>
          <w:u w:val="single" w:color="auto"/>
          <w:color w:val="0000EE"/>
        </w:rPr>
      </w:pPr>
      <w:hyperlink w:anchor="page5">
        <w:r>
          <w:rPr>
            <w:rFonts w:ascii="Arial" w:cs="Arial" w:eastAsia="Arial" w:hAnsi="Arial"/>
            <w:sz w:val="16"/>
            <w:szCs w:val="16"/>
            <w:b w:val="1"/>
            <w:bCs w:val="1"/>
            <w:u w:val="single" w:color="auto"/>
            <w:color w:val="0000EE"/>
          </w:rPr>
          <w:t>Table of Contents</w:t>
        </w:r>
      </w:hyperlink>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25" w:lineRule="exact"/>
        <w:rPr>
          <w:sz w:val="20"/>
          <w:szCs w:val="20"/>
          <w:color w:val="auto"/>
        </w:rPr>
      </w:pPr>
    </w:p>
    <w:p>
      <w:pPr>
        <w:jc w:val="both"/>
        <w:ind w:firstLine="360"/>
        <w:spacing w:after="0" w:line="277" w:lineRule="auto"/>
        <w:rPr>
          <w:sz w:val="20"/>
          <w:szCs w:val="20"/>
          <w:color w:val="auto"/>
        </w:rPr>
      </w:pPr>
      <w:r>
        <w:rPr>
          <w:rFonts w:ascii="Arial" w:cs="Arial" w:eastAsia="Arial" w:hAnsi="Arial"/>
          <w:sz w:val="18"/>
          <w:szCs w:val="18"/>
          <w:color w:val="auto"/>
        </w:rPr>
        <w:t>The fair value of the Company’s assets and liabilities, which qualify as financial instruments under the FASB ASC 820, “Fair Value Measurements and Disclosures,” approximates the carrying amounts represented in the balance sheet, primarily due to its short-term nature.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Ordinary Share</w:t>
      </w:r>
    </w:p>
    <w:p>
      <w:pPr>
        <w:spacing w:after="0" w:line="225" w:lineRule="exact"/>
        <w:rPr>
          <w:sz w:val="20"/>
          <w:szCs w:val="20"/>
          <w:color w:val="auto"/>
        </w:rPr>
      </w:pPr>
    </w:p>
    <w:p>
      <w:pPr>
        <w:jc w:val="both"/>
        <w:ind w:firstLine="360"/>
        <w:spacing w:after="0" w:line="255" w:lineRule="auto"/>
        <w:rPr>
          <w:sz w:val="20"/>
          <w:szCs w:val="20"/>
          <w:color w:val="auto"/>
        </w:rPr>
      </w:pPr>
      <w:r>
        <w:rPr>
          <w:rFonts w:ascii="Arial" w:cs="Arial" w:eastAsia="Arial" w:hAnsi="Arial"/>
          <w:sz w:val="18"/>
          <w:szCs w:val="18"/>
          <w:color w:val="auto"/>
        </w:rPr>
        <w:t>The Company complies with accounting and disclosure requirements of FASB ASC Topic 260, “Earnings Per Share.” Net loss per share is computed by dividing net loss by the weighted average number of ordinary shares outstanding during the period, excluding ordinary shares subject to forfeiture. Weighted average shares were reduced for the effect of an aggregate of 937,500 ordinary shares that are subject to forfeiture if the over-allotment option is not exercised by the underwriters (see Note 7). At December 31, 2020, the Company did not have any dilutive securities and other contracts that could, potentially, be exercised or converted into ordinary shares and then share in the earnings of the Company. As a result, diluted loss per share is the same as basic loss per share for the period presented.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The Company follows the asset and liability method of accounting for income taxes under FASB ASC 740, “Income Taxes.” ASC Topic 740 prescribes a recognition threshold and a measurement attribute for the financial statement recognition and measurement of tax positions taken or expected to be taken in a tax return. For those benefits to be recognized, a tax position must be more likely than not to be sustained upon examination by taxing authorities. The Company's management determined that the Cayman Islands is the Company's major tax jurisdiction. The Company recognizes accrued interest and penalties related to unrecognized tax benefits as income tax expense. As of December 31, 2020, there were no unrecognized tax benefits and no amounts accrued for interest and penalties. The Company is currently not aware of any issues under review that could result in significant payments, accruals or material deviation from its position.</w:t>
      </w:r>
    </w:p>
    <w:p>
      <w:pPr>
        <w:spacing w:after="0" w:line="195" w:lineRule="exact"/>
        <w:rPr>
          <w:sz w:val="20"/>
          <w:szCs w:val="20"/>
          <w:color w:val="auto"/>
        </w:rPr>
      </w:pPr>
    </w:p>
    <w:p>
      <w:pPr>
        <w:jc w:val="both"/>
        <w:ind w:firstLine="416"/>
        <w:spacing w:after="0" w:line="296" w:lineRule="auto"/>
        <w:rPr>
          <w:sz w:val="20"/>
          <w:szCs w:val="20"/>
          <w:color w:val="auto"/>
        </w:rPr>
      </w:pPr>
      <w:r>
        <w:rPr>
          <w:rFonts w:ascii="Arial" w:cs="Arial" w:eastAsia="Arial" w:hAnsi="Arial"/>
          <w:sz w:val="16"/>
          <w:szCs w:val="16"/>
          <w:color w:val="auto"/>
        </w:rPr>
        <w:t>The Company is considered to be an exempted Cayman Islands company with no connection to any other taxable jurisdiction and is presently not subject to income taxes or income tax filing requirements in the Cayman Islands or the United States. As such, the Company's tax provision was zero for the period presented. There is currently no taxation imposed on income by the Government of the Cayman Islands. In accordance with Cayman Islands income tax regulations, income taxes are not levied on the Company. Consequently, income taxes are not reflected in the Company’s financial statements. The Company’s management does not expect that the total amount of unrecognized tax benefits will materially change over the next twelve months.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and Uncertainties</w:t>
      </w:r>
    </w:p>
    <w:p>
      <w:pPr>
        <w:spacing w:after="0" w:line="225" w:lineRule="exact"/>
        <w:rPr>
          <w:sz w:val="20"/>
          <w:szCs w:val="20"/>
          <w:color w:val="auto"/>
        </w:rPr>
      </w:pPr>
    </w:p>
    <w:p>
      <w:pPr>
        <w:jc w:val="both"/>
        <w:ind w:firstLine="360"/>
        <w:spacing w:after="0" w:line="259" w:lineRule="auto"/>
        <w:rPr>
          <w:sz w:val="20"/>
          <w:szCs w:val="20"/>
          <w:color w:val="auto"/>
        </w:rPr>
      </w:pPr>
      <w:r>
        <w:rPr>
          <w:rFonts w:ascii="Arial" w:cs="Arial" w:eastAsia="Arial" w:hAnsi="Arial"/>
          <w:sz w:val="18"/>
          <w:szCs w:val="18"/>
          <w:color w:val="auto"/>
        </w:rPr>
        <w:t>Management is currently evaluating the impact of the COVID-19 pandemic on its financial statements and has concluded that while it is reasonably possible that the virus could have a negative effect on the Company’s financial position, results of operations and/or search for a target company, the specific impact is not readily determinable as of the date of these financial statements. The financial statements do not include any adjustments that might result from the outcome of this uncertainty.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jc w:val="both"/>
        <w:ind w:firstLine="360"/>
        <w:spacing w:after="0" w:line="277" w:lineRule="auto"/>
        <w:rPr>
          <w:sz w:val="20"/>
          <w:szCs w:val="20"/>
          <w:color w:val="auto"/>
        </w:rPr>
      </w:pPr>
      <w:r>
        <w:rPr>
          <w:rFonts w:ascii="Arial" w:cs="Arial" w:eastAsia="Arial" w:hAnsi="Arial"/>
          <w:sz w:val="18"/>
          <w:szCs w:val="18"/>
          <w:color w:val="auto"/>
        </w:rPr>
        <w:t>The Company’s management does not believe that any recently issued, but not yet effective, accounting pronouncements, if currently adopted, would have a material effect on the Company’s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PROPOSED PUBLIC OFFERING</w:t>
      </w:r>
    </w:p>
    <w:p>
      <w:pPr>
        <w:spacing w:after="0" w:line="229" w:lineRule="exact"/>
        <w:rPr>
          <w:sz w:val="20"/>
          <w:szCs w:val="20"/>
          <w:color w:val="auto"/>
        </w:rPr>
      </w:pPr>
    </w:p>
    <w:p>
      <w:pPr>
        <w:jc w:val="both"/>
        <w:ind w:firstLine="360"/>
        <w:spacing w:after="0" w:line="259" w:lineRule="auto"/>
        <w:rPr>
          <w:sz w:val="20"/>
          <w:szCs w:val="20"/>
          <w:color w:val="auto"/>
        </w:rPr>
      </w:pPr>
      <w:r>
        <w:rPr>
          <w:rFonts w:ascii="Arial" w:cs="Arial" w:eastAsia="Arial" w:hAnsi="Arial"/>
          <w:sz w:val="18"/>
          <w:szCs w:val="18"/>
          <w:color w:val="auto"/>
        </w:rPr>
        <w:t>Pursuant to the Proposed Public Offering, the Company intends to offer for sale 25,000,000 Units (or 28,750,000 Units if the underwriters’ over-allotment option is exercised in full) at a price of $10.00 per Unit. Each Unit consists of one Class A ordinary share, par value $0.0001 per share, and one-fourth of one redeemable warrant (each, a “Public Warrant”). Each whole Public Warrant entitles the holder to purchase one Class A ordinary share at a price of $11.50 per share, subject to adjustment (see Note 7).</w:t>
      </w:r>
    </w:p>
    <w:p>
      <w:pPr>
        <w:spacing w:after="0" w:line="29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34" w:right="339" w:bottom="1440" w:gutter="0" w:footer="0" w:header="0"/>
        </w:sectPr>
      </w:pPr>
    </w:p>
    <w:bookmarkStart w:id="179" w:name="page180"/>
    <w:bookmarkEnd w:id="179"/>
    <w:p>
      <w:pPr>
        <w:spacing w:after="0"/>
        <w:rPr>
          <w:rFonts w:ascii="Arial" w:cs="Arial" w:eastAsia="Arial" w:hAnsi="Arial"/>
          <w:sz w:val="16"/>
          <w:szCs w:val="16"/>
          <w:b w:val="1"/>
          <w:bCs w:val="1"/>
          <w:u w:val="single" w:color="auto"/>
          <w:color w:val="0000EE"/>
        </w:rPr>
      </w:pPr>
      <w:hyperlink w:anchor="page5">
        <w:r>
          <w:rPr>
            <w:rFonts w:ascii="Arial" w:cs="Arial" w:eastAsia="Arial" w:hAnsi="Arial"/>
            <w:sz w:val="16"/>
            <w:szCs w:val="16"/>
            <w:b w:val="1"/>
            <w:bCs w:val="1"/>
            <w:u w:val="single" w:color="auto"/>
            <w:color w:val="0000EE"/>
          </w:rPr>
          <w:t>Table of Contents</w:t>
        </w:r>
      </w:hyperlink>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PRIVATE PLACEMENT</w:t>
      </w:r>
    </w:p>
    <w:p>
      <w:pPr>
        <w:spacing w:after="0" w:line="229" w:lineRule="exact"/>
        <w:rPr>
          <w:sz w:val="20"/>
          <w:szCs w:val="20"/>
          <w:color w:val="auto"/>
        </w:rPr>
      </w:pPr>
    </w:p>
    <w:p>
      <w:pPr>
        <w:jc w:val="both"/>
        <w:ind w:firstLine="360"/>
        <w:spacing w:after="0" w:line="254" w:lineRule="auto"/>
        <w:rPr>
          <w:sz w:val="20"/>
          <w:szCs w:val="20"/>
          <w:color w:val="auto"/>
        </w:rPr>
      </w:pPr>
      <w:r>
        <w:rPr>
          <w:rFonts w:ascii="Arial" w:cs="Arial" w:eastAsia="Arial" w:hAnsi="Arial"/>
          <w:sz w:val="18"/>
          <w:szCs w:val="18"/>
          <w:color w:val="auto"/>
        </w:rPr>
        <w:t>The Sponsor has committed to purchase an aggregate of 5,000,000 Private Placement Warrants (or 5,500,000 Private Placement Warrants if the underwriters’ over-allotment option is exercised in full) at a price of $1.50 per Private Placement Warrant, for an aggregate purchase price of $7,500,000 (or $8,250,000 if the underwriters' over-allotment option is exercised in full), in a private placement that will occur simultaneously with the closing of the Proposed Public Offering. Each Private Placement Warrant is exercisable to purchase one Class A ordinary share at a price of $11.50 per share, subject to adjustment (see Note 7). A portion of the proceeds from the Private Placement Warrants will be added to the proceeds from the Proposed Public Offering to be held in the Trust Account. If the Company does not complete a Business Combination within the Combination Period, the proceeds from the sale of the Private Placement Warrants will be used to fund the redemption of the Public Shares (subject to the requirements of applicable law) and the Private Placement Warrants will expire worthless.</w:t>
      </w:r>
    </w:p>
    <w:p>
      <w:pPr>
        <w:spacing w:after="0" w:line="192" w:lineRule="exact"/>
        <w:rPr>
          <w:sz w:val="20"/>
          <w:szCs w:val="20"/>
          <w:color w:val="auto"/>
        </w:rPr>
      </w:pPr>
    </w:p>
    <w:p>
      <w:pPr>
        <w:jc w:val="both"/>
        <w:ind w:firstLine="360"/>
        <w:spacing w:after="0" w:line="301" w:lineRule="auto"/>
        <w:rPr>
          <w:sz w:val="20"/>
          <w:szCs w:val="20"/>
          <w:color w:val="auto"/>
        </w:rPr>
      </w:pPr>
      <w:r>
        <w:rPr>
          <w:rFonts w:ascii="Arial" w:cs="Arial" w:eastAsia="Arial" w:hAnsi="Arial"/>
          <w:sz w:val="16"/>
          <w:szCs w:val="16"/>
          <w:color w:val="auto"/>
        </w:rPr>
        <w:t>The Private Placement Warrants will be identical to the warrants sold in the Proposed Public Offering except that the Private Placement Warrants, so long as they are held by the Sponsor or its permitted transferees, (i) will not be redeemable by the Company, (ii) may not (including the Class A ordinary shares issuable upon exercise of these warrants), subject to certain limited exceptions, be transferred, assigned or sold by the holders until 30 days after the completion of the initial Business Combination, (iii) may be exercised by the holders on a cashless basis and (iv) will be entitled to registration rights.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RELATED PARTY TRANSACTIONS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Founder Shares</w:t>
      </w:r>
    </w:p>
    <w:p>
      <w:pPr>
        <w:spacing w:after="0" w:line="225" w:lineRule="exact"/>
        <w:rPr>
          <w:sz w:val="20"/>
          <w:szCs w:val="20"/>
          <w:color w:val="auto"/>
        </w:rPr>
      </w:pPr>
    </w:p>
    <w:p>
      <w:pPr>
        <w:jc w:val="both"/>
        <w:ind w:firstLine="360"/>
        <w:spacing w:after="0" w:line="254" w:lineRule="auto"/>
        <w:rPr>
          <w:sz w:val="20"/>
          <w:szCs w:val="20"/>
          <w:color w:val="auto"/>
        </w:rPr>
      </w:pPr>
      <w:r>
        <w:rPr>
          <w:rFonts w:ascii="Arial" w:cs="Arial" w:eastAsia="Arial" w:hAnsi="Arial"/>
          <w:sz w:val="18"/>
          <w:szCs w:val="18"/>
          <w:color w:val="auto"/>
        </w:rPr>
        <w:t>On December 31, 2020, the Sponsor paid $25,000, or approximately $0.003 per share, to cover certain offering costs in consideration for 7,187,500 Class B ordinary shares, par value $0.0001 per share (the “Founder Shares”). Up to 937,500 Founder Shares are subject to forfeiture to the extent that the over-allotment option is not exercised in full by the underwriters. The forfeiture will be adjusted to the extent that the over-allotment option is not exercised in full by the underwriters so that the Founder Shares will represent 20.0% of the Company’s issued and outstanding shares after the Proposed Public Offering. If the Company increases or decreases the size of the offering, the Company will effect a share capitalization or share contribution back to capital, as applicable, immediately prior to the consummation of the Proposed Public Offering in such amount as to maintain the Founder Share ownership of the Company’s shareholders prior to the Proposed Public Offering at 20.0% of the Company’s issued and outstanding ordinary shares upon the consummation of the Proposed Public Offering.</w:t>
      </w:r>
    </w:p>
    <w:p>
      <w:pPr>
        <w:spacing w:after="0" w:line="192" w:lineRule="exact"/>
        <w:rPr>
          <w:sz w:val="20"/>
          <w:szCs w:val="20"/>
          <w:color w:val="auto"/>
        </w:rPr>
      </w:pPr>
    </w:p>
    <w:p>
      <w:pPr>
        <w:jc w:val="both"/>
        <w:ind w:firstLine="360"/>
        <w:spacing w:after="0" w:line="269" w:lineRule="auto"/>
        <w:rPr>
          <w:sz w:val="20"/>
          <w:szCs w:val="20"/>
          <w:color w:val="auto"/>
        </w:rPr>
      </w:pPr>
      <w:r>
        <w:rPr>
          <w:rFonts w:ascii="Arial" w:cs="Arial" w:eastAsia="Arial" w:hAnsi="Arial"/>
          <w:sz w:val="17"/>
          <w:szCs w:val="17"/>
          <w:color w:val="auto"/>
        </w:rPr>
        <w:t>The Company’s initial shareholders have agreed not to transfer, assign or sell any of their Founder Shares and any Class A ordinary shares issuable upon conversion thereof until the earlier to occur of: (i) one year after the completion of the initial Business Combination or (ii) the date on which the Company completes a liquidation, merger, share exchange or other similar transaction after the initial Business Combination that results in all of its shareholders having the right to exchange their Class A ordinary shares for cash, securities or other property; except to certain permitted transferees and under certain circumstances (the “Lock-up”). Any permitted transferees will be subject to the same restrictions and other agreements of the initial shareholders with respect to any Founder Shares. Notwithstanding the foregoing, if (1) the closing price of the Company’s Class A ordinary shares equals or exceeds $12.00 per share (as adjusted for share sub-divisions, share capitalizations, reorganizations, recapitalizations and the like) for any 20 trading days within any 30-trading day period commencing at least 150 days after the initial Business Combination or (2) if the Company consummates a transaction after the initial Business Combination which results in its shareholders having the right to exchange their shares for cash, securities or other property, the Founder Shares will be released from the Lock-up.</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Promissory Note — Related Party</w:t>
      </w:r>
    </w:p>
    <w:p>
      <w:pPr>
        <w:spacing w:after="0" w:line="225" w:lineRule="exact"/>
        <w:rPr>
          <w:sz w:val="20"/>
          <w:szCs w:val="20"/>
          <w:color w:val="auto"/>
        </w:rPr>
      </w:pPr>
    </w:p>
    <w:p>
      <w:pPr>
        <w:jc w:val="both"/>
        <w:ind w:firstLine="360"/>
        <w:spacing w:after="0" w:line="263" w:lineRule="auto"/>
        <w:rPr>
          <w:sz w:val="20"/>
          <w:szCs w:val="20"/>
          <w:color w:val="auto"/>
        </w:rPr>
      </w:pPr>
      <w:r>
        <w:rPr>
          <w:rFonts w:ascii="Arial" w:cs="Arial" w:eastAsia="Arial" w:hAnsi="Arial"/>
          <w:sz w:val="18"/>
          <w:szCs w:val="18"/>
          <w:color w:val="auto"/>
        </w:rPr>
        <w:t>On December 30, 2020, the Sponsor agreed to loan the Company up to $300,000 to cover expenses related to the Proposed Public Offering pursuant to a promissory note (the “Note”). This loan is non-interest bearing and payable on the earlier of December 31, 2021 or the completion of the Proposed Public Offering. As of December 31, 2020, the Company has no borrowings under the Note.</w:t>
      </w:r>
    </w:p>
    <w:p>
      <w:pPr>
        <w:spacing w:after="0" w:line="29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34" w:right="339" w:bottom="1440" w:gutter="0" w:footer="0" w:header="0"/>
        </w:sectPr>
      </w:pPr>
    </w:p>
    <w:bookmarkStart w:id="180" w:name="page181"/>
    <w:bookmarkEnd w:id="180"/>
    <w:p>
      <w:pPr>
        <w:spacing w:after="0"/>
        <w:rPr>
          <w:rFonts w:ascii="Arial" w:cs="Arial" w:eastAsia="Arial" w:hAnsi="Arial"/>
          <w:sz w:val="16"/>
          <w:szCs w:val="16"/>
          <w:b w:val="1"/>
          <w:bCs w:val="1"/>
          <w:u w:val="single" w:color="auto"/>
          <w:color w:val="0000EE"/>
        </w:rPr>
      </w:pPr>
      <w:hyperlink w:anchor="page5">
        <w:r>
          <w:rPr>
            <w:rFonts w:ascii="Arial" w:cs="Arial" w:eastAsia="Arial" w:hAnsi="Arial"/>
            <w:sz w:val="16"/>
            <w:szCs w:val="16"/>
            <w:b w:val="1"/>
            <w:bCs w:val="1"/>
            <w:u w:val="single" w:color="auto"/>
            <w:color w:val="0000EE"/>
          </w:rPr>
          <w:t>Table of Contents</w:t>
        </w:r>
      </w:hyperlink>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Working Capital Loans</w:t>
      </w:r>
    </w:p>
    <w:p>
      <w:pPr>
        <w:spacing w:after="0" w:line="225" w:lineRule="exact"/>
        <w:rPr>
          <w:sz w:val="20"/>
          <w:szCs w:val="20"/>
          <w:color w:val="auto"/>
        </w:rPr>
      </w:pPr>
    </w:p>
    <w:p>
      <w:pPr>
        <w:jc w:val="both"/>
        <w:ind w:firstLine="360"/>
        <w:spacing w:after="0" w:line="269" w:lineRule="auto"/>
        <w:rPr>
          <w:sz w:val="20"/>
          <w:szCs w:val="20"/>
          <w:color w:val="auto"/>
        </w:rPr>
      </w:pPr>
      <w:r>
        <w:rPr>
          <w:rFonts w:ascii="Arial" w:cs="Arial" w:eastAsia="Arial" w:hAnsi="Arial"/>
          <w:sz w:val="17"/>
          <w:szCs w:val="17"/>
          <w:color w:val="auto"/>
        </w:rPr>
        <w:t>In addition, in order to finance transaction costs in connection with an intended Business Combination, the Sponsor or an affiliate of the Sponsor, or certain of the Company’s officers and directors, may, but are not obligated to, loan the Company funds as may be required (“Working Capital Loans”). If the Company completes a Business Combination, the Company would repay the Working Capital Loans. In the event that a Business Combination does not close, the Company may use a portion of the working capital held outside the Trust Account to repay the Working Capital Loans but no proceeds held in the Trust Account would be used to repay the Working Capital Loans. Up to $2,000,000 of the Working Capital Loans may be convertible into Private Placement Warrants of the post Business Combination entity at a price of $1.50 per warrant at the option of the lender. Such warrants would be identical to the Private Placement Warrants. Except as set forth above, the terms of such Working Capital Loans, if any, have not been determined and no written agreements exist with respect to such loans. Prior to the completion of the initial Business Combination, the Company does not expect to seek loans from parties other than the Sponsor or an affiliate of the Sponsor as the Company does not believe third parties will be willing to loan such funds and provide a waiver against any and all rights to seek access to funds in the Company’s Trust Account. As of December 31, 2020, the Company had no borrowings under the Working Capital Loans.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Administrative Support Agreement</w:t>
      </w:r>
    </w:p>
    <w:p>
      <w:pPr>
        <w:spacing w:after="0" w:line="225" w:lineRule="exact"/>
        <w:rPr>
          <w:sz w:val="20"/>
          <w:szCs w:val="20"/>
          <w:color w:val="auto"/>
        </w:rPr>
      </w:pPr>
    </w:p>
    <w:p>
      <w:pPr>
        <w:jc w:val="both"/>
        <w:ind w:firstLine="360"/>
        <w:spacing w:after="0" w:line="286" w:lineRule="auto"/>
        <w:rPr>
          <w:sz w:val="20"/>
          <w:szCs w:val="20"/>
          <w:color w:val="auto"/>
        </w:rPr>
      </w:pPr>
      <w:r>
        <w:rPr>
          <w:rFonts w:ascii="Arial" w:cs="Arial" w:eastAsia="Arial" w:hAnsi="Arial"/>
          <w:sz w:val="17"/>
          <w:szCs w:val="17"/>
          <w:color w:val="auto"/>
        </w:rPr>
        <w:t>Commencing on the date of this prospectus, the Company will pay its Sponsor or an affiliate thereof up to $10,000 per month for office space, utilities, secretarial and administrative support services provided to members of the management team and other expenses and obligations of the Sponsor. Upon completion of the initial Business Combination or the Company’s liquidation, it will cease paying these monthly fees.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Registration Rights</w:t>
      </w:r>
    </w:p>
    <w:p>
      <w:pPr>
        <w:spacing w:after="0" w:line="225" w:lineRule="exact"/>
        <w:rPr>
          <w:sz w:val="20"/>
          <w:szCs w:val="20"/>
          <w:color w:val="auto"/>
        </w:rPr>
      </w:pPr>
    </w:p>
    <w:p>
      <w:pPr>
        <w:jc w:val="both"/>
        <w:ind w:firstLine="360"/>
        <w:spacing w:after="0" w:line="291" w:lineRule="auto"/>
        <w:rPr>
          <w:sz w:val="20"/>
          <w:szCs w:val="20"/>
          <w:color w:val="auto"/>
        </w:rPr>
      </w:pPr>
      <w:r>
        <w:rPr>
          <w:rFonts w:ascii="Arial" w:cs="Arial" w:eastAsia="Arial" w:hAnsi="Arial"/>
          <w:sz w:val="16"/>
          <w:szCs w:val="16"/>
          <w:color w:val="auto"/>
        </w:rPr>
        <w:t>The holders of the (i) Founder Shares, which were issued in a private placement prior to the closing of the Proposed Public Offering, (ii) Private Placement Warrants, which will be issued in a private placement simultaneously with the closing of the Proposed Public Offering and the Class A ordinary shares underlying such Private Placement Warrants and (iii) Private Placement Warrants that may be issued upon conversion of Working Capital Loans will have registration rights to require the Company to register a sale of any of its securities held by them pursuant to a registration rights agreement. The holders of these securities are entitled to make up to three demands, excluding short form demands, that the Company registers such securities. In addition, the holders have certain “piggy-back” registration rights with respect to registration statements filed subsequent to the Company’s completion of its initial Business Combination. The Company will bear the expenses incurred in connection with the filing of any such registration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Underwriting Agreement</w:t>
      </w:r>
    </w:p>
    <w:p>
      <w:pPr>
        <w:spacing w:after="0" w:line="225" w:lineRule="exact"/>
        <w:rPr>
          <w:sz w:val="20"/>
          <w:szCs w:val="20"/>
          <w:color w:val="auto"/>
        </w:rPr>
      </w:pPr>
    </w:p>
    <w:p>
      <w:pPr>
        <w:jc w:val="both"/>
        <w:ind w:firstLine="360"/>
        <w:spacing w:after="0" w:line="277" w:lineRule="auto"/>
        <w:rPr>
          <w:sz w:val="20"/>
          <w:szCs w:val="20"/>
          <w:color w:val="auto"/>
        </w:rPr>
      </w:pPr>
      <w:r>
        <w:rPr>
          <w:rFonts w:ascii="Arial" w:cs="Arial" w:eastAsia="Arial" w:hAnsi="Arial"/>
          <w:sz w:val="18"/>
          <w:szCs w:val="18"/>
          <w:color w:val="auto"/>
        </w:rPr>
        <w:t>The Company will grant the underwriters a 45-day option from the date of the Proposed Public Offering to purchase up to an additional 3,750,000 Units to cover over-allotments, if any, at the Proposed Public Offering price less the underwriting discounts and commissions.</w:t>
      </w:r>
    </w:p>
    <w:p>
      <w:pPr>
        <w:spacing w:after="0" w:line="170" w:lineRule="exact"/>
        <w:rPr>
          <w:sz w:val="20"/>
          <w:szCs w:val="20"/>
          <w:color w:val="auto"/>
        </w:rPr>
      </w:pPr>
    </w:p>
    <w:p>
      <w:pPr>
        <w:jc w:val="both"/>
        <w:ind w:firstLine="360"/>
        <w:spacing w:after="0" w:line="254" w:lineRule="auto"/>
        <w:rPr>
          <w:sz w:val="20"/>
          <w:szCs w:val="20"/>
          <w:color w:val="auto"/>
        </w:rPr>
      </w:pPr>
      <w:r>
        <w:rPr>
          <w:rFonts w:ascii="Arial" w:cs="Arial" w:eastAsia="Arial" w:hAnsi="Arial"/>
          <w:sz w:val="18"/>
          <w:szCs w:val="18"/>
          <w:color w:val="auto"/>
        </w:rPr>
        <w:t>The underwriters will be entitled to an underwriting discount of $0.20 per unit (except for any units purchased by the PIMCO private fund or its affiliates), or approximately $4.51 million in the aggregate (or approximately $5.26 million in the aggregate if the underwriters’ over-allotment option is exercised in full), payable upon the closing of the Proposed Public Offering assuming the PIMCO private fund or its affiliates purchase 2,475,000 units in such offering. In addition, $0.35 per unit, or approximately $8.75 million in the aggregate (or approximately $10.06 million in the aggregate if the underwriters’ over-allotment option is exercised in full), will be payable to the underwriters for deferred underwriting commissions. The deferred fee will become payable to the underwriters from the amounts held in the Trust Account solely in the event that the Company completes a Business Combination, subject to the terms of the underwriting agreement.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SHAREHOLDER’S EQUITY</w:t>
      </w:r>
    </w:p>
    <w:p>
      <w:pPr>
        <w:spacing w:after="0" w:line="229" w:lineRule="exact"/>
        <w:rPr>
          <w:sz w:val="20"/>
          <w:szCs w:val="20"/>
          <w:color w:val="auto"/>
        </w:rPr>
      </w:pPr>
    </w:p>
    <w:p>
      <w:pPr>
        <w:jc w:val="both"/>
        <w:ind w:firstLine="362"/>
        <w:spacing w:after="0" w:line="263" w:lineRule="auto"/>
        <w:rPr>
          <w:sz w:val="20"/>
          <w:szCs w:val="20"/>
          <w:color w:val="auto"/>
        </w:rPr>
      </w:pPr>
      <w:r>
        <w:rPr>
          <w:rFonts w:ascii="Arial" w:cs="Arial" w:eastAsia="Arial" w:hAnsi="Arial"/>
          <w:sz w:val="18"/>
          <w:szCs w:val="18"/>
          <w:b w:val="1"/>
          <w:bCs w:val="1"/>
          <w:i w:val="1"/>
          <w:iCs w:val="1"/>
          <w:color w:val="auto"/>
        </w:rPr>
        <w:t xml:space="preserve">Preferred Shares </w:t>
      </w:r>
      <w:r>
        <w:rPr>
          <w:rFonts w:ascii="Arial" w:cs="Arial" w:eastAsia="Arial" w:hAnsi="Arial"/>
          <w:sz w:val="18"/>
          <w:szCs w:val="18"/>
          <w:color w:val="auto"/>
        </w:rPr>
        <w:t>— The Company is authorized to issue 1,000,000 preferred shares with such designations, voting and other rights and preferences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may be determined from time to time by the Company’s board of directors. As of December 31, 2020, there were no preference shares issued or outstanding.</w:t>
      </w:r>
    </w:p>
    <w:p>
      <w:pPr>
        <w:spacing w:after="0" w:line="29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34" w:right="339" w:bottom="1440" w:gutter="0" w:footer="0" w:header="0"/>
        </w:sectPr>
      </w:pPr>
    </w:p>
    <w:bookmarkStart w:id="181" w:name="page182"/>
    <w:bookmarkEnd w:id="181"/>
    <w:p>
      <w:pPr>
        <w:spacing w:after="0"/>
        <w:rPr>
          <w:rFonts w:ascii="Arial" w:cs="Arial" w:eastAsia="Arial" w:hAnsi="Arial"/>
          <w:sz w:val="16"/>
          <w:szCs w:val="16"/>
          <w:b w:val="1"/>
          <w:bCs w:val="1"/>
          <w:u w:val="single" w:color="auto"/>
          <w:color w:val="0000EE"/>
        </w:rPr>
      </w:pPr>
      <w:hyperlink w:anchor="page5">
        <w:r>
          <w:rPr>
            <w:rFonts w:ascii="Arial" w:cs="Arial" w:eastAsia="Arial" w:hAnsi="Arial"/>
            <w:sz w:val="16"/>
            <w:szCs w:val="16"/>
            <w:b w:val="1"/>
            <w:bCs w:val="1"/>
            <w:u w:val="single" w:color="auto"/>
            <w:color w:val="0000EE"/>
          </w:rPr>
          <w:t>Table of Contents</w:t>
        </w:r>
      </w:hyperlink>
    </w:p>
    <w:p>
      <w:pPr>
        <w:spacing w:after="0" w:line="126" w:lineRule="exact"/>
        <w:rPr>
          <w:sz w:val="20"/>
          <w:szCs w:val="20"/>
          <w:color w:val="auto"/>
        </w:rPr>
      </w:pPr>
    </w:p>
    <w:p>
      <w:pPr>
        <w:jc w:val="both"/>
        <w:ind w:firstLine="362"/>
        <w:spacing w:after="0" w:line="277" w:lineRule="auto"/>
        <w:rPr>
          <w:sz w:val="20"/>
          <w:szCs w:val="20"/>
          <w:color w:val="auto"/>
        </w:rPr>
      </w:pPr>
      <w:r>
        <w:rPr>
          <w:rFonts w:ascii="Arial" w:cs="Arial" w:eastAsia="Arial" w:hAnsi="Arial"/>
          <w:sz w:val="18"/>
          <w:szCs w:val="18"/>
          <w:b w:val="1"/>
          <w:bCs w:val="1"/>
          <w:i w:val="1"/>
          <w:iCs w:val="1"/>
          <w:color w:val="auto"/>
        </w:rPr>
        <w:t xml:space="preserve">Class A Ordinary Shares </w:t>
      </w:r>
      <w:r>
        <w:rPr>
          <w:rFonts w:ascii="Arial" w:cs="Arial" w:eastAsia="Arial" w:hAnsi="Arial"/>
          <w:sz w:val="18"/>
          <w:szCs w:val="18"/>
          <w:color w:val="auto"/>
        </w:rPr>
        <w:t>— The Company is authorized to issue 200,000,000 Class A ordinary shares with a par value of $0.0001 per share. 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December 31, 2020, there were no Class A ordinary shares issued or outstanding.</w:t>
      </w:r>
    </w:p>
    <w:p>
      <w:pPr>
        <w:spacing w:after="0" w:line="170" w:lineRule="exact"/>
        <w:rPr>
          <w:sz w:val="20"/>
          <w:szCs w:val="20"/>
          <w:color w:val="auto"/>
        </w:rPr>
      </w:pPr>
    </w:p>
    <w:p>
      <w:pPr>
        <w:jc w:val="both"/>
        <w:ind w:firstLine="362"/>
        <w:spacing w:after="0" w:line="257" w:lineRule="auto"/>
        <w:rPr>
          <w:sz w:val="20"/>
          <w:szCs w:val="20"/>
          <w:color w:val="auto"/>
        </w:rPr>
      </w:pPr>
      <w:r>
        <w:rPr>
          <w:rFonts w:ascii="Arial" w:cs="Arial" w:eastAsia="Arial" w:hAnsi="Arial"/>
          <w:sz w:val="18"/>
          <w:szCs w:val="18"/>
          <w:b w:val="1"/>
          <w:bCs w:val="1"/>
          <w:i w:val="1"/>
          <w:iCs w:val="1"/>
          <w:color w:val="auto"/>
        </w:rPr>
        <w:t xml:space="preserve">Class B Ordinary Shares </w:t>
      </w:r>
      <w:r>
        <w:rPr>
          <w:rFonts w:ascii="Arial" w:cs="Arial" w:eastAsia="Arial" w:hAnsi="Arial"/>
          <w:sz w:val="18"/>
          <w:szCs w:val="18"/>
          <w:color w:val="auto"/>
        </w:rPr>
        <w:t>— The Company is authorized to issue 20,000,000 Class B ordinary shares with a par value of $0.0001 per share. Holders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are entitled to one vote for each Class B ordinary share. At December 31, 2020, there were 7,187,500 Class B ordinary shares issued and outstanding. Of the 7,187,500 Class B ordinary shares, an aggregate of up to 937,500 shares are subject to forfeiture to the Company for no consideration to the extent that the underwriters’ over-allotment option is not exercised in full or in part, so that the initial shareholders will collectively own 20% of the Company’s issued and outstanding ordinary shares after the Proposed Public Offering.</w:t>
      </w:r>
    </w:p>
    <w:p>
      <w:pPr>
        <w:spacing w:after="0" w:line="188" w:lineRule="exact"/>
        <w:rPr>
          <w:sz w:val="20"/>
          <w:szCs w:val="20"/>
          <w:color w:val="auto"/>
        </w:rPr>
      </w:pPr>
    </w:p>
    <w:p>
      <w:pPr>
        <w:jc w:val="both"/>
        <w:ind w:firstLine="360"/>
        <w:spacing w:after="0" w:line="255" w:lineRule="auto"/>
        <w:rPr>
          <w:sz w:val="20"/>
          <w:szCs w:val="20"/>
          <w:color w:val="auto"/>
        </w:rPr>
      </w:pPr>
      <w:r>
        <w:rPr>
          <w:rFonts w:ascii="Arial" w:cs="Arial" w:eastAsia="Arial" w:hAnsi="Arial"/>
          <w:sz w:val="18"/>
          <w:szCs w:val="18"/>
          <w:color w:val="auto"/>
        </w:rPr>
        <w:t>Holders of the Class A ordinary shares and holders of the Class B ordinary shares will vote together as a single class on all matters submitted to a vote of the Company’s shareholders, except as required by law; provided that only holders of Class B ordinary shares will have the right to appoint and remove directors in any general meeting held prior to or in connection with the completion of an initial Business Combination. Unless specified in the Company’s amended and restated memorandum and articles of association, or as required by applicable provisions of the Companies Act or applicable stock exchange rules, the affirmative vote of a majority of the Company’s ordinary shares that are voted is required to approve any such matter voted on by its shareholders.</w:t>
      </w:r>
    </w:p>
    <w:p>
      <w:pPr>
        <w:spacing w:after="0" w:line="192" w:lineRule="exact"/>
        <w:rPr>
          <w:sz w:val="20"/>
          <w:szCs w:val="20"/>
          <w:color w:val="auto"/>
        </w:rPr>
      </w:pPr>
    </w:p>
    <w:p>
      <w:pPr>
        <w:jc w:val="both"/>
        <w:ind w:firstLine="360"/>
        <w:spacing w:after="0" w:line="269" w:lineRule="auto"/>
        <w:rPr>
          <w:sz w:val="20"/>
          <w:szCs w:val="20"/>
          <w:color w:val="auto"/>
        </w:rPr>
      </w:pPr>
      <w:r>
        <w:rPr>
          <w:rFonts w:ascii="Arial" w:cs="Arial" w:eastAsia="Arial" w:hAnsi="Arial"/>
          <w:sz w:val="17"/>
          <w:szCs w:val="17"/>
          <w:color w:val="auto"/>
        </w:rPr>
        <w:t>The Class B ordinary shares will automatically convert into Class A ordinary shares concurrently with or immediately following the consummation of the initial Business Combination on a one-for-one basis, subject to adjustment for share sub-divisions, share capitalizations, reorganizations, recapitalizations and the like, and subject to further adjustment as provided herein. In the case that additional Class A ordinary shares or equity-linked securities are issued or deemed issued in connection with the initial Business Combination, the number of Class A ordinary shares issuable upon conversion of all Founder Shares will equal, in the aggregate, 20% of the total number of Class A ordinary shares outstanding after such conversion (after giving effect to any redemptions of Class A ordinary shares by Public Shareholders), including the total number of Class A ordinary shares issued, or deemed issued or issuable upon conversion or exercise of any equity-linked securities or rights issued or deemed issued, by the Company in connection with or in relation to the consummation of the initial Business Combination, excluding any Class A ordinary shares or equity-linked securities exercisable for or convertible into Class A ordinary shares issued, or to be issued, to any seller in the initial Business Combination and any Private Placement Warrants issued to the Sponsor, officers or directors upon conversion of Working Capital Loans; provided that such conversion of Founder Shares will never occur on a less than one-for-one basis.</w:t>
      </w:r>
    </w:p>
    <w:p>
      <w:pPr>
        <w:spacing w:after="0" w:line="182" w:lineRule="exact"/>
        <w:rPr>
          <w:sz w:val="20"/>
          <w:szCs w:val="20"/>
          <w:color w:val="auto"/>
        </w:rPr>
      </w:pPr>
    </w:p>
    <w:p>
      <w:pPr>
        <w:jc w:val="both"/>
        <w:ind w:firstLine="362"/>
        <w:spacing w:after="0" w:line="293" w:lineRule="auto"/>
        <w:rPr>
          <w:sz w:val="20"/>
          <w:szCs w:val="20"/>
          <w:color w:val="auto"/>
        </w:rPr>
      </w:pPr>
      <w:r>
        <w:rPr>
          <w:rFonts w:ascii="Arial" w:cs="Arial" w:eastAsia="Arial" w:hAnsi="Arial"/>
          <w:sz w:val="16"/>
          <w:szCs w:val="16"/>
          <w:b w:val="1"/>
          <w:bCs w:val="1"/>
          <w:i w:val="1"/>
          <w:iCs w:val="1"/>
          <w:color w:val="auto"/>
        </w:rPr>
        <w:t xml:space="preserve">Warrants </w:t>
      </w:r>
      <w:r>
        <w:rPr>
          <w:rFonts w:ascii="Arial" w:cs="Arial" w:eastAsia="Arial" w:hAnsi="Arial"/>
          <w:sz w:val="16"/>
          <w:szCs w:val="16"/>
          <w:color w:val="auto"/>
        </w:rPr>
        <w:t>— No warrants are currently outstanding. The Public Warrants will become exercisable at $11.50 per share on the later of one year from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closing of the Proposed Public Offering and 30 days after the completion of the initial Business Combination; provided in each case that the Company has an effective registration statement under the Securities Act covering the Class A ordinary shares issuable upon exercise of the warrants and a current prospectus relating to them is available (or the Company permits holders to exercise their warrants on a cashless basis under the circumstances specified in the warrant agreement) and such shares are registered, qualified or exempt from registration under the securities, or blue sky, laws of the state of residence of the holder. The warrants will expire five years after the completion of a Business Combination or earlier upon redemption or liquidation.</w:t>
      </w:r>
    </w:p>
    <w:p>
      <w:pPr>
        <w:spacing w:after="0" w:line="164" w:lineRule="exact"/>
        <w:rPr>
          <w:sz w:val="20"/>
          <w:szCs w:val="20"/>
          <w:color w:val="auto"/>
        </w:rPr>
      </w:pPr>
    </w:p>
    <w:p>
      <w:pPr>
        <w:jc w:val="both"/>
        <w:ind w:firstLine="360"/>
        <w:spacing w:after="0" w:line="268" w:lineRule="auto"/>
        <w:rPr>
          <w:sz w:val="20"/>
          <w:szCs w:val="20"/>
          <w:color w:val="auto"/>
        </w:rPr>
      </w:pPr>
      <w:r>
        <w:rPr>
          <w:rFonts w:ascii="Arial" w:cs="Arial" w:eastAsia="Arial" w:hAnsi="Arial"/>
          <w:sz w:val="17"/>
          <w:szCs w:val="17"/>
          <w:color w:val="auto"/>
        </w:rPr>
        <w:t>The Company has agreed that as soon as practicable, but in no event later than 15 business days after the closing of the initial Business Combination, it will use commercially reasonable efforts to file with the SEC a registration statement for the registration, under the Securities Act, of the Class A ordinary shares issuable upon exercise of the warrants. The Company will use its commercially reasonable efforts to cause the same to become effective and to maintain the effectiveness of such registration statement, and a current prospectus relating thereto, until the expiration or redemption of the warrants in accordance with the provisions of the warrant agreement. If a registration statement covering the Class A ordinary shares issuable upon exercise of the warrants is not effective by the 60th day after the closing of the initial Business Combination, warrant holders may, until such time as there is an effective registration statement and during any period when the Company will have failed to maintain an effective registration statement, exercise warrants on a “cashless basis” in accordance with Section 3(a)(9) of the Securities Act or another exemption. Notwithstanding the above, if the Company’s Class A ordinary shares are at the time of any exercise of a warrant not listed on a national securities exchange such that they satisfy the definition of a “covered security” under Section 18(b)(1) of the Securities Act, the Company may, at its option, require holders of public warrants who exercise their warrants to do so on a “cashless basis” in accordance with Section 3(a)(9) of the Securities Act and, in the event the Company so elects, it will not be required to file or maintain in effect a registration statement, and in the event the Company does not so elect, it will use its commercially reasonable efforts to register or qualify the shares under applicable blue sky laws to the extent an exemption is not available. In such event, each holder would pay the exercise price by surrendering each such warrant for that number of Class A</w:t>
      </w:r>
    </w:p>
    <w:p>
      <w:pPr>
        <w:spacing w:after="0" w:line="29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34" w:right="339" w:bottom="1440" w:gutter="0" w:footer="0" w:header="0"/>
        </w:sectPr>
      </w:pPr>
    </w:p>
    <w:bookmarkStart w:id="182" w:name="page183"/>
    <w:bookmarkEnd w:id="182"/>
    <w:p>
      <w:pPr>
        <w:spacing w:after="0"/>
        <w:rPr>
          <w:rFonts w:ascii="Arial" w:cs="Arial" w:eastAsia="Arial" w:hAnsi="Arial"/>
          <w:sz w:val="16"/>
          <w:szCs w:val="16"/>
          <w:b w:val="1"/>
          <w:bCs w:val="1"/>
          <w:u w:val="single" w:color="auto"/>
          <w:color w:val="0000EE"/>
        </w:rPr>
      </w:pPr>
      <w:hyperlink w:anchor="page5">
        <w:r>
          <w:rPr>
            <w:rFonts w:ascii="Arial" w:cs="Arial" w:eastAsia="Arial" w:hAnsi="Arial"/>
            <w:sz w:val="16"/>
            <w:szCs w:val="16"/>
            <w:b w:val="1"/>
            <w:bCs w:val="1"/>
            <w:u w:val="single" w:color="auto"/>
            <w:color w:val="0000EE"/>
          </w:rPr>
          <w:t>Table of Contents</w:t>
        </w:r>
      </w:hyperlink>
    </w:p>
    <w:p>
      <w:pPr>
        <w:spacing w:after="0" w:line="126" w:lineRule="exact"/>
        <w:rPr>
          <w:sz w:val="20"/>
          <w:szCs w:val="20"/>
          <w:color w:val="auto"/>
        </w:rPr>
      </w:pPr>
    </w:p>
    <w:p>
      <w:pPr>
        <w:ind w:right="300"/>
        <w:spacing w:after="0" w:line="279" w:lineRule="auto"/>
        <w:rPr>
          <w:sz w:val="20"/>
          <w:szCs w:val="20"/>
          <w:color w:val="auto"/>
        </w:rPr>
      </w:pPr>
      <w:r>
        <w:rPr>
          <w:rFonts w:ascii="Arial" w:cs="Arial" w:eastAsia="Arial" w:hAnsi="Arial"/>
          <w:sz w:val="17"/>
          <w:szCs w:val="17"/>
          <w:color w:val="auto"/>
        </w:rPr>
        <w:t>ordinary shares equal to the lesser of (A) the quotient obtained by dividing (x) the product of the number of Class A ordinary shares underlying the warrants, multiplied by the excess of the “fair market value” (defined below) less the exercise price of the warrants by (y) the fair market value and (B) 0.361. The “fair market value” as used in this paragraph shall mean the volume weighted average price of the Class A ordinary shares for the 10 trading days ending on the trading day prior to the date on which the notice of exercise is received by the warrant agent.</w:t>
      </w:r>
    </w:p>
    <w:p>
      <w:pPr>
        <w:spacing w:after="0" w:line="171" w:lineRule="exact"/>
        <w:rPr>
          <w:sz w:val="20"/>
          <w:szCs w:val="20"/>
          <w:color w:val="auto"/>
        </w:rPr>
      </w:pPr>
    </w:p>
    <w:p>
      <w:pPr>
        <w:jc w:val="both"/>
        <w:ind w:firstLine="360"/>
        <w:spacing w:after="0" w:line="263" w:lineRule="auto"/>
        <w:rPr>
          <w:sz w:val="20"/>
          <w:szCs w:val="20"/>
          <w:color w:val="auto"/>
        </w:rPr>
      </w:pPr>
      <w:r>
        <w:rPr>
          <w:rFonts w:ascii="Arial" w:cs="Arial" w:eastAsia="Arial" w:hAnsi="Arial"/>
          <w:sz w:val="18"/>
          <w:szCs w:val="18"/>
          <w:color w:val="auto"/>
        </w:rPr>
        <w:t>In no event will the Company be required to net cash settle any warrant. In the event that a registration statement is not effective for the exercised warrants, the purchaser of a unit containing such warrant will have paid the full purchase price for the unit solely for the Class A ordinary share underlying such unit.</w:t>
      </w:r>
    </w:p>
    <w:p>
      <w:pPr>
        <w:spacing w:after="0" w:line="184" w:lineRule="exact"/>
        <w:rPr>
          <w:sz w:val="20"/>
          <w:szCs w:val="20"/>
          <w:color w:val="auto"/>
        </w:rPr>
      </w:pPr>
    </w:p>
    <w:p>
      <w:pPr>
        <w:jc w:val="both"/>
        <w:ind w:firstLine="360"/>
        <w:spacing w:after="0" w:line="268" w:lineRule="auto"/>
        <w:rPr>
          <w:sz w:val="20"/>
          <w:szCs w:val="20"/>
          <w:color w:val="auto"/>
        </w:rPr>
      </w:pPr>
      <w:r>
        <w:rPr>
          <w:rFonts w:ascii="Arial" w:cs="Arial" w:eastAsia="Arial" w:hAnsi="Arial"/>
          <w:sz w:val="17"/>
          <w:szCs w:val="17"/>
          <w:color w:val="auto"/>
        </w:rPr>
        <w:t>The exercise price and number of shares issuable upon exercise of the warrants may be adjusted in certain circumstances including in the event of a share dividend or recapitalization, reorganization, merger or consolidation. In addition, if (x) the Company issues additional Class A ordinary shares or equity-linked securities for capital raising purposes in connection with the closing of the initial Business Combination at an issue price or effective issue price of less than $9.20 per Class A ordinary share (with such issue price or effective issue price to be determined in good faith by the Company’s board of directors and in the case of any such issuance to the Company’s Sponsors or their affiliates, without taking into account any Founder Shares held by the Company’s initial shareholders or such affiliates, as applicable, prior to such issuance (the “Newly Issued Price”), (y) the aggregate gross proceeds from such issuances represent more than 60% of the total equity proceeds, and interest thereon, available for the funding of the initial Business Combination on the date of the completion of the initial Business Combination (net of redemptions), and (z) the volume-weighted average trading price of the Company’s Class A ordinary shares during the 20 trading day period starting on the trading day prior to the day on which the Company consummates its initial Business Combination (such price, the “Market Value”) is below $9.20 per share, then the exercise price of the warrants will be adjusted (to the nearest cent) to be equal to 115% of the higher of the Market Value and the Newly Issued Price, and the $10.00 and $18.00 per share redemption trigger prices described below under “Redemption of warrants when the price per Class A ordinary share equals or exceeds $10.00” and “Redemption of warrants when the price per Class A ordinary share equals or exceeds $18.00” will be adjusted (to the nearest cent) to be equal to 100% and 180% of the higher of the Market Value and the Newly Issued Price,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Redemption of Warrants When the Price per Class A Ordinary Share Equals or Exceeds $18.00</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Once the warrants become exercisable, the Company may redeem the outstanding warrants (except with respect to the Private Placement Warrants):</w:t>
      </w:r>
    </w:p>
    <w:p>
      <w:pPr>
        <w:spacing w:after="0" w:line="145" w:lineRule="exact"/>
        <w:rPr>
          <w:sz w:val="20"/>
          <w:szCs w:val="20"/>
          <w:color w:val="auto"/>
        </w:rPr>
      </w:pPr>
    </w:p>
    <w:p>
      <w:pPr>
        <w:ind w:left="1140" w:hanging="376"/>
        <w:spacing w:after="0"/>
        <w:tabs>
          <w:tab w:leader="none" w:pos="1140" w:val="left"/>
        </w:tabs>
        <w:numPr>
          <w:ilvl w:val="0"/>
          <w:numId w:val="83"/>
        </w:numPr>
        <w:rPr>
          <w:rFonts w:ascii="Arial" w:cs="Arial" w:eastAsia="Arial" w:hAnsi="Arial"/>
          <w:sz w:val="29"/>
          <w:szCs w:val="29"/>
          <w:color w:val="auto"/>
          <w:vertAlign w:val="superscript"/>
        </w:rPr>
      </w:pPr>
      <w:r>
        <w:rPr>
          <w:rFonts w:ascii="Arial" w:cs="Arial" w:eastAsia="Arial" w:hAnsi="Arial"/>
          <w:sz w:val="18"/>
          <w:szCs w:val="18"/>
          <w:color w:val="auto"/>
        </w:rPr>
        <w:t>in whole and not in part;</w:t>
      </w:r>
    </w:p>
    <w:p>
      <w:pPr>
        <w:spacing w:after="0" w:line="139" w:lineRule="exact"/>
        <w:rPr>
          <w:rFonts w:ascii="Arial" w:cs="Arial" w:eastAsia="Arial" w:hAnsi="Arial"/>
          <w:sz w:val="29"/>
          <w:szCs w:val="29"/>
          <w:color w:val="auto"/>
          <w:vertAlign w:val="superscript"/>
        </w:rPr>
      </w:pPr>
    </w:p>
    <w:p>
      <w:pPr>
        <w:ind w:left="1140" w:hanging="376"/>
        <w:spacing w:after="0" w:line="210" w:lineRule="auto"/>
        <w:tabs>
          <w:tab w:leader="none" w:pos="1140" w:val="left"/>
        </w:tabs>
        <w:numPr>
          <w:ilvl w:val="0"/>
          <w:numId w:val="83"/>
        </w:numPr>
        <w:rPr>
          <w:rFonts w:ascii="Arial" w:cs="Arial" w:eastAsia="Arial" w:hAnsi="Arial"/>
          <w:sz w:val="29"/>
          <w:szCs w:val="29"/>
          <w:color w:val="auto"/>
          <w:vertAlign w:val="superscript"/>
        </w:rPr>
      </w:pPr>
      <w:r>
        <w:rPr>
          <w:rFonts w:ascii="Arial" w:cs="Arial" w:eastAsia="Arial" w:hAnsi="Arial"/>
          <w:sz w:val="18"/>
          <w:szCs w:val="18"/>
          <w:color w:val="auto"/>
        </w:rPr>
        <w:t>at a price of $0.01 per warrant;</w:t>
      </w:r>
    </w:p>
    <w:p>
      <w:pPr>
        <w:spacing w:after="0" w:line="140" w:lineRule="exact"/>
        <w:rPr>
          <w:rFonts w:ascii="Arial" w:cs="Arial" w:eastAsia="Arial" w:hAnsi="Arial"/>
          <w:sz w:val="29"/>
          <w:szCs w:val="29"/>
          <w:color w:val="auto"/>
          <w:vertAlign w:val="superscript"/>
        </w:rPr>
      </w:pPr>
    </w:p>
    <w:p>
      <w:pPr>
        <w:ind w:left="1140" w:hanging="376"/>
        <w:spacing w:after="0" w:line="210" w:lineRule="auto"/>
        <w:tabs>
          <w:tab w:leader="none" w:pos="1140" w:val="left"/>
        </w:tabs>
        <w:numPr>
          <w:ilvl w:val="0"/>
          <w:numId w:val="83"/>
        </w:numPr>
        <w:rPr>
          <w:rFonts w:ascii="Arial" w:cs="Arial" w:eastAsia="Arial" w:hAnsi="Arial"/>
          <w:sz w:val="29"/>
          <w:szCs w:val="29"/>
          <w:color w:val="auto"/>
          <w:vertAlign w:val="superscript"/>
        </w:rPr>
      </w:pPr>
      <w:r>
        <w:rPr>
          <w:rFonts w:ascii="Arial" w:cs="Arial" w:eastAsia="Arial" w:hAnsi="Arial"/>
          <w:sz w:val="18"/>
          <w:szCs w:val="18"/>
          <w:color w:val="auto"/>
        </w:rPr>
        <w:t>upon not less than 30 days’ prior written notice of redemption (the “30-day redemption period”) to each warrant holder; and</w:t>
      </w:r>
    </w:p>
    <w:p>
      <w:pPr>
        <w:spacing w:after="0" w:line="202" w:lineRule="exact"/>
        <w:rPr>
          <w:rFonts w:ascii="Arial" w:cs="Arial" w:eastAsia="Arial" w:hAnsi="Arial"/>
          <w:sz w:val="29"/>
          <w:szCs w:val="29"/>
          <w:color w:val="auto"/>
          <w:vertAlign w:val="superscript"/>
        </w:rPr>
      </w:pPr>
    </w:p>
    <w:p>
      <w:pPr>
        <w:jc w:val="both"/>
        <w:ind w:left="1140" w:hanging="376"/>
        <w:spacing w:after="0" w:line="222" w:lineRule="auto"/>
        <w:tabs>
          <w:tab w:leader="none" w:pos="1140" w:val="left"/>
        </w:tabs>
        <w:numPr>
          <w:ilvl w:val="0"/>
          <w:numId w:val="83"/>
        </w:numPr>
        <w:rPr>
          <w:rFonts w:ascii="Arial" w:cs="Arial" w:eastAsia="Arial" w:hAnsi="Arial"/>
          <w:sz w:val="28"/>
          <w:szCs w:val="28"/>
          <w:color w:val="auto"/>
          <w:vertAlign w:val="superscript"/>
        </w:rPr>
      </w:pPr>
      <w:r>
        <w:rPr>
          <w:rFonts w:ascii="Arial" w:cs="Arial" w:eastAsia="Arial" w:hAnsi="Arial"/>
          <w:sz w:val="17"/>
          <w:szCs w:val="17"/>
          <w:color w:val="auto"/>
        </w:rPr>
        <w:t>if, and only if, the last reported sale price of the Class A ordinary shares for any 20 trading days within a 30-trading day period ending three business days before the Company sends to the notice of redemption to the warrant holders (the “Reference Value”) equals or exceeds $18.00 per share (as adjusted for share sub-divisions, share capitalizations, reorganizations, recapitalizations and the like).</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Redemption of Warrants When the Price per Class A Ordinary Share Equals or Exceeds $10.00</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Once the warrants become exercisable, the Company may redeem the outstanding warrants:</w:t>
      </w:r>
    </w:p>
    <w:p>
      <w:pPr>
        <w:spacing w:after="0" w:line="122" w:lineRule="exact"/>
        <w:rPr>
          <w:sz w:val="20"/>
          <w:szCs w:val="20"/>
          <w:color w:val="auto"/>
        </w:rPr>
      </w:pPr>
    </w:p>
    <w:p>
      <w:pPr>
        <w:ind w:left="1140" w:hanging="376"/>
        <w:spacing w:after="0"/>
        <w:tabs>
          <w:tab w:leader="none" w:pos="1140" w:val="left"/>
        </w:tabs>
        <w:numPr>
          <w:ilvl w:val="0"/>
          <w:numId w:val="84"/>
        </w:numPr>
        <w:rPr>
          <w:rFonts w:ascii="Arial" w:cs="Arial" w:eastAsia="Arial" w:hAnsi="Arial"/>
          <w:sz w:val="29"/>
          <w:szCs w:val="29"/>
          <w:color w:val="auto"/>
          <w:vertAlign w:val="superscript"/>
        </w:rPr>
      </w:pPr>
      <w:r>
        <w:rPr>
          <w:rFonts w:ascii="Arial" w:cs="Arial" w:eastAsia="Arial" w:hAnsi="Arial"/>
          <w:sz w:val="18"/>
          <w:szCs w:val="18"/>
          <w:color w:val="auto"/>
        </w:rPr>
        <w:t>in whole and not in part;</w:t>
      </w:r>
    </w:p>
    <w:p>
      <w:pPr>
        <w:spacing w:after="0" w:line="201" w:lineRule="exact"/>
        <w:rPr>
          <w:rFonts w:ascii="Arial" w:cs="Arial" w:eastAsia="Arial" w:hAnsi="Arial"/>
          <w:sz w:val="29"/>
          <w:szCs w:val="29"/>
          <w:color w:val="auto"/>
          <w:vertAlign w:val="superscript"/>
        </w:rPr>
      </w:pPr>
    </w:p>
    <w:p>
      <w:pPr>
        <w:jc w:val="both"/>
        <w:ind w:left="1140" w:hanging="376"/>
        <w:spacing w:after="0" w:line="212" w:lineRule="auto"/>
        <w:tabs>
          <w:tab w:leader="none" w:pos="1140" w:val="left"/>
        </w:tabs>
        <w:numPr>
          <w:ilvl w:val="0"/>
          <w:numId w:val="84"/>
        </w:numPr>
        <w:rPr>
          <w:rFonts w:ascii="Arial" w:cs="Arial" w:eastAsia="Arial" w:hAnsi="Arial"/>
          <w:sz w:val="29"/>
          <w:szCs w:val="29"/>
          <w:color w:val="auto"/>
          <w:vertAlign w:val="superscript"/>
        </w:rPr>
      </w:pPr>
      <w:r>
        <w:rPr>
          <w:rFonts w:ascii="Arial" w:cs="Arial" w:eastAsia="Arial" w:hAnsi="Arial"/>
          <w:sz w:val="18"/>
          <w:szCs w:val="18"/>
          <w:color w:val="auto"/>
        </w:rPr>
        <w:t>at $0.10 per warrant upon a minimum of 30 days’ prior written notice of redemption provided that holders will be able to exercise their warrants on a cashless basis prior to redemption and receive that number of shares determined by reference to an agreed table based on the redemption date and the “fair market value” of the Class A ordinary shares;</w:t>
      </w:r>
    </w:p>
    <w:p>
      <w:pPr>
        <w:spacing w:after="0" w:line="203" w:lineRule="exact"/>
        <w:rPr>
          <w:rFonts w:ascii="Arial" w:cs="Arial" w:eastAsia="Arial" w:hAnsi="Arial"/>
          <w:sz w:val="29"/>
          <w:szCs w:val="29"/>
          <w:color w:val="auto"/>
          <w:vertAlign w:val="superscript"/>
        </w:rPr>
      </w:pPr>
    </w:p>
    <w:p>
      <w:pPr>
        <w:ind w:left="1140" w:hanging="376"/>
        <w:spacing w:after="0" w:line="198" w:lineRule="auto"/>
        <w:tabs>
          <w:tab w:leader="none" w:pos="1140" w:val="left"/>
        </w:tabs>
        <w:numPr>
          <w:ilvl w:val="0"/>
          <w:numId w:val="84"/>
        </w:numPr>
        <w:rPr>
          <w:rFonts w:ascii="Arial" w:cs="Arial" w:eastAsia="Arial" w:hAnsi="Arial"/>
          <w:sz w:val="29"/>
          <w:szCs w:val="29"/>
          <w:color w:val="auto"/>
          <w:vertAlign w:val="superscript"/>
        </w:rPr>
      </w:pPr>
      <w:r>
        <w:rPr>
          <w:rFonts w:ascii="Arial" w:cs="Arial" w:eastAsia="Arial" w:hAnsi="Arial"/>
          <w:sz w:val="18"/>
          <w:szCs w:val="18"/>
          <w:color w:val="auto"/>
        </w:rPr>
        <w:t>if, and only if, the Reference Value equals or exceeds $10.00 per share (as adjusted for share sub-divisions, share capitalizations, reorganizations, recapitalizations and the like); and</w:t>
      </w:r>
    </w:p>
    <w:p>
      <w:pPr>
        <w:spacing w:after="0" w:line="31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34" w:right="339" w:bottom="1440" w:gutter="0" w:footer="0" w:header="0"/>
        </w:sectPr>
      </w:pPr>
    </w:p>
    <w:bookmarkStart w:id="183" w:name="page184"/>
    <w:bookmarkEnd w:id="183"/>
    <w:p>
      <w:pPr>
        <w:spacing w:after="0"/>
        <w:rPr>
          <w:rFonts w:ascii="Arial" w:cs="Arial" w:eastAsia="Arial" w:hAnsi="Arial"/>
          <w:sz w:val="16"/>
          <w:szCs w:val="16"/>
          <w:b w:val="1"/>
          <w:bCs w:val="1"/>
          <w:u w:val="single" w:color="auto"/>
          <w:color w:val="0000EE"/>
        </w:rPr>
      </w:pPr>
      <w:hyperlink w:anchor="page5">
        <w:r>
          <w:rPr>
            <w:rFonts w:ascii="Arial" w:cs="Arial" w:eastAsia="Arial" w:hAnsi="Arial"/>
            <w:sz w:val="16"/>
            <w:szCs w:val="16"/>
            <w:b w:val="1"/>
            <w:bCs w:val="1"/>
            <w:u w:val="single" w:color="auto"/>
            <w:color w:val="0000EE"/>
          </w:rPr>
          <w:t>Table of Contents</w:t>
        </w:r>
      </w:hyperlink>
    </w:p>
    <w:p>
      <w:pPr>
        <w:spacing w:after="0" w:line="126" w:lineRule="exact"/>
        <w:rPr>
          <w:sz w:val="20"/>
          <w:szCs w:val="20"/>
          <w:color w:val="auto"/>
        </w:rPr>
      </w:pPr>
    </w:p>
    <w:p>
      <w:pPr>
        <w:jc w:val="both"/>
        <w:ind w:left="1140" w:hanging="376"/>
        <w:spacing w:after="0" w:line="212" w:lineRule="auto"/>
        <w:tabs>
          <w:tab w:leader="none" w:pos="1140" w:val="left"/>
        </w:tabs>
        <w:numPr>
          <w:ilvl w:val="0"/>
          <w:numId w:val="85"/>
        </w:numPr>
        <w:rPr>
          <w:rFonts w:ascii="Arial" w:cs="Arial" w:eastAsia="Arial" w:hAnsi="Arial"/>
          <w:sz w:val="29"/>
          <w:szCs w:val="29"/>
          <w:color w:val="auto"/>
          <w:vertAlign w:val="superscript"/>
        </w:rPr>
      </w:pPr>
      <w:r>
        <w:rPr>
          <w:rFonts w:ascii="Arial" w:cs="Arial" w:eastAsia="Arial" w:hAnsi="Arial"/>
          <w:sz w:val="18"/>
          <w:szCs w:val="18"/>
          <w:color w:val="auto"/>
        </w:rPr>
        <w:t>if the Reference Value is less than $18.00 per share (as adjusted for share sub-divisions, share capitalizations, reorganizations, recapitalizations and the like) the Private Placement Warrants must also be concurrently called for redemption on the same terms as the outstanding public warrants, as described above.</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SUBSEQUENT EVENTS</w:t>
      </w:r>
    </w:p>
    <w:p>
      <w:pPr>
        <w:spacing w:after="0" w:line="229" w:lineRule="exact"/>
        <w:rPr>
          <w:sz w:val="20"/>
          <w:szCs w:val="20"/>
          <w:color w:val="auto"/>
        </w:rPr>
      </w:pPr>
    </w:p>
    <w:p>
      <w:pPr>
        <w:ind w:right="460"/>
        <w:spacing w:after="0" w:line="263" w:lineRule="auto"/>
        <w:rPr>
          <w:sz w:val="20"/>
          <w:szCs w:val="20"/>
          <w:color w:val="auto"/>
        </w:rPr>
      </w:pPr>
      <w:r>
        <w:rPr>
          <w:rFonts w:ascii="Arial" w:cs="Arial" w:eastAsia="Arial" w:hAnsi="Arial"/>
          <w:sz w:val="18"/>
          <w:szCs w:val="18"/>
          <w:color w:val="auto"/>
        </w:rPr>
        <w:t>The Company evaluated subsequent events and transactions that occurred after the balance sheet date up to the date that the financial statements were issued. Based on this review, the Company did not identify any subsequent events that would have required adjustment or disclosure in the financial statements.</w:t>
      </w:r>
    </w:p>
    <w:p>
      <w:pPr>
        <w:spacing w:after="0" w:line="29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34" w:right="339" w:bottom="1440" w:gutter="0" w:footer="0" w:header="0"/>
        </w:sectPr>
      </w:pPr>
    </w:p>
    <w:bookmarkStart w:id="184" w:name="page185"/>
    <w:bookmarkEnd w:id="184"/>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103505</wp:posOffset>
            </wp:positionV>
            <wp:extent cx="7132320" cy="171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234"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99"/>
        <w:spacing w:after="0"/>
        <w:rPr>
          <w:sz w:val="20"/>
          <w:szCs w:val="20"/>
          <w:color w:val="auto"/>
        </w:rPr>
      </w:pPr>
      <w:r>
        <w:rPr>
          <w:rFonts w:ascii="Arial" w:cs="Arial" w:eastAsia="Arial" w:hAnsi="Arial"/>
          <w:sz w:val="25"/>
          <w:szCs w:val="25"/>
          <w:b w:val="1"/>
          <w:bCs w:val="1"/>
          <w:color w:val="auto"/>
        </w:rPr>
        <w:t>25,000,000 Units</w:t>
      </w:r>
    </w:p>
    <w:p>
      <w:pPr>
        <w:spacing w:after="0" w:line="307" w:lineRule="exact"/>
        <w:rPr>
          <w:sz w:val="20"/>
          <w:szCs w:val="20"/>
          <w:color w:val="auto"/>
        </w:rPr>
      </w:pPr>
    </w:p>
    <w:p>
      <w:pPr>
        <w:jc w:val="center"/>
        <w:ind w:right="-99"/>
        <w:spacing w:after="0"/>
        <w:rPr>
          <w:sz w:val="20"/>
          <w:szCs w:val="20"/>
          <w:color w:val="auto"/>
        </w:rPr>
      </w:pPr>
      <w:r>
        <w:rPr>
          <w:rFonts w:ascii="Arial" w:cs="Arial" w:eastAsia="Arial" w:hAnsi="Arial"/>
          <w:sz w:val="25"/>
          <w:szCs w:val="25"/>
          <w:b w:val="1"/>
          <w:bCs w:val="1"/>
          <w:color w:val="auto"/>
        </w:rPr>
        <w:t>Freedom Acquisition I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2148205</wp:posOffset>
            </wp:positionH>
            <wp:positionV relativeFrom="paragraph">
              <wp:posOffset>1160780</wp:posOffset>
            </wp:positionV>
            <wp:extent cx="284607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99"/>
        <w:spacing w:after="0"/>
        <w:rPr>
          <w:sz w:val="20"/>
          <w:szCs w:val="20"/>
          <w:color w:val="auto"/>
        </w:rPr>
      </w:pPr>
      <w:r>
        <w:rPr>
          <w:rFonts w:ascii="Arial" w:cs="Arial" w:eastAsia="Arial" w:hAnsi="Arial"/>
          <w:sz w:val="32"/>
          <w:szCs w:val="32"/>
          <w:b w:val="1"/>
          <w:bCs w:val="1"/>
          <w:color w:val="auto"/>
        </w:rPr>
        <w:t>PROSPECTUS</w:t>
      </w:r>
    </w:p>
    <w:p>
      <w:pPr>
        <w:spacing w:after="0" w:line="43" w:lineRule="exact"/>
        <w:rPr>
          <w:sz w:val="20"/>
          <w:szCs w:val="20"/>
          <w:color w:val="auto"/>
        </w:rPr>
      </w:pPr>
    </w:p>
    <w:p>
      <w:pPr>
        <w:ind w:left="5800"/>
        <w:spacing w:after="0"/>
        <w:rPr>
          <w:sz w:val="20"/>
          <w:szCs w:val="20"/>
          <w:color w:val="auto"/>
        </w:rPr>
      </w:pPr>
      <w:r>
        <w:rPr>
          <w:rFonts w:ascii="Arial" w:cs="Arial" w:eastAsia="Arial" w:hAnsi="Arial"/>
          <w:sz w:val="25"/>
          <w:szCs w:val="25"/>
          <w:b w:val="1"/>
          <w:bCs w:val="1"/>
          <w:color w:val="auto"/>
        </w:rPr>
        <w:t>,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2148205</wp:posOffset>
            </wp:positionH>
            <wp:positionV relativeFrom="paragraph">
              <wp:posOffset>148590</wp:posOffset>
            </wp:positionV>
            <wp:extent cx="284607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99"/>
        <w:spacing w:after="0"/>
        <w:rPr>
          <w:sz w:val="20"/>
          <w:szCs w:val="20"/>
          <w:color w:val="auto"/>
        </w:rPr>
      </w:pPr>
      <w:r>
        <w:rPr>
          <w:rFonts w:ascii="Arial" w:cs="Arial" w:eastAsia="Arial" w:hAnsi="Arial"/>
          <w:sz w:val="25"/>
          <w:szCs w:val="25"/>
          <w:b w:val="1"/>
          <w:bCs w:val="1"/>
          <w:color w:val="auto"/>
        </w:rPr>
        <w:t>J.P. Morgan</w:t>
      </w:r>
    </w:p>
    <w:p>
      <w:pPr>
        <w:spacing w:after="0" w:line="307" w:lineRule="exact"/>
        <w:rPr>
          <w:sz w:val="20"/>
          <w:szCs w:val="20"/>
          <w:color w:val="auto"/>
        </w:rPr>
      </w:pPr>
    </w:p>
    <w:p>
      <w:pPr>
        <w:jc w:val="center"/>
        <w:ind w:right="-99"/>
        <w:spacing w:after="0"/>
        <w:rPr>
          <w:sz w:val="20"/>
          <w:szCs w:val="20"/>
          <w:color w:val="auto"/>
        </w:rPr>
      </w:pPr>
      <w:r>
        <w:rPr>
          <w:rFonts w:ascii="Arial" w:cs="Arial" w:eastAsia="Arial" w:hAnsi="Arial"/>
          <w:sz w:val="20"/>
          <w:szCs w:val="20"/>
          <w:b w:val="1"/>
          <w:bCs w:val="1"/>
          <w:color w:val="auto"/>
        </w:rPr>
        <w:t>Deutsche Bank Securities</w:t>
      </w:r>
    </w:p>
    <w:p>
      <w:pPr>
        <w:spacing w:after="0" w:line="22" w:lineRule="exact"/>
        <w:rPr>
          <w:sz w:val="20"/>
          <w:szCs w:val="20"/>
          <w:color w:val="auto"/>
        </w:rPr>
      </w:pPr>
    </w:p>
    <w:p>
      <w:pPr>
        <w:jc w:val="center"/>
        <w:ind w:right="-99"/>
        <w:spacing w:after="0"/>
        <w:rPr>
          <w:sz w:val="20"/>
          <w:szCs w:val="20"/>
          <w:color w:val="auto"/>
        </w:rPr>
      </w:pPr>
      <w:r>
        <w:rPr>
          <w:rFonts w:ascii="Arial" w:cs="Arial" w:eastAsia="Arial" w:hAnsi="Arial"/>
          <w:sz w:val="20"/>
          <w:szCs w:val="20"/>
          <w:b w:val="1"/>
          <w:bCs w:val="1"/>
          <w:color w:val="auto"/>
        </w:rPr>
        <w:t>Morgan Stanley</w:t>
      </w:r>
    </w:p>
    <w:p>
      <w:pPr>
        <w:spacing w:after="0" w:line="200" w:lineRule="exact"/>
        <w:rPr>
          <w:sz w:val="20"/>
          <w:szCs w:val="20"/>
          <w:color w:val="auto"/>
        </w:rPr>
      </w:pPr>
    </w:p>
    <w:p>
      <w:pPr>
        <w:spacing w:after="0" w:line="313"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Until , 2021 (25 days after the date of this prospectus), all dealers that buy, sell or trade our units, public warrants or Class A ordinary shares, whether or not participating in this offering, may be required to deliver a prospectus. This is in addition to the dealers’ obligation to deliver a prospectus when acting as underwriters and with respect to their unsold allotments or subscriptions.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228600</wp:posOffset>
            </wp:positionV>
            <wp:extent cx="713232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60"/>
          </w:cols>
          <w:pgMar w:left="320" w:top="234" w:right="419" w:bottom="1440" w:gutter="0" w:footer="0" w:header="0"/>
          <w:type w:val="continuous"/>
        </w:sectPr>
      </w:pPr>
    </w:p>
    <w:bookmarkStart w:id="185" w:name="page186"/>
    <w:bookmarkEnd w:id="185"/>
    <w:p>
      <w:pPr>
        <w:spacing w:after="0"/>
        <w:rPr>
          <w:rFonts w:ascii="Arial" w:cs="Arial" w:eastAsia="Arial" w:hAnsi="Arial"/>
          <w:sz w:val="16"/>
          <w:szCs w:val="16"/>
          <w:b w:val="1"/>
          <w:bCs w:val="1"/>
          <w:u w:val="single" w:color="auto"/>
          <w:color w:val="0000EE"/>
        </w:rPr>
      </w:pPr>
      <w:hyperlink w:anchor="page5">
        <w:r>
          <w:rPr>
            <w:rFonts w:ascii="Arial" w:cs="Arial" w:eastAsia="Arial" w:hAnsi="Arial"/>
            <w:sz w:val="16"/>
            <w:szCs w:val="16"/>
            <w:b w:val="1"/>
            <w:bCs w:val="1"/>
            <w:u w:val="single" w:color="auto"/>
            <w:color w:val="0000EE"/>
          </w:rPr>
          <w:t>Table of Contents</w:t>
        </w:r>
      </w:hyperlink>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Other Expenses of Issuance and Distribution.</w:t>
      </w:r>
    </w:p>
    <w:p>
      <w:pPr>
        <w:spacing w:after="0" w:line="229"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The estimated expenses payable by us in connection with the offering described in this registration statement (other than the underwriting discount and commissions) will be as follows:</w:t>
      </w:r>
    </w:p>
    <w:p>
      <w:pPr>
        <w:sectPr>
          <w:pgSz w:w="11900" w:h="16838" w:orient="portrait"/>
          <w:cols w:equalWidth="0" w:num="1">
            <w:col w:w="11240"/>
          </w:cols>
          <w:pgMar w:left="320" w:top="234" w:right="339" w:bottom="1440" w:gutter="0" w:footer="0" w:header="0"/>
        </w:sectPr>
      </w:pP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SEC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FINRA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Accounting fees and expenses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Printing and engraving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Legal fees and expenses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NYSE listing and filing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Director &amp; Officers liability insurance premiums(1)</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Miscellaneous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6319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91440</wp:posOffset>
            </wp:positionV>
            <wp:extent cx="178308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ind w:left="740" w:hanging="737"/>
        <w:spacing w:after="0"/>
        <w:tabs>
          <w:tab w:leader="none" w:pos="740" w:val="left"/>
        </w:tabs>
        <w:numPr>
          <w:ilvl w:val="0"/>
          <w:numId w:val="86"/>
        </w:numPr>
        <w:rPr>
          <w:rFonts w:ascii="Arial" w:cs="Arial" w:eastAsia="Arial" w:hAnsi="Arial"/>
          <w:sz w:val="16"/>
          <w:szCs w:val="16"/>
          <w:color w:val="auto"/>
        </w:rPr>
      </w:pPr>
      <w:r>
        <w:rPr>
          <w:rFonts w:ascii="Arial" w:cs="Arial" w:eastAsia="Arial" w:hAnsi="Arial"/>
          <w:sz w:val="16"/>
          <w:szCs w:val="16"/>
          <w:color w:val="auto"/>
        </w:rPr>
        <w:t>31,366</w:t>
      </w:r>
    </w:p>
    <w:p>
      <w:pPr>
        <w:spacing w:after="0" w:line="46" w:lineRule="exact"/>
        <w:rPr>
          <w:rFonts w:ascii="Arial" w:cs="Arial" w:eastAsia="Arial" w:hAnsi="Arial"/>
          <w:sz w:val="16"/>
          <w:szCs w:val="16"/>
          <w:color w:val="auto"/>
        </w:rPr>
      </w:pPr>
    </w:p>
    <w:p>
      <w:pPr>
        <w:ind w:left="740"/>
        <w:spacing w:after="0"/>
        <w:rPr>
          <w:rFonts w:ascii="Arial" w:cs="Arial" w:eastAsia="Arial" w:hAnsi="Arial"/>
          <w:sz w:val="16"/>
          <w:szCs w:val="16"/>
          <w:color w:val="auto"/>
        </w:rPr>
      </w:pPr>
      <w:r>
        <w:rPr>
          <w:rFonts w:ascii="Arial" w:cs="Arial" w:eastAsia="Arial" w:hAnsi="Arial"/>
          <w:sz w:val="16"/>
          <w:szCs w:val="16"/>
          <w:color w:val="auto"/>
        </w:rPr>
        <w:t>43,625</w:t>
      </w:r>
    </w:p>
    <w:p>
      <w:pPr>
        <w:spacing w:after="0" w:line="32" w:lineRule="exact"/>
        <w:rPr>
          <w:rFonts w:ascii="Arial" w:cs="Arial" w:eastAsia="Arial" w:hAnsi="Arial"/>
          <w:sz w:val="16"/>
          <w:szCs w:val="16"/>
          <w:color w:val="auto"/>
        </w:rPr>
      </w:pPr>
    </w:p>
    <w:p>
      <w:pPr>
        <w:ind w:left="740"/>
        <w:spacing w:after="0"/>
        <w:rPr>
          <w:rFonts w:ascii="Arial" w:cs="Arial" w:eastAsia="Arial" w:hAnsi="Arial"/>
          <w:sz w:val="16"/>
          <w:szCs w:val="16"/>
          <w:color w:val="auto"/>
        </w:rPr>
      </w:pPr>
      <w:r>
        <w:rPr>
          <w:rFonts w:ascii="Arial" w:cs="Arial" w:eastAsia="Arial" w:hAnsi="Arial"/>
          <w:sz w:val="16"/>
          <w:szCs w:val="16"/>
          <w:color w:val="auto"/>
        </w:rPr>
        <w:t>44,500</w:t>
      </w:r>
    </w:p>
    <w:p>
      <w:pPr>
        <w:spacing w:after="0" w:line="32" w:lineRule="exact"/>
        <w:rPr>
          <w:rFonts w:ascii="Arial" w:cs="Arial" w:eastAsia="Arial" w:hAnsi="Arial"/>
          <w:sz w:val="16"/>
          <w:szCs w:val="16"/>
          <w:color w:val="auto"/>
        </w:rPr>
      </w:pPr>
    </w:p>
    <w:p>
      <w:pPr>
        <w:ind w:left="740"/>
        <w:spacing w:after="0"/>
        <w:rPr>
          <w:rFonts w:ascii="Arial" w:cs="Arial" w:eastAsia="Arial" w:hAnsi="Arial"/>
          <w:sz w:val="16"/>
          <w:szCs w:val="16"/>
          <w:color w:val="auto"/>
        </w:rPr>
      </w:pPr>
      <w:r>
        <w:rPr>
          <w:rFonts w:ascii="Arial" w:cs="Arial" w:eastAsia="Arial" w:hAnsi="Arial"/>
          <w:sz w:val="16"/>
          <w:szCs w:val="16"/>
          <w:color w:val="auto"/>
        </w:rPr>
        <w:t>30,000</w:t>
      </w:r>
    </w:p>
    <w:p>
      <w:pPr>
        <w:spacing w:after="0" w:line="32"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325,000</w:t>
      </w:r>
    </w:p>
    <w:p>
      <w:pPr>
        <w:spacing w:after="0" w:line="9"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85,000</w:t>
      </w:r>
    </w:p>
    <w:p>
      <w:pPr>
        <w:spacing w:after="0" w:line="9"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400,000</w:t>
      </w:r>
    </w:p>
    <w:p>
      <w:pPr>
        <w:spacing w:after="0" w:line="9"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40,509</w:t>
      </w:r>
    </w:p>
    <w:p>
      <w:pPr>
        <w:spacing w:after="0" w:line="31" w:lineRule="exact"/>
        <w:rPr>
          <w:sz w:val="20"/>
          <w:szCs w:val="20"/>
          <w:color w:val="auto"/>
        </w:rPr>
      </w:pPr>
    </w:p>
    <w:p>
      <w:pPr>
        <w:ind w:left="520" w:hanging="517"/>
        <w:spacing w:after="0"/>
        <w:tabs>
          <w:tab w:leader="none" w:pos="520" w:val="left"/>
        </w:tabs>
        <w:numPr>
          <w:ilvl w:val="0"/>
          <w:numId w:val="87"/>
        </w:numPr>
        <w:rPr>
          <w:rFonts w:ascii="Arial" w:cs="Arial" w:eastAsia="Arial" w:hAnsi="Arial"/>
          <w:sz w:val="16"/>
          <w:szCs w:val="16"/>
          <w:color w:val="auto"/>
        </w:rPr>
      </w:pPr>
      <w:r>
        <w:rPr>
          <w:rFonts w:ascii="Arial" w:cs="Arial" w:eastAsia="Arial" w:hAnsi="Arial"/>
          <w:sz w:val="16"/>
          <w:szCs w:val="16"/>
          <w:b w:val="1"/>
          <w:bCs w:val="1"/>
          <w:color w:val="auto"/>
        </w:rPr>
        <w:t>1,000,000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48895</wp:posOffset>
            </wp:positionV>
            <wp:extent cx="84836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84836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180" w:space="720"/>
            <w:col w:w="1340"/>
          </w:cols>
          <w:pgMar w:left="320" w:top="234" w:right="339" w:bottom="1440" w:gutter="0" w:footer="0" w:header="0"/>
          <w:type w:val="continuous"/>
        </w:sectPr>
      </w:pPr>
    </w:p>
    <w:p>
      <w:pPr>
        <w:spacing w:after="0" w:line="11" w:lineRule="exact"/>
        <w:rPr>
          <w:sz w:val="20"/>
          <w:szCs w:val="20"/>
          <w:color w:val="auto"/>
        </w:rPr>
      </w:pPr>
    </w:p>
    <w:p>
      <w:pPr>
        <w:ind w:left="340" w:right="100" w:hanging="332"/>
        <w:spacing w:after="0" w:line="277" w:lineRule="auto"/>
        <w:tabs>
          <w:tab w:leader="none" w:pos="3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This amount represents the approximate amount of annual director and officer liability insurance premiums the registrant anticipates paying following the completion of its initial public offering and until it completes an initial business combination.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Indemnification of Directors and Officers.</w:t>
      </w:r>
    </w:p>
    <w:p>
      <w:pPr>
        <w:spacing w:after="0" w:line="229"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Cayman Islands law does not limit the extent to which a company’s memorandum and articles of association may provide for indemnification of officers and directors, except to the extent any such provision may be held by the Cayman Islands courts to be contrary to public policy, such as to provide indemnification against willful default, willful neglect, civil fraud or the consequences of committing a crime. Our amended and restated memorandum and articles of association provide for indemnification of our officers and directors to the maximum extent permitted by law, including for any liability incurred in their capacities as such, except through their own actual fraud, willful default or willful neglect. We may purchase a policy of directors’ and officers’ liability insurance that insures our officers and directors against the cost of defense, settlement or payment of a judgment in some circumstances and insures us against our obligations to indemnify our officers and directors. We also intend to enter in indemnity agreements with them.</w:t>
      </w:r>
    </w:p>
    <w:p>
      <w:pPr>
        <w:spacing w:after="0" w:line="166"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Our officers and directors have agreed to waive any right, title, interest or claim of any kind in or to any monies in the trust account, and have agreed to waive any right, title, interest or claim of any kind they may have in the future as a result of, or arising out of, any services provided to us and will not seek recourse against the trust account for any reason whatsoever. Accordingly, any indemnification provided will only be able to be satisfied by us if (i) we have sufficient funds outside of the trust account or (ii) we consummate an initial business combination.</w:t>
      </w:r>
    </w:p>
    <w:p>
      <w:pPr>
        <w:spacing w:after="0" w:line="171" w:lineRule="exact"/>
        <w:rPr>
          <w:sz w:val="20"/>
          <w:szCs w:val="20"/>
          <w:color w:val="auto"/>
        </w:rPr>
      </w:pPr>
    </w:p>
    <w:p>
      <w:pPr>
        <w:ind w:right="80" w:firstLine="324"/>
        <w:spacing w:after="0" w:line="263" w:lineRule="auto"/>
        <w:rPr>
          <w:sz w:val="20"/>
          <w:szCs w:val="20"/>
          <w:color w:val="auto"/>
        </w:rPr>
      </w:pPr>
      <w:r>
        <w:rPr>
          <w:rFonts w:ascii="Arial" w:cs="Arial" w:eastAsia="Arial" w:hAnsi="Arial"/>
          <w:sz w:val="18"/>
          <w:szCs w:val="18"/>
          <w:color w:val="auto"/>
        </w:rPr>
        <w:t>Insofar as indemnification for liabilities arising under the Securities Act may be permitted to directors, officers or persons controlling us pursuant to the foregoing provisions, we have been informed that in the opinion of the SEC such indemnification is against public policy as expressed in the Securities Act and is therefore unenforceable.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Recent Sales of Unregistered Securities.</w:t>
      </w:r>
    </w:p>
    <w:p>
      <w:pPr>
        <w:spacing w:after="0" w:line="229" w:lineRule="exact"/>
        <w:rPr>
          <w:sz w:val="20"/>
          <w:szCs w:val="20"/>
          <w:color w:val="auto"/>
        </w:rPr>
      </w:pPr>
    </w:p>
    <w:p>
      <w:pPr>
        <w:ind w:right="140" w:firstLine="324"/>
        <w:spacing w:after="0" w:line="273" w:lineRule="auto"/>
        <w:rPr>
          <w:sz w:val="20"/>
          <w:szCs w:val="20"/>
          <w:color w:val="auto"/>
        </w:rPr>
      </w:pPr>
      <w:r>
        <w:rPr>
          <w:rFonts w:ascii="Arial" w:cs="Arial" w:eastAsia="Arial" w:hAnsi="Arial"/>
          <w:sz w:val="17"/>
          <w:szCs w:val="17"/>
          <w:color w:val="auto"/>
        </w:rPr>
        <w:t>On December 30, 2020, we issued to our sponsor an aggregate of 7,187,500 founder shares in exchange for a capital contribution of $25,000, or approximately $0.003 per share, to cover certain of our expenses. Such securities were issued in connection with our organization pursuant to the exemption from registration contained in Section 4(a)(2) of the Securities Act. The number of founder shares outstanding was determined based on the expectation that the total size of this offering would be a maximum of 28,750,000 units if the underwriters’ over-allotment option is exercised in full and therefore that such founder shares would represent 20% of the outstanding shares after this offering. Up to 937,500 of these shares may be surrendered for no consideration depending on the extent to which the underwriters’ over-allotment is exercised.</w:t>
      </w:r>
    </w:p>
    <w:p>
      <w:pPr>
        <w:spacing w:after="0" w:line="28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34" w:right="339" w:bottom="1440" w:gutter="0" w:footer="0" w:header="0"/>
          <w:type w:val="continuous"/>
        </w:sectPr>
      </w:pPr>
    </w:p>
    <w:bookmarkStart w:id="186" w:name="page187"/>
    <w:bookmarkEnd w:id="186"/>
    <w:p>
      <w:pPr>
        <w:spacing w:after="0"/>
        <w:rPr>
          <w:rFonts w:ascii="Arial" w:cs="Arial" w:eastAsia="Arial" w:hAnsi="Arial"/>
          <w:sz w:val="16"/>
          <w:szCs w:val="16"/>
          <w:b w:val="1"/>
          <w:bCs w:val="1"/>
          <w:u w:val="single" w:color="auto"/>
          <w:color w:val="0000EE"/>
        </w:rPr>
      </w:pPr>
      <w:hyperlink w:anchor="page5">
        <w:r>
          <w:rPr>
            <w:rFonts w:ascii="Arial" w:cs="Arial" w:eastAsia="Arial" w:hAnsi="Arial"/>
            <w:sz w:val="16"/>
            <w:szCs w:val="16"/>
            <w:b w:val="1"/>
            <w:bCs w:val="1"/>
            <w:u w:val="single" w:color="auto"/>
            <w:color w:val="0000EE"/>
          </w:rPr>
          <w:t>Table of Contents</w:t>
        </w:r>
      </w:hyperlink>
    </w:p>
    <w:p>
      <w:pPr>
        <w:spacing w:after="0" w:line="126"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Our sponsor is an accredited investor for purposes of Rule 501 of Regulation D. Each of the equity holders in our sponsor is an accredited investor under Rule 501 of Regulation D. The sole business of our sponsor is to act as the company’s sponsor in connection with this offering. The limited liability company agreement of our sponsor provides that its membership interests may only be transferred to our officers or directors or other persons affiliated with our sponsor, or in connection with estate planning transfers.</w:t>
      </w:r>
    </w:p>
    <w:p>
      <w:pPr>
        <w:spacing w:after="0" w:line="187"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Our sponsor has committed, pursuant to a written agreement, to purchase from us an aggregate of 5,000,000 private placement warrants (or 5,500,000 private placement warrants if the underwriters’ over-allotment option is exercised in full) at $1.50 per warrant (for an aggregate purchase price of $7,500,000 (or $8,250,000 if the underwriters’ over-allotment option is exercised in full)). This purchase will take place on a private placement basis simultaneously with the completion of our initial public offering. This issuance will be made pursuant to the exemption from registration contained in Section 4(a)(2) of the Securities Act.</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 underwriting discounts or commissions were paid with respect to such sales.</w:t>
      </w:r>
    </w:p>
    <w:p>
      <w:pPr>
        <w:spacing w:after="0" w:line="33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20"/>
          </w:cols>
          <w:pgMar w:left="320" w:top="234" w:right="459" w:bottom="1440" w:gutter="0" w:footer="0" w:header="0"/>
        </w:sectPr>
      </w:pPr>
    </w:p>
    <w:bookmarkStart w:id="187" w:name="page188"/>
    <w:bookmarkEnd w:id="187"/>
    <w:p>
      <w:pPr>
        <w:spacing w:after="0"/>
        <w:rPr>
          <w:rFonts w:ascii="Arial" w:cs="Arial" w:eastAsia="Arial" w:hAnsi="Arial"/>
          <w:sz w:val="16"/>
          <w:szCs w:val="16"/>
          <w:b w:val="1"/>
          <w:bCs w:val="1"/>
          <w:u w:val="single" w:color="auto"/>
          <w:color w:val="0000EE"/>
        </w:rPr>
      </w:pPr>
      <w:hyperlink w:anchor="page5">
        <w:r>
          <w:rPr>
            <w:rFonts w:ascii="Arial" w:cs="Arial" w:eastAsia="Arial" w:hAnsi="Arial"/>
            <w:sz w:val="16"/>
            <w:szCs w:val="16"/>
            <w:b w:val="1"/>
            <w:bCs w:val="1"/>
            <w:u w:val="single" w:color="auto"/>
            <w:color w:val="0000EE"/>
          </w:rPr>
          <w:t>Table of Contents</w:t>
        </w:r>
      </w:hyperlink>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Exhibits and Financial Statement Schedules.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i w:val="1"/>
          <w:iCs w:val="1"/>
          <w:color w:val="auto"/>
        </w:rPr>
        <w:t>Exhibits</w:t>
      </w:r>
      <w:r>
        <w:rPr>
          <w:rFonts w:ascii="Arial" w:cs="Arial" w:eastAsia="Arial" w:hAnsi="Arial"/>
          <w:sz w:val="18"/>
          <w:szCs w:val="18"/>
          <w:color w:val="auto"/>
        </w:rPr>
        <w:t>. The following exhibits are being filed herewith:</w:t>
      </w:r>
    </w:p>
    <w:p>
      <w:pPr>
        <w:spacing w:after="0" w:line="221"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8760" w:type="dxa"/>
            <w:vAlign w:val="bottom"/>
            <w:gridSpan w:val="2"/>
          </w:tcPr>
          <w:p>
            <w:pPr>
              <w:ind w:left="2480"/>
              <w:spacing w:after="0"/>
              <w:rPr>
                <w:sz w:val="20"/>
                <w:szCs w:val="20"/>
                <w:color w:val="auto"/>
              </w:rPr>
            </w:pPr>
            <w:r>
              <w:rPr>
                <w:rFonts w:ascii="Arial" w:cs="Arial" w:eastAsia="Arial" w:hAnsi="Arial"/>
                <w:sz w:val="18"/>
                <w:szCs w:val="18"/>
                <w:b w:val="1"/>
                <w:bCs w:val="1"/>
                <w:color w:val="auto"/>
              </w:rPr>
              <w:t>EXHIBIT INDEX</w:t>
            </w:r>
          </w:p>
        </w:tc>
      </w:tr>
      <w:tr>
        <w:trPr>
          <w:trHeight w:val="454"/>
        </w:trPr>
        <w:tc>
          <w:tcPr>
            <w:tcW w:w="840" w:type="dxa"/>
            <w:vAlign w:val="bottom"/>
          </w:tcPr>
          <w:p>
            <w:pPr>
              <w:ind w:left="140"/>
              <w:spacing w:after="0"/>
              <w:rPr>
                <w:sz w:val="20"/>
                <w:szCs w:val="20"/>
                <w:color w:val="auto"/>
              </w:rPr>
            </w:pPr>
            <w:r>
              <w:rPr>
                <w:rFonts w:ascii="Arial" w:cs="Arial" w:eastAsia="Arial" w:hAnsi="Arial"/>
                <w:sz w:val="18"/>
                <w:szCs w:val="18"/>
                <w:b w:val="1"/>
                <w:bCs w:val="1"/>
                <w:color w:val="auto"/>
              </w:rPr>
              <w:t>Exhibit</w:t>
            </w:r>
          </w:p>
        </w:tc>
        <w:tc>
          <w:tcPr>
            <w:tcW w:w="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6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34"/>
        </w:trPr>
        <w:tc>
          <w:tcPr>
            <w:tcW w:w="84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rPr>
              <w:t>No</w:t>
            </w:r>
          </w:p>
        </w:tc>
        <w:tc>
          <w:tcPr>
            <w:tcW w:w="80" w:type="dxa"/>
            <w:vAlign w:val="bottom"/>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c>
          <w:tcPr>
            <w:tcW w:w="8760" w:type="dxa"/>
            <w:vAlign w:val="bottom"/>
            <w:tcBorders>
              <w:bottom w:val="single" w:sz="8" w:color="auto"/>
            </w:tcBorders>
            <w:gridSpan w:val="2"/>
          </w:tcPr>
          <w:p>
            <w:pPr>
              <w:ind w:left="3160"/>
              <w:spacing w:after="0"/>
              <w:rPr>
                <w:sz w:val="20"/>
                <w:szCs w:val="20"/>
                <w:color w:val="auto"/>
              </w:rPr>
            </w:pPr>
            <w:r>
              <w:rPr>
                <w:rFonts w:ascii="Arial" w:cs="Arial" w:eastAsia="Arial" w:hAnsi="Arial"/>
                <w:sz w:val="18"/>
                <w:szCs w:val="18"/>
                <w:b w:val="1"/>
                <w:bCs w:val="1"/>
                <w:color w:val="auto"/>
              </w:rPr>
              <w:t>Description</w:t>
            </w:r>
          </w:p>
        </w:tc>
      </w:tr>
      <w:tr>
        <w:trPr>
          <w:trHeight w:val="291"/>
        </w:trPr>
        <w:tc>
          <w:tcPr>
            <w:tcW w:w="840" w:type="dxa"/>
            <w:vAlign w:val="bottom"/>
          </w:tcPr>
          <w:p>
            <w:pPr>
              <w:spacing w:after="0"/>
              <w:rPr>
                <w:rFonts w:ascii="Arial" w:cs="Arial" w:eastAsia="Arial" w:hAnsi="Arial"/>
                <w:sz w:val="18"/>
                <w:szCs w:val="18"/>
                <w:u w:val="single" w:color="auto"/>
                <w:color w:val="0000EE"/>
              </w:rPr>
            </w:pPr>
            <w:hyperlink w:anchor="page194">
              <w:r>
                <w:rPr>
                  <w:rFonts w:ascii="Arial" w:cs="Arial" w:eastAsia="Arial" w:hAnsi="Arial"/>
                  <w:sz w:val="18"/>
                  <w:szCs w:val="18"/>
                  <w:u w:val="single" w:color="auto"/>
                  <w:color w:val="0000EE"/>
                </w:rPr>
                <w:t>1.1**</w:t>
              </w:r>
            </w:hyperlink>
          </w:p>
        </w:tc>
        <w:tc>
          <w:tcPr>
            <w:tcW w:w="80" w:type="dxa"/>
            <w:vAlign w:val="bottom"/>
          </w:tcPr>
          <w:p>
            <w:pPr>
              <w:spacing w:after="0"/>
              <w:rPr>
                <w:sz w:val="24"/>
                <w:szCs w:val="24"/>
                <w:color w:val="auto"/>
              </w:rPr>
            </w:pPr>
          </w:p>
        </w:tc>
        <w:tc>
          <w:tcPr>
            <w:tcW w:w="10240" w:type="dxa"/>
            <w:vAlign w:val="bottom"/>
            <w:gridSpan w:val="3"/>
          </w:tcPr>
          <w:p>
            <w:pPr>
              <w:spacing w:after="0"/>
              <w:rPr>
                <w:rFonts w:ascii="Arial" w:cs="Arial" w:eastAsia="Arial" w:hAnsi="Arial"/>
                <w:sz w:val="18"/>
                <w:szCs w:val="18"/>
                <w:u w:val="single" w:color="auto"/>
                <w:color w:val="0000EE"/>
              </w:rPr>
            </w:pPr>
            <w:hyperlink w:anchor="page194">
              <w:r>
                <w:rPr>
                  <w:rFonts w:ascii="Arial" w:cs="Arial" w:eastAsia="Arial" w:hAnsi="Arial"/>
                  <w:sz w:val="18"/>
                  <w:szCs w:val="18"/>
                  <w:u w:val="single" w:color="auto"/>
                  <w:color w:val="0000EE"/>
                </w:rPr>
                <w:t>Form of Underwriting Agreement.</w:t>
              </w:r>
            </w:hyperlink>
          </w:p>
        </w:tc>
      </w:tr>
      <w:tr>
        <w:trPr>
          <w:trHeight w:val="297"/>
        </w:trPr>
        <w:tc>
          <w:tcPr>
            <w:tcW w:w="840" w:type="dxa"/>
            <w:vAlign w:val="bottom"/>
          </w:tcPr>
          <w:p>
            <w:pPr>
              <w:spacing w:after="0"/>
              <w:rPr>
                <w:rFonts w:ascii="Arial" w:cs="Arial" w:eastAsia="Arial" w:hAnsi="Arial"/>
                <w:sz w:val="18"/>
                <w:szCs w:val="18"/>
                <w:u w:val="single" w:color="auto"/>
                <w:color w:val="0000EE"/>
              </w:rPr>
            </w:pPr>
            <w:hyperlink r:id="rId244">
              <w:r>
                <w:rPr>
                  <w:rFonts w:ascii="Arial" w:cs="Arial" w:eastAsia="Arial" w:hAnsi="Arial"/>
                  <w:sz w:val="18"/>
                  <w:szCs w:val="18"/>
                  <w:u w:val="single" w:color="auto"/>
                  <w:color w:val="0000EE"/>
                </w:rPr>
                <w:t>3.1*</w:t>
              </w:r>
            </w:hyperlink>
          </w:p>
        </w:tc>
        <w:tc>
          <w:tcPr>
            <w:tcW w:w="80" w:type="dxa"/>
            <w:vAlign w:val="bottom"/>
          </w:tcPr>
          <w:p>
            <w:pPr>
              <w:spacing w:after="0"/>
              <w:rPr>
                <w:sz w:val="24"/>
                <w:szCs w:val="24"/>
                <w:color w:val="auto"/>
              </w:rPr>
            </w:pPr>
          </w:p>
        </w:tc>
        <w:tc>
          <w:tcPr>
            <w:tcW w:w="10240" w:type="dxa"/>
            <w:vAlign w:val="bottom"/>
            <w:gridSpan w:val="3"/>
          </w:tcPr>
          <w:p>
            <w:pPr>
              <w:spacing w:after="0"/>
              <w:rPr>
                <w:rFonts w:ascii="Arial" w:cs="Arial" w:eastAsia="Arial" w:hAnsi="Arial"/>
                <w:sz w:val="18"/>
                <w:szCs w:val="18"/>
                <w:u w:val="single" w:color="auto"/>
                <w:color w:val="0000EE"/>
              </w:rPr>
            </w:pPr>
            <w:hyperlink r:id="rId244">
              <w:r>
                <w:rPr>
                  <w:rFonts w:ascii="Arial" w:cs="Arial" w:eastAsia="Arial" w:hAnsi="Arial"/>
                  <w:sz w:val="18"/>
                  <w:szCs w:val="18"/>
                  <w:u w:val="single" w:color="auto"/>
                  <w:color w:val="0000EE"/>
                </w:rPr>
                <w:t>Memorandum and Articles of Association.</w:t>
              </w:r>
            </w:hyperlink>
          </w:p>
        </w:tc>
      </w:tr>
      <w:tr>
        <w:trPr>
          <w:trHeight w:val="297"/>
        </w:trPr>
        <w:tc>
          <w:tcPr>
            <w:tcW w:w="840" w:type="dxa"/>
            <w:vAlign w:val="bottom"/>
          </w:tcPr>
          <w:p>
            <w:pPr>
              <w:spacing w:after="0"/>
              <w:rPr>
                <w:rFonts w:ascii="Arial" w:cs="Arial" w:eastAsia="Arial" w:hAnsi="Arial"/>
                <w:sz w:val="18"/>
                <w:szCs w:val="18"/>
                <w:u w:val="single" w:color="auto"/>
                <w:color w:val="0000EE"/>
              </w:rPr>
            </w:pPr>
            <w:hyperlink r:id="rId245">
              <w:r>
                <w:rPr>
                  <w:rFonts w:ascii="Arial" w:cs="Arial" w:eastAsia="Arial" w:hAnsi="Arial"/>
                  <w:sz w:val="18"/>
                  <w:szCs w:val="18"/>
                  <w:u w:val="single" w:color="auto"/>
                  <w:color w:val="0000EE"/>
                </w:rPr>
                <w:t>3.2*</w:t>
              </w:r>
            </w:hyperlink>
          </w:p>
        </w:tc>
        <w:tc>
          <w:tcPr>
            <w:tcW w:w="80" w:type="dxa"/>
            <w:vAlign w:val="bottom"/>
          </w:tcPr>
          <w:p>
            <w:pPr>
              <w:spacing w:after="0"/>
              <w:rPr>
                <w:sz w:val="24"/>
                <w:szCs w:val="24"/>
                <w:color w:val="auto"/>
              </w:rPr>
            </w:pPr>
          </w:p>
        </w:tc>
        <w:tc>
          <w:tcPr>
            <w:tcW w:w="10240" w:type="dxa"/>
            <w:vAlign w:val="bottom"/>
            <w:gridSpan w:val="3"/>
          </w:tcPr>
          <w:p>
            <w:pPr>
              <w:spacing w:after="0"/>
              <w:rPr>
                <w:rFonts w:ascii="Arial" w:cs="Arial" w:eastAsia="Arial" w:hAnsi="Arial"/>
                <w:sz w:val="18"/>
                <w:szCs w:val="18"/>
                <w:u w:val="single" w:color="auto"/>
                <w:color w:val="0000EE"/>
              </w:rPr>
            </w:pPr>
            <w:hyperlink r:id="rId245">
              <w:r>
                <w:rPr>
                  <w:rFonts w:ascii="Arial" w:cs="Arial" w:eastAsia="Arial" w:hAnsi="Arial"/>
                  <w:sz w:val="18"/>
                  <w:szCs w:val="18"/>
                  <w:u w:val="single" w:color="auto"/>
                  <w:color w:val="0000EE"/>
                </w:rPr>
                <w:t>Form of Amended and Restated Memorandum and Articles of Association.</w:t>
              </w:r>
            </w:hyperlink>
          </w:p>
        </w:tc>
      </w:tr>
      <w:tr>
        <w:trPr>
          <w:trHeight w:val="297"/>
        </w:trPr>
        <w:tc>
          <w:tcPr>
            <w:tcW w:w="840" w:type="dxa"/>
            <w:vAlign w:val="bottom"/>
          </w:tcPr>
          <w:p>
            <w:pPr>
              <w:spacing w:after="0"/>
              <w:rPr>
                <w:rFonts w:ascii="Arial" w:cs="Arial" w:eastAsia="Arial" w:hAnsi="Arial"/>
                <w:sz w:val="18"/>
                <w:szCs w:val="18"/>
                <w:u w:val="single" w:color="auto"/>
                <w:color w:val="0000EE"/>
              </w:rPr>
            </w:pPr>
            <w:hyperlink w:anchor="page239">
              <w:r>
                <w:rPr>
                  <w:rFonts w:ascii="Arial" w:cs="Arial" w:eastAsia="Arial" w:hAnsi="Arial"/>
                  <w:sz w:val="18"/>
                  <w:szCs w:val="18"/>
                  <w:u w:val="single" w:color="auto"/>
                  <w:color w:val="0000EE"/>
                </w:rPr>
                <w:t>4.1**†</w:t>
              </w:r>
            </w:hyperlink>
          </w:p>
        </w:tc>
        <w:tc>
          <w:tcPr>
            <w:tcW w:w="80" w:type="dxa"/>
            <w:vAlign w:val="bottom"/>
          </w:tcPr>
          <w:p>
            <w:pPr>
              <w:spacing w:after="0"/>
              <w:rPr>
                <w:sz w:val="24"/>
                <w:szCs w:val="24"/>
                <w:color w:val="auto"/>
              </w:rPr>
            </w:pPr>
          </w:p>
        </w:tc>
        <w:tc>
          <w:tcPr>
            <w:tcW w:w="10240" w:type="dxa"/>
            <w:vAlign w:val="bottom"/>
            <w:gridSpan w:val="3"/>
          </w:tcPr>
          <w:p>
            <w:pPr>
              <w:spacing w:after="0"/>
              <w:rPr>
                <w:rFonts w:ascii="Arial" w:cs="Arial" w:eastAsia="Arial" w:hAnsi="Arial"/>
                <w:sz w:val="18"/>
                <w:szCs w:val="18"/>
                <w:color w:val="0000EE"/>
              </w:rPr>
            </w:pPr>
            <w:hyperlink w:anchor="page239">
              <w:r>
                <w:rPr>
                  <w:rFonts w:ascii="Arial" w:cs="Arial" w:eastAsia="Arial" w:hAnsi="Arial"/>
                  <w:sz w:val="18"/>
                  <w:szCs w:val="18"/>
                  <w:u w:val="single" w:color="auto"/>
                  <w:color w:val="0000EE"/>
                </w:rPr>
                <w:t>Specimen Unit Certificate</w:t>
              </w:r>
              <w:r>
                <w:rPr>
                  <w:rFonts w:ascii="Arial" w:cs="Arial" w:eastAsia="Arial" w:hAnsi="Arial"/>
                  <w:sz w:val="18"/>
                  <w:szCs w:val="18"/>
                  <w:color w:val="0000EE"/>
                </w:rPr>
                <w:t>.</w:t>
              </w:r>
            </w:hyperlink>
          </w:p>
        </w:tc>
      </w:tr>
      <w:tr>
        <w:trPr>
          <w:trHeight w:val="297"/>
        </w:trPr>
        <w:tc>
          <w:tcPr>
            <w:tcW w:w="840" w:type="dxa"/>
            <w:vAlign w:val="bottom"/>
          </w:tcPr>
          <w:p>
            <w:pPr>
              <w:spacing w:after="0"/>
              <w:rPr>
                <w:rFonts w:ascii="Arial" w:cs="Arial" w:eastAsia="Arial" w:hAnsi="Arial"/>
                <w:sz w:val="18"/>
                <w:szCs w:val="18"/>
                <w:u w:val="single" w:color="auto"/>
                <w:color w:val="0000EE"/>
              </w:rPr>
            </w:pPr>
            <w:hyperlink r:id="rId246">
              <w:r>
                <w:rPr>
                  <w:rFonts w:ascii="Arial" w:cs="Arial" w:eastAsia="Arial" w:hAnsi="Arial"/>
                  <w:sz w:val="18"/>
                  <w:szCs w:val="18"/>
                  <w:u w:val="single" w:color="auto"/>
                  <w:color w:val="0000EE"/>
                </w:rPr>
                <w:t>4.2*</w:t>
              </w:r>
            </w:hyperlink>
          </w:p>
        </w:tc>
        <w:tc>
          <w:tcPr>
            <w:tcW w:w="80" w:type="dxa"/>
            <w:vAlign w:val="bottom"/>
          </w:tcPr>
          <w:p>
            <w:pPr>
              <w:spacing w:after="0"/>
              <w:rPr>
                <w:sz w:val="24"/>
                <w:szCs w:val="24"/>
                <w:color w:val="auto"/>
              </w:rPr>
            </w:pPr>
          </w:p>
        </w:tc>
        <w:tc>
          <w:tcPr>
            <w:tcW w:w="10240" w:type="dxa"/>
            <w:vAlign w:val="bottom"/>
            <w:gridSpan w:val="3"/>
          </w:tcPr>
          <w:p>
            <w:pPr>
              <w:spacing w:after="0"/>
              <w:rPr>
                <w:rFonts w:ascii="Arial" w:cs="Arial" w:eastAsia="Arial" w:hAnsi="Arial"/>
                <w:sz w:val="18"/>
                <w:szCs w:val="18"/>
                <w:u w:val="single" w:color="auto"/>
                <w:color w:val="0000EE"/>
              </w:rPr>
            </w:pPr>
            <w:hyperlink r:id="rId246">
              <w:r>
                <w:rPr>
                  <w:rFonts w:ascii="Arial" w:cs="Arial" w:eastAsia="Arial" w:hAnsi="Arial"/>
                  <w:sz w:val="18"/>
                  <w:szCs w:val="18"/>
                  <w:u w:val="single" w:color="auto"/>
                  <w:color w:val="0000EE"/>
                </w:rPr>
                <w:t>Specimen Class A Ordinary Share Certificate.</w:t>
              </w:r>
            </w:hyperlink>
          </w:p>
        </w:tc>
      </w:tr>
      <w:tr>
        <w:trPr>
          <w:trHeight w:val="297"/>
        </w:trPr>
        <w:tc>
          <w:tcPr>
            <w:tcW w:w="840" w:type="dxa"/>
            <w:vAlign w:val="bottom"/>
          </w:tcPr>
          <w:p>
            <w:pPr>
              <w:spacing w:after="0"/>
              <w:rPr>
                <w:rFonts w:ascii="Arial" w:cs="Arial" w:eastAsia="Arial" w:hAnsi="Arial"/>
                <w:sz w:val="18"/>
                <w:szCs w:val="18"/>
                <w:u w:val="single" w:color="auto"/>
                <w:color w:val="0000EE"/>
              </w:rPr>
            </w:pPr>
            <w:hyperlink r:id="rId247">
              <w:r>
                <w:rPr>
                  <w:rFonts w:ascii="Arial" w:cs="Arial" w:eastAsia="Arial" w:hAnsi="Arial"/>
                  <w:sz w:val="18"/>
                  <w:szCs w:val="18"/>
                  <w:u w:val="single" w:color="auto"/>
                  <w:color w:val="0000EE"/>
                </w:rPr>
                <w:t>4.3*</w:t>
              </w:r>
            </w:hyperlink>
          </w:p>
        </w:tc>
        <w:tc>
          <w:tcPr>
            <w:tcW w:w="80" w:type="dxa"/>
            <w:vAlign w:val="bottom"/>
          </w:tcPr>
          <w:p>
            <w:pPr>
              <w:spacing w:after="0"/>
              <w:rPr>
                <w:sz w:val="24"/>
                <w:szCs w:val="24"/>
                <w:color w:val="auto"/>
              </w:rPr>
            </w:pPr>
          </w:p>
        </w:tc>
        <w:tc>
          <w:tcPr>
            <w:tcW w:w="10240" w:type="dxa"/>
            <w:vAlign w:val="bottom"/>
            <w:gridSpan w:val="3"/>
          </w:tcPr>
          <w:p>
            <w:pPr>
              <w:spacing w:after="0"/>
              <w:rPr>
                <w:rFonts w:ascii="Arial" w:cs="Arial" w:eastAsia="Arial" w:hAnsi="Arial"/>
                <w:sz w:val="18"/>
                <w:szCs w:val="18"/>
                <w:color w:val="0000EE"/>
              </w:rPr>
            </w:pPr>
            <w:hyperlink r:id="rId247">
              <w:r>
                <w:rPr>
                  <w:rFonts w:ascii="Arial" w:cs="Arial" w:eastAsia="Arial" w:hAnsi="Arial"/>
                  <w:sz w:val="18"/>
                  <w:szCs w:val="18"/>
                  <w:u w:val="single" w:color="auto"/>
                  <w:color w:val="0000EE"/>
                </w:rPr>
                <w:t>Specimen Warrant Certificate</w:t>
              </w:r>
              <w:r>
                <w:rPr>
                  <w:rFonts w:ascii="Arial" w:cs="Arial" w:eastAsia="Arial" w:hAnsi="Arial"/>
                  <w:sz w:val="18"/>
                  <w:szCs w:val="18"/>
                  <w:color w:val="0000EE"/>
                </w:rPr>
                <w:t>.</w:t>
              </w:r>
            </w:hyperlink>
          </w:p>
        </w:tc>
      </w:tr>
      <w:tr>
        <w:trPr>
          <w:trHeight w:val="297"/>
        </w:trPr>
        <w:tc>
          <w:tcPr>
            <w:tcW w:w="840" w:type="dxa"/>
            <w:vAlign w:val="bottom"/>
          </w:tcPr>
          <w:p>
            <w:pPr>
              <w:spacing w:after="0"/>
              <w:rPr>
                <w:rFonts w:ascii="Arial" w:cs="Arial" w:eastAsia="Arial" w:hAnsi="Arial"/>
                <w:sz w:val="18"/>
                <w:szCs w:val="18"/>
                <w:u w:val="single" w:color="auto"/>
                <w:color w:val="0000EE"/>
              </w:rPr>
            </w:pPr>
            <w:hyperlink w:anchor="page242">
              <w:r>
                <w:rPr>
                  <w:rFonts w:ascii="Arial" w:cs="Arial" w:eastAsia="Arial" w:hAnsi="Arial"/>
                  <w:sz w:val="18"/>
                  <w:szCs w:val="18"/>
                  <w:u w:val="single" w:color="auto"/>
                  <w:color w:val="0000EE"/>
                </w:rPr>
                <w:t>4.4**†</w:t>
              </w:r>
            </w:hyperlink>
          </w:p>
        </w:tc>
        <w:tc>
          <w:tcPr>
            <w:tcW w:w="80" w:type="dxa"/>
            <w:vAlign w:val="bottom"/>
          </w:tcPr>
          <w:p>
            <w:pPr>
              <w:spacing w:after="0"/>
              <w:rPr>
                <w:sz w:val="24"/>
                <w:szCs w:val="24"/>
                <w:color w:val="auto"/>
              </w:rPr>
            </w:pPr>
          </w:p>
        </w:tc>
        <w:tc>
          <w:tcPr>
            <w:tcW w:w="10240" w:type="dxa"/>
            <w:vAlign w:val="bottom"/>
            <w:gridSpan w:val="3"/>
          </w:tcPr>
          <w:p>
            <w:pPr>
              <w:spacing w:after="0"/>
              <w:rPr>
                <w:rFonts w:ascii="Arial" w:cs="Arial" w:eastAsia="Arial" w:hAnsi="Arial"/>
                <w:sz w:val="18"/>
                <w:szCs w:val="18"/>
                <w:u w:val="single" w:color="auto"/>
                <w:color w:val="0000EE"/>
              </w:rPr>
            </w:pPr>
            <w:hyperlink w:anchor="page242">
              <w:r>
                <w:rPr>
                  <w:rFonts w:ascii="Arial" w:cs="Arial" w:eastAsia="Arial" w:hAnsi="Arial"/>
                  <w:sz w:val="18"/>
                  <w:szCs w:val="18"/>
                  <w:u w:val="single" w:color="auto"/>
                  <w:color w:val="0000EE"/>
                </w:rPr>
                <w:t>Form of Warrant Agreement between Continental Stock Transfer &amp; Trust Company and the Registrant.</w:t>
              </w:r>
            </w:hyperlink>
          </w:p>
        </w:tc>
      </w:tr>
      <w:tr>
        <w:trPr>
          <w:trHeight w:val="297"/>
        </w:trPr>
        <w:tc>
          <w:tcPr>
            <w:tcW w:w="840" w:type="dxa"/>
            <w:vAlign w:val="bottom"/>
          </w:tcPr>
          <w:p>
            <w:pPr>
              <w:spacing w:after="0"/>
              <w:rPr>
                <w:rFonts w:ascii="Arial" w:cs="Arial" w:eastAsia="Arial" w:hAnsi="Arial"/>
                <w:sz w:val="18"/>
                <w:szCs w:val="18"/>
                <w:u w:val="single" w:color="auto"/>
                <w:color w:val="0000EE"/>
              </w:rPr>
            </w:pPr>
            <w:hyperlink w:anchor="page264">
              <w:r>
                <w:rPr>
                  <w:rFonts w:ascii="Arial" w:cs="Arial" w:eastAsia="Arial" w:hAnsi="Arial"/>
                  <w:sz w:val="18"/>
                  <w:szCs w:val="18"/>
                  <w:u w:val="single" w:color="auto"/>
                  <w:color w:val="0000EE"/>
                </w:rPr>
                <w:t>5.1**†</w:t>
              </w:r>
            </w:hyperlink>
          </w:p>
        </w:tc>
        <w:tc>
          <w:tcPr>
            <w:tcW w:w="80" w:type="dxa"/>
            <w:vAlign w:val="bottom"/>
          </w:tcPr>
          <w:p>
            <w:pPr>
              <w:spacing w:after="0"/>
              <w:rPr>
                <w:sz w:val="24"/>
                <w:szCs w:val="24"/>
                <w:color w:val="auto"/>
              </w:rPr>
            </w:pPr>
          </w:p>
        </w:tc>
        <w:tc>
          <w:tcPr>
            <w:tcW w:w="10240" w:type="dxa"/>
            <w:vAlign w:val="bottom"/>
            <w:gridSpan w:val="3"/>
          </w:tcPr>
          <w:p>
            <w:pPr>
              <w:spacing w:after="0"/>
              <w:rPr>
                <w:rFonts w:ascii="Arial" w:cs="Arial" w:eastAsia="Arial" w:hAnsi="Arial"/>
                <w:sz w:val="18"/>
                <w:szCs w:val="18"/>
                <w:u w:val="single" w:color="auto"/>
                <w:color w:val="0000EE"/>
              </w:rPr>
            </w:pPr>
            <w:hyperlink w:anchor="page264">
              <w:r>
                <w:rPr>
                  <w:rFonts w:ascii="Arial" w:cs="Arial" w:eastAsia="Arial" w:hAnsi="Arial"/>
                  <w:sz w:val="18"/>
                  <w:szCs w:val="18"/>
                  <w:u w:val="single" w:color="auto"/>
                  <w:color w:val="0000EE"/>
                </w:rPr>
                <w:t>Opinion of Davis Polk &amp; Wardwell LLP.</w:t>
              </w:r>
            </w:hyperlink>
          </w:p>
        </w:tc>
      </w:tr>
      <w:tr>
        <w:trPr>
          <w:trHeight w:val="297"/>
        </w:trPr>
        <w:tc>
          <w:tcPr>
            <w:tcW w:w="840" w:type="dxa"/>
            <w:vAlign w:val="bottom"/>
          </w:tcPr>
          <w:p>
            <w:pPr>
              <w:spacing w:after="0"/>
              <w:rPr>
                <w:rFonts w:ascii="Arial" w:cs="Arial" w:eastAsia="Arial" w:hAnsi="Arial"/>
                <w:sz w:val="18"/>
                <w:szCs w:val="18"/>
                <w:u w:val="single" w:color="auto"/>
                <w:color w:val="0000EE"/>
              </w:rPr>
            </w:pPr>
            <w:hyperlink w:anchor="page267">
              <w:r>
                <w:rPr>
                  <w:rFonts w:ascii="Arial" w:cs="Arial" w:eastAsia="Arial" w:hAnsi="Arial"/>
                  <w:sz w:val="18"/>
                  <w:szCs w:val="18"/>
                  <w:u w:val="single" w:color="auto"/>
                  <w:color w:val="0000EE"/>
                </w:rPr>
                <w:t>5.2**†</w:t>
              </w:r>
            </w:hyperlink>
          </w:p>
        </w:tc>
        <w:tc>
          <w:tcPr>
            <w:tcW w:w="80" w:type="dxa"/>
            <w:vAlign w:val="bottom"/>
          </w:tcPr>
          <w:p>
            <w:pPr>
              <w:spacing w:after="0"/>
              <w:rPr>
                <w:sz w:val="24"/>
                <w:szCs w:val="24"/>
                <w:color w:val="auto"/>
              </w:rPr>
            </w:pPr>
          </w:p>
        </w:tc>
        <w:tc>
          <w:tcPr>
            <w:tcW w:w="10240" w:type="dxa"/>
            <w:vAlign w:val="bottom"/>
            <w:gridSpan w:val="3"/>
          </w:tcPr>
          <w:p>
            <w:pPr>
              <w:spacing w:after="0"/>
              <w:rPr>
                <w:rFonts w:ascii="Arial" w:cs="Arial" w:eastAsia="Arial" w:hAnsi="Arial"/>
                <w:sz w:val="18"/>
                <w:szCs w:val="18"/>
                <w:u w:val="single" w:color="auto"/>
                <w:color w:val="0000EE"/>
              </w:rPr>
            </w:pPr>
            <w:hyperlink w:anchor="page267">
              <w:r>
                <w:rPr>
                  <w:rFonts w:ascii="Arial" w:cs="Arial" w:eastAsia="Arial" w:hAnsi="Arial"/>
                  <w:sz w:val="18"/>
                  <w:szCs w:val="18"/>
                  <w:u w:val="single" w:color="auto"/>
                  <w:color w:val="0000EE"/>
                </w:rPr>
                <w:t>Opinion of Maples and Calder, Cayman Islands counsel to the Registrant.</w:t>
              </w:r>
            </w:hyperlink>
          </w:p>
        </w:tc>
      </w:tr>
      <w:tr>
        <w:trPr>
          <w:trHeight w:val="257"/>
        </w:trPr>
        <w:tc>
          <w:tcPr>
            <w:tcW w:w="840" w:type="dxa"/>
            <w:vAlign w:val="bottom"/>
          </w:tcPr>
          <w:p>
            <w:pPr>
              <w:spacing w:after="0"/>
              <w:rPr>
                <w:rFonts w:ascii="Arial" w:cs="Arial" w:eastAsia="Arial" w:hAnsi="Arial"/>
                <w:sz w:val="18"/>
                <w:szCs w:val="18"/>
                <w:u w:val="single" w:color="auto"/>
                <w:color w:val="0000EE"/>
              </w:rPr>
            </w:pPr>
            <w:hyperlink w:anchor="page275">
              <w:r>
                <w:rPr>
                  <w:rFonts w:ascii="Arial" w:cs="Arial" w:eastAsia="Arial" w:hAnsi="Arial"/>
                  <w:sz w:val="18"/>
                  <w:szCs w:val="18"/>
                  <w:u w:val="single" w:color="auto"/>
                  <w:color w:val="0000EE"/>
                </w:rPr>
                <w:t>10.1**†</w:t>
              </w:r>
            </w:hyperlink>
          </w:p>
        </w:tc>
        <w:tc>
          <w:tcPr>
            <w:tcW w:w="80" w:type="dxa"/>
            <w:vAlign w:val="bottom"/>
          </w:tcPr>
          <w:p>
            <w:pPr>
              <w:spacing w:after="0"/>
              <w:rPr>
                <w:sz w:val="22"/>
                <w:szCs w:val="22"/>
                <w:color w:val="auto"/>
              </w:rPr>
            </w:pPr>
          </w:p>
        </w:tc>
        <w:tc>
          <w:tcPr>
            <w:tcW w:w="10240" w:type="dxa"/>
            <w:vAlign w:val="bottom"/>
            <w:gridSpan w:val="3"/>
          </w:tcPr>
          <w:p>
            <w:pPr>
              <w:spacing w:after="0"/>
              <w:rPr>
                <w:rFonts w:ascii="Arial" w:cs="Arial" w:eastAsia="Arial" w:hAnsi="Arial"/>
                <w:sz w:val="18"/>
                <w:szCs w:val="18"/>
                <w:color w:val="0000EE"/>
                <w:w w:val="92"/>
              </w:rPr>
            </w:pPr>
            <w:hyperlink w:anchor="page275">
              <w:r>
                <w:rPr>
                  <w:rFonts w:ascii="Arial" w:cs="Arial" w:eastAsia="Arial" w:hAnsi="Arial"/>
                  <w:sz w:val="18"/>
                  <w:szCs w:val="18"/>
                  <w:color w:val="0000EE"/>
                  <w:w w:val="92"/>
                </w:rPr>
                <w:t>Form of Letter Agreement among the Registrant, Freedom Acquisition I LLC and each of the officers and directors of the Registrant and the</w:t>
              </w:r>
            </w:hyperlink>
          </w:p>
        </w:tc>
      </w:tr>
      <w:tr>
        <w:trPr>
          <w:trHeight w:val="196"/>
        </w:trPr>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8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7"/>
              </w:rPr>
            </w:pPr>
            <w:hyperlink w:anchor="page275">
              <w:r>
                <w:rPr>
                  <w:rFonts w:ascii="Arial" w:cs="Arial" w:eastAsia="Arial" w:hAnsi="Arial"/>
                  <w:sz w:val="18"/>
                  <w:szCs w:val="18"/>
                  <w:color w:val="0000EE"/>
                  <w:w w:val="87"/>
                </w:rPr>
                <w:t>other parties thereto.</w:t>
              </w:r>
            </w:hyperlink>
          </w:p>
        </w:tc>
        <w:tc>
          <w:tcPr>
            <w:tcW w:w="8620" w:type="dxa"/>
            <w:vAlign w:val="bottom"/>
            <w:tcBorders>
              <w:top w:val="single" w:sz="8" w:color="0000EE"/>
            </w:tcBorders>
          </w:tcPr>
          <w:p>
            <w:pPr>
              <w:spacing w:after="0"/>
              <w:rPr>
                <w:sz w:val="17"/>
                <w:szCs w:val="17"/>
                <w:color w:val="auto"/>
              </w:rPr>
            </w:pPr>
          </w:p>
        </w:tc>
        <w:tc>
          <w:tcPr>
            <w:tcW w:w="140" w:type="dxa"/>
            <w:vAlign w:val="bottom"/>
          </w:tcPr>
          <w:p>
            <w:pPr>
              <w:spacing w:after="0"/>
              <w:rPr>
                <w:sz w:val="17"/>
                <w:szCs w:val="17"/>
                <w:color w:val="auto"/>
              </w:rPr>
            </w:pPr>
          </w:p>
        </w:tc>
      </w:tr>
      <w:tr>
        <w:trPr>
          <w:trHeight w:val="318"/>
        </w:trPr>
        <w:tc>
          <w:tcPr>
            <w:tcW w:w="840" w:type="dxa"/>
            <w:vAlign w:val="bottom"/>
          </w:tcPr>
          <w:p>
            <w:pPr>
              <w:spacing w:after="0"/>
              <w:rPr>
                <w:rFonts w:ascii="Arial" w:cs="Arial" w:eastAsia="Arial" w:hAnsi="Arial"/>
                <w:sz w:val="18"/>
                <w:szCs w:val="18"/>
                <w:u w:val="single" w:color="auto"/>
                <w:color w:val="0000EE"/>
              </w:rPr>
            </w:pPr>
            <w:hyperlink w:anchor="page282">
              <w:r>
                <w:rPr>
                  <w:rFonts w:ascii="Arial" w:cs="Arial" w:eastAsia="Arial" w:hAnsi="Arial"/>
                  <w:sz w:val="18"/>
                  <w:szCs w:val="18"/>
                  <w:u w:val="single" w:color="auto"/>
                  <w:color w:val="0000EE"/>
                </w:rPr>
                <w:t>10.2**†</w:t>
              </w:r>
            </w:hyperlink>
          </w:p>
        </w:tc>
        <w:tc>
          <w:tcPr>
            <w:tcW w:w="80" w:type="dxa"/>
            <w:vAlign w:val="bottom"/>
          </w:tcPr>
          <w:p>
            <w:pPr>
              <w:spacing w:after="0"/>
              <w:rPr>
                <w:sz w:val="24"/>
                <w:szCs w:val="24"/>
                <w:color w:val="auto"/>
              </w:rPr>
            </w:pPr>
          </w:p>
        </w:tc>
        <w:tc>
          <w:tcPr>
            <w:tcW w:w="10240" w:type="dxa"/>
            <w:vAlign w:val="bottom"/>
            <w:gridSpan w:val="3"/>
          </w:tcPr>
          <w:p>
            <w:pPr>
              <w:spacing w:after="0"/>
              <w:rPr>
                <w:rFonts w:ascii="Arial" w:cs="Arial" w:eastAsia="Arial" w:hAnsi="Arial"/>
                <w:sz w:val="18"/>
                <w:szCs w:val="18"/>
                <w:u w:val="single" w:color="auto"/>
                <w:color w:val="0000EE"/>
              </w:rPr>
            </w:pPr>
            <w:hyperlink w:anchor="page282">
              <w:r>
                <w:rPr>
                  <w:rFonts w:ascii="Arial" w:cs="Arial" w:eastAsia="Arial" w:hAnsi="Arial"/>
                  <w:sz w:val="18"/>
                  <w:szCs w:val="18"/>
                  <w:u w:val="single" w:color="auto"/>
                  <w:color w:val="0000EE"/>
                </w:rPr>
                <w:t>Form of Investment Management Trust Agreement between Continental Stock Transfer &amp; Trust Company and the Registrant.</w:t>
              </w:r>
            </w:hyperlink>
          </w:p>
        </w:tc>
      </w:tr>
      <w:tr>
        <w:trPr>
          <w:trHeight w:val="297"/>
        </w:trPr>
        <w:tc>
          <w:tcPr>
            <w:tcW w:w="840" w:type="dxa"/>
            <w:vAlign w:val="bottom"/>
          </w:tcPr>
          <w:p>
            <w:pPr>
              <w:spacing w:after="0"/>
              <w:rPr>
                <w:rFonts w:ascii="Arial" w:cs="Arial" w:eastAsia="Arial" w:hAnsi="Arial"/>
                <w:sz w:val="18"/>
                <w:szCs w:val="18"/>
                <w:u w:val="single" w:color="auto"/>
                <w:color w:val="0000EE"/>
              </w:rPr>
            </w:pPr>
            <w:hyperlink r:id="rId248">
              <w:r>
                <w:rPr>
                  <w:rFonts w:ascii="Arial" w:cs="Arial" w:eastAsia="Arial" w:hAnsi="Arial"/>
                  <w:sz w:val="18"/>
                  <w:szCs w:val="18"/>
                  <w:u w:val="single" w:color="auto"/>
                  <w:color w:val="0000EE"/>
                </w:rPr>
                <w:t>10.3*</w:t>
              </w:r>
            </w:hyperlink>
          </w:p>
        </w:tc>
        <w:tc>
          <w:tcPr>
            <w:tcW w:w="80" w:type="dxa"/>
            <w:vAlign w:val="bottom"/>
          </w:tcPr>
          <w:p>
            <w:pPr>
              <w:spacing w:after="0"/>
              <w:rPr>
                <w:sz w:val="24"/>
                <w:szCs w:val="24"/>
                <w:color w:val="auto"/>
              </w:rPr>
            </w:pPr>
          </w:p>
        </w:tc>
        <w:tc>
          <w:tcPr>
            <w:tcW w:w="10240" w:type="dxa"/>
            <w:vAlign w:val="bottom"/>
            <w:gridSpan w:val="3"/>
          </w:tcPr>
          <w:p>
            <w:pPr>
              <w:spacing w:after="0"/>
              <w:rPr>
                <w:rFonts w:ascii="Arial" w:cs="Arial" w:eastAsia="Arial" w:hAnsi="Arial"/>
                <w:sz w:val="18"/>
                <w:szCs w:val="18"/>
                <w:u w:val="single" w:color="auto"/>
                <w:color w:val="0000EE"/>
              </w:rPr>
            </w:pPr>
            <w:hyperlink r:id="rId248">
              <w:r>
                <w:rPr>
                  <w:rFonts w:ascii="Arial" w:cs="Arial" w:eastAsia="Arial" w:hAnsi="Arial"/>
                  <w:sz w:val="18"/>
                  <w:szCs w:val="18"/>
                  <w:u w:val="single" w:color="auto"/>
                  <w:color w:val="0000EE"/>
                </w:rPr>
                <w:t>Form of Registration Rights Agreement among the Registrant, Freedom Acquisition I LLC and the Holders signatory thereto.</w:t>
              </w:r>
            </w:hyperlink>
          </w:p>
        </w:tc>
      </w:tr>
      <w:tr>
        <w:trPr>
          <w:trHeight w:val="297"/>
        </w:trPr>
        <w:tc>
          <w:tcPr>
            <w:tcW w:w="840" w:type="dxa"/>
            <w:vAlign w:val="bottom"/>
          </w:tcPr>
          <w:p>
            <w:pPr>
              <w:spacing w:after="0"/>
              <w:rPr>
                <w:rFonts w:ascii="Arial" w:cs="Arial" w:eastAsia="Arial" w:hAnsi="Arial"/>
                <w:sz w:val="18"/>
                <w:szCs w:val="18"/>
                <w:u w:val="single" w:color="auto"/>
                <w:color w:val="0000EE"/>
              </w:rPr>
            </w:pPr>
            <w:hyperlink w:anchor="page296">
              <w:r>
                <w:rPr>
                  <w:rFonts w:ascii="Arial" w:cs="Arial" w:eastAsia="Arial" w:hAnsi="Arial"/>
                  <w:sz w:val="18"/>
                  <w:szCs w:val="18"/>
                  <w:u w:val="single" w:color="auto"/>
                  <w:color w:val="0000EE"/>
                </w:rPr>
                <w:t>10.4**†</w:t>
              </w:r>
            </w:hyperlink>
          </w:p>
        </w:tc>
        <w:tc>
          <w:tcPr>
            <w:tcW w:w="80" w:type="dxa"/>
            <w:vAlign w:val="bottom"/>
          </w:tcPr>
          <w:p>
            <w:pPr>
              <w:spacing w:after="0"/>
              <w:rPr>
                <w:sz w:val="24"/>
                <w:szCs w:val="24"/>
                <w:color w:val="auto"/>
              </w:rPr>
            </w:pPr>
          </w:p>
        </w:tc>
        <w:tc>
          <w:tcPr>
            <w:tcW w:w="10240" w:type="dxa"/>
            <w:vAlign w:val="bottom"/>
            <w:gridSpan w:val="3"/>
          </w:tcPr>
          <w:p>
            <w:pPr>
              <w:spacing w:after="0"/>
              <w:rPr>
                <w:rFonts w:ascii="Arial" w:cs="Arial" w:eastAsia="Arial" w:hAnsi="Arial"/>
                <w:sz w:val="18"/>
                <w:szCs w:val="18"/>
                <w:u w:val="single" w:color="auto"/>
                <w:color w:val="0000EE"/>
              </w:rPr>
            </w:pPr>
            <w:hyperlink w:anchor="page296">
              <w:r>
                <w:rPr>
                  <w:rFonts w:ascii="Arial" w:cs="Arial" w:eastAsia="Arial" w:hAnsi="Arial"/>
                  <w:sz w:val="18"/>
                  <w:szCs w:val="18"/>
                  <w:u w:val="single" w:color="auto"/>
                  <w:color w:val="0000EE"/>
                </w:rPr>
                <w:t>Form of Private Placement Warrants Purchase Agreement among the Registrant and Freedom Acquisition I LLC.</w:t>
              </w:r>
            </w:hyperlink>
          </w:p>
        </w:tc>
      </w:tr>
      <w:tr>
        <w:trPr>
          <w:trHeight w:val="297"/>
        </w:trPr>
        <w:tc>
          <w:tcPr>
            <w:tcW w:w="840" w:type="dxa"/>
            <w:vAlign w:val="bottom"/>
          </w:tcPr>
          <w:p>
            <w:pPr>
              <w:spacing w:after="0"/>
              <w:rPr>
                <w:rFonts w:ascii="Arial" w:cs="Arial" w:eastAsia="Arial" w:hAnsi="Arial"/>
                <w:sz w:val="18"/>
                <w:szCs w:val="18"/>
                <w:u w:val="single" w:color="auto"/>
                <w:color w:val="0000EE"/>
              </w:rPr>
            </w:pPr>
            <w:hyperlink r:id="rId249">
              <w:r>
                <w:rPr>
                  <w:rFonts w:ascii="Arial" w:cs="Arial" w:eastAsia="Arial" w:hAnsi="Arial"/>
                  <w:sz w:val="18"/>
                  <w:szCs w:val="18"/>
                  <w:u w:val="single" w:color="auto"/>
                  <w:color w:val="0000EE"/>
                </w:rPr>
                <w:t>10.5*</w:t>
              </w:r>
            </w:hyperlink>
          </w:p>
        </w:tc>
        <w:tc>
          <w:tcPr>
            <w:tcW w:w="80" w:type="dxa"/>
            <w:vAlign w:val="bottom"/>
          </w:tcPr>
          <w:p>
            <w:pPr>
              <w:spacing w:after="0"/>
              <w:rPr>
                <w:sz w:val="24"/>
                <w:szCs w:val="24"/>
                <w:color w:val="auto"/>
              </w:rPr>
            </w:pPr>
          </w:p>
        </w:tc>
        <w:tc>
          <w:tcPr>
            <w:tcW w:w="10240" w:type="dxa"/>
            <w:vAlign w:val="bottom"/>
            <w:gridSpan w:val="3"/>
          </w:tcPr>
          <w:p>
            <w:pPr>
              <w:spacing w:after="0"/>
              <w:rPr>
                <w:rFonts w:ascii="Arial" w:cs="Arial" w:eastAsia="Arial" w:hAnsi="Arial"/>
                <w:sz w:val="18"/>
                <w:szCs w:val="18"/>
                <w:u w:val="single" w:color="auto"/>
                <w:color w:val="0000EE"/>
              </w:rPr>
            </w:pPr>
            <w:hyperlink r:id="rId249">
              <w:r>
                <w:rPr>
                  <w:rFonts w:ascii="Arial" w:cs="Arial" w:eastAsia="Arial" w:hAnsi="Arial"/>
                  <w:sz w:val="18"/>
                  <w:szCs w:val="18"/>
                  <w:u w:val="single" w:color="auto"/>
                  <w:color w:val="0000EE"/>
                </w:rPr>
                <w:t>Form of Indemnity Agreement.</w:t>
              </w:r>
            </w:hyperlink>
          </w:p>
        </w:tc>
      </w:tr>
      <w:tr>
        <w:trPr>
          <w:trHeight w:val="297"/>
        </w:trPr>
        <w:tc>
          <w:tcPr>
            <w:tcW w:w="840" w:type="dxa"/>
            <w:vAlign w:val="bottom"/>
          </w:tcPr>
          <w:p>
            <w:pPr>
              <w:spacing w:after="0"/>
              <w:rPr>
                <w:rFonts w:ascii="Arial" w:cs="Arial" w:eastAsia="Arial" w:hAnsi="Arial"/>
                <w:sz w:val="18"/>
                <w:szCs w:val="18"/>
                <w:u w:val="single" w:color="auto"/>
                <w:color w:val="0000EE"/>
              </w:rPr>
            </w:pPr>
            <w:hyperlink r:id="rId250">
              <w:r>
                <w:rPr>
                  <w:rFonts w:ascii="Arial" w:cs="Arial" w:eastAsia="Arial" w:hAnsi="Arial"/>
                  <w:sz w:val="18"/>
                  <w:szCs w:val="18"/>
                  <w:u w:val="single" w:color="auto"/>
                  <w:color w:val="0000EE"/>
                </w:rPr>
                <w:t>10.6*</w:t>
              </w:r>
            </w:hyperlink>
          </w:p>
        </w:tc>
        <w:tc>
          <w:tcPr>
            <w:tcW w:w="80" w:type="dxa"/>
            <w:vAlign w:val="bottom"/>
          </w:tcPr>
          <w:p>
            <w:pPr>
              <w:spacing w:after="0"/>
              <w:rPr>
                <w:sz w:val="24"/>
                <w:szCs w:val="24"/>
                <w:color w:val="auto"/>
              </w:rPr>
            </w:pPr>
          </w:p>
        </w:tc>
        <w:tc>
          <w:tcPr>
            <w:tcW w:w="10240" w:type="dxa"/>
            <w:vAlign w:val="bottom"/>
            <w:gridSpan w:val="3"/>
          </w:tcPr>
          <w:p>
            <w:pPr>
              <w:spacing w:after="0"/>
              <w:rPr>
                <w:rFonts w:ascii="Arial" w:cs="Arial" w:eastAsia="Arial" w:hAnsi="Arial"/>
                <w:sz w:val="18"/>
                <w:szCs w:val="18"/>
                <w:u w:val="single" w:color="auto"/>
                <w:color w:val="0000EE"/>
              </w:rPr>
            </w:pPr>
            <w:hyperlink r:id="rId250">
              <w:r>
                <w:rPr>
                  <w:rFonts w:ascii="Arial" w:cs="Arial" w:eastAsia="Arial" w:hAnsi="Arial"/>
                  <w:sz w:val="18"/>
                  <w:szCs w:val="18"/>
                  <w:u w:val="single" w:color="auto"/>
                  <w:color w:val="0000EE"/>
                </w:rPr>
                <w:t>Promissory Note issued to Freedom Acquisition I LLC.</w:t>
              </w:r>
            </w:hyperlink>
          </w:p>
        </w:tc>
      </w:tr>
      <w:tr>
        <w:trPr>
          <w:trHeight w:val="297"/>
        </w:trPr>
        <w:tc>
          <w:tcPr>
            <w:tcW w:w="840" w:type="dxa"/>
            <w:vAlign w:val="bottom"/>
          </w:tcPr>
          <w:p>
            <w:pPr>
              <w:spacing w:after="0"/>
              <w:rPr>
                <w:rFonts w:ascii="Arial" w:cs="Arial" w:eastAsia="Arial" w:hAnsi="Arial"/>
                <w:sz w:val="18"/>
                <w:szCs w:val="18"/>
                <w:u w:val="single" w:color="auto"/>
                <w:color w:val="0000EE"/>
              </w:rPr>
            </w:pPr>
            <w:hyperlink r:id="rId251">
              <w:r>
                <w:rPr>
                  <w:rFonts w:ascii="Arial" w:cs="Arial" w:eastAsia="Arial" w:hAnsi="Arial"/>
                  <w:sz w:val="18"/>
                  <w:szCs w:val="18"/>
                  <w:u w:val="single" w:color="auto"/>
                  <w:color w:val="0000EE"/>
                </w:rPr>
                <w:t>10.7*</w:t>
              </w:r>
            </w:hyperlink>
          </w:p>
        </w:tc>
        <w:tc>
          <w:tcPr>
            <w:tcW w:w="80" w:type="dxa"/>
            <w:vAlign w:val="bottom"/>
          </w:tcPr>
          <w:p>
            <w:pPr>
              <w:spacing w:after="0"/>
              <w:rPr>
                <w:sz w:val="24"/>
                <w:szCs w:val="24"/>
                <w:color w:val="auto"/>
              </w:rPr>
            </w:pPr>
          </w:p>
        </w:tc>
        <w:tc>
          <w:tcPr>
            <w:tcW w:w="10240" w:type="dxa"/>
            <w:vAlign w:val="bottom"/>
            <w:gridSpan w:val="3"/>
          </w:tcPr>
          <w:p>
            <w:pPr>
              <w:spacing w:after="0"/>
              <w:rPr>
                <w:rFonts w:ascii="Arial" w:cs="Arial" w:eastAsia="Arial" w:hAnsi="Arial"/>
                <w:sz w:val="18"/>
                <w:szCs w:val="18"/>
                <w:color w:val="0000EE"/>
              </w:rPr>
            </w:pPr>
            <w:hyperlink r:id="rId251">
              <w:r>
                <w:rPr>
                  <w:rFonts w:ascii="Arial" w:cs="Arial" w:eastAsia="Arial" w:hAnsi="Arial"/>
                  <w:sz w:val="18"/>
                  <w:szCs w:val="18"/>
                  <w:u w:val="single" w:color="auto"/>
                  <w:color w:val="0000EE"/>
                </w:rPr>
                <w:t>Securities Purchase Agreement between Freedom Acquisition I LLC and the Registrant</w:t>
              </w:r>
              <w:r>
                <w:rPr>
                  <w:rFonts w:ascii="Arial" w:cs="Arial" w:eastAsia="Arial" w:hAnsi="Arial"/>
                  <w:sz w:val="18"/>
                  <w:szCs w:val="18"/>
                  <w:color w:val="0000EE"/>
                </w:rPr>
                <w:t>.</w:t>
              </w:r>
            </w:hyperlink>
          </w:p>
        </w:tc>
      </w:tr>
      <w:tr>
        <w:trPr>
          <w:trHeight w:val="297"/>
        </w:trPr>
        <w:tc>
          <w:tcPr>
            <w:tcW w:w="840" w:type="dxa"/>
            <w:vAlign w:val="bottom"/>
          </w:tcPr>
          <w:p>
            <w:pPr>
              <w:spacing w:after="0"/>
              <w:rPr>
                <w:rFonts w:ascii="Arial" w:cs="Arial" w:eastAsia="Arial" w:hAnsi="Arial"/>
                <w:sz w:val="18"/>
                <w:szCs w:val="18"/>
                <w:u w:val="single" w:color="auto"/>
                <w:color w:val="0000EE"/>
              </w:rPr>
            </w:pPr>
            <w:hyperlink r:id="rId252">
              <w:r>
                <w:rPr>
                  <w:rFonts w:ascii="Arial" w:cs="Arial" w:eastAsia="Arial" w:hAnsi="Arial"/>
                  <w:sz w:val="18"/>
                  <w:szCs w:val="18"/>
                  <w:u w:val="single" w:color="auto"/>
                  <w:color w:val="0000EE"/>
                </w:rPr>
                <w:t>10.8*</w:t>
              </w:r>
            </w:hyperlink>
          </w:p>
        </w:tc>
        <w:tc>
          <w:tcPr>
            <w:tcW w:w="80" w:type="dxa"/>
            <w:vAlign w:val="bottom"/>
          </w:tcPr>
          <w:p>
            <w:pPr>
              <w:spacing w:after="0"/>
              <w:rPr>
                <w:sz w:val="24"/>
                <w:szCs w:val="24"/>
                <w:color w:val="auto"/>
              </w:rPr>
            </w:pPr>
          </w:p>
        </w:tc>
        <w:tc>
          <w:tcPr>
            <w:tcW w:w="10240" w:type="dxa"/>
            <w:vAlign w:val="bottom"/>
            <w:gridSpan w:val="3"/>
          </w:tcPr>
          <w:p>
            <w:pPr>
              <w:spacing w:after="0"/>
              <w:rPr>
                <w:rFonts w:ascii="Arial" w:cs="Arial" w:eastAsia="Arial" w:hAnsi="Arial"/>
                <w:sz w:val="18"/>
                <w:szCs w:val="18"/>
                <w:u w:val="single" w:color="auto"/>
                <w:color w:val="0000EE"/>
              </w:rPr>
            </w:pPr>
            <w:hyperlink r:id="rId252">
              <w:r>
                <w:rPr>
                  <w:rFonts w:ascii="Arial" w:cs="Arial" w:eastAsia="Arial" w:hAnsi="Arial"/>
                  <w:sz w:val="18"/>
                  <w:szCs w:val="18"/>
                  <w:u w:val="single" w:color="auto"/>
                  <w:color w:val="0000EE"/>
                </w:rPr>
                <w:t>Form of Administrative Services Agreement between the Registrant and Freedom Acquisition I LLC.</w:t>
              </w:r>
            </w:hyperlink>
          </w:p>
        </w:tc>
      </w:tr>
      <w:tr>
        <w:trPr>
          <w:trHeight w:val="297"/>
        </w:trPr>
        <w:tc>
          <w:tcPr>
            <w:tcW w:w="840" w:type="dxa"/>
            <w:vAlign w:val="bottom"/>
          </w:tcPr>
          <w:p>
            <w:pPr>
              <w:spacing w:after="0"/>
              <w:rPr>
                <w:rFonts w:ascii="Arial" w:cs="Arial" w:eastAsia="Arial" w:hAnsi="Arial"/>
                <w:sz w:val="18"/>
                <w:szCs w:val="18"/>
                <w:u w:val="single" w:color="auto"/>
                <w:color w:val="0000EE"/>
              </w:rPr>
            </w:pPr>
            <w:hyperlink r:id="rId253">
              <w:r>
                <w:rPr>
                  <w:rFonts w:ascii="Arial" w:cs="Arial" w:eastAsia="Arial" w:hAnsi="Arial"/>
                  <w:sz w:val="18"/>
                  <w:szCs w:val="18"/>
                  <w:u w:val="single" w:color="auto"/>
                  <w:color w:val="0000EE"/>
                </w:rPr>
                <w:t>14.1*</w:t>
              </w:r>
            </w:hyperlink>
          </w:p>
        </w:tc>
        <w:tc>
          <w:tcPr>
            <w:tcW w:w="80" w:type="dxa"/>
            <w:vAlign w:val="bottom"/>
          </w:tcPr>
          <w:p>
            <w:pPr>
              <w:spacing w:after="0"/>
              <w:rPr>
                <w:sz w:val="24"/>
                <w:szCs w:val="24"/>
                <w:color w:val="auto"/>
              </w:rPr>
            </w:pPr>
          </w:p>
        </w:tc>
        <w:tc>
          <w:tcPr>
            <w:tcW w:w="10240" w:type="dxa"/>
            <w:vAlign w:val="bottom"/>
            <w:gridSpan w:val="3"/>
          </w:tcPr>
          <w:p>
            <w:pPr>
              <w:spacing w:after="0"/>
              <w:rPr>
                <w:rFonts w:ascii="Arial" w:cs="Arial" w:eastAsia="Arial" w:hAnsi="Arial"/>
                <w:sz w:val="18"/>
                <w:szCs w:val="18"/>
                <w:u w:val="single" w:color="auto"/>
                <w:color w:val="0000EE"/>
              </w:rPr>
            </w:pPr>
            <w:hyperlink r:id="rId253">
              <w:r>
                <w:rPr>
                  <w:rFonts w:ascii="Arial" w:cs="Arial" w:eastAsia="Arial" w:hAnsi="Arial"/>
                  <w:sz w:val="18"/>
                  <w:szCs w:val="18"/>
                  <w:u w:val="single" w:color="auto"/>
                  <w:color w:val="0000EE"/>
                </w:rPr>
                <w:t>Form of Code of Ethics.</w:t>
              </w:r>
            </w:hyperlink>
          </w:p>
        </w:tc>
      </w:tr>
      <w:tr>
        <w:trPr>
          <w:trHeight w:val="297"/>
        </w:trPr>
        <w:tc>
          <w:tcPr>
            <w:tcW w:w="840" w:type="dxa"/>
            <w:vAlign w:val="bottom"/>
          </w:tcPr>
          <w:p>
            <w:pPr>
              <w:spacing w:after="0"/>
              <w:rPr>
                <w:rFonts w:ascii="Arial" w:cs="Arial" w:eastAsia="Arial" w:hAnsi="Arial"/>
                <w:sz w:val="18"/>
                <w:szCs w:val="18"/>
                <w:u w:val="single" w:color="auto"/>
                <w:color w:val="0000EE"/>
              </w:rPr>
            </w:pPr>
            <w:hyperlink w:anchor="page302">
              <w:r>
                <w:rPr>
                  <w:rFonts w:ascii="Arial" w:cs="Arial" w:eastAsia="Arial" w:hAnsi="Arial"/>
                  <w:sz w:val="18"/>
                  <w:szCs w:val="18"/>
                  <w:u w:val="single" w:color="auto"/>
                  <w:color w:val="0000EE"/>
                </w:rPr>
                <w:t>23.1**</w:t>
              </w:r>
            </w:hyperlink>
          </w:p>
        </w:tc>
        <w:tc>
          <w:tcPr>
            <w:tcW w:w="80" w:type="dxa"/>
            <w:vAlign w:val="bottom"/>
          </w:tcPr>
          <w:p>
            <w:pPr>
              <w:spacing w:after="0"/>
              <w:rPr>
                <w:sz w:val="24"/>
                <w:szCs w:val="24"/>
                <w:color w:val="auto"/>
              </w:rPr>
            </w:pPr>
          </w:p>
        </w:tc>
        <w:tc>
          <w:tcPr>
            <w:tcW w:w="10240" w:type="dxa"/>
            <w:vAlign w:val="bottom"/>
            <w:gridSpan w:val="3"/>
          </w:tcPr>
          <w:p>
            <w:pPr>
              <w:spacing w:after="0"/>
              <w:rPr>
                <w:rFonts w:ascii="Arial" w:cs="Arial" w:eastAsia="Arial" w:hAnsi="Arial"/>
                <w:sz w:val="18"/>
                <w:szCs w:val="18"/>
                <w:color w:val="0000EE"/>
              </w:rPr>
            </w:pPr>
            <w:hyperlink w:anchor="page302">
              <w:r>
                <w:rPr>
                  <w:rFonts w:ascii="Arial" w:cs="Arial" w:eastAsia="Arial" w:hAnsi="Arial"/>
                  <w:sz w:val="18"/>
                  <w:szCs w:val="18"/>
                  <w:u w:val="single" w:color="auto"/>
                  <w:color w:val="0000EE"/>
                </w:rPr>
                <w:t>Consent of Marcum LLP</w:t>
              </w:r>
              <w:r>
                <w:rPr>
                  <w:rFonts w:ascii="Arial" w:cs="Arial" w:eastAsia="Arial" w:hAnsi="Arial"/>
                  <w:sz w:val="18"/>
                  <w:szCs w:val="18"/>
                  <w:color w:val="0000EE"/>
                </w:rPr>
                <w:t>.</w:t>
              </w:r>
            </w:hyperlink>
          </w:p>
        </w:tc>
      </w:tr>
      <w:tr>
        <w:trPr>
          <w:trHeight w:val="297"/>
        </w:trPr>
        <w:tc>
          <w:tcPr>
            <w:tcW w:w="840" w:type="dxa"/>
            <w:vAlign w:val="bottom"/>
          </w:tcPr>
          <w:p>
            <w:pPr>
              <w:spacing w:after="0"/>
              <w:rPr>
                <w:rFonts w:ascii="Arial" w:cs="Arial" w:eastAsia="Arial" w:hAnsi="Arial"/>
                <w:sz w:val="18"/>
                <w:szCs w:val="18"/>
                <w:u w:val="single" w:color="auto"/>
                <w:color w:val="0000EE"/>
              </w:rPr>
            </w:pPr>
            <w:hyperlink w:anchor="page264">
              <w:r>
                <w:rPr>
                  <w:rFonts w:ascii="Arial" w:cs="Arial" w:eastAsia="Arial" w:hAnsi="Arial"/>
                  <w:sz w:val="18"/>
                  <w:szCs w:val="18"/>
                  <w:u w:val="single" w:color="auto"/>
                  <w:color w:val="0000EE"/>
                </w:rPr>
                <w:t>23.2**†</w:t>
              </w:r>
            </w:hyperlink>
          </w:p>
        </w:tc>
        <w:tc>
          <w:tcPr>
            <w:tcW w:w="80" w:type="dxa"/>
            <w:vAlign w:val="bottom"/>
          </w:tcPr>
          <w:p>
            <w:pPr>
              <w:spacing w:after="0"/>
              <w:rPr>
                <w:sz w:val="24"/>
                <w:szCs w:val="24"/>
                <w:color w:val="auto"/>
              </w:rPr>
            </w:pPr>
          </w:p>
        </w:tc>
        <w:tc>
          <w:tcPr>
            <w:tcW w:w="10240" w:type="dxa"/>
            <w:vAlign w:val="bottom"/>
            <w:gridSpan w:val="3"/>
          </w:tcPr>
          <w:p>
            <w:pPr>
              <w:spacing w:after="0"/>
              <w:rPr>
                <w:rFonts w:ascii="Arial" w:cs="Arial" w:eastAsia="Arial" w:hAnsi="Arial"/>
                <w:sz w:val="18"/>
                <w:szCs w:val="18"/>
                <w:u w:val="single" w:color="auto"/>
                <w:color w:val="0000EE"/>
              </w:rPr>
            </w:pPr>
            <w:hyperlink w:anchor="page264">
              <w:r>
                <w:rPr>
                  <w:rFonts w:ascii="Arial" w:cs="Arial" w:eastAsia="Arial" w:hAnsi="Arial"/>
                  <w:sz w:val="18"/>
                  <w:szCs w:val="18"/>
                  <w:u w:val="single" w:color="auto"/>
                  <w:color w:val="0000EE"/>
                </w:rPr>
                <w:t>Consent of Davis Polk &amp; Wardwell LLP (included on Exhibit 5.1).</w:t>
              </w:r>
            </w:hyperlink>
          </w:p>
        </w:tc>
      </w:tr>
      <w:tr>
        <w:trPr>
          <w:trHeight w:val="297"/>
        </w:trPr>
        <w:tc>
          <w:tcPr>
            <w:tcW w:w="840" w:type="dxa"/>
            <w:vAlign w:val="bottom"/>
          </w:tcPr>
          <w:p>
            <w:pPr>
              <w:spacing w:after="0"/>
              <w:rPr>
                <w:rFonts w:ascii="Arial" w:cs="Arial" w:eastAsia="Arial" w:hAnsi="Arial"/>
                <w:sz w:val="18"/>
                <w:szCs w:val="18"/>
                <w:u w:val="single" w:color="auto"/>
                <w:color w:val="0000EE"/>
              </w:rPr>
            </w:pPr>
            <w:hyperlink w:anchor="page267">
              <w:r>
                <w:rPr>
                  <w:rFonts w:ascii="Arial" w:cs="Arial" w:eastAsia="Arial" w:hAnsi="Arial"/>
                  <w:sz w:val="18"/>
                  <w:szCs w:val="18"/>
                  <w:u w:val="single" w:color="auto"/>
                  <w:color w:val="0000EE"/>
                </w:rPr>
                <w:t>23.3**†</w:t>
              </w:r>
            </w:hyperlink>
          </w:p>
        </w:tc>
        <w:tc>
          <w:tcPr>
            <w:tcW w:w="80" w:type="dxa"/>
            <w:vAlign w:val="bottom"/>
          </w:tcPr>
          <w:p>
            <w:pPr>
              <w:spacing w:after="0"/>
              <w:rPr>
                <w:sz w:val="24"/>
                <w:szCs w:val="24"/>
                <w:color w:val="auto"/>
              </w:rPr>
            </w:pPr>
          </w:p>
        </w:tc>
        <w:tc>
          <w:tcPr>
            <w:tcW w:w="10240" w:type="dxa"/>
            <w:vAlign w:val="bottom"/>
            <w:gridSpan w:val="3"/>
          </w:tcPr>
          <w:p>
            <w:pPr>
              <w:spacing w:after="0"/>
              <w:rPr>
                <w:rFonts w:ascii="Arial" w:cs="Arial" w:eastAsia="Arial" w:hAnsi="Arial"/>
                <w:sz w:val="18"/>
                <w:szCs w:val="18"/>
                <w:u w:val="single" w:color="auto"/>
                <w:color w:val="0000EE"/>
              </w:rPr>
            </w:pPr>
            <w:hyperlink w:anchor="page267">
              <w:r>
                <w:rPr>
                  <w:rFonts w:ascii="Arial" w:cs="Arial" w:eastAsia="Arial" w:hAnsi="Arial"/>
                  <w:sz w:val="18"/>
                  <w:szCs w:val="18"/>
                  <w:u w:val="single" w:color="auto"/>
                  <w:color w:val="0000EE"/>
                </w:rPr>
                <w:t>Consent of Maples and Calder (included on Exhibit 5.2).</w:t>
              </w:r>
            </w:hyperlink>
          </w:p>
        </w:tc>
      </w:tr>
      <w:tr>
        <w:trPr>
          <w:trHeight w:val="297"/>
        </w:trPr>
        <w:tc>
          <w:tcPr>
            <w:tcW w:w="840" w:type="dxa"/>
            <w:vAlign w:val="bottom"/>
          </w:tcPr>
          <w:p>
            <w:pPr>
              <w:spacing w:after="0"/>
              <w:rPr>
                <w:rFonts w:ascii="Arial" w:cs="Arial" w:eastAsia="Arial" w:hAnsi="Arial"/>
                <w:sz w:val="18"/>
                <w:szCs w:val="18"/>
                <w:u w:val="single" w:color="auto"/>
                <w:color w:val="0000EE"/>
              </w:rPr>
            </w:pPr>
            <w:hyperlink r:id="rId254">
              <w:r>
                <w:rPr>
                  <w:rFonts w:ascii="Arial" w:cs="Arial" w:eastAsia="Arial" w:hAnsi="Arial"/>
                  <w:sz w:val="18"/>
                  <w:szCs w:val="18"/>
                  <w:u w:val="single" w:color="auto"/>
                  <w:color w:val="0000EE"/>
                </w:rPr>
                <w:t>24.1*</w:t>
              </w:r>
            </w:hyperlink>
          </w:p>
        </w:tc>
        <w:tc>
          <w:tcPr>
            <w:tcW w:w="80" w:type="dxa"/>
            <w:vAlign w:val="bottom"/>
          </w:tcPr>
          <w:p>
            <w:pPr>
              <w:spacing w:after="0"/>
              <w:rPr>
                <w:sz w:val="24"/>
                <w:szCs w:val="24"/>
                <w:color w:val="auto"/>
              </w:rPr>
            </w:pPr>
          </w:p>
        </w:tc>
        <w:tc>
          <w:tcPr>
            <w:tcW w:w="10240" w:type="dxa"/>
            <w:vAlign w:val="bottom"/>
            <w:gridSpan w:val="3"/>
          </w:tcPr>
          <w:p>
            <w:pPr>
              <w:spacing w:after="0"/>
              <w:rPr>
                <w:rFonts w:ascii="Arial" w:cs="Arial" w:eastAsia="Arial" w:hAnsi="Arial"/>
                <w:sz w:val="18"/>
                <w:szCs w:val="18"/>
                <w:u w:val="single" w:color="auto"/>
                <w:color w:val="0000EE"/>
              </w:rPr>
            </w:pPr>
            <w:hyperlink r:id="rId254">
              <w:r>
                <w:rPr>
                  <w:rFonts w:ascii="Arial" w:cs="Arial" w:eastAsia="Arial" w:hAnsi="Arial"/>
                  <w:sz w:val="18"/>
                  <w:szCs w:val="18"/>
                  <w:u w:val="single" w:color="auto"/>
                  <w:color w:val="0000EE"/>
                </w:rPr>
                <w:t>Power of Attorney (included in the signature page to the initial filing of this Registration Statement).</w:t>
              </w:r>
            </w:hyperlink>
          </w:p>
        </w:tc>
      </w:tr>
      <w:tr>
        <w:trPr>
          <w:trHeight w:val="297"/>
        </w:trPr>
        <w:tc>
          <w:tcPr>
            <w:tcW w:w="840" w:type="dxa"/>
            <w:vAlign w:val="bottom"/>
          </w:tcPr>
          <w:p>
            <w:pPr>
              <w:spacing w:after="0"/>
              <w:rPr>
                <w:rFonts w:ascii="Arial" w:cs="Arial" w:eastAsia="Arial" w:hAnsi="Arial"/>
                <w:sz w:val="18"/>
                <w:szCs w:val="18"/>
                <w:u w:val="single" w:color="auto"/>
                <w:color w:val="0000EE"/>
              </w:rPr>
            </w:pPr>
            <w:hyperlink r:id="rId255">
              <w:r>
                <w:rPr>
                  <w:rFonts w:ascii="Arial" w:cs="Arial" w:eastAsia="Arial" w:hAnsi="Arial"/>
                  <w:sz w:val="18"/>
                  <w:szCs w:val="18"/>
                  <w:u w:val="single" w:color="auto"/>
                  <w:color w:val="0000EE"/>
                </w:rPr>
                <w:t>99.1*</w:t>
              </w:r>
            </w:hyperlink>
          </w:p>
        </w:tc>
        <w:tc>
          <w:tcPr>
            <w:tcW w:w="80" w:type="dxa"/>
            <w:vAlign w:val="bottom"/>
          </w:tcPr>
          <w:p>
            <w:pPr>
              <w:spacing w:after="0"/>
              <w:rPr>
                <w:sz w:val="24"/>
                <w:szCs w:val="24"/>
                <w:color w:val="auto"/>
              </w:rPr>
            </w:pPr>
          </w:p>
        </w:tc>
        <w:tc>
          <w:tcPr>
            <w:tcW w:w="10240" w:type="dxa"/>
            <w:vAlign w:val="bottom"/>
            <w:gridSpan w:val="3"/>
          </w:tcPr>
          <w:p>
            <w:pPr>
              <w:spacing w:after="0"/>
              <w:rPr>
                <w:rFonts w:ascii="Arial" w:cs="Arial" w:eastAsia="Arial" w:hAnsi="Arial"/>
                <w:sz w:val="18"/>
                <w:szCs w:val="18"/>
                <w:color w:val="0000EE"/>
              </w:rPr>
            </w:pPr>
            <w:hyperlink r:id="rId255">
              <w:r>
                <w:rPr>
                  <w:rFonts w:ascii="Arial" w:cs="Arial" w:eastAsia="Arial" w:hAnsi="Arial"/>
                  <w:sz w:val="18"/>
                  <w:szCs w:val="18"/>
                  <w:u w:val="single" w:color="auto"/>
                  <w:color w:val="0000EE"/>
                </w:rPr>
                <w:t>Consent of Jamie Weinstein, Director Nominee</w:t>
              </w:r>
              <w:r>
                <w:rPr>
                  <w:rFonts w:ascii="Arial" w:cs="Arial" w:eastAsia="Arial" w:hAnsi="Arial"/>
                  <w:sz w:val="18"/>
                  <w:szCs w:val="18"/>
                  <w:color w:val="0000EE"/>
                </w:rPr>
                <w:t>.</w:t>
              </w:r>
            </w:hyperlink>
          </w:p>
        </w:tc>
      </w:tr>
      <w:tr>
        <w:trPr>
          <w:trHeight w:val="297"/>
        </w:trPr>
        <w:tc>
          <w:tcPr>
            <w:tcW w:w="840" w:type="dxa"/>
            <w:vAlign w:val="bottom"/>
          </w:tcPr>
          <w:p>
            <w:pPr>
              <w:spacing w:after="0"/>
              <w:rPr>
                <w:rFonts w:ascii="Arial" w:cs="Arial" w:eastAsia="Arial" w:hAnsi="Arial"/>
                <w:sz w:val="18"/>
                <w:szCs w:val="18"/>
                <w:u w:val="single" w:color="auto"/>
                <w:color w:val="0000EE"/>
              </w:rPr>
            </w:pPr>
            <w:hyperlink w:anchor="page303">
              <w:r>
                <w:rPr>
                  <w:rFonts w:ascii="Arial" w:cs="Arial" w:eastAsia="Arial" w:hAnsi="Arial"/>
                  <w:sz w:val="18"/>
                  <w:szCs w:val="18"/>
                  <w:u w:val="single" w:color="auto"/>
                  <w:color w:val="0000EE"/>
                </w:rPr>
                <w:t>99.2**</w:t>
              </w:r>
            </w:hyperlink>
          </w:p>
        </w:tc>
        <w:tc>
          <w:tcPr>
            <w:tcW w:w="80" w:type="dxa"/>
            <w:vAlign w:val="bottom"/>
          </w:tcPr>
          <w:p>
            <w:pPr>
              <w:spacing w:after="0"/>
              <w:rPr>
                <w:sz w:val="24"/>
                <w:szCs w:val="24"/>
                <w:color w:val="auto"/>
              </w:rPr>
            </w:pPr>
          </w:p>
        </w:tc>
        <w:tc>
          <w:tcPr>
            <w:tcW w:w="10240" w:type="dxa"/>
            <w:vAlign w:val="bottom"/>
            <w:gridSpan w:val="3"/>
          </w:tcPr>
          <w:p>
            <w:pPr>
              <w:spacing w:after="0"/>
              <w:rPr>
                <w:rFonts w:ascii="Arial" w:cs="Arial" w:eastAsia="Arial" w:hAnsi="Arial"/>
                <w:sz w:val="18"/>
                <w:szCs w:val="18"/>
                <w:u w:val="single" w:color="auto"/>
                <w:color w:val="0000EE"/>
              </w:rPr>
            </w:pPr>
            <w:hyperlink w:anchor="page303">
              <w:r>
                <w:rPr>
                  <w:rFonts w:ascii="Arial" w:cs="Arial" w:eastAsia="Arial" w:hAnsi="Arial"/>
                  <w:sz w:val="18"/>
                  <w:szCs w:val="18"/>
                  <w:u w:val="single" w:color="auto"/>
                  <w:color w:val="0000EE"/>
                </w:rPr>
                <w:t>Consent of Noreen Doyle, Director Nominee.</w:t>
              </w:r>
            </w:hyperlink>
          </w:p>
        </w:tc>
      </w:tr>
      <w:tr>
        <w:trPr>
          <w:trHeight w:val="297"/>
        </w:trPr>
        <w:tc>
          <w:tcPr>
            <w:tcW w:w="840" w:type="dxa"/>
            <w:vAlign w:val="bottom"/>
          </w:tcPr>
          <w:p>
            <w:pPr>
              <w:spacing w:after="0"/>
              <w:rPr>
                <w:rFonts w:ascii="Arial" w:cs="Arial" w:eastAsia="Arial" w:hAnsi="Arial"/>
                <w:sz w:val="18"/>
                <w:szCs w:val="18"/>
                <w:u w:val="single" w:color="auto"/>
                <w:color w:val="0000EE"/>
              </w:rPr>
            </w:pPr>
            <w:hyperlink w:anchor="page304">
              <w:r>
                <w:rPr>
                  <w:rFonts w:ascii="Arial" w:cs="Arial" w:eastAsia="Arial" w:hAnsi="Arial"/>
                  <w:sz w:val="18"/>
                  <w:szCs w:val="18"/>
                  <w:u w:val="single" w:color="auto"/>
                  <w:color w:val="0000EE"/>
                </w:rPr>
                <w:t>99.3**</w:t>
              </w:r>
            </w:hyperlink>
          </w:p>
        </w:tc>
        <w:tc>
          <w:tcPr>
            <w:tcW w:w="80" w:type="dxa"/>
            <w:vAlign w:val="bottom"/>
          </w:tcPr>
          <w:p>
            <w:pPr>
              <w:spacing w:after="0"/>
              <w:rPr>
                <w:sz w:val="24"/>
                <w:szCs w:val="24"/>
                <w:color w:val="auto"/>
              </w:rPr>
            </w:pPr>
          </w:p>
        </w:tc>
        <w:tc>
          <w:tcPr>
            <w:tcW w:w="10240" w:type="dxa"/>
            <w:vAlign w:val="bottom"/>
            <w:gridSpan w:val="3"/>
          </w:tcPr>
          <w:p>
            <w:pPr>
              <w:spacing w:after="0"/>
              <w:rPr>
                <w:rFonts w:ascii="Arial" w:cs="Arial" w:eastAsia="Arial" w:hAnsi="Arial"/>
                <w:sz w:val="18"/>
                <w:szCs w:val="18"/>
                <w:u w:val="single" w:color="auto"/>
                <w:color w:val="0000EE"/>
              </w:rPr>
            </w:pPr>
            <w:hyperlink w:anchor="page304">
              <w:r>
                <w:rPr>
                  <w:rFonts w:ascii="Arial" w:cs="Arial" w:eastAsia="Arial" w:hAnsi="Arial"/>
                  <w:sz w:val="18"/>
                  <w:szCs w:val="18"/>
                  <w:u w:val="single" w:color="auto"/>
                  <w:color w:val="0000EE"/>
                </w:rPr>
                <w:t>Consent of William Janetschek, Director Nominee.</w:t>
              </w:r>
            </w:hyperlink>
          </w:p>
        </w:tc>
      </w:tr>
      <w:tr>
        <w:trPr>
          <w:trHeight w:val="297"/>
        </w:trPr>
        <w:tc>
          <w:tcPr>
            <w:tcW w:w="840" w:type="dxa"/>
            <w:vAlign w:val="bottom"/>
          </w:tcPr>
          <w:p>
            <w:pPr>
              <w:spacing w:after="0"/>
              <w:rPr>
                <w:rFonts w:ascii="Arial" w:cs="Arial" w:eastAsia="Arial" w:hAnsi="Arial"/>
                <w:sz w:val="18"/>
                <w:szCs w:val="18"/>
                <w:u w:val="single" w:color="auto"/>
                <w:color w:val="0000EE"/>
              </w:rPr>
            </w:pPr>
            <w:hyperlink w:anchor="page305">
              <w:r>
                <w:rPr>
                  <w:rFonts w:ascii="Arial" w:cs="Arial" w:eastAsia="Arial" w:hAnsi="Arial"/>
                  <w:sz w:val="18"/>
                  <w:szCs w:val="18"/>
                  <w:u w:val="single" w:color="auto"/>
                  <w:color w:val="0000EE"/>
                </w:rPr>
                <w:t>99.4**</w:t>
              </w:r>
            </w:hyperlink>
          </w:p>
        </w:tc>
        <w:tc>
          <w:tcPr>
            <w:tcW w:w="80" w:type="dxa"/>
            <w:vAlign w:val="bottom"/>
          </w:tcPr>
          <w:p>
            <w:pPr>
              <w:spacing w:after="0"/>
              <w:rPr>
                <w:sz w:val="24"/>
                <w:szCs w:val="24"/>
                <w:color w:val="auto"/>
              </w:rPr>
            </w:pPr>
          </w:p>
        </w:tc>
        <w:tc>
          <w:tcPr>
            <w:tcW w:w="10240" w:type="dxa"/>
            <w:vAlign w:val="bottom"/>
            <w:gridSpan w:val="3"/>
          </w:tcPr>
          <w:p>
            <w:pPr>
              <w:spacing w:after="0"/>
              <w:rPr>
                <w:rFonts w:ascii="Arial" w:cs="Arial" w:eastAsia="Arial" w:hAnsi="Arial"/>
                <w:sz w:val="18"/>
                <w:szCs w:val="18"/>
                <w:u w:val="single" w:color="auto"/>
                <w:color w:val="0000EE"/>
              </w:rPr>
            </w:pPr>
            <w:hyperlink w:anchor="page305">
              <w:r>
                <w:rPr>
                  <w:rFonts w:ascii="Arial" w:cs="Arial" w:eastAsia="Arial" w:hAnsi="Arial"/>
                  <w:sz w:val="18"/>
                  <w:szCs w:val="18"/>
                  <w:u w:val="single" w:color="auto"/>
                  <w:color w:val="0000EE"/>
                </w:rPr>
                <w:t>Consent of David Poritz, Director Nominee.</w:t>
              </w:r>
            </w:hyperlink>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178308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56">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*Previously filed.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†Updated to reflect one-fourth of one redeemable warrant in each unit and replaces previously filed version.</w:t>
      </w:r>
    </w:p>
    <w:p>
      <w:pPr>
        <w:spacing w:after="0" w:line="211" w:lineRule="exact"/>
        <w:rPr>
          <w:sz w:val="20"/>
          <w:szCs w:val="20"/>
          <w:color w:val="auto"/>
        </w:rPr>
      </w:pPr>
    </w:p>
    <w:p>
      <w:pPr>
        <w:ind w:left="5460" w:right="1340" w:hanging="5128"/>
        <w:spacing w:after="0" w:line="653" w:lineRule="auto"/>
        <w:tabs>
          <w:tab w:leader="none" w:pos="649" w:val="left"/>
        </w:tabs>
        <w:numPr>
          <w:ilvl w:val="0"/>
          <w:numId w:val="89"/>
        </w:numPr>
        <w:rPr>
          <w:rFonts w:ascii="Arial" w:cs="Arial" w:eastAsia="Arial" w:hAnsi="Arial"/>
          <w:sz w:val="18"/>
          <w:szCs w:val="18"/>
          <w:color w:val="auto"/>
        </w:rPr>
      </w:pPr>
      <w:r>
        <w:rPr>
          <w:rFonts w:ascii="Arial" w:cs="Arial" w:eastAsia="Arial" w:hAnsi="Arial"/>
          <w:sz w:val="18"/>
          <w:szCs w:val="18"/>
          <w:i w:val="1"/>
          <w:iCs w:val="1"/>
          <w:color w:val="auto"/>
        </w:rPr>
        <w:t>Financial Statements</w:t>
      </w:r>
      <w:r>
        <w:rPr>
          <w:rFonts w:ascii="Arial" w:cs="Arial" w:eastAsia="Arial" w:hAnsi="Arial"/>
          <w:sz w:val="18"/>
          <w:szCs w:val="18"/>
          <w:color w:val="auto"/>
        </w:rPr>
        <w:t>. See page F-1 for an index to the financial statements and schedules included in the registration statement.</w:t>
      </w:r>
      <w:r>
        <w:rPr>
          <w:rFonts w:ascii="Arial" w:cs="Arial" w:eastAsia="Arial" w:hAnsi="Arial"/>
          <w:sz w:val="18"/>
          <w:szCs w:val="18"/>
          <w:i w:val="1"/>
          <w:iCs w:val="1"/>
          <w:color w:val="auto"/>
        </w:rPr>
        <w:t xml:space="preserve"> </w:t>
      </w: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-216535</wp:posOffset>
            </wp:positionV>
            <wp:extent cx="713232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234" w:right="379" w:bottom="1440" w:gutter="0" w:footer="0" w:header="0"/>
        </w:sectPr>
      </w:pPr>
    </w:p>
    <w:bookmarkStart w:id="188" w:name="page189"/>
    <w:bookmarkEnd w:id="188"/>
    <w:p>
      <w:pPr>
        <w:spacing w:after="0"/>
        <w:rPr>
          <w:rFonts w:ascii="Arial" w:cs="Arial" w:eastAsia="Arial" w:hAnsi="Arial"/>
          <w:sz w:val="16"/>
          <w:szCs w:val="16"/>
          <w:b w:val="1"/>
          <w:bCs w:val="1"/>
          <w:u w:val="single" w:color="auto"/>
          <w:color w:val="0000EE"/>
        </w:rPr>
      </w:pPr>
      <w:hyperlink w:anchor="page5">
        <w:r>
          <w:rPr>
            <w:rFonts w:ascii="Arial" w:cs="Arial" w:eastAsia="Arial" w:hAnsi="Arial"/>
            <w:sz w:val="16"/>
            <w:szCs w:val="16"/>
            <w:b w:val="1"/>
            <w:bCs w:val="1"/>
            <w:u w:val="single" w:color="auto"/>
            <w:color w:val="0000EE"/>
          </w:rPr>
          <w:t>Table of Contents</w:t>
        </w:r>
      </w:hyperlink>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17. Undertakings.</w:t>
      </w:r>
    </w:p>
    <w:p>
      <w:pPr>
        <w:spacing w:after="0" w:line="229" w:lineRule="exact"/>
        <w:rPr>
          <w:sz w:val="20"/>
          <w:szCs w:val="20"/>
          <w:color w:val="auto"/>
        </w:rPr>
      </w:pPr>
    </w:p>
    <w:p>
      <w:pPr>
        <w:ind w:left="660" w:right="40" w:hanging="328"/>
        <w:spacing w:after="0" w:line="342" w:lineRule="auto"/>
        <w:tabs>
          <w:tab w:leader="none" w:pos="660" w:val="left"/>
        </w:tabs>
        <w:numPr>
          <w:ilvl w:val="0"/>
          <w:numId w:val="90"/>
        </w:numPr>
        <w:rPr>
          <w:rFonts w:ascii="Arial" w:cs="Arial" w:eastAsia="Arial" w:hAnsi="Arial"/>
          <w:sz w:val="16"/>
          <w:szCs w:val="16"/>
          <w:color w:val="auto"/>
        </w:rPr>
      </w:pPr>
      <w:r>
        <w:rPr>
          <w:rFonts w:ascii="Arial" w:cs="Arial" w:eastAsia="Arial" w:hAnsi="Arial"/>
          <w:sz w:val="16"/>
          <w:szCs w:val="16"/>
          <w:color w:val="auto"/>
        </w:rPr>
        <w:t>The undersigned registrant hereby undertakes to provide to the underwriters at the closing specified in the underwriting agreements, certificates in such denominations and registered in such names as required by the underwriters to permit prompt delivery to each purchaser.</w:t>
      </w:r>
    </w:p>
    <w:p>
      <w:pPr>
        <w:spacing w:after="0" w:line="123" w:lineRule="exact"/>
        <w:rPr>
          <w:rFonts w:ascii="Arial" w:cs="Arial" w:eastAsia="Arial" w:hAnsi="Arial"/>
          <w:sz w:val="16"/>
          <w:szCs w:val="16"/>
          <w:color w:val="auto"/>
        </w:rPr>
      </w:pPr>
    </w:p>
    <w:p>
      <w:pPr>
        <w:ind w:left="660" w:right="60" w:hanging="328"/>
        <w:spacing w:after="0" w:line="271" w:lineRule="auto"/>
        <w:tabs>
          <w:tab w:leader="none" w:pos="660" w:val="left"/>
        </w:tabs>
        <w:numPr>
          <w:ilvl w:val="0"/>
          <w:numId w:val="90"/>
        </w:numPr>
        <w:rPr>
          <w:rFonts w:ascii="Arial" w:cs="Arial" w:eastAsia="Arial" w:hAnsi="Arial"/>
          <w:sz w:val="17"/>
          <w:szCs w:val="17"/>
          <w:color w:val="auto"/>
        </w:rPr>
      </w:pPr>
      <w:r>
        <w:rPr>
          <w:rFonts w:ascii="Arial" w:cs="Arial" w:eastAsia="Arial" w:hAnsi="Arial"/>
          <w:sz w:val="17"/>
          <w:szCs w:val="17"/>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78" w:lineRule="exact"/>
        <w:rPr>
          <w:rFonts w:ascii="Arial" w:cs="Arial" w:eastAsia="Arial" w:hAnsi="Arial"/>
          <w:sz w:val="17"/>
          <w:szCs w:val="17"/>
          <w:color w:val="auto"/>
        </w:rPr>
      </w:pPr>
    </w:p>
    <w:p>
      <w:pPr>
        <w:ind w:left="660" w:hanging="328"/>
        <w:spacing w:after="0"/>
        <w:tabs>
          <w:tab w:leader="none" w:pos="6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undersigned registrant hereby undertakes that:</w:t>
      </w:r>
    </w:p>
    <w:p>
      <w:pPr>
        <w:spacing w:after="0" w:line="225" w:lineRule="exact"/>
        <w:rPr>
          <w:rFonts w:ascii="Arial" w:cs="Arial" w:eastAsia="Arial" w:hAnsi="Arial"/>
          <w:sz w:val="18"/>
          <w:szCs w:val="18"/>
          <w:color w:val="auto"/>
        </w:rPr>
      </w:pPr>
    </w:p>
    <w:p>
      <w:pPr>
        <w:ind w:left="980" w:right="40" w:hanging="324"/>
        <w:spacing w:after="0" w:line="291" w:lineRule="auto"/>
        <w:tabs>
          <w:tab w:leader="none" w:pos="980" w:val="left"/>
        </w:tabs>
        <w:numPr>
          <w:ilvl w:val="1"/>
          <w:numId w:val="90"/>
        </w:numPr>
        <w:rPr>
          <w:rFonts w:ascii="Arial" w:cs="Arial" w:eastAsia="Arial" w:hAnsi="Arial"/>
          <w:sz w:val="16"/>
          <w:szCs w:val="16"/>
          <w:color w:val="auto"/>
        </w:rPr>
      </w:pPr>
      <w:r>
        <w:rPr>
          <w:rFonts w:ascii="Arial" w:cs="Arial" w:eastAsia="Arial" w:hAnsi="Arial"/>
          <w:sz w:val="16"/>
          <w:szCs w:val="16"/>
          <w:color w:val="auto"/>
        </w:rPr>
        <w:t>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w:t>
      </w:r>
    </w:p>
    <w:p>
      <w:pPr>
        <w:ind w:left="980"/>
        <w:spacing w:after="0"/>
        <w:rPr>
          <w:rFonts w:ascii="Arial" w:cs="Arial" w:eastAsia="Arial" w:hAnsi="Arial"/>
          <w:sz w:val="16"/>
          <w:szCs w:val="16"/>
          <w:color w:val="auto"/>
        </w:rPr>
      </w:pPr>
      <w:r>
        <w:rPr>
          <w:rFonts w:ascii="Arial" w:cs="Arial" w:eastAsia="Arial" w:hAnsi="Arial"/>
          <w:sz w:val="16"/>
          <w:szCs w:val="16"/>
          <w:color w:val="auto"/>
        </w:rPr>
        <w:t>(1) or (4) or 497(h) under the Securities Act shall be deemed to be part of this registration statement as of the time it was declared effective.</w:t>
      </w:r>
    </w:p>
    <w:p>
      <w:pPr>
        <w:spacing w:after="0" w:line="233" w:lineRule="exact"/>
        <w:rPr>
          <w:rFonts w:ascii="Arial" w:cs="Arial" w:eastAsia="Arial" w:hAnsi="Arial"/>
          <w:sz w:val="16"/>
          <w:szCs w:val="16"/>
          <w:color w:val="auto"/>
        </w:rPr>
      </w:pPr>
    </w:p>
    <w:p>
      <w:pPr>
        <w:ind w:left="980" w:right="220" w:hanging="324"/>
        <w:spacing w:after="0" w:line="263" w:lineRule="auto"/>
        <w:tabs>
          <w:tab w:leader="none" w:pos="980" w:val="left"/>
        </w:tabs>
        <w:numPr>
          <w:ilvl w:val="1"/>
          <w:numId w:val="90"/>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83" w:lineRule="exact"/>
        <w:rPr>
          <w:rFonts w:ascii="Arial" w:cs="Arial" w:eastAsia="Arial" w:hAnsi="Arial"/>
          <w:sz w:val="18"/>
          <w:szCs w:val="18"/>
          <w:color w:val="auto"/>
        </w:rPr>
      </w:pPr>
    </w:p>
    <w:p>
      <w:pPr>
        <w:ind w:left="980" w:hanging="324"/>
        <w:spacing w:after="0" w:line="271" w:lineRule="auto"/>
        <w:tabs>
          <w:tab w:leader="none" w:pos="980" w:val="left"/>
        </w:tabs>
        <w:numPr>
          <w:ilvl w:val="1"/>
          <w:numId w:val="90"/>
        </w:numPr>
        <w:rPr>
          <w:rFonts w:ascii="Arial" w:cs="Arial" w:eastAsia="Arial" w:hAnsi="Arial"/>
          <w:sz w:val="17"/>
          <w:szCs w:val="17"/>
          <w:color w:val="auto"/>
        </w:rPr>
      </w:pPr>
      <w:r>
        <w:rPr>
          <w:rFonts w:ascii="Arial" w:cs="Arial" w:eastAsia="Arial" w:hAnsi="Arial"/>
          <w:sz w:val="17"/>
          <w:szCs w:val="17"/>
          <w:color w:val="auto"/>
        </w:rPr>
        <w:t>For the purpose of determining liability under the Securities Act of 1933 of any purchaser, if the registrant is subject to Rule 430C,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178" w:lineRule="exact"/>
        <w:rPr>
          <w:rFonts w:ascii="Arial" w:cs="Arial" w:eastAsia="Arial" w:hAnsi="Arial"/>
          <w:sz w:val="17"/>
          <w:szCs w:val="17"/>
          <w:color w:val="auto"/>
        </w:rPr>
      </w:pPr>
    </w:p>
    <w:p>
      <w:pPr>
        <w:ind w:left="980" w:right="80" w:hanging="324"/>
        <w:spacing w:after="0" w:line="257" w:lineRule="auto"/>
        <w:tabs>
          <w:tab w:leader="none" w:pos="980" w:val="left"/>
        </w:tabs>
        <w:numPr>
          <w:ilvl w:val="1"/>
          <w:numId w:val="90"/>
        </w:numPr>
        <w:rPr>
          <w:rFonts w:ascii="Arial" w:cs="Arial" w:eastAsia="Arial" w:hAnsi="Arial"/>
          <w:sz w:val="18"/>
          <w:szCs w:val="18"/>
          <w:color w:val="auto"/>
        </w:rPr>
      </w:pPr>
      <w:r>
        <w:rPr>
          <w:rFonts w:ascii="Arial" w:cs="Arial" w:eastAsia="Arial" w:hAnsi="Arial"/>
          <w:sz w:val="18"/>
          <w:szCs w:val="18"/>
          <w:color w:val="auto"/>
        </w:rPr>
        <w:t>For the purpose of determining liability of a registrant under the Securities Act of 1933 to any purchaser in the initial distribution of the securities, the undersigned registrant undertakes that in a primary offering of securities of an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88" w:lineRule="exact"/>
        <w:rPr>
          <w:sz w:val="20"/>
          <w:szCs w:val="20"/>
          <w:color w:val="auto"/>
        </w:rPr>
      </w:pPr>
    </w:p>
    <w:p>
      <w:pPr>
        <w:ind w:left="1460" w:hanging="480"/>
        <w:spacing w:after="0"/>
        <w:tabs>
          <w:tab w:leader="none" w:pos="1460" w:val="left"/>
        </w:tabs>
        <w:numPr>
          <w:ilvl w:val="0"/>
          <w:numId w:val="91"/>
        </w:numPr>
        <w:rPr>
          <w:rFonts w:ascii="Arial" w:cs="Arial" w:eastAsia="Arial" w:hAnsi="Arial"/>
          <w:sz w:val="16"/>
          <w:szCs w:val="16"/>
          <w:color w:val="auto"/>
        </w:rPr>
      </w:pPr>
      <w:r>
        <w:rPr>
          <w:rFonts w:ascii="Arial" w:cs="Arial" w:eastAsia="Arial" w:hAnsi="Arial"/>
          <w:sz w:val="16"/>
          <w:szCs w:val="16"/>
          <w:color w:val="auto"/>
        </w:rPr>
        <w:t>any preliminary prospectus or prospectus of the undersigned registrant relating to the offering required to be filed pursuant to Rule 424;</w:t>
      </w:r>
    </w:p>
    <w:p>
      <w:pPr>
        <w:spacing w:after="0" w:line="248" w:lineRule="exact"/>
        <w:rPr>
          <w:rFonts w:ascii="Arial" w:cs="Arial" w:eastAsia="Arial" w:hAnsi="Arial"/>
          <w:sz w:val="16"/>
          <w:szCs w:val="16"/>
          <w:color w:val="auto"/>
        </w:rPr>
      </w:pPr>
    </w:p>
    <w:p>
      <w:pPr>
        <w:ind w:left="660" w:right="160" w:firstLine="320"/>
        <w:spacing w:after="0" w:line="277" w:lineRule="auto"/>
        <w:tabs>
          <w:tab w:leader="none" w:pos="1519" w:val="left"/>
        </w:tabs>
        <w:numPr>
          <w:ilvl w:val="0"/>
          <w:numId w:val="91"/>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an undersigned registrant;</w:t>
      </w:r>
    </w:p>
    <w:p>
      <w:pPr>
        <w:spacing w:after="0" w:line="27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234" w:right="359" w:bottom="1440" w:gutter="0" w:footer="0" w:header="0"/>
        </w:sectPr>
      </w:pPr>
    </w:p>
    <w:bookmarkStart w:id="189" w:name="page190"/>
    <w:bookmarkEnd w:id="189"/>
    <w:p>
      <w:pPr>
        <w:spacing w:after="0"/>
        <w:rPr>
          <w:rFonts w:ascii="Arial" w:cs="Arial" w:eastAsia="Arial" w:hAnsi="Arial"/>
          <w:sz w:val="16"/>
          <w:szCs w:val="16"/>
          <w:b w:val="1"/>
          <w:bCs w:val="1"/>
          <w:u w:val="single" w:color="auto"/>
          <w:color w:val="0000EE"/>
        </w:rPr>
      </w:pPr>
      <w:hyperlink w:anchor="page5">
        <w:r>
          <w:rPr>
            <w:rFonts w:ascii="Arial" w:cs="Arial" w:eastAsia="Arial" w:hAnsi="Arial"/>
            <w:sz w:val="16"/>
            <w:szCs w:val="16"/>
            <w:b w:val="1"/>
            <w:bCs w:val="1"/>
            <w:u w:val="single" w:color="auto"/>
            <w:color w:val="0000EE"/>
          </w:rPr>
          <w:t>Table of Contents</w:t>
        </w:r>
      </w:hyperlink>
    </w:p>
    <w:p>
      <w:pPr>
        <w:spacing w:after="0" w:line="126" w:lineRule="exact"/>
        <w:rPr>
          <w:sz w:val="20"/>
          <w:szCs w:val="20"/>
          <w:color w:val="auto"/>
        </w:rPr>
      </w:pPr>
    </w:p>
    <w:p>
      <w:pPr>
        <w:ind w:left="660" w:firstLine="320"/>
        <w:spacing w:after="0" w:line="277" w:lineRule="auto"/>
        <w:tabs>
          <w:tab w:leader="none" w:pos="1569"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170" w:lineRule="exact"/>
        <w:rPr>
          <w:rFonts w:ascii="Arial" w:cs="Arial" w:eastAsia="Arial" w:hAnsi="Arial"/>
          <w:sz w:val="18"/>
          <w:szCs w:val="18"/>
          <w:color w:val="auto"/>
        </w:rPr>
      </w:pPr>
    </w:p>
    <w:p>
      <w:pPr>
        <w:ind w:left="1560" w:hanging="580"/>
        <w:spacing w:after="0"/>
        <w:tabs>
          <w:tab w:leader="none" w:pos="15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33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600"/>
          </w:cols>
          <w:pgMar w:left="320" w:top="234" w:right="979" w:bottom="1440" w:gutter="0" w:footer="0" w:header="0"/>
        </w:sectPr>
      </w:pPr>
    </w:p>
    <w:bookmarkStart w:id="190" w:name="page191"/>
    <w:bookmarkEnd w:id="190"/>
    <w:p>
      <w:pPr>
        <w:spacing w:after="0"/>
        <w:rPr>
          <w:rFonts w:ascii="Arial" w:cs="Arial" w:eastAsia="Arial" w:hAnsi="Arial"/>
          <w:sz w:val="16"/>
          <w:szCs w:val="16"/>
          <w:b w:val="1"/>
          <w:bCs w:val="1"/>
          <w:u w:val="single" w:color="auto"/>
          <w:color w:val="0000EE"/>
        </w:rPr>
      </w:pPr>
      <w:hyperlink w:anchor="page5">
        <w:r>
          <w:rPr>
            <w:rFonts w:ascii="Arial" w:cs="Arial" w:eastAsia="Arial" w:hAnsi="Arial"/>
            <w:sz w:val="16"/>
            <w:szCs w:val="16"/>
            <w:b w:val="1"/>
            <w:bCs w:val="1"/>
            <w:u w:val="single" w:color="auto"/>
            <w:color w:val="0000EE"/>
          </w:rPr>
          <w:t>Table of Contents</w:t>
        </w:r>
      </w:hyperlink>
    </w:p>
    <w:p>
      <w:pPr>
        <w:spacing w:after="0" w:line="122"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324"/>
        <w:spacing w:after="0" w:line="308" w:lineRule="auto"/>
        <w:rPr>
          <w:sz w:val="20"/>
          <w:szCs w:val="20"/>
          <w:color w:val="auto"/>
        </w:rPr>
      </w:pPr>
      <w:r>
        <w:rPr>
          <w:rFonts w:ascii="Arial" w:cs="Arial" w:eastAsia="Arial" w:hAnsi="Arial"/>
          <w:sz w:val="17"/>
          <w:szCs w:val="17"/>
          <w:color w:val="auto"/>
        </w:rPr>
        <w:t>Pursuant to the requirements of the Securities Act of 1933, as amended, the registrant has duly caused this Registration Statement to be signed on its behalf by the undersigned, thereunto duly authorized, in the City of New York, New York, on the 18th day of February, 2021.</w:t>
      </w:r>
    </w:p>
    <w:p>
      <w:pPr>
        <w:spacing w:after="0" w:line="142" w:lineRule="exact"/>
        <w:rPr>
          <w:sz w:val="20"/>
          <w:szCs w:val="20"/>
          <w:color w:val="auto"/>
        </w:rPr>
      </w:pPr>
    </w:p>
    <w:p>
      <w:pPr>
        <w:ind w:left="6420"/>
        <w:spacing w:after="0"/>
        <w:rPr>
          <w:sz w:val="20"/>
          <w:szCs w:val="20"/>
          <w:color w:val="auto"/>
        </w:rPr>
      </w:pPr>
      <w:r>
        <w:rPr>
          <w:rFonts w:ascii="Arial" w:cs="Arial" w:eastAsia="Arial" w:hAnsi="Arial"/>
          <w:sz w:val="18"/>
          <w:szCs w:val="18"/>
          <w:b w:val="1"/>
          <w:bCs w:val="1"/>
          <w:color w:val="auto"/>
        </w:rPr>
        <w:t>FREEDOM ACQUISITION I CORP.</w:t>
      </w:r>
    </w:p>
    <w:p>
      <w:pPr>
        <w:spacing w:after="0" w:line="200" w:lineRule="exact"/>
        <w:rPr>
          <w:sz w:val="20"/>
          <w:szCs w:val="20"/>
          <w:color w:val="auto"/>
        </w:rPr>
      </w:pPr>
    </w:p>
    <w:p>
      <w:pPr>
        <w:spacing w:after="0" w:line="245" w:lineRule="exact"/>
        <w:rPr>
          <w:sz w:val="20"/>
          <w:szCs w:val="20"/>
          <w:color w:val="auto"/>
        </w:rPr>
      </w:pPr>
    </w:p>
    <w:p>
      <w:pPr>
        <w:ind w:left="6420"/>
        <w:spacing w:after="0"/>
        <w:tabs>
          <w:tab w:leader="none" w:pos="69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Adam Gishen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4428490</wp:posOffset>
            </wp:positionH>
            <wp:positionV relativeFrom="paragraph">
              <wp:posOffset>14605</wp:posOffset>
            </wp:positionV>
            <wp:extent cx="270891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60">
                      <a:extLst>
                        <a:ext uri="{28A0092B-C50C-407E-A947-70E740481C1C}"/>
                      </a:extLst>
                    </a:blip>
                    <a:srcRect/>
                    <a:stretch>
                      <a:fillRect/>
                    </a:stretch>
                  </pic:blipFill>
                  <pic:spPr bwMode="auto">
                    <a:xfrm>
                      <a:off x="0" y="0"/>
                      <a:ext cx="2708910" cy="8255"/>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Adam Gishen</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Chief Executive Officer</w:t>
      </w:r>
    </w:p>
    <w:p>
      <w:pPr>
        <w:spacing w:after="0" w:line="34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20"/>
          </w:cols>
          <w:pgMar w:left="320" w:top="234" w:right="559" w:bottom="1440" w:gutter="0" w:footer="0" w:header="0"/>
        </w:sectPr>
      </w:pPr>
    </w:p>
    <w:bookmarkStart w:id="191" w:name="page192"/>
    <w:bookmarkEnd w:id="191"/>
    <w:p>
      <w:pPr>
        <w:spacing w:after="0"/>
        <w:rPr>
          <w:rFonts w:ascii="Arial" w:cs="Arial" w:eastAsia="Arial" w:hAnsi="Arial"/>
          <w:sz w:val="16"/>
          <w:szCs w:val="16"/>
          <w:b w:val="1"/>
          <w:bCs w:val="1"/>
          <w:u w:val="single" w:color="auto"/>
          <w:color w:val="0000EE"/>
        </w:rPr>
      </w:pPr>
      <w:hyperlink w:anchor="page5">
        <w:r>
          <w:rPr>
            <w:rFonts w:ascii="Arial" w:cs="Arial" w:eastAsia="Arial" w:hAnsi="Arial"/>
            <w:sz w:val="16"/>
            <w:szCs w:val="16"/>
            <w:b w:val="1"/>
            <w:bCs w:val="1"/>
            <w:u w:val="single" w:color="auto"/>
            <w:color w:val="0000EE"/>
          </w:rPr>
          <w:t>Table of Contents</w:t>
        </w:r>
      </w:hyperlink>
    </w:p>
    <w:p>
      <w:pPr>
        <w:spacing w:after="0" w:line="342"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below by the following persons in the capacities and on the dates indicated.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gridSpan w:val="2"/>
          </w:tcPr>
          <w:p>
            <w:pPr>
              <w:ind w:left="940"/>
              <w:spacing w:after="0"/>
              <w:rPr>
                <w:sz w:val="20"/>
                <w:szCs w:val="20"/>
                <w:color w:val="auto"/>
              </w:rPr>
            </w:pPr>
            <w:r>
              <w:rPr>
                <w:rFonts w:ascii="Arial" w:cs="Arial" w:eastAsia="Arial" w:hAnsi="Arial"/>
                <w:sz w:val="18"/>
                <w:szCs w:val="18"/>
                <w:b w:val="1"/>
                <w:bCs w:val="1"/>
                <w:color w:val="auto"/>
              </w:rPr>
              <w:t>Signature</w:t>
            </w:r>
          </w:p>
        </w:tc>
        <w:tc>
          <w:tcPr>
            <w:tcW w:w="5280" w:type="dxa"/>
            <w:vAlign w:val="bottom"/>
            <w:tcBorders>
              <w:bottom w:val="single" w:sz="8" w:color="auto"/>
            </w:tcBorders>
          </w:tcPr>
          <w:p>
            <w:pPr>
              <w:ind w:left="2360"/>
              <w:spacing w:after="0"/>
              <w:rPr>
                <w:sz w:val="20"/>
                <w:szCs w:val="20"/>
                <w:color w:val="auto"/>
              </w:rPr>
            </w:pPr>
            <w:r>
              <w:rPr>
                <w:rFonts w:ascii="Arial" w:cs="Arial" w:eastAsia="Arial" w:hAnsi="Arial"/>
                <w:sz w:val="18"/>
                <w:szCs w:val="18"/>
                <w:b w:val="1"/>
                <w:bCs w:val="1"/>
                <w:color w:val="auto"/>
              </w:rPr>
              <w:t>Title</w:t>
            </w:r>
          </w:p>
        </w:tc>
        <w:tc>
          <w:tcPr>
            <w:tcW w:w="24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2"/>
              </w:rPr>
              <w:t>Date</w:t>
            </w:r>
          </w:p>
        </w:tc>
      </w:tr>
      <w:tr>
        <w:trPr>
          <w:trHeight w:val="426"/>
        </w:trPr>
        <w:tc>
          <w:tcPr>
            <w:tcW w:w="2820" w:type="dxa"/>
            <w:vAlign w:val="bottom"/>
            <w:tcBorders>
              <w:bottom w:val="single" w:sz="8" w:color="auto"/>
            </w:tcBorders>
            <w:gridSpan w:val="2"/>
          </w:tcPr>
          <w:p>
            <w:pPr>
              <w:jc w:val="right"/>
              <w:ind w:right="77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spacing w:after="0"/>
              <w:rPr>
                <w:sz w:val="24"/>
                <w:szCs w:val="24"/>
                <w:color w:val="auto"/>
              </w:rPr>
            </w:pPr>
          </w:p>
        </w:tc>
        <w:tc>
          <w:tcPr>
            <w:tcW w:w="5280" w:type="dxa"/>
            <w:vAlign w:val="bottom"/>
          </w:tcPr>
          <w:p>
            <w:pPr>
              <w:jc w:val="center"/>
              <w:ind w:right="50"/>
              <w:spacing w:after="0"/>
              <w:rPr>
                <w:sz w:val="20"/>
                <w:szCs w:val="20"/>
                <w:color w:val="auto"/>
              </w:rPr>
            </w:pPr>
            <w:r>
              <w:rPr>
                <w:rFonts w:ascii="Arial" w:cs="Arial" w:eastAsia="Arial" w:hAnsi="Arial"/>
                <w:sz w:val="18"/>
                <w:szCs w:val="18"/>
                <w:color w:val="auto"/>
                <w:w w:val="92"/>
              </w:rPr>
              <w:t>Tidjane Thiam</w:t>
            </w:r>
          </w:p>
        </w:tc>
        <w:tc>
          <w:tcPr>
            <w:tcW w:w="2460" w:type="dxa"/>
            <w:vAlign w:val="bottom"/>
          </w:tcPr>
          <w:p>
            <w:pPr>
              <w:jc w:val="center"/>
              <w:ind w:right="50"/>
              <w:spacing w:after="0"/>
              <w:rPr>
                <w:sz w:val="20"/>
                <w:szCs w:val="20"/>
                <w:color w:val="auto"/>
              </w:rPr>
            </w:pPr>
            <w:r>
              <w:rPr>
                <w:rFonts w:ascii="Arial" w:cs="Arial" w:eastAsia="Arial" w:hAnsi="Arial"/>
                <w:sz w:val="18"/>
                <w:szCs w:val="18"/>
                <w:color w:val="auto"/>
                <w:w w:val="89"/>
              </w:rPr>
              <w:t>February 18, 2021</w:t>
            </w:r>
          </w:p>
        </w:tc>
      </w:tr>
      <w:tr>
        <w:trPr>
          <w:trHeight w:val="210"/>
        </w:trPr>
        <w:tc>
          <w:tcPr>
            <w:tcW w:w="5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280" w:type="dxa"/>
            <w:vAlign w:val="bottom"/>
          </w:tcPr>
          <w:p>
            <w:pPr>
              <w:jc w:val="center"/>
              <w:ind w:right="50"/>
              <w:spacing w:after="0"/>
              <w:rPr>
                <w:sz w:val="20"/>
                <w:szCs w:val="20"/>
                <w:color w:val="auto"/>
              </w:rPr>
            </w:pPr>
            <w:r>
              <w:rPr>
                <w:rFonts w:ascii="Arial" w:cs="Arial" w:eastAsia="Arial" w:hAnsi="Arial"/>
                <w:sz w:val="18"/>
                <w:szCs w:val="18"/>
                <w:color w:val="auto"/>
                <w:w w:val="90"/>
              </w:rPr>
              <w:t>Executive Chairman</w:t>
            </w:r>
          </w:p>
        </w:tc>
        <w:tc>
          <w:tcPr>
            <w:tcW w:w="2460" w:type="dxa"/>
            <w:vAlign w:val="bottom"/>
          </w:tcPr>
          <w:p>
            <w:pPr>
              <w:spacing w:after="0"/>
              <w:rPr>
                <w:sz w:val="18"/>
                <w:szCs w:val="18"/>
                <w:color w:val="auto"/>
              </w:rPr>
            </w:pPr>
          </w:p>
        </w:tc>
      </w:tr>
      <w:tr>
        <w:trPr>
          <w:trHeight w:val="431"/>
        </w:trPr>
        <w:tc>
          <w:tcPr>
            <w:tcW w:w="58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2"/>
          </w:tcPr>
          <w:p>
            <w:pPr>
              <w:ind w:left="740"/>
              <w:spacing w:after="0"/>
              <w:rPr>
                <w:sz w:val="20"/>
                <w:szCs w:val="20"/>
                <w:color w:val="auto"/>
              </w:rPr>
            </w:pPr>
            <w:r>
              <w:rPr>
                <w:rFonts w:ascii="Arial" w:cs="Arial" w:eastAsia="Arial" w:hAnsi="Arial"/>
                <w:sz w:val="18"/>
                <w:szCs w:val="18"/>
                <w:color w:val="auto"/>
              </w:rPr>
              <w:t>/s/ Adam Gishen</w:t>
            </w:r>
          </w:p>
        </w:tc>
        <w:tc>
          <w:tcPr>
            <w:tcW w:w="5280" w:type="dxa"/>
            <w:vAlign w:val="bottom"/>
          </w:tcPr>
          <w:p>
            <w:pPr>
              <w:jc w:val="center"/>
              <w:ind w:right="50"/>
              <w:spacing w:after="0"/>
              <w:rPr>
                <w:sz w:val="20"/>
                <w:szCs w:val="20"/>
                <w:color w:val="auto"/>
              </w:rPr>
            </w:pPr>
            <w:r>
              <w:rPr>
                <w:rFonts w:ascii="Arial" w:cs="Arial" w:eastAsia="Arial" w:hAnsi="Arial"/>
                <w:sz w:val="18"/>
                <w:szCs w:val="18"/>
                <w:color w:val="auto"/>
                <w:w w:val="89"/>
              </w:rPr>
              <w:t>Adam Gishen</w:t>
            </w:r>
          </w:p>
        </w:tc>
        <w:tc>
          <w:tcPr>
            <w:tcW w:w="2460" w:type="dxa"/>
            <w:vAlign w:val="bottom"/>
          </w:tcPr>
          <w:p>
            <w:pPr>
              <w:jc w:val="center"/>
              <w:ind w:right="50"/>
              <w:spacing w:after="0"/>
              <w:rPr>
                <w:sz w:val="20"/>
                <w:szCs w:val="20"/>
                <w:color w:val="auto"/>
              </w:rPr>
            </w:pPr>
            <w:r>
              <w:rPr>
                <w:rFonts w:ascii="Arial" w:cs="Arial" w:eastAsia="Arial" w:hAnsi="Arial"/>
                <w:sz w:val="18"/>
                <w:szCs w:val="18"/>
                <w:color w:val="auto"/>
                <w:w w:val="89"/>
              </w:rPr>
              <w:t>February 18, 2021</w:t>
            </w:r>
          </w:p>
        </w:tc>
      </w:tr>
      <w:tr>
        <w:trPr>
          <w:trHeight w:val="182"/>
        </w:trPr>
        <w:tc>
          <w:tcPr>
            <w:tcW w:w="58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80" w:type="dxa"/>
            <w:vAlign w:val="bottom"/>
          </w:tcPr>
          <w:p>
            <w:pPr>
              <w:ind w:left="1720"/>
              <w:spacing w:after="0" w:line="182" w:lineRule="exact"/>
              <w:rPr>
                <w:sz w:val="20"/>
                <w:szCs w:val="20"/>
                <w:color w:val="auto"/>
              </w:rPr>
            </w:pPr>
            <w:r>
              <w:rPr>
                <w:rFonts w:ascii="Arial" w:cs="Arial" w:eastAsia="Arial" w:hAnsi="Arial"/>
                <w:sz w:val="18"/>
                <w:szCs w:val="18"/>
                <w:color w:val="auto"/>
              </w:rPr>
              <w:t>Chief Executive Officer</w:t>
            </w:r>
          </w:p>
        </w:tc>
        <w:tc>
          <w:tcPr>
            <w:tcW w:w="2460" w:type="dxa"/>
            <w:vAlign w:val="bottom"/>
          </w:tcPr>
          <w:p>
            <w:pPr>
              <w:spacing w:after="0"/>
              <w:rPr>
                <w:sz w:val="15"/>
                <w:szCs w:val="15"/>
                <w:color w:val="auto"/>
              </w:rPr>
            </w:pPr>
          </w:p>
        </w:tc>
      </w:tr>
      <w:tr>
        <w:trPr>
          <w:trHeight w:val="216"/>
        </w:trPr>
        <w:tc>
          <w:tcPr>
            <w:tcW w:w="5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280" w:type="dxa"/>
            <w:vAlign w:val="bottom"/>
          </w:tcPr>
          <w:p>
            <w:pPr>
              <w:jc w:val="center"/>
              <w:ind w:right="370"/>
              <w:spacing w:after="0"/>
              <w:rPr>
                <w:sz w:val="20"/>
                <w:szCs w:val="20"/>
                <w:color w:val="auto"/>
              </w:rPr>
            </w:pPr>
            <w:r>
              <w:rPr>
                <w:rFonts w:ascii="Arial" w:cs="Arial" w:eastAsia="Arial" w:hAnsi="Arial"/>
                <w:sz w:val="18"/>
                <w:szCs w:val="18"/>
                <w:color w:val="auto"/>
                <w:w w:val="92"/>
              </w:rPr>
              <w:t>(Principal Executive Officer and Principal Financial and Principal</w:t>
            </w:r>
          </w:p>
        </w:tc>
        <w:tc>
          <w:tcPr>
            <w:tcW w:w="2460" w:type="dxa"/>
            <w:vAlign w:val="bottom"/>
          </w:tcPr>
          <w:p>
            <w:pPr>
              <w:spacing w:after="0"/>
              <w:rPr>
                <w:sz w:val="18"/>
                <w:szCs w:val="18"/>
                <w:color w:val="auto"/>
              </w:rPr>
            </w:pPr>
          </w:p>
        </w:tc>
      </w:tr>
      <w:tr>
        <w:trPr>
          <w:trHeight w:val="230"/>
        </w:trPr>
        <w:tc>
          <w:tcPr>
            <w:tcW w:w="58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280" w:type="dxa"/>
            <w:vAlign w:val="bottom"/>
          </w:tcPr>
          <w:p>
            <w:pPr>
              <w:jc w:val="center"/>
              <w:ind w:right="370"/>
              <w:spacing w:after="0"/>
              <w:rPr>
                <w:sz w:val="20"/>
                <w:szCs w:val="20"/>
                <w:color w:val="auto"/>
              </w:rPr>
            </w:pPr>
            <w:r>
              <w:rPr>
                <w:rFonts w:ascii="Arial" w:cs="Arial" w:eastAsia="Arial" w:hAnsi="Arial"/>
                <w:sz w:val="18"/>
                <w:szCs w:val="18"/>
                <w:color w:val="auto"/>
                <w:w w:val="95"/>
              </w:rPr>
              <w:t>Accounting Officer)</w:t>
            </w:r>
          </w:p>
        </w:tc>
        <w:tc>
          <w:tcPr>
            <w:tcW w:w="2460" w:type="dxa"/>
            <w:vAlign w:val="bottom"/>
          </w:tcPr>
          <w:p>
            <w:pPr>
              <w:spacing w:after="0"/>
              <w:rPr>
                <w:sz w:val="20"/>
                <w:szCs w:val="20"/>
                <w:color w:val="auto"/>
              </w:rPr>
            </w:pPr>
          </w:p>
        </w:tc>
      </w:tr>
      <w:tr>
        <w:trPr>
          <w:trHeight w:val="432"/>
        </w:trPr>
        <w:tc>
          <w:tcPr>
            <w:tcW w:w="3500" w:type="dxa"/>
            <w:vAlign w:val="bottom"/>
            <w:gridSpan w:val="3"/>
          </w:tcPr>
          <w:p>
            <w:pPr>
              <w:spacing w:after="0"/>
              <w:rPr>
                <w:sz w:val="20"/>
                <w:szCs w:val="20"/>
                <w:color w:val="auto"/>
              </w:rPr>
            </w:pPr>
            <w:r>
              <w:rPr>
                <w:rFonts w:ascii="Arial" w:cs="Arial" w:eastAsia="Arial" w:hAnsi="Arial"/>
                <w:sz w:val="18"/>
                <w:szCs w:val="18"/>
                <w:color w:val="auto"/>
              </w:rPr>
              <w:t>*By:   /s/ Adam Gishen</w:t>
            </w:r>
          </w:p>
        </w:tc>
        <w:tc>
          <w:tcPr>
            <w:tcW w:w="5280" w:type="dxa"/>
            <w:vAlign w:val="bottom"/>
          </w:tcPr>
          <w:p>
            <w:pPr>
              <w:spacing w:after="0"/>
              <w:rPr>
                <w:sz w:val="24"/>
                <w:szCs w:val="24"/>
                <w:color w:val="auto"/>
              </w:rPr>
            </w:pPr>
          </w:p>
        </w:tc>
        <w:tc>
          <w:tcPr>
            <w:tcW w:w="2460" w:type="dxa"/>
            <w:vAlign w:val="bottom"/>
          </w:tcPr>
          <w:p>
            <w:pPr>
              <w:spacing w:after="0"/>
              <w:rPr>
                <w:sz w:val="24"/>
                <w:szCs w:val="24"/>
                <w:color w:val="auto"/>
              </w:rPr>
            </w:pPr>
          </w:p>
        </w:tc>
      </w:tr>
      <w:tr>
        <w:trPr>
          <w:trHeight w:val="195"/>
        </w:trPr>
        <w:tc>
          <w:tcPr>
            <w:tcW w:w="580" w:type="dxa"/>
            <w:vAlign w:val="bottom"/>
          </w:tcPr>
          <w:p>
            <w:pPr>
              <w:spacing w:after="0"/>
              <w:rPr>
                <w:sz w:val="16"/>
                <w:szCs w:val="16"/>
                <w:color w:val="auto"/>
              </w:rPr>
            </w:pPr>
          </w:p>
        </w:tc>
        <w:tc>
          <w:tcPr>
            <w:tcW w:w="22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Adam Gishen</w:t>
            </w:r>
          </w:p>
        </w:tc>
        <w:tc>
          <w:tcPr>
            <w:tcW w:w="680" w:type="dxa"/>
            <w:vAlign w:val="bottom"/>
          </w:tcPr>
          <w:p>
            <w:pPr>
              <w:spacing w:after="0"/>
              <w:rPr>
                <w:sz w:val="16"/>
                <w:szCs w:val="16"/>
                <w:color w:val="auto"/>
              </w:rPr>
            </w:pPr>
          </w:p>
        </w:tc>
        <w:tc>
          <w:tcPr>
            <w:tcW w:w="5280" w:type="dxa"/>
            <w:vAlign w:val="bottom"/>
          </w:tcPr>
          <w:p>
            <w:pPr>
              <w:spacing w:after="0"/>
              <w:rPr>
                <w:sz w:val="16"/>
                <w:szCs w:val="16"/>
                <w:color w:val="auto"/>
              </w:rPr>
            </w:pPr>
          </w:p>
        </w:tc>
        <w:tc>
          <w:tcPr>
            <w:tcW w:w="2460" w:type="dxa"/>
            <w:vAlign w:val="bottom"/>
          </w:tcPr>
          <w:p>
            <w:pPr>
              <w:spacing w:after="0"/>
              <w:rPr>
                <w:sz w:val="16"/>
                <w:szCs w:val="16"/>
                <w:color w:val="auto"/>
              </w:rPr>
            </w:pPr>
          </w:p>
        </w:tc>
      </w:tr>
      <w:tr>
        <w:trPr>
          <w:trHeight w:val="230"/>
        </w:trPr>
        <w:tc>
          <w:tcPr>
            <w:tcW w:w="580" w:type="dxa"/>
            <w:vAlign w:val="bottom"/>
          </w:tcPr>
          <w:p>
            <w:pPr>
              <w:spacing w:after="0"/>
              <w:rPr>
                <w:sz w:val="20"/>
                <w:szCs w:val="20"/>
                <w:color w:val="auto"/>
              </w:rPr>
            </w:pPr>
          </w:p>
        </w:tc>
        <w:tc>
          <w:tcPr>
            <w:tcW w:w="2920" w:type="dxa"/>
            <w:vAlign w:val="bottom"/>
            <w:gridSpan w:val="2"/>
          </w:tcPr>
          <w:p>
            <w:pPr>
              <w:spacing w:after="0"/>
              <w:rPr>
                <w:sz w:val="20"/>
                <w:szCs w:val="20"/>
                <w:color w:val="auto"/>
              </w:rPr>
            </w:pPr>
            <w:r>
              <w:rPr>
                <w:rFonts w:ascii="Arial" w:cs="Arial" w:eastAsia="Arial" w:hAnsi="Arial"/>
                <w:sz w:val="18"/>
                <w:szCs w:val="18"/>
                <w:color w:val="auto"/>
              </w:rPr>
              <w:t>Attorney-in-fact</w:t>
            </w:r>
          </w:p>
        </w:tc>
        <w:tc>
          <w:tcPr>
            <w:tcW w:w="5280" w:type="dxa"/>
            <w:vAlign w:val="bottom"/>
          </w:tcPr>
          <w:p>
            <w:pPr>
              <w:spacing w:after="0"/>
              <w:rPr>
                <w:sz w:val="20"/>
                <w:szCs w:val="20"/>
                <w:color w:val="auto"/>
              </w:rPr>
            </w:pPr>
          </w:p>
        </w:tc>
        <w:tc>
          <w:tcPr>
            <w:tcW w:w="2460" w:type="dxa"/>
            <w:vAlign w:val="bottom"/>
          </w:tcPr>
          <w:p>
            <w:pPr>
              <w:spacing w:after="0"/>
              <w:rPr>
                <w:sz w:val="20"/>
                <w:szCs w:val="20"/>
                <w:color w:val="auto"/>
              </w:rPr>
            </w:pPr>
          </w:p>
        </w:tc>
      </w:tr>
      <w:tr>
        <w:trPr>
          <w:trHeight w:val="567"/>
        </w:trPr>
        <w:tc>
          <w:tcPr>
            <w:tcW w:w="58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ind w:left="1960"/>
              <w:spacing w:after="0"/>
              <w:rPr>
                <w:sz w:val="20"/>
                <w:szCs w:val="20"/>
                <w:color w:val="auto"/>
              </w:rPr>
            </w:pPr>
            <w:r>
              <w:rPr>
                <w:rFonts w:ascii="Arial" w:cs="Arial" w:eastAsia="Arial" w:hAnsi="Arial"/>
                <w:sz w:val="18"/>
                <w:szCs w:val="18"/>
                <w:color w:val="auto"/>
              </w:rPr>
              <w:t>II-7</w:t>
            </w:r>
          </w:p>
        </w:tc>
        <w:tc>
          <w:tcPr>
            <w:tcW w:w="24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34" w:right="339" w:bottom="1440" w:gutter="0" w:footer="0" w:header="0"/>
        </w:sectPr>
      </w:pPr>
    </w:p>
    <w:bookmarkStart w:id="192" w:name="page193"/>
    <w:bookmarkEnd w:id="192"/>
    <w:p>
      <w:pPr>
        <w:spacing w:after="0"/>
        <w:rPr>
          <w:rFonts w:ascii="Arial" w:cs="Arial" w:eastAsia="Arial" w:hAnsi="Arial"/>
          <w:sz w:val="16"/>
          <w:szCs w:val="16"/>
          <w:b w:val="1"/>
          <w:bCs w:val="1"/>
          <w:u w:val="single" w:color="auto"/>
          <w:color w:val="0000EE"/>
        </w:rPr>
      </w:pPr>
      <w:hyperlink w:anchor="page5">
        <w:r>
          <w:rPr>
            <w:rFonts w:ascii="Arial" w:cs="Arial" w:eastAsia="Arial" w:hAnsi="Arial"/>
            <w:sz w:val="16"/>
            <w:szCs w:val="16"/>
            <w:b w:val="1"/>
            <w:bCs w:val="1"/>
            <w:u w:val="single" w:color="auto"/>
            <w:color w:val="0000EE"/>
          </w:rPr>
          <w:t>Table of Contents</w:t>
        </w:r>
      </w:hyperlink>
    </w:p>
    <w:p>
      <w:pPr>
        <w:spacing w:after="0" w:line="12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AUTHORIZED REPRESENTATIVE</w:t>
      </w:r>
    </w:p>
    <w:p>
      <w:pPr>
        <w:spacing w:after="0" w:line="229" w:lineRule="exact"/>
        <w:rPr>
          <w:sz w:val="20"/>
          <w:szCs w:val="20"/>
          <w:color w:val="auto"/>
        </w:rPr>
      </w:pPr>
    </w:p>
    <w:p>
      <w:pPr>
        <w:ind w:firstLine="324"/>
        <w:spacing w:after="0" w:line="342" w:lineRule="auto"/>
        <w:rPr>
          <w:sz w:val="20"/>
          <w:szCs w:val="20"/>
          <w:color w:val="auto"/>
        </w:rPr>
      </w:pPr>
      <w:r>
        <w:rPr>
          <w:rFonts w:ascii="Arial" w:cs="Arial" w:eastAsia="Arial" w:hAnsi="Arial"/>
          <w:sz w:val="16"/>
          <w:szCs w:val="16"/>
          <w:color w:val="auto"/>
        </w:rPr>
        <w:t>Pursuant to the requirements of Section 6(a) of the Securities Act of 1933, the undersigned has signed this registration statement, solely in its capacity as the duly authorized representative of Freedom Acquisition I Corp., in the City of New York, New York, on the 18th day of February, 2021.</w:t>
      </w:r>
    </w:p>
    <w:p>
      <w:pPr>
        <w:spacing w:after="0" w:line="340" w:lineRule="exact"/>
        <w:rPr>
          <w:sz w:val="20"/>
          <w:szCs w:val="20"/>
          <w:color w:val="auto"/>
        </w:rPr>
      </w:pPr>
    </w:p>
    <w:p>
      <w:pPr>
        <w:ind w:left="6420"/>
        <w:spacing w:after="0"/>
        <w:tabs>
          <w:tab w:leader="none" w:pos="69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Adam Gishen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4428490</wp:posOffset>
            </wp:positionH>
            <wp:positionV relativeFrom="paragraph">
              <wp:posOffset>14605</wp:posOffset>
            </wp:positionV>
            <wp:extent cx="270891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62">
                      <a:extLst>
                        <a:ext uri="{28A0092B-C50C-407E-A947-70E740481C1C}"/>
                      </a:extLst>
                    </a:blip>
                    <a:srcRect/>
                    <a:stretch>
                      <a:fillRect/>
                    </a:stretch>
                  </pic:blipFill>
                  <pic:spPr bwMode="auto">
                    <a:xfrm>
                      <a:off x="0" y="0"/>
                      <a:ext cx="2708910" cy="8255"/>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Adam Gishen</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II-8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40"/>
          </w:cols>
          <w:pgMar w:left="320" w:top="234" w:right="439" w:bottom="1440" w:gutter="0" w:footer="0" w:header="0"/>
        </w:sectPr>
      </w:pPr>
    </w:p>
    <w:bookmarkStart w:id="193" w:name="page194"/>
    <w:bookmarkEnd w:id="193"/>
    <w:p>
      <w:pPr>
        <w:jc w:val="right"/>
        <w:spacing w:after="0"/>
        <w:rPr>
          <w:sz w:val="20"/>
          <w:szCs w:val="20"/>
          <w:color w:val="auto"/>
        </w:rPr>
      </w:pPr>
      <w:r>
        <w:rPr>
          <w:rFonts w:ascii="Arial" w:cs="Arial" w:eastAsia="Arial" w:hAnsi="Arial"/>
          <w:sz w:val="18"/>
          <w:szCs w:val="18"/>
          <w:b w:val="1"/>
          <w:bCs w:val="1"/>
          <w:color w:val="auto"/>
        </w:rPr>
        <w:t>Exhibit 1.1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FREEDOM ACQUISITION I CORP.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25,000,000 Units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Underwriting Agreement</w:t>
      </w:r>
    </w:p>
    <w:p>
      <w:pPr>
        <w:spacing w:after="0" w:line="225" w:lineRule="exact"/>
        <w:rPr>
          <w:sz w:val="20"/>
          <w:szCs w:val="20"/>
          <w:color w:val="auto"/>
        </w:rPr>
      </w:pPr>
    </w:p>
    <w:p>
      <w:pPr>
        <w:ind w:left="10600"/>
        <w:spacing w:after="0"/>
        <w:rPr>
          <w:sz w:val="20"/>
          <w:szCs w:val="20"/>
          <w:color w:val="auto"/>
        </w:rPr>
      </w:pPr>
      <w:r>
        <w:rPr>
          <w:rFonts w:ascii="Arial" w:cs="Arial" w:eastAsia="Arial" w:hAnsi="Arial"/>
          <w:sz w:val="17"/>
          <w:szCs w:val="17"/>
          <w:color w:val="auto"/>
        </w:rPr>
        <w:t>[•], 2021</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J.P. Morgan Securities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Representative of the</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several Underwriters listed</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in Schedule 1 hereto</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J.P. Morgan Securities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383 Madison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10179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Freedom Acquisition I Corp., a Cayman Islands exempted company (the “Company”), proposes to issue and sell to the several underwriters listed in Schedule 1 hereto (collectively, the “Underwriters”), for whom you are acting as representative (the “Representative”), an aggregate of 25,000,000 units of the Company (the “Firm Units”) and, at the option of the Underwriters, up to an additional 3,750,000 units of the Company (the “Option Units”). The Firm Units and the Option Units are herein referred to as the “Units.”</w:t>
      </w:r>
    </w:p>
    <w:p>
      <w:pPr>
        <w:spacing w:after="0" w:line="187" w:lineRule="exact"/>
        <w:rPr>
          <w:sz w:val="20"/>
          <w:szCs w:val="20"/>
          <w:color w:val="auto"/>
        </w:rPr>
      </w:pPr>
    </w:p>
    <w:p>
      <w:pPr>
        <w:ind w:right="40" w:firstLine="648"/>
        <w:spacing w:after="0" w:line="286" w:lineRule="auto"/>
        <w:rPr>
          <w:sz w:val="20"/>
          <w:szCs w:val="20"/>
          <w:color w:val="auto"/>
        </w:rPr>
      </w:pPr>
      <w:r>
        <w:rPr>
          <w:rFonts w:ascii="Arial" w:cs="Arial" w:eastAsia="Arial" w:hAnsi="Arial"/>
          <w:sz w:val="16"/>
          <w:szCs w:val="16"/>
          <w:color w:val="auto"/>
        </w:rPr>
        <w:t xml:space="preserve">Each Unit consists of one of the Company’s Class A ordinary shares, par value $0.0001 per share (the “Ordinary Shares”), and one-fourth of one redeemable warrant, where each whole warrant entitles the holder to purchase one Ordinary Share (the “Warrant(s)”). The Ordinary Shares and the Warrants included in the Units will not trade separately until the 52nd day following the date of the Prospectus (as defined below) (or the immediately following business day if such 52nd day is not a business day), unless the Representative informs the Company of its decision to allow earlier separate trading, subject to (a) the Company’s preparation of an audited balance sheet reflecting the receipt by the Company of the proceeds of the Offering (as defined below), (b) the filing of such audited balance sheet with the Securities and Exchange Commission (the “Commission”) on a Current Report on Form 8-K or similar form by the Company that includes such audited balance sheet and (c) the Company having issued a press release announcing when such separate trading will begin. No fractional Warrants will be issued upon separation of the Units, and only whole Warrants will trade. Each whole Warrant entitles its holder, upon exercise, to purchase one Ordinary Share at a price of $11.50 per share, subject to adjustments, during the period commencing on the later of thirty days after the completion of the Company’s initial Business Combination (as defined below) and twelve months from the date of the consummation of the Offering and terminating on the five-year anniversary of the date of the completion of such initial Business Combination or earlier upon redemption or liquidation of the Company;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pursuant to the Warrant Agreement (as defined below), a Warrant may not be exercised for a fractional share, so that only whole Warrants may be exercised at any given time by a holder thereof. As used herein, the 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316865</wp:posOffset>
            </wp:positionV>
            <wp:extent cx="713232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4" w:name="page195"/>
    <w:bookmarkEnd w:id="194"/>
    <w:p>
      <w:pPr>
        <w:ind w:right="100"/>
        <w:spacing w:after="0" w:line="263" w:lineRule="auto"/>
        <w:rPr>
          <w:sz w:val="20"/>
          <w:szCs w:val="20"/>
          <w:color w:val="auto"/>
        </w:rPr>
      </w:pPr>
      <w:r>
        <w:rPr>
          <w:rFonts w:ascii="Arial" w:cs="Arial" w:eastAsia="Arial" w:hAnsi="Arial"/>
          <w:sz w:val="18"/>
          <w:szCs w:val="18"/>
          <w:color w:val="auto"/>
        </w:rPr>
        <w:t>“Business Combination” (as described more fully in the Registration Statement (as defined below), the Pricing Disclosure Package (as defined below) and the Prospectus) shall mean a merger, share exchange, asset acquisition, share purchase, reorganization or similar business combination with one or more businesses involving the Company.</w:t>
      </w:r>
    </w:p>
    <w:p>
      <w:pPr>
        <w:spacing w:after="0" w:line="184" w:lineRule="exact"/>
        <w:rPr>
          <w:sz w:val="20"/>
          <w:szCs w:val="20"/>
          <w:color w:val="auto"/>
        </w:rPr>
      </w:pPr>
    </w:p>
    <w:p>
      <w:pPr>
        <w:ind w:right="60" w:firstLine="648"/>
        <w:spacing w:after="0" w:line="301" w:lineRule="auto"/>
        <w:rPr>
          <w:sz w:val="20"/>
          <w:szCs w:val="20"/>
          <w:color w:val="auto"/>
        </w:rPr>
      </w:pPr>
      <w:r>
        <w:rPr>
          <w:rFonts w:ascii="Arial" w:cs="Arial" w:eastAsia="Arial" w:hAnsi="Arial"/>
          <w:sz w:val="16"/>
          <w:szCs w:val="16"/>
          <w:color w:val="auto"/>
        </w:rPr>
        <w:t>The Company has entered into an Investment Management Trust Agreement, dated the date hereof (the “Trust Agreement”), with Continental Stock Transfer &amp; Trust Company (“CST”), as trustee (the “Trustee”), in substantially the form filed as Exhibit 10.2 to the Registration Statement, pursuant to which proceeds from the sale of the Private Placement Warrants (as defined below) and proceeds of the Offering will be deposited and held in a trust account (the “Trust Account”) for the benefit of the Company, the Underwriters and the Public Shareholders (as defined below).</w:t>
      </w:r>
    </w:p>
    <w:p>
      <w:pPr>
        <w:spacing w:after="0" w:line="157"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The Company has entered into a Warrant Agreement, dated the date hereof (the “Warrant Agreement”), with respect to the Warrants and the Private Placement Warrants with CST, as warrant agent, in substantially the form filed as Exhibit 4.4 to the Registration Statement, pursuant to which CST will act as warrant agent in connection with the issuance, registration, transfer, exchange, redemption, and exercise of the Warrants and the Private Placement Warrants.</w:t>
      </w:r>
    </w:p>
    <w:p>
      <w:pPr>
        <w:spacing w:after="0" w:line="187"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The Company has entered into a Securities Subscription Agreement, dated December 30, 2020 (the “Founder’s Purchase Agreement”), with Freedom Acquisition I LLC, a Cayman Islands limited liability company (the “Sponsor”), pursuant to which the Sponsor purchased an aggregate of 7,187,500 Class B ordinary shares of the Company, par value $0.0001 per share, for an aggregate purchase price of $25,000 (including the Ordinary Shares issuable upon conversation thereof, the “Founder Shares”), up to 937,500 of which are subject to forfeiture depending on the extent to which the Underwriters’ over-allotment option is exercised. The Sponsor has entered into Securities Assignment Agreements, each dated [•], 2021, with each of Noreen Doyle, David Poritz and William Janetschek, pursuant to which the Sponsor transferred 25,000 Founder Shares to each of Noreen Doyle, David Poritz and William Janetschek. In addition, the Sponsor will enter into Securities Assignment Agreements with up to three employees to be hired before or shortly after the Offering, pursuant to which the Sponsor will transfer an aggregate of up to 62,500 Founder Shares to such employees. The Founder Shares are substantially similar to the Ordinary Shares included in the Units, except as described in the Registration Statement, the Pricing Disclosure Package and the Prospectus.</w:t>
      </w:r>
    </w:p>
    <w:p>
      <w:pPr>
        <w:spacing w:after="0" w:line="185" w:lineRule="exact"/>
        <w:rPr>
          <w:sz w:val="20"/>
          <w:szCs w:val="20"/>
          <w:color w:val="auto"/>
        </w:rPr>
      </w:pPr>
    </w:p>
    <w:p>
      <w:pPr>
        <w:ind w:right="180" w:firstLine="648"/>
        <w:spacing w:after="0" w:line="296" w:lineRule="auto"/>
        <w:rPr>
          <w:sz w:val="20"/>
          <w:szCs w:val="20"/>
          <w:color w:val="auto"/>
        </w:rPr>
      </w:pPr>
      <w:r>
        <w:rPr>
          <w:rFonts w:ascii="Arial" w:cs="Arial" w:eastAsia="Arial" w:hAnsi="Arial"/>
          <w:sz w:val="16"/>
          <w:szCs w:val="16"/>
          <w:color w:val="auto"/>
        </w:rPr>
        <w:t>The Company has entered into a Private Placement Warrants Purchase Agreement, dated the date hereof (the “Warrant Purchase Agreement”), with the Sponsor, in substantially the form filed as Exhibit 10.4 to the Registration Statement, pursuant to which the Sponsor agreed to purchase an aggregate of 5,000,000 warrants (or up to 5,500,000 warrants if the over-allotment option is exercised in full), each entitling the holder to purchase one Ordinary Share (the “Private Placement Warrants”), for $1.50 per Private Placement Warrant. The Private Placement Warrants are substantially similar to the Warrants included in the Units, except as described in the Registration Statement, the Pricing Disclosure Package and the Prospectus.</w:t>
      </w:r>
    </w:p>
    <w:p>
      <w:pPr>
        <w:spacing w:after="0" w:line="161"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The Company has entered into a Registration Rights Agreement, dated the date hereof (the “Registration Rights Agreement”), with the Sponsor and the other parties thereto, in</w:t>
      </w:r>
    </w:p>
    <w:p>
      <w:pPr>
        <w:spacing w:after="0" w:line="27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195" w:name="page196"/>
    <w:bookmarkEnd w:id="195"/>
    <w:p>
      <w:pPr>
        <w:ind w:right="20"/>
        <w:spacing w:after="0" w:line="311" w:lineRule="auto"/>
        <w:rPr>
          <w:sz w:val="20"/>
          <w:szCs w:val="20"/>
          <w:color w:val="auto"/>
        </w:rPr>
      </w:pPr>
      <w:r>
        <w:rPr>
          <w:rFonts w:ascii="Arial" w:cs="Arial" w:eastAsia="Arial" w:hAnsi="Arial"/>
          <w:sz w:val="16"/>
          <w:szCs w:val="16"/>
          <w:color w:val="auto"/>
        </w:rPr>
        <w:t>substantially the form filed as Exhibit 10.3 to the Registration Statement, pursuant to which the Company has granted certain registration rights in respect of the Private Placement Warrants and the Ordinary Shares underlying the Founder Shares and the Private Placement Warrants and the warrants (which will be substantially similar to the Private Placement Warrants) that may be issued upon conversion of certain working capital loans, if any.</w:t>
      </w:r>
    </w:p>
    <w:p>
      <w:pPr>
        <w:spacing w:after="0" w:line="149"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The Company has entered into an Administrative Services Agreement, dated the date hereof (the “Administrative Services Agreement”), with the Sponsor, in substantially the form filed as Exhibit 10.8 to the Registration Statement, pursuant to which the Company will pay to the Sponsor up to $10,000 per month for office space, utilities, secretarial and administrative support services provided to the Company and other expenses and obligations of the Sponsor.</w:t>
      </w:r>
    </w:p>
    <w:p>
      <w:pPr>
        <w:spacing w:after="0" w:line="187" w:lineRule="exact"/>
        <w:rPr>
          <w:sz w:val="20"/>
          <w:szCs w:val="20"/>
          <w:color w:val="auto"/>
        </w:rPr>
      </w:pPr>
    </w:p>
    <w:p>
      <w:pPr>
        <w:ind w:right="60" w:firstLine="648"/>
        <w:spacing w:after="0" w:line="301" w:lineRule="auto"/>
        <w:rPr>
          <w:sz w:val="20"/>
          <w:szCs w:val="20"/>
          <w:color w:val="auto"/>
        </w:rPr>
      </w:pPr>
      <w:r>
        <w:rPr>
          <w:rFonts w:ascii="Arial" w:cs="Arial" w:eastAsia="Arial" w:hAnsi="Arial"/>
          <w:sz w:val="16"/>
          <w:szCs w:val="16"/>
          <w:color w:val="auto"/>
        </w:rPr>
        <w:t>The Company has caused to be duly executed and delivered a letter agreement, dated the date hereof (the “Insider Letter” and, collectively with this Agreement, the Trust Agreement, the Warrant Agreement, the Founder’s Purchase Agreement, the Warrant Purchase Agreement, the Registration Rights Agreement and Administrative Services Agreement, the “Transaction Documents”), by and among the Sponsor and each of the Company’s officers, directors, director nominees and other parties thereto, in substantially the form filed as Exhibit 10.1 to the Registration Statement.</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Company hereby confirms its agreement with the several Underwriters concerning the purchase and sale of the Units, as follows:</w:t>
      </w:r>
    </w:p>
    <w:p>
      <w:pPr>
        <w:spacing w:after="0" w:line="237" w:lineRule="exact"/>
        <w:rPr>
          <w:sz w:val="20"/>
          <w:szCs w:val="20"/>
          <w:color w:val="auto"/>
        </w:rPr>
      </w:pPr>
    </w:p>
    <w:p>
      <w:pPr>
        <w:ind w:firstLine="8"/>
        <w:spacing w:after="0" w:line="269" w:lineRule="auto"/>
        <w:tabs>
          <w:tab w:leader="none" w:pos="944" w:val="left"/>
        </w:tabs>
        <w:numPr>
          <w:ilvl w:val="0"/>
          <w:numId w:val="93"/>
        </w:numPr>
        <w:rPr>
          <w:rFonts w:ascii="Arial" w:cs="Arial" w:eastAsia="Arial" w:hAnsi="Arial"/>
          <w:sz w:val="17"/>
          <w:szCs w:val="17"/>
          <w:color w:val="auto"/>
        </w:rPr>
      </w:pPr>
      <w:r>
        <w:rPr>
          <w:rFonts w:ascii="Arial" w:cs="Arial" w:eastAsia="Arial" w:hAnsi="Arial"/>
          <w:sz w:val="17"/>
          <w:szCs w:val="17"/>
          <w:u w:val="single" w:color="auto"/>
          <w:color w:val="auto"/>
        </w:rPr>
        <w:t>Registration Statement</w:t>
      </w:r>
      <w:r>
        <w:rPr>
          <w:rFonts w:ascii="Arial" w:cs="Arial" w:eastAsia="Arial" w:hAnsi="Arial"/>
          <w:sz w:val="17"/>
          <w:szCs w:val="17"/>
          <w:color w:val="auto"/>
        </w:rPr>
        <w:t>. The Company has prepared and filed with the Commission under the Securities Act of 1933, as amended, and the rules and regulations of the Commission thereunder (collectively, the “Securities Act”), a registration statement (File No. 333-252940), including a prospectus, relating to the Units and the Warrants and Ordinary Shares included therein. Such registration statement, as amended at the time it became effective, including the information, if any, deemed pursuant to Rule 430A, 430B or 430C under the Securities Act to be part of the registration statement at the time of its effectiveness (“Rule 430 Information”), is referred to herein as the “Registration Statement”; and as used herein, the term “Preliminary Prospectus” means each prospectus included in such registration statement (and any amendments thereto) before effectiveness, any prospectus filed with the Commission pursuant to Rule 424(a) under the Securities Act and the prospectus included in the Registration Statement at the time of its effectiveness that omits Rule 430 Information, and the term “Prospectus” means the prospectus in the form first used (or made available upon request of purchasers pursuant to Rule 173 under the Securities Act) in connection with confirmation of sales of the Units. If the Company has filed an abbreviated registration statement pursuant to Rule 462(b) under the Securities Act (the “Rule 462 Registration Statement”), then any reference herein to the term “Registration Statement” shall be deemed to include such Rule 462 Registration Statement.</w:t>
      </w:r>
    </w:p>
    <w:p>
      <w:pPr>
        <w:spacing w:after="0" w:line="182" w:lineRule="exact"/>
        <w:rPr>
          <w:sz w:val="20"/>
          <w:szCs w:val="20"/>
          <w:color w:val="auto"/>
        </w:rPr>
      </w:pPr>
    </w:p>
    <w:p>
      <w:pPr>
        <w:ind w:right="660" w:firstLine="648"/>
        <w:spacing w:after="0" w:line="277" w:lineRule="auto"/>
        <w:rPr>
          <w:sz w:val="20"/>
          <w:szCs w:val="20"/>
          <w:color w:val="auto"/>
        </w:rPr>
      </w:pPr>
      <w:r>
        <w:rPr>
          <w:rFonts w:ascii="Arial" w:cs="Arial" w:eastAsia="Arial" w:hAnsi="Arial"/>
          <w:sz w:val="18"/>
          <w:szCs w:val="18"/>
          <w:color w:val="auto"/>
        </w:rPr>
        <w:t>At or prior to the Applicable Time (as defined below), the Company had prepared the following information (collectively with the pricing information set forth on Annex A, the “Pricing Disclosure Package”): a Preliminary Prospectus dated [•], 2021.</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“Applicable Time” means [•] P.M., New York City time, on [•], 2021.</w:t>
      </w:r>
    </w:p>
    <w:p>
      <w:pPr>
        <w:spacing w:after="0" w:line="33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96" w:name="page197"/>
    <w:bookmarkEnd w:id="196"/>
    <w:p>
      <w:pPr>
        <w:ind w:left="960" w:hanging="952"/>
        <w:spacing w:after="0"/>
        <w:tabs>
          <w:tab w:leader="none" w:pos="960" w:val="left"/>
        </w:tabs>
        <w:numPr>
          <w:ilvl w:val="0"/>
          <w:numId w:val="94"/>
        </w:numPr>
        <w:rPr>
          <w:rFonts w:ascii="Arial" w:cs="Arial" w:eastAsia="Arial" w:hAnsi="Arial"/>
          <w:sz w:val="18"/>
          <w:szCs w:val="18"/>
          <w:color w:val="auto"/>
        </w:rPr>
      </w:pPr>
      <w:r>
        <w:rPr>
          <w:rFonts w:ascii="Arial" w:cs="Arial" w:eastAsia="Arial" w:hAnsi="Arial"/>
          <w:sz w:val="18"/>
          <w:szCs w:val="18"/>
          <w:u w:val="single" w:color="auto"/>
          <w:color w:val="auto"/>
        </w:rPr>
        <w:t>Purchase of the Units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20" w:firstLine="656"/>
        <w:spacing w:after="0" w:line="290" w:lineRule="auto"/>
        <w:tabs>
          <w:tab w:leader="none" w:pos="1522" w:val="left"/>
        </w:tabs>
        <w:numPr>
          <w:ilvl w:val="1"/>
          <w:numId w:val="94"/>
        </w:numPr>
        <w:rPr>
          <w:rFonts w:ascii="Arial" w:cs="Arial" w:eastAsia="Arial" w:hAnsi="Arial"/>
          <w:sz w:val="16"/>
          <w:szCs w:val="16"/>
          <w:color w:val="auto"/>
        </w:rPr>
      </w:pPr>
      <w:r>
        <w:rPr>
          <w:rFonts w:ascii="Arial" w:cs="Arial" w:eastAsia="Arial" w:hAnsi="Arial"/>
          <w:sz w:val="16"/>
          <w:szCs w:val="16"/>
          <w:color w:val="auto"/>
        </w:rPr>
        <w:t>The Company agrees to issue and sell the Firm Units to the several Underwriters as provided in this underwriting agreement (this “Agreement”), and each Underwriter, on the basis of the representations, warranties and agreements set forth herein and subject to the conditions set forth herein, agrees, severally and not jointly, to purchase at a price per unit of $9.80 (the “Purchase Price”) from the Company the respective number of Firm Units set forth opposite such Underwriter’s name in Schedule 1 hereto; provided that the purchase price for any Firm Units that are PIMCO IPO Units shall be $10.00. The number of PIMCO IPO Units to be purchased by each Underwriter shall be based upon the same percentage of the total number of the PIMCO IPO Units to be purchased by the several Underwriters as such Underwriter is purchasing of the aggregate Firm Securities, subject to such adjustments as the Representative in its absolute discretion shall make to eliminate any fractional PIMCO IPO Units. “PIMCO IPO Units” shall mean the [•] Firm Units to be purchased by one or more funds affiliated with Pacific Investment Management Company LLC or its affiliates.</w:t>
      </w:r>
    </w:p>
    <w:p>
      <w:pPr>
        <w:spacing w:after="0" w:line="192" w:lineRule="exact"/>
        <w:rPr>
          <w:rFonts w:ascii="Arial" w:cs="Arial" w:eastAsia="Arial" w:hAnsi="Arial"/>
          <w:sz w:val="16"/>
          <w:szCs w:val="16"/>
          <w:color w:val="auto"/>
        </w:rPr>
      </w:pPr>
    </w:p>
    <w:p>
      <w:pPr>
        <w:ind w:right="60" w:firstLine="656"/>
        <w:spacing w:after="0" w:line="279" w:lineRule="auto"/>
        <w:tabs>
          <w:tab w:leader="none" w:pos="1532" w:val="left"/>
        </w:tabs>
        <w:numPr>
          <w:ilvl w:val="1"/>
          <w:numId w:val="94"/>
        </w:numPr>
        <w:rPr>
          <w:rFonts w:ascii="Arial" w:cs="Arial" w:eastAsia="Arial" w:hAnsi="Arial"/>
          <w:sz w:val="17"/>
          <w:szCs w:val="17"/>
          <w:color w:val="auto"/>
        </w:rPr>
      </w:pPr>
      <w:r>
        <w:rPr>
          <w:rFonts w:ascii="Arial" w:cs="Arial" w:eastAsia="Arial" w:hAnsi="Arial"/>
          <w:sz w:val="17"/>
          <w:szCs w:val="17"/>
          <w:color w:val="auto"/>
        </w:rPr>
        <w:t>In addition, the Company agrees to issue and sell the Option Units to the several Underwriters as provided in this Agreement, and the Underwriters, on the basis of the representations, warranties and agreements set forth herein and subject to the conditions set forth herein, shall have the option to purchase, severally and not jointly, from the Company the Option Units at a price per unit of $9.80 less an amount per unit equal to any dividends or distributions declared by the Company and payable on the Firm Units but not payable on the Option Units.</w:t>
      </w:r>
    </w:p>
    <w:p>
      <w:pPr>
        <w:spacing w:after="0" w:line="198"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If any Option Units are to be purchased, the number of Option Units to be purchased by each Underwriter shall be the number of Option Units which bears the same ratio to the aggregate number of Option Units being purchased as the number of Firm Units set forth opposite the name of such Underwriter in Schedule 1 hereto (or such number increased as set forth in Section 10 hereof) bears to the aggregate number of Firm Units being purchased from the Company by the several Underwriters, subject, however, to such adjustments to eliminate any fractional Units as the Representative in its sole discretion shall make.</w:t>
      </w:r>
    </w:p>
    <w:p>
      <w:pPr>
        <w:spacing w:after="0" w:line="188"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The Underwriters may exercise the option to purchase Option Units at any time in whole, or from time to time in part, on or before the forty-fifth day following the date of the Prospectus, by written notice from the Representative to the Company. Such notice shall set forth the aggregate number of Option Units as to which the option is being exercised and the date and time when the Option Units are to be delivered and paid for, which may be the same date and time as the Closing Date (as defined below) but shall not be earlier than the Closing Date nor later than the tenth full business day (as defined below) after the date of such notice (unless such time and date are postponed in accordance with the provisions of Section 10 hereof). Any such notice shall be given at least two business days prior to the date and time of delivery specified therein.</w:t>
      </w:r>
    </w:p>
    <w:p>
      <w:pPr>
        <w:spacing w:after="0" w:line="178" w:lineRule="exact"/>
        <w:rPr>
          <w:sz w:val="20"/>
          <w:szCs w:val="20"/>
          <w:color w:val="auto"/>
        </w:rPr>
      </w:pPr>
    </w:p>
    <w:p>
      <w:pPr>
        <w:ind w:right="140" w:firstLine="656"/>
        <w:spacing w:after="0" w:line="311" w:lineRule="auto"/>
        <w:tabs>
          <w:tab w:leader="none" w:pos="1522" w:val="left"/>
        </w:tabs>
        <w:numPr>
          <w:ilvl w:val="0"/>
          <w:numId w:val="95"/>
        </w:numPr>
        <w:rPr>
          <w:rFonts w:ascii="Arial" w:cs="Arial" w:eastAsia="Arial" w:hAnsi="Arial"/>
          <w:sz w:val="16"/>
          <w:szCs w:val="16"/>
          <w:color w:val="auto"/>
        </w:rPr>
      </w:pPr>
      <w:r>
        <w:rPr>
          <w:rFonts w:ascii="Arial" w:cs="Arial" w:eastAsia="Arial" w:hAnsi="Arial"/>
          <w:sz w:val="16"/>
          <w:szCs w:val="16"/>
          <w:color w:val="auto"/>
        </w:rPr>
        <w:t>In addition to the discount from the public offering price represented by the Purchase Price, the Company hereby agrees to pay to the Underwriters a deferred discount of $0.350 per Unit (including both Firm Units and Option Units) purchased hereunder (the “Deferred Discount”). The Deferred Discount will be paid directly to the Representative, on behalf of the Underwriters, by the Trustee from amounts on deposit in the Trust Account</w:t>
      </w:r>
    </w:p>
    <w:p>
      <w:pPr>
        <w:spacing w:after="0" w:line="200" w:lineRule="exact"/>
        <w:rPr>
          <w:sz w:val="20"/>
          <w:szCs w:val="20"/>
          <w:color w:val="auto"/>
        </w:rPr>
      </w:pPr>
    </w:p>
    <w:p>
      <w:pPr>
        <w:spacing w:after="0" w:line="30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97" w:name="page198"/>
    <w:bookmarkEnd w:id="197"/>
    <w:p>
      <w:pPr>
        <w:ind w:right="80"/>
        <w:spacing w:after="0" w:line="290" w:lineRule="auto"/>
        <w:rPr>
          <w:sz w:val="20"/>
          <w:szCs w:val="20"/>
          <w:color w:val="auto"/>
        </w:rPr>
      </w:pPr>
      <w:r>
        <w:rPr>
          <w:rFonts w:ascii="Arial" w:cs="Arial" w:eastAsia="Arial" w:hAnsi="Arial"/>
          <w:sz w:val="16"/>
          <w:szCs w:val="16"/>
          <w:color w:val="auto"/>
        </w:rPr>
        <w:t>(without accrued interest) by wire transfer payable in same-day funds if and when the Company consummates an initial Business Combination. The Underwriters hereby agree that if no Business Combination is consummated within the time period provided in the Trust Agreement, as such time period may be extended, and the funds held under the Trust Agreement are distributed to the holders of the Ordinary Shares included in the Units sold pursuant to this Agreement (the “Public Shareholders”), (i) the Underwriters will forfeit any rights or claims to the Deferred Discount and (ii) the Trustee is authorized to distribute the Deferred Discount to the Public Shareholders on a pro rata basis. Notwithstanding anything to the contrary herein, up to 35% of the Deferred Discount (or $3,062,500, or $3,521,875 if the over-allotment option is exercised in full) may be paid at the sole and absolute discretion of the Company’s management to the Underwriters in allocations determined by the Company’s management and/or to third parties not participating as Underwriters in this Offering (but who are Members (as defined below)) that assist the Company in consummating its initial Business Combination.</w:t>
      </w:r>
    </w:p>
    <w:p>
      <w:pPr>
        <w:spacing w:after="0" w:line="192" w:lineRule="exact"/>
        <w:rPr>
          <w:sz w:val="20"/>
          <w:szCs w:val="20"/>
          <w:color w:val="auto"/>
        </w:rPr>
      </w:pPr>
    </w:p>
    <w:p>
      <w:pPr>
        <w:ind w:firstLine="656"/>
        <w:spacing w:after="0" w:line="263" w:lineRule="auto"/>
        <w:tabs>
          <w:tab w:leader="none" w:pos="1532"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Company understands that the Underwriters intend to make a public offering of the Units (the “Offering”), and initially to offer the Units on the terms set forth in the Pricing Disclosure Package. The Company acknowledges and agrees that the Underwriters may offer and sell Units to or through any affiliate of an Underwriter.</w:t>
      </w:r>
    </w:p>
    <w:p>
      <w:pPr>
        <w:spacing w:after="0" w:line="183" w:lineRule="exact"/>
        <w:rPr>
          <w:rFonts w:ascii="Arial" w:cs="Arial" w:eastAsia="Arial" w:hAnsi="Arial"/>
          <w:sz w:val="18"/>
          <w:szCs w:val="18"/>
          <w:color w:val="auto"/>
        </w:rPr>
      </w:pPr>
    </w:p>
    <w:p>
      <w:pPr>
        <w:ind w:right="200" w:firstLine="656"/>
        <w:spacing w:after="0" w:line="272" w:lineRule="auto"/>
        <w:tabs>
          <w:tab w:leader="none" w:pos="1522" w:val="left"/>
        </w:tabs>
        <w:numPr>
          <w:ilvl w:val="0"/>
          <w:numId w:val="96"/>
        </w:numPr>
        <w:rPr>
          <w:rFonts w:ascii="Arial" w:cs="Arial" w:eastAsia="Arial" w:hAnsi="Arial"/>
          <w:sz w:val="17"/>
          <w:szCs w:val="17"/>
          <w:color w:val="auto"/>
        </w:rPr>
      </w:pPr>
      <w:r>
        <w:rPr>
          <w:rFonts w:ascii="Arial" w:cs="Arial" w:eastAsia="Arial" w:hAnsi="Arial"/>
          <w:sz w:val="17"/>
          <w:szCs w:val="17"/>
          <w:color w:val="auto"/>
        </w:rPr>
        <w:t>Payment for the Units shall be made by wire transfer in immediately available funds to the account specified by the Company to the Representative in the case of the Firm Units, at the offices of Skadden, Arps, Slate, Meagher &amp; Flom LLP, 300 S Grand Ave, Suite 3400, Los Angeles, California 90071 at 10:00 A.M. New York City time on [•], 2021, or at such other time or place on the same or such other date, not later than the fifth business day thereafter, as the Representative and the Company may agree upon in writing or, in the case of the Option Units, on the date and at the time and place specified by the Representative in the written notice of the Underwriters’ election to purchase such Option Units. The time and date of such payment for the Firm Units is referred to herein as the “Closing Date,” and the time and date for such payment for the Option Units, if other than the Closing Date, is herein referred to as the “Additional Closing Date.”</w:t>
      </w:r>
    </w:p>
    <w:p>
      <w:pPr>
        <w:spacing w:after="0" w:line="177"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Payment for the Units to be purchased on the Closing Date or the Additional Closing Date, as the case may be, shall be made against delivery to the Representative for the respective accounts of the several Underwriters of the Units to be purchased on such date in definitive or book-entry form registered in such names and in such denominations as the Representative shall request in writing not later than two full business days prior to the Closing Date or the Additional Closing Date, as the case may be, with any transfer taxes payable in connection with the sale of such Units duly paid by the Company. Delivery of the Units shall be made through the facilities of The Depository Trust Company (“DTC”) unless the Representative shall otherwise instruct.</w:t>
      </w:r>
    </w:p>
    <w:p>
      <w:pPr>
        <w:spacing w:after="0" w:line="192" w:lineRule="exact"/>
        <w:rPr>
          <w:sz w:val="20"/>
          <w:szCs w:val="20"/>
          <w:color w:val="auto"/>
        </w:rPr>
      </w:pPr>
    </w:p>
    <w:p>
      <w:pPr>
        <w:ind w:right="80" w:firstLine="656"/>
        <w:spacing w:after="0" w:line="254" w:lineRule="auto"/>
        <w:tabs>
          <w:tab w:leader="none" w:pos="1547"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Company acknowledges and agrees that the Representative and the other Underwriters are acting solely in the capacity of an arm’s length contractual counterparty to the Company with respect to the Offering contemplated hereby (including in connection with determining the terms of the Offering) and not as a financial advisor or a fiduciary to, or an agent of, the Company or any other person. Additionally, neither the Representative nor any other Underwriter is advising the Company or any other person as to any legal, tax, investment, accounting or regulatory matters in any jurisdiction. The Company shall consult with its own advisors concerning such matters and shall be responsible for making its own independent investigation and appraisal of the transactions contemplated hereby, and neither the Representative nor the other Underwriters shall have any responsibility or liability to the</w:t>
      </w:r>
    </w:p>
    <w:p>
      <w:pPr>
        <w:spacing w:after="0" w:line="30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98" w:name="page199"/>
    <w:bookmarkEnd w:id="198"/>
    <w:p>
      <w:pPr>
        <w:ind w:right="380"/>
        <w:spacing w:after="0" w:line="342" w:lineRule="auto"/>
        <w:rPr>
          <w:sz w:val="20"/>
          <w:szCs w:val="20"/>
          <w:color w:val="auto"/>
        </w:rPr>
      </w:pPr>
      <w:r>
        <w:rPr>
          <w:rFonts w:ascii="Arial" w:cs="Arial" w:eastAsia="Arial" w:hAnsi="Arial"/>
          <w:sz w:val="16"/>
          <w:szCs w:val="16"/>
          <w:color w:val="auto"/>
        </w:rPr>
        <w:t>Company with respect thereto. Any review by the Representative and the other Underwriters of the Company, the transactions contemplated hereby or other matters relating to such transactions will be performed solely for the benefit of the Underwriters and shall not be on behalf of the Company.</w:t>
      </w:r>
    </w:p>
    <w:p>
      <w:pPr>
        <w:spacing w:after="0" w:line="124" w:lineRule="exact"/>
        <w:rPr>
          <w:sz w:val="20"/>
          <w:szCs w:val="20"/>
          <w:color w:val="auto"/>
        </w:rPr>
      </w:pPr>
    </w:p>
    <w:p>
      <w:pPr>
        <w:ind w:left="960" w:hanging="952"/>
        <w:spacing w:after="0"/>
        <w:tabs>
          <w:tab w:leader="none" w:pos="960" w:val="left"/>
        </w:tabs>
        <w:numPr>
          <w:ilvl w:val="0"/>
          <w:numId w:val="98"/>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 of the Company</w:t>
      </w:r>
      <w:r>
        <w:rPr>
          <w:rFonts w:ascii="Arial" w:cs="Arial" w:eastAsia="Arial" w:hAnsi="Arial"/>
          <w:sz w:val="18"/>
          <w:szCs w:val="18"/>
          <w:color w:val="auto"/>
        </w:rPr>
        <w:t>. The Company represents and warrants to each Underwriter that:</w:t>
      </w:r>
    </w:p>
    <w:p>
      <w:pPr>
        <w:spacing w:after="0" w:line="225" w:lineRule="exact"/>
        <w:rPr>
          <w:rFonts w:ascii="Arial" w:cs="Arial" w:eastAsia="Arial" w:hAnsi="Arial"/>
          <w:sz w:val="18"/>
          <w:szCs w:val="18"/>
          <w:color w:val="auto"/>
        </w:rPr>
      </w:pPr>
    </w:p>
    <w:p>
      <w:pPr>
        <w:ind w:firstLine="656"/>
        <w:spacing w:after="0" w:line="254" w:lineRule="auto"/>
        <w:tabs>
          <w:tab w:leader="none" w:pos="1522" w:val="left"/>
        </w:tabs>
        <w:numPr>
          <w:ilvl w:val="1"/>
          <w:numId w:val="98"/>
        </w:numPr>
        <w:rPr>
          <w:rFonts w:ascii="Arial" w:cs="Arial" w:eastAsia="Arial" w:hAnsi="Arial"/>
          <w:sz w:val="18"/>
          <w:szCs w:val="18"/>
          <w:color w:val="auto"/>
        </w:rPr>
      </w:pPr>
      <w:r>
        <w:rPr>
          <w:rFonts w:ascii="Arial" w:cs="Arial" w:eastAsia="Arial" w:hAnsi="Arial"/>
          <w:sz w:val="18"/>
          <w:szCs w:val="18"/>
          <w:u w:val="single" w:color="auto"/>
          <w:color w:val="auto"/>
        </w:rPr>
        <w:t>Preliminary Prospectus</w:t>
      </w:r>
      <w:r>
        <w:rPr>
          <w:rFonts w:ascii="Arial" w:cs="Arial" w:eastAsia="Arial" w:hAnsi="Arial"/>
          <w:sz w:val="18"/>
          <w:szCs w:val="18"/>
          <w:color w:val="auto"/>
        </w:rPr>
        <w:t xml:space="preserve">. No order preventing or suspending the use of any Preliminary Prospectus has been issued by the Commission, and each Preliminary Prospectus included in the Pricing Disclosure Package, at the time of filing thereof, complied in all material respects with the Securities Act, and no Preliminary Prospectus, at the time of filing thereof, contained any untrue statement of a material fact or omitted to state a material fact necessary in order to make the statements therein, in the light of the circumstances under which they were made, not misleading;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Company makes no representation or warranty with respect to any statements or omissions made in reliance upon and in conformity with information relating to any Underwriter furnished to the Company in writing by such Underwriter through the Representative expressly for use in any Preliminary Prospectus, it being understood and agreed that the only such information furnished by any Underwriter consists of the information described as such in Section 7(b) hereof.</w:t>
      </w:r>
    </w:p>
    <w:p>
      <w:pPr>
        <w:spacing w:after="0" w:line="191" w:lineRule="exact"/>
        <w:rPr>
          <w:rFonts w:ascii="Arial" w:cs="Arial" w:eastAsia="Arial" w:hAnsi="Arial"/>
          <w:sz w:val="18"/>
          <w:szCs w:val="18"/>
          <w:color w:val="auto"/>
        </w:rPr>
      </w:pPr>
    </w:p>
    <w:p>
      <w:pPr>
        <w:ind w:right="120" w:firstLine="656"/>
        <w:spacing w:after="0" w:line="290" w:lineRule="auto"/>
        <w:tabs>
          <w:tab w:leader="none" w:pos="1532" w:val="left"/>
        </w:tabs>
        <w:numPr>
          <w:ilvl w:val="1"/>
          <w:numId w:val="98"/>
        </w:numPr>
        <w:rPr>
          <w:rFonts w:ascii="Arial" w:cs="Arial" w:eastAsia="Arial" w:hAnsi="Arial"/>
          <w:sz w:val="16"/>
          <w:szCs w:val="16"/>
          <w:color w:val="auto"/>
        </w:rPr>
      </w:pPr>
      <w:r>
        <w:rPr>
          <w:rFonts w:ascii="Arial" w:cs="Arial" w:eastAsia="Arial" w:hAnsi="Arial"/>
          <w:sz w:val="16"/>
          <w:szCs w:val="16"/>
          <w:u w:val="single" w:color="auto"/>
          <w:color w:val="auto"/>
        </w:rPr>
        <w:t>Pricing Disclosure Package</w:t>
      </w:r>
      <w:r>
        <w:rPr>
          <w:rFonts w:ascii="Arial" w:cs="Arial" w:eastAsia="Arial" w:hAnsi="Arial"/>
          <w:sz w:val="16"/>
          <w:szCs w:val="16"/>
          <w:color w:val="auto"/>
        </w:rPr>
        <w:t xml:space="preserve">. The Pricing Disclosure Package as of the Applicable Time did not, and as of the Closing Date and as of the Additional Closing Date, as the case may be, will not, contain any untrue statement of a material fact or omit to state a material fact necessary in order to make the statements therein, in the light of the circumstances under which they were made, not misleading;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Company makes no representation or warranty with respect to any statements or omissions made in reliance upon and in conformity with information relating to any Underwriter furnished to the Company in writing by such Underwriter through the Representative expressly for use in such Pricing Disclosure Package, it being understood and agreed that the only such information furnished by any Underwriter consists of the information described as such in Section 7(b) hereof. No statement of material fact included in the Prospectus has been omitted from the Pricing Disclosure Package and no statement of material fact included in the Pricing Disclosure Package that is required to be included in the Prospectus has been omitted therefrom.</w:t>
      </w:r>
    </w:p>
    <w:p>
      <w:pPr>
        <w:spacing w:after="0" w:line="165" w:lineRule="exact"/>
        <w:rPr>
          <w:rFonts w:ascii="Arial" w:cs="Arial" w:eastAsia="Arial" w:hAnsi="Arial"/>
          <w:sz w:val="16"/>
          <w:szCs w:val="16"/>
          <w:color w:val="auto"/>
        </w:rPr>
      </w:pPr>
    </w:p>
    <w:p>
      <w:pPr>
        <w:ind w:firstLine="656"/>
        <w:spacing w:after="0" w:line="286" w:lineRule="auto"/>
        <w:tabs>
          <w:tab w:leader="none" w:pos="1522" w:val="left"/>
        </w:tabs>
        <w:numPr>
          <w:ilvl w:val="1"/>
          <w:numId w:val="98"/>
        </w:numPr>
        <w:rPr>
          <w:rFonts w:ascii="Arial" w:cs="Arial" w:eastAsia="Arial" w:hAnsi="Arial"/>
          <w:sz w:val="16"/>
          <w:szCs w:val="16"/>
          <w:color w:val="auto"/>
        </w:rPr>
      </w:pPr>
      <w:r>
        <w:rPr>
          <w:rFonts w:ascii="Arial" w:cs="Arial" w:eastAsia="Arial" w:hAnsi="Arial"/>
          <w:sz w:val="16"/>
          <w:szCs w:val="16"/>
          <w:u w:val="single" w:color="auto"/>
          <w:color w:val="auto"/>
        </w:rPr>
        <w:t>Issuer Free Writing Prospectus</w:t>
      </w:r>
      <w:r>
        <w:rPr>
          <w:rFonts w:ascii="Arial" w:cs="Arial" w:eastAsia="Arial" w:hAnsi="Arial"/>
          <w:sz w:val="16"/>
          <w:szCs w:val="16"/>
          <w:color w:val="auto"/>
        </w:rPr>
        <w:t>. Other than the Registration Statement, the Preliminary Prospectus and the Prospectus, the Company (including its agents and representatives, other than the Underwriters in their capacity as such) has not prepared, made, used, authorized, approved or referred to and will not prepare, make, use, authorize, approve or refer to any “written communication” (as defined in Rule 405 under the Securities Act) that constitutes an offer to sell or solicitation of an offer to buy the Units other than any document not constituting a prospectus pursuant to Section 2(a)(10)</w:t>
      </w:r>
    </w:p>
    <w:p>
      <w:pPr>
        <w:spacing w:after="0" w:line="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 of the Securities Act or Rule 134 under the Securities Act.</w:t>
      </w:r>
    </w:p>
    <w:p>
      <w:pPr>
        <w:spacing w:after="0" w:line="210" w:lineRule="exact"/>
        <w:rPr>
          <w:rFonts w:ascii="Arial" w:cs="Arial" w:eastAsia="Arial" w:hAnsi="Arial"/>
          <w:sz w:val="16"/>
          <w:szCs w:val="16"/>
          <w:color w:val="auto"/>
        </w:rPr>
      </w:pPr>
    </w:p>
    <w:p>
      <w:pPr>
        <w:ind w:right="320" w:firstLine="656"/>
        <w:spacing w:after="0" w:line="308" w:lineRule="auto"/>
        <w:tabs>
          <w:tab w:leader="none" w:pos="1532" w:val="left"/>
        </w:tabs>
        <w:numPr>
          <w:ilvl w:val="1"/>
          <w:numId w:val="98"/>
        </w:numPr>
        <w:rPr>
          <w:rFonts w:ascii="Arial" w:cs="Arial" w:eastAsia="Arial" w:hAnsi="Arial"/>
          <w:sz w:val="17"/>
          <w:szCs w:val="17"/>
          <w:color w:val="auto"/>
        </w:rPr>
      </w:pPr>
      <w:r>
        <w:rPr>
          <w:rFonts w:ascii="Arial" w:cs="Arial" w:eastAsia="Arial" w:hAnsi="Arial"/>
          <w:sz w:val="17"/>
          <w:szCs w:val="17"/>
          <w:u w:val="single" w:color="auto"/>
          <w:color w:val="auto"/>
        </w:rPr>
        <w:t>Form 8-A</w:t>
      </w:r>
      <w:r>
        <w:rPr>
          <w:rFonts w:ascii="Arial" w:cs="Arial" w:eastAsia="Arial" w:hAnsi="Arial"/>
          <w:sz w:val="17"/>
          <w:szCs w:val="17"/>
          <w:color w:val="auto"/>
        </w:rPr>
        <w:t>. The Company has filed with the Commission a Form 8-A (file number 001-[•]) providing for the registration under the Securities Exchange Act of 1934, as amended (the “Exchange Act”), of the Units, the Ordinary Shares and the Warrants, which registration is</w:t>
      </w:r>
    </w:p>
    <w:p>
      <w:pPr>
        <w:spacing w:after="0" w:line="25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199" w:name="page200"/>
    <w:bookmarkEnd w:id="199"/>
    <w:p>
      <w:pPr>
        <w:ind w:right="60"/>
        <w:spacing w:after="0" w:line="263" w:lineRule="auto"/>
        <w:rPr>
          <w:sz w:val="20"/>
          <w:szCs w:val="20"/>
          <w:color w:val="auto"/>
        </w:rPr>
      </w:pPr>
      <w:r>
        <w:rPr>
          <w:rFonts w:ascii="Arial" w:cs="Arial" w:eastAsia="Arial" w:hAnsi="Arial"/>
          <w:sz w:val="18"/>
          <w:szCs w:val="18"/>
          <w:color w:val="auto"/>
        </w:rPr>
        <w:t>currently effective on the date hereof. The Units and the Ordinary Shares and the Warrants included as part of the Units have been authorized for listing, subject to official notice of issuance and evidence of satisfactory distribution, on the New York Stock Exchange (the “NYSE”), and the Company knows of no reason or set of facts that is likely to adversely affect such authorization.</w:t>
      </w:r>
    </w:p>
    <w:p>
      <w:pPr>
        <w:spacing w:after="0" w:line="184" w:lineRule="exact"/>
        <w:rPr>
          <w:sz w:val="20"/>
          <w:szCs w:val="20"/>
          <w:color w:val="auto"/>
        </w:rPr>
      </w:pPr>
    </w:p>
    <w:p>
      <w:pPr>
        <w:ind w:right="60" w:firstLine="656"/>
        <w:spacing w:after="0" w:line="273" w:lineRule="auto"/>
        <w:tabs>
          <w:tab w:leader="none" w:pos="1522" w:val="left"/>
        </w:tabs>
        <w:numPr>
          <w:ilvl w:val="1"/>
          <w:numId w:val="99"/>
        </w:numPr>
        <w:rPr>
          <w:rFonts w:ascii="Arial" w:cs="Arial" w:eastAsia="Arial" w:hAnsi="Arial"/>
          <w:sz w:val="17"/>
          <w:szCs w:val="17"/>
          <w:color w:val="auto"/>
        </w:rPr>
      </w:pPr>
      <w:r>
        <w:rPr>
          <w:rFonts w:ascii="Arial" w:cs="Arial" w:eastAsia="Arial" w:hAnsi="Arial"/>
          <w:sz w:val="17"/>
          <w:szCs w:val="17"/>
          <w:u w:val="single" w:color="auto"/>
          <w:color w:val="auto"/>
        </w:rPr>
        <w:t>Emerging Growth Company and Smaller Reporting Company</w:t>
      </w:r>
      <w:r>
        <w:rPr>
          <w:rFonts w:ascii="Arial" w:cs="Arial" w:eastAsia="Arial" w:hAnsi="Arial"/>
          <w:sz w:val="17"/>
          <w:szCs w:val="17"/>
          <w:color w:val="auto"/>
        </w:rPr>
        <w:t>. From the time of the initial confidential submission of the Registration Statement to the Commission (or, if earlier, the first date on which the Company engaged directly or through any person authorized to act on its behalf in any Testing-the-Waters Communication) through the date hereof, the Company has been and is an “emerging growth company,” as defined in Section 2(a) of the Securities Act (an “Emerging Growth Company”). “Testing-the-Waters Communication” means any oral or written communication with potential investors undertaken in reliance on either Section 5(d) of, or Rule 163B under, the Securities Act. As of the time of the filing of the Registration Statement, the Company was a “smaller reporting company,” as defined in Rule 12b-2 of the Exchange Act.</w:t>
      </w:r>
    </w:p>
    <w:p>
      <w:pPr>
        <w:spacing w:after="0" w:line="177" w:lineRule="exact"/>
        <w:rPr>
          <w:rFonts w:ascii="Arial" w:cs="Arial" w:eastAsia="Arial" w:hAnsi="Arial"/>
          <w:sz w:val="17"/>
          <w:szCs w:val="17"/>
          <w:color w:val="auto"/>
        </w:rPr>
      </w:pPr>
    </w:p>
    <w:p>
      <w:pPr>
        <w:jc w:val="both"/>
        <w:ind w:right="40" w:firstLine="656"/>
        <w:spacing w:after="0" w:line="287" w:lineRule="auto"/>
        <w:tabs>
          <w:tab w:leader="none" w:pos="1547" w:val="left"/>
        </w:tabs>
        <w:numPr>
          <w:ilvl w:val="1"/>
          <w:numId w:val="99"/>
        </w:numPr>
        <w:rPr>
          <w:rFonts w:ascii="Arial" w:cs="Arial" w:eastAsia="Arial" w:hAnsi="Arial"/>
          <w:sz w:val="16"/>
          <w:szCs w:val="16"/>
          <w:color w:val="auto"/>
        </w:rPr>
      </w:pPr>
      <w:r>
        <w:rPr>
          <w:rFonts w:ascii="Arial" w:cs="Arial" w:eastAsia="Arial" w:hAnsi="Arial"/>
          <w:sz w:val="16"/>
          <w:szCs w:val="16"/>
          <w:u w:val="single" w:color="auto"/>
          <w:color w:val="auto"/>
        </w:rPr>
        <w:t>Testing-the-Waters Materials</w:t>
      </w:r>
      <w:r>
        <w:rPr>
          <w:rFonts w:ascii="Arial" w:cs="Arial" w:eastAsia="Arial" w:hAnsi="Arial"/>
          <w:sz w:val="16"/>
          <w:szCs w:val="16"/>
          <w:color w:val="auto"/>
        </w:rPr>
        <w:t>. The Company (i) has not alone engaged in any Testing-the-Waters Communications other than Testing-the-Waters Communications with the consent of the Representative (x) with entities that are qualified institutional buyers within the meaning of Rule 144A under the Securities Act (“QIBs”) or institutions that are accredited investors within the meaning of Rule 501(a)(1), (a)(2), (a)(3), (a)(7), (a)(8), (a)(9), (a)</w:t>
      </w:r>
    </w:p>
    <w:p>
      <w:pPr>
        <w:spacing w:after="0" w:line="2" w:lineRule="exact"/>
        <w:rPr>
          <w:rFonts w:ascii="Arial" w:cs="Arial" w:eastAsia="Arial" w:hAnsi="Arial"/>
          <w:sz w:val="16"/>
          <w:szCs w:val="16"/>
          <w:color w:val="auto"/>
        </w:rPr>
      </w:pPr>
    </w:p>
    <w:p>
      <w:pPr>
        <w:ind w:firstLine="8"/>
        <w:spacing w:after="0" w:line="267" w:lineRule="auto"/>
        <w:tabs>
          <w:tab w:leader="none" w:pos="345" w:val="left"/>
        </w:tabs>
        <w:numPr>
          <w:ilvl w:val="0"/>
          <w:numId w:val="100"/>
        </w:numPr>
        <w:rPr>
          <w:rFonts w:ascii="Arial" w:cs="Arial" w:eastAsia="Arial" w:hAnsi="Arial"/>
          <w:sz w:val="17"/>
          <w:szCs w:val="17"/>
          <w:color w:val="auto"/>
        </w:rPr>
      </w:pPr>
      <w:r>
        <w:rPr>
          <w:rFonts w:ascii="Arial" w:cs="Arial" w:eastAsia="Arial" w:hAnsi="Arial"/>
          <w:sz w:val="17"/>
          <w:szCs w:val="17"/>
          <w:color w:val="auto"/>
        </w:rPr>
        <w:t>and (a)(13) under the Securities Act (“IAIs”) and otherwise in compliance with the requirements of Section 5(d) of the Securities Act or (y) with entities that the Company reasonably believed to be QIBs or IAIs and otherwise in compliance with the requirements of Rule 163B under the Securities Act and (ii) has not authorized anyone other than the Representative to engage in Testing-the-Waters Communications. The Company reconfirms that the Representative has been authorized to act on its behalf in undertaking Testing-the-Waters Communications. The Company has not distributed or approved for distribution any Written Testing-the-Waters Communications other than those listed on Annex B hereto. “Written Testing-the-Waters Communication” means any Testing-the-Waters Communication that is a written communication within the meaning of Rule 405 under the Securities Act. Any individual Written Testing-the-Waters Communication does not conflict with the information contained in the Registration Statement or the Pricing Disclosure Package, complied in all material respects with the Securities Act, and when taken together with the Pricing Disclosure Package as of the Applicable Time, did not, and as of the Closing Date and as of the Additional Closing Date, as the case may be, will not, contain any untrue statement of a material fact or omit to state a material fact necessary in order to make the statements therein, in the light of the circumstances under which they were made, not misleading.</w:t>
      </w:r>
    </w:p>
    <w:p>
      <w:pPr>
        <w:spacing w:after="0" w:line="185" w:lineRule="exact"/>
        <w:rPr>
          <w:rFonts w:ascii="Arial" w:cs="Arial" w:eastAsia="Arial" w:hAnsi="Arial"/>
          <w:sz w:val="17"/>
          <w:szCs w:val="17"/>
          <w:color w:val="auto"/>
        </w:rPr>
      </w:pPr>
    </w:p>
    <w:p>
      <w:pPr>
        <w:ind w:right="100" w:firstLine="656"/>
        <w:spacing w:after="0" w:line="296" w:lineRule="auto"/>
        <w:tabs>
          <w:tab w:leader="none" w:pos="1532" w:val="left"/>
        </w:tabs>
        <w:numPr>
          <w:ilvl w:val="1"/>
          <w:numId w:val="100"/>
        </w:numPr>
        <w:rPr>
          <w:rFonts w:ascii="Arial" w:cs="Arial" w:eastAsia="Arial" w:hAnsi="Arial"/>
          <w:sz w:val="16"/>
          <w:szCs w:val="16"/>
          <w:color w:val="auto"/>
        </w:rPr>
      </w:pPr>
      <w:r>
        <w:rPr>
          <w:rFonts w:ascii="Arial" w:cs="Arial" w:eastAsia="Arial" w:hAnsi="Arial"/>
          <w:sz w:val="16"/>
          <w:szCs w:val="16"/>
          <w:u w:val="single" w:color="auto"/>
          <w:color w:val="auto"/>
        </w:rPr>
        <w:t>Registration Statement and Prospectus</w:t>
      </w:r>
      <w:r>
        <w:rPr>
          <w:rFonts w:ascii="Arial" w:cs="Arial" w:eastAsia="Arial" w:hAnsi="Arial"/>
          <w:sz w:val="16"/>
          <w:szCs w:val="16"/>
          <w:color w:val="auto"/>
        </w:rPr>
        <w:t>. The Registration Statement has been declared effective by the Commission. No order suspending the effectiveness of the Registration Statement has been issued by the Commission, and no proceeding for that purpose or pursuant to Section 8A of the Securities Act against the Company or related to the Offering has been initiated or threatened by the Commission; as of the applicable effective date of the Registration Statement and any post-effective amendment thereto, the Registration Statement and any such post-effective amendment complied and will comply in all material respects with the Securities Act, and did not and will not contain any untrue statement of a material fact or omit to state a</w:t>
      </w:r>
    </w:p>
    <w:p>
      <w:pPr>
        <w:spacing w:after="0" w:line="26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00" w:name="page201"/>
    <w:bookmarkEnd w:id="200"/>
    <w:p>
      <w:pPr>
        <w:spacing w:after="0" w:line="271" w:lineRule="auto"/>
        <w:rPr>
          <w:sz w:val="20"/>
          <w:szCs w:val="20"/>
          <w:color w:val="auto"/>
        </w:rPr>
      </w:pPr>
      <w:r>
        <w:rPr>
          <w:rFonts w:ascii="Arial" w:cs="Arial" w:eastAsia="Arial" w:hAnsi="Arial"/>
          <w:sz w:val="17"/>
          <w:szCs w:val="17"/>
          <w:color w:val="auto"/>
        </w:rPr>
        <w:t xml:space="preserve">material fact required to be stated therein or necessary in order to make the statements therein not misleading; and as of the date of the Prospectus and any amendment or supplement thereto and as of the Closing Date and as of the Additional Closing Date, as the case may be, the Prospectus will comply in all material respects with the Securities Act and will not contain any untrue statement of a material fact or omit to state a material fact necessary in order to make the statements therein, in the light of the circumstances under which they were made, not misleading;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Company makes no representation or warranty with respect to any statements or omissions made in reliance upon and in conformity with information relating to any Underwriter furnished to the Company in writing by such Underwriter through the Representative expressly for use in the Registration Statement and the Prospectus and any amendment or supplement thereto, it being understood and agreed that the only such information furnished by any Underwriter consists of the information described as such in Section 7(b) hereof.</w:t>
      </w:r>
    </w:p>
    <w:p>
      <w:pPr>
        <w:spacing w:after="0" w:line="178" w:lineRule="exact"/>
        <w:rPr>
          <w:sz w:val="20"/>
          <w:szCs w:val="20"/>
          <w:color w:val="auto"/>
        </w:rPr>
      </w:pPr>
    </w:p>
    <w:p>
      <w:pPr>
        <w:ind w:firstLine="656"/>
        <w:spacing w:after="0" w:line="269" w:lineRule="auto"/>
        <w:tabs>
          <w:tab w:leader="none" w:pos="1532" w:val="left"/>
        </w:tabs>
        <w:numPr>
          <w:ilvl w:val="0"/>
          <w:numId w:val="101"/>
        </w:numPr>
        <w:rPr>
          <w:rFonts w:ascii="Arial" w:cs="Arial" w:eastAsia="Arial" w:hAnsi="Arial"/>
          <w:sz w:val="17"/>
          <w:szCs w:val="17"/>
          <w:color w:val="auto"/>
        </w:rPr>
      </w:pPr>
      <w:r>
        <w:rPr>
          <w:rFonts w:ascii="Arial" w:cs="Arial" w:eastAsia="Arial" w:hAnsi="Arial"/>
          <w:sz w:val="17"/>
          <w:szCs w:val="17"/>
          <w:u w:val="single" w:color="auto"/>
          <w:color w:val="auto"/>
        </w:rPr>
        <w:t>Financial Statements</w:t>
      </w:r>
      <w:r>
        <w:rPr>
          <w:rFonts w:ascii="Arial" w:cs="Arial" w:eastAsia="Arial" w:hAnsi="Arial"/>
          <w:sz w:val="17"/>
          <w:szCs w:val="17"/>
          <w:color w:val="auto"/>
        </w:rPr>
        <w:t>. The financial statements (including the related notes thereto) of the Company included in the Registration Statement, the Pricing Disclosure Package and the Prospectus comply in all material respects with the applicable requirements of the Securities Act and present fairly the financial position of the Company as of the dates indicated and the results of their operations and the changes in their cash flows for the periods specified; such financial statements have been prepared in conformity with generally accepted accounting principles (“GAAP”) in the United States applied on a consistent basis throughout the periods covered thereby, and any supporting schedules included in the Registration Statement present fairly the information required to be stated therein; and the other financial information included in the Registration Statement, the Pricing Disclosure Package and the Prospectus has been derived from the accounting records of the Company and presents fairly the information shown thereby; all disclosures included in the Registration Statement, the Pricing Disclosure Package and the Prospectus regarding “non-GAAP financial measures” (as such term is defined by the rules and regulations of Commission), if any, comply with Regulation G of the Exchange Act and Item 10 of Regulation S-K of the Securities Act, to the extent applicable.</w:t>
      </w:r>
    </w:p>
    <w:p>
      <w:pPr>
        <w:spacing w:after="0" w:line="185" w:lineRule="exact"/>
        <w:rPr>
          <w:rFonts w:ascii="Arial" w:cs="Arial" w:eastAsia="Arial" w:hAnsi="Arial"/>
          <w:sz w:val="17"/>
          <w:szCs w:val="17"/>
          <w:color w:val="auto"/>
        </w:rPr>
      </w:pPr>
    </w:p>
    <w:p>
      <w:pPr>
        <w:ind w:right="80" w:firstLine="656"/>
        <w:spacing w:after="0" w:line="269" w:lineRule="auto"/>
        <w:tabs>
          <w:tab w:leader="none" w:pos="1582" w:val="left"/>
        </w:tabs>
        <w:numPr>
          <w:ilvl w:val="0"/>
          <w:numId w:val="101"/>
        </w:numPr>
        <w:rPr>
          <w:rFonts w:ascii="Arial" w:cs="Arial" w:eastAsia="Arial" w:hAnsi="Arial"/>
          <w:sz w:val="17"/>
          <w:szCs w:val="17"/>
          <w:color w:val="auto"/>
        </w:rPr>
      </w:pPr>
      <w:r>
        <w:rPr>
          <w:rFonts w:ascii="Arial" w:cs="Arial" w:eastAsia="Arial" w:hAnsi="Arial"/>
          <w:sz w:val="17"/>
          <w:szCs w:val="17"/>
          <w:u w:val="single" w:color="auto"/>
          <w:color w:val="auto"/>
        </w:rPr>
        <w:t>No Material Adverse Change</w:t>
      </w:r>
      <w:r>
        <w:rPr>
          <w:rFonts w:ascii="Arial" w:cs="Arial" w:eastAsia="Arial" w:hAnsi="Arial"/>
          <w:sz w:val="17"/>
          <w:szCs w:val="17"/>
          <w:color w:val="auto"/>
        </w:rPr>
        <w:t>. Since the date of the most recent financial statements of the Company included in the Registration Statement, the Pricing Disclosure Package and the Prospectus, (i) there has not been any change in the capital stock, short-term debt or long-term debt of the Company, or any dividend or distribution of any kind declared, set aside for payment, paid or made by the Company on any class of capital stock, or any material adverse change, or any development involving a prospective material adverse change, in or affecting the business, properties, management, financial position, shareholders’ equity, results of operations or prospects of the Company; (ii) the Company has not entered into any transaction or agreement (whether or not in the ordinary course of business) that is material to the Company or incurred any liability or obligation, direct or contingent, that is material to the Company; and (iii) the Company has not sustained any loss or interference with its business that is material to the Company and that is either from fire, explosion, flood or other calamity, whether or not covered by insurance, or from any labor disturbance or dispute or any action, order or decree of any court or arbitrator or governmental or regulatory authority, except in each case as otherwise disclosed in the Registration Statement, the Pricing Disclosure Package and the Prospectus.</w:t>
      </w:r>
    </w:p>
    <w:p>
      <w:pPr>
        <w:spacing w:after="0" w:line="29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7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201" w:name="page202"/>
    <w:bookmarkEnd w:id="201"/>
    <w:p>
      <w:pPr>
        <w:ind w:right="60" w:firstLine="656"/>
        <w:spacing w:after="0" w:line="293" w:lineRule="auto"/>
        <w:tabs>
          <w:tab w:leader="none" w:pos="1582" w:val="left"/>
        </w:tabs>
        <w:numPr>
          <w:ilvl w:val="0"/>
          <w:numId w:val="102"/>
        </w:numPr>
        <w:rPr>
          <w:rFonts w:ascii="Arial" w:cs="Arial" w:eastAsia="Arial" w:hAnsi="Arial"/>
          <w:sz w:val="16"/>
          <w:szCs w:val="16"/>
          <w:color w:val="auto"/>
        </w:rPr>
      </w:pPr>
      <w:r>
        <w:rPr>
          <w:rFonts w:ascii="Arial" w:cs="Arial" w:eastAsia="Arial" w:hAnsi="Arial"/>
          <w:sz w:val="16"/>
          <w:szCs w:val="16"/>
          <w:u w:val="single" w:color="auto"/>
          <w:color w:val="auto"/>
        </w:rPr>
        <w:t>Organization and Good Standing</w:t>
      </w:r>
      <w:r>
        <w:rPr>
          <w:rFonts w:ascii="Arial" w:cs="Arial" w:eastAsia="Arial" w:hAnsi="Arial"/>
          <w:sz w:val="16"/>
          <w:szCs w:val="16"/>
          <w:color w:val="auto"/>
        </w:rPr>
        <w:t>. The Company has been duly organized and is validly existing and in good standing under the laws of its jurisdiction of organization, is duly qualified to do business and is in good standing in each jurisdiction in which its ownership or lease of property or the conduct of its business requires such qualification, and has all power and authority necessary to own or hold its properties and to conduct the business in which it is engaged, except where the failure to be so qualified or in good standing or have such power or authority would not, individually or in the aggregate, have a material adverse effect on the business, properties, management, financial position, shareholders’ equity, results of operations or prospects of the Company or on the performance by the Company of its obligations under the Transaction Documents (a “Material Adverse Effect”).</w:t>
      </w:r>
    </w:p>
    <w:p>
      <w:pPr>
        <w:spacing w:after="0" w:line="164" w:lineRule="exact"/>
        <w:rPr>
          <w:rFonts w:ascii="Arial" w:cs="Arial" w:eastAsia="Arial" w:hAnsi="Arial"/>
          <w:sz w:val="16"/>
          <w:szCs w:val="16"/>
          <w:color w:val="auto"/>
        </w:rPr>
      </w:pPr>
    </w:p>
    <w:p>
      <w:pPr>
        <w:ind w:firstLine="656"/>
        <w:spacing w:after="0" w:line="288" w:lineRule="auto"/>
        <w:tabs>
          <w:tab w:leader="none" w:pos="1532" w:val="left"/>
        </w:tabs>
        <w:numPr>
          <w:ilvl w:val="0"/>
          <w:numId w:val="102"/>
        </w:numPr>
        <w:rPr>
          <w:rFonts w:ascii="Arial" w:cs="Arial" w:eastAsia="Arial" w:hAnsi="Arial"/>
          <w:sz w:val="16"/>
          <w:szCs w:val="16"/>
          <w:color w:val="auto"/>
        </w:rPr>
      </w:pPr>
      <w:r>
        <w:rPr>
          <w:rFonts w:ascii="Arial" w:cs="Arial" w:eastAsia="Arial" w:hAnsi="Arial"/>
          <w:sz w:val="16"/>
          <w:szCs w:val="16"/>
          <w:u w:val="single" w:color="auto"/>
          <w:color w:val="auto"/>
        </w:rPr>
        <w:t>Capitalization</w:t>
      </w:r>
      <w:r>
        <w:rPr>
          <w:rFonts w:ascii="Arial" w:cs="Arial" w:eastAsia="Arial" w:hAnsi="Arial"/>
          <w:sz w:val="16"/>
          <w:szCs w:val="16"/>
          <w:color w:val="auto"/>
        </w:rPr>
        <w:t>. The Company has an authorized capitalization as set forth in the Registration Statement, the Pricing Disclosure Package and the Prospectus under the heading “Capitalization”; all the outstanding shares of capital stock of the Company have been duly and validly authorized and issued and are fully paid and non-assessable and are not subject to any pre-emptive or similar rights; except as described in or expressly contemplated by the Registration Statement, the Pricing Disclosure Package and the Prospectus, there are no outstanding rights (including, without limitation, pre-emptive rights), warrants or options to acquire, or instruments convertible into or exchangeable for, any shares of capital stock or other equity interest in the Company or any contract, commitment, agreement, understanding or arrangement of any kind relating to the issuance of any capital stock of the Company, any such convertible or exchangeable securities or any such rights, warrants or options; the capital stock of the Company conforms in all material respects to the description thereof contained in the Registration Statement, the Pricing Disclosure Package and the Prospectus. The offers and sales of the outstanding securities of the Company were at all relevant times either registered under the Securities Act, the applicable state securities and blue sky laws or, based in part on the representations and warranties of the purchasers of such securities, exempt from such registration requirements.</w:t>
      </w:r>
    </w:p>
    <w:p>
      <w:pPr>
        <w:spacing w:after="0" w:line="168" w:lineRule="exact"/>
        <w:rPr>
          <w:rFonts w:ascii="Arial" w:cs="Arial" w:eastAsia="Arial" w:hAnsi="Arial"/>
          <w:sz w:val="16"/>
          <w:szCs w:val="16"/>
          <w:color w:val="auto"/>
        </w:rPr>
      </w:pPr>
    </w:p>
    <w:p>
      <w:pPr>
        <w:jc w:val="both"/>
        <w:ind w:right="20" w:firstLine="656"/>
        <w:spacing w:after="0" w:line="259" w:lineRule="auto"/>
        <w:tabs>
          <w:tab w:leader="none" w:pos="1582" w:val="left"/>
        </w:tabs>
        <w:numPr>
          <w:ilvl w:val="0"/>
          <w:numId w:val="102"/>
        </w:numPr>
        <w:rPr>
          <w:rFonts w:ascii="Arial" w:cs="Arial" w:eastAsia="Arial" w:hAnsi="Arial"/>
          <w:sz w:val="18"/>
          <w:szCs w:val="18"/>
          <w:color w:val="auto"/>
        </w:rPr>
      </w:pPr>
      <w:r>
        <w:rPr>
          <w:rFonts w:ascii="Arial" w:cs="Arial" w:eastAsia="Arial" w:hAnsi="Arial"/>
          <w:sz w:val="18"/>
          <w:szCs w:val="18"/>
          <w:u w:val="single" w:color="auto"/>
          <w:color w:val="auto"/>
        </w:rPr>
        <w:t>Due Authorization</w:t>
      </w:r>
      <w:r>
        <w:rPr>
          <w:rFonts w:ascii="Arial" w:cs="Arial" w:eastAsia="Arial" w:hAnsi="Arial"/>
          <w:sz w:val="18"/>
          <w:szCs w:val="18"/>
          <w:color w:val="auto"/>
        </w:rPr>
        <w:t>. The Company has full right, power and authority to execute and deliver this Agreement and the other Transaction Documents and to perform its obligations hereunder and thereunder; and all action required to be taken for the due and proper authorization, execution and delivery by it of this Agreement and each of the other Transaction Documents and the consummation by it of the transactions contemplated hereby and thereby has been duly and validly taken.</w:t>
      </w:r>
    </w:p>
    <w:p>
      <w:pPr>
        <w:spacing w:after="0" w:line="186" w:lineRule="exact"/>
        <w:rPr>
          <w:rFonts w:ascii="Arial" w:cs="Arial" w:eastAsia="Arial" w:hAnsi="Arial"/>
          <w:sz w:val="18"/>
          <w:szCs w:val="18"/>
          <w:color w:val="auto"/>
        </w:rPr>
      </w:pPr>
    </w:p>
    <w:p>
      <w:pPr>
        <w:ind w:left="1500" w:hanging="844"/>
        <w:spacing w:after="0"/>
        <w:tabs>
          <w:tab w:leader="none" w:pos="1500" w:val="left"/>
        </w:tabs>
        <w:numPr>
          <w:ilvl w:val="0"/>
          <w:numId w:val="102"/>
        </w:numPr>
        <w:rPr>
          <w:rFonts w:ascii="Arial" w:cs="Arial" w:eastAsia="Arial" w:hAnsi="Arial"/>
          <w:sz w:val="18"/>
          <w:szCs w:val="18"/>
          <w:color w:val="auto"/>
        </w:rPr>
      </w:pPr>
      <w:r>
        <w:rPr>
          <w:rFonts w:ascii="Arial" w:cs="Arial" w:eastAsia="Arial" w:hAnsi="Arial"/>
          <w:sz w:val="18"/>
          <w:szCs w:val="18"/>
          <w:u w:val="single" w:color="auto"/>
          <w:color w:val="auto"/>
        </w:rPr>
        <w:t>Underwriting Agreement</w:t>
      </w:r>
      <w:r>
        <w:rPr>
          <w:rFonts w:ascii="Arial" w:cs="Arial" w:eastAsia="Arial" w:hAnsi="Arial"/>
          <w:sz w:val="18"/>
          <w:szCs w:val="18"/>
          <w:color w:val="auto"/>
        </w:rPr>
        <w:t>. This Agreement has been duly authorized, executed and delivered by the Company.</w:t>
      </w:r>
    </w:p>
    <w:p>
      <w:pPr>
        <w:spacing w:after="0" w:line="225" w:lineRule="exact"/>
        <w:rPr>
          <w:rFonts w:ascii="Arial" w:cs="Arial" w:eastAsia="Arial" w:hAnsi="Arial"/>
          <w:sz w:val="18"/>
          <w:szCs w:val="18"/>
          <w:color w:val="auto"/>
        </w:rPr>
      </w:pPr>
    </w:p>
    <w:p>
      <w:pPr>
        <w:ind w:right="140" w:firstLine="656"/>
        <w:spacing w:after="0" w:line="255" w:lineRule="auto"/>
        <w:tabs>
          <w:tab w:leader="none" w:pos="1532" w:val="left"/>
        </w:tabs>
        <w:numPr>
          <w:ilvl w:val="0"/>
          <w:numId w:val="102"/>
        </w:numPr>
        <w:rPr>
          <w:rFonts w:ascii="Arial" w:cs="Arial" w:eastAsia="Arial" w:hAnsi="Arial"/>
          <w:sz w:val="18"/>
          <w:szCs w:val="18"/>
          <w:color w:val="auto"/>
        </w:rPr>
      </w:pPr>
      <w:r>
        <w:rPr>
          <w:rFonts w:ascii="Arial" w:cs="Arial" w:eastAsia="Arial" w:hAnsi="Arial"/>
          <w:sz w:val="18"/>
          <w:szCs w:val="18"/>
          <w:u w:val="single" w:color="auto"/>
          <w:color w:val="auto"/>
        </w:rPr>
        <w:t>The Units</w:t>
      </w:r>
      <w:r>
        <w:rPr>
          <w:rFonts w:ascii="Arial" w:cs="Arial" w:eastAsia="Arial" w:hAnsi="Arial"/>
          <w:sz w:val="18"/>
          <w:szCs w:val="18"/>
          <w:color w:val="auto"/>
        </w:rPr>
        <w:t>. The Units to be issued and sold by the Company hereunder have been duly authorized by the Company and, when issued and delivered and paid for as provided herein, will be duly and validly issued, will constitute valid and legally binding obligations of the Company enforceable against the Company in accordance with their terms, except as enforceability may be limited by applicable bankruptcy, insolvency or similar laws affecting the enforcement of creditors’ rights generally or by equitable principles relating to enforceability, and will conform to the descriptions thereof in the Registration Statement, the Pricing Disclosure Package and the Prospectus; and the issuance of the Units is not subject to any preemptive or similar rights.</w:t>
      </w:r>
    </w:p>
    <w:p>
      <w:pPr>
        <w:spacing w:after="0" w:line="30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202" w:name="page203"/>
    <w:bookmarkEnd w:id="202"/>
    <w:p>
      <w:pPr>
        <w:ind w:right="80" w:firstLine="656"/>
        <w:spacing w:after="0" w:line="259" w:lineRule="auto"/>
        <w:tabs>
          <w:tab w:leader="none" w:pos="1532" w:val="left"/>
        </w:tabs>
        <w:numPr>
          <w:ilvl w:val="0"/>
          <w:numId w:val="103"/>
        </w:numPr>
        <w:rPr>
          <w:rFonts w:ascii="Arial" w:cs="Arial" w:eastAsia="Arial" w:hAnsi="Arial"/>
          <w:sz w:val="18"/>
          <w:szCs w:val="18"/>
          <w:color w:val="auto"/>
        </w:rPr>
      </w:pPr>
      <w:r>
        <w:rPr>
          <w:rFonts w:ascii="Arial" w:cs="Arial" w:eastAsia="Arial" w:hAnsi="Arial"/>
          <w:sz w:val="18"/>
          <w:szCs w:val="18"/>
          <w:u w:val="single" w:color="auto"/>
          <w:color w:val="auto"/>
        </w:rPr>
        <w:t>The Unit Shares</w:t>
      </w:r>
      <w:r>
        <w:rPr>
          <w:rFonts w:ascii="Arial" w:cs="Arial" w:eastAsia="Arial" w:hAnsi="Arial"/>
          <w:sz w:val="18"/>
          <w:szCs w:val="18"/>
          <w:color w:val="auto"/>
        </w:rPr>
        <w:t>. The Ordinary Shares included in the Units have been duly authorized by the Company and, when issued and delivered against payment for the Units by the Underwriters pursuant to this Agreement and registered in the Company’s register of members, will be duly and validly issued and delivered, will be fully paid and nonassessable, and will conform to the descriptions thereof in the Registration Statement, the Pricing Disclosure Package and the Prospectus.</w:t>
      </w:r>
    </w:p>
    <w:p>
      <w:pPr>
        <w:spacing w:after="0" w:line="186" w:lineRule="exact"/>
        <w:rPr>
          <w:rFonts w:ascii="Arial" w:cs="Arial" w:eastAsia="Arial" w:hAnsi="Arial"/>
          <w:sz w:val="18"/>
          <w:szCs w:val="18"/>
          <w:color w:val="auto"/>
        </w:rPr>
      </w:pPr>
    </w:p>
    <w:p>
      <w:pPr>
        <w:ind w:right="20" w:firstLine="656"/>
        <w:spacing w:after="0" w:line="255" w:lineRule="auto"/>
        <w:tabs>
          <w:tab w:leader="none" w:pos="1532" w:val="left"/>
        </w:tabs>
        <w:numPr>
          <w:ilvl w:val="0"/>
          <w:numId w:val="103"/>
        </w:numPr>
        <w:rPr>
          <w:rFonts w:ascii="Arial" w:cs="Arial" w:eastAsia="Arial" w:hAnsi="Arial"/>
          <w:sz w:val="18"/>
          <w:szCs w:val="18"/>
          <w:color w:val="auto"/>
        </w:rPr>
      </w:pPr>
      <w:r>
        <w:rPr>
          <w:rFonts w:ascii="Arial" w:cs="Arial" w:eastAsia="Arial" w:hAnsi="Arial"/>
          <w:sz w:val="18"/>
          <w:szCs w:val="18"/>
          <w:u w:val="single" w:color="auto"/>
          <w:color w:val="auto"/>
        </w:rPr>
        <w:t>The Units Warrants</w:t>
      </w:r>
      <w:r>
        <w:rPr>
          <w:rFonts w:ascii="Arial" w:cs="Arial" w:eastAsia="Arial" w:hAnsi="Arial"/>
          <w:sz w:val="18"/>
          <w:szCs w:val="18"/>
          <w:color w:val="auto"/>
        </w:rPr>
        <w:t>. The Warrants included in the Units to be issued and sold by the Company hereunder have been duly authorized by the Company and, when issued and delivered in the manner set forth in the Warrant Agreement against payment for the Units by the Underwriters pursuant to this Agreement, will be duly and validly issued and delivered, will constitute valid and legally binding obligations of the Company enforceable against the Company in accordance with their terms, except as enforceability may be limited by applicable bankruptcy, insolvency or similar laws affecting the enforcement of creditors’ rights generally or by equitable principles relating to enforceability, and will conform to the descriptions thereof in the Registration Statement, the Pricing Disclosure Package and the Prospectus.</w:t>
      </w:r>
    </w:p>
    <w:p>
      <w:pPr>
        <w:spacing w:after="0" w:line="192" w:lineRule="exact"/>
        <w:rPr>
          <w:rFonts w:ascii="Arial" w:cs="Arial" w:eastAsia="Arial" w:hAnsi="Arial"/>
          <w:sz w:val="18"/>
          <w:szCs w:val="18"/>
          <w:color w:val="auto"/>
        </w:rPr>
      </w:pPr>
    </w:p>
    <w:p>
      <w:pPr>
        <w:ind w:right="80" w:firstLine="656"/>
        <w:spacing w:after="0" w:line="254" w:lineRule="auto"/>
        <w:tabs>
          <w:tab w:leader="none" w:pos="1532" w:val="left"/>
        </w:tabs>
        <w:numPr>
          <w:ilvl w:val="0"/>
          <w:numId w:val="103"/>
        </w:numPr>
        <w:rPr>
          <w:rFonts w:ascii="Arial" w:cs="Arial" w:eastAsia="Arial" w:hAnsi="Arial"/>
          <w:sz w:val="18"/>
          <w:szCs w:val="18"/>
          <w:color w:val="auto"/>
        </w:rPr>
      </w:pPr>
      <w:r>
        <w:rPr>
          <w:rFonts w:ascii="Arial" w:cs="Arial" w:eastAsia="Arial" w:hAnsi="Arial"/>
          <w:sz w:val="18"/>
          <w:szCs w:val="18"/>
          <w:u w:val="single" w:color="auto"/>
          <w:color w:val="auto"/>
        </w:rPr>
        <w:t>The Warrant Shares</w:t>
      </w:r>
      <w:r>
        <w:rPr>
          <w:rFonts w:ascii="Arial" w:cs="Arial" w:eastAsia="Arial" w:hAnsi="Arial"/>
          <w:sz w:val="18"/>
          <w:szCs w:val="18"/>
          <w:color w:val="auto"/>
        </w:rPr>
        <w:t>. The Ordinary Shares issuable upon exercise of the Warrants included in the Units and Private Placement Warrants have been duly authorized by the Company and, when issued and delivered against payment therefor pursuant to the Warrants and Private Placement Warrants, as applicable, and the Warrant Agreement and registered in the Company’s register of members, will be duly and validly issued and delivered, will be fully paid and nonassessable; and such Ordinary Shares have been duly authorized by the Company and validly reserved for issuance. The holders of such Ordinary Shares will not be subject to personal liability by reason of being such holders; such Ordinary Shares are not, and at the time such Ordinary Shares are issued will not be, subject to any preemptive or other similar contractual rights granted by the Company; and all corporate action required to be taken for the authorization, issuance and sale of such Ordinary Shares (other than such delivery at the time of issuance) has been duly and validly taken.</w:t>
      </w:r>
    </w:p>
    <w:p>
      <w:pPr>
        <w:spacing w:after="0" w:line="191" w:lineRule="exact"/>
        <w:rPr>
          <w:rFonts w:ascii="Arial" w:cs="Arial" w:eastAsia="Arial" w:hAnsi="Arial"/>
          <w:sz w:val="18"/>
          <w:szCs w:val="18"/>
          <w:color w:val="auto"/>
        </w:rPr>
      </w:pPr>
    </w:p>
    <w:p>
      <w:pPr>
        <w:ind w:firstLine="656"/>
        <w:spacing w:after="0" w:line="293" w:lineRule="auto"/>
        <w:tabs>
          <w:tab w:leader="none" w:pos="1547" w:val="left"/>
        </w:tabs>
        <w:numPr>
          <w:ilvl w:val="0"/>
          <w:numId w:val="103"/>
        </w:numPr>
        <w:rPr>
          <w:rFonts w:ascii="Arial" w:cs="Arial" w:eastAsia="Arial" w:hAnsi="Arial"/>
          <w:sz w:val="16"/>
          <w:szCs w:val="16"/>
          <w:color w:val="auto"/>
        </w:rPr>
      </w:pPr>
      <w:r>
        <w:rPr>
          <w:rFonts w:ascii="Arial" w:cs="Arial" w:eastAsia="Arial" w:hAnsi="Arial"/>
          <w:sz w:val="16"/>
          <w:szCs w:val="16"/>
          <w:u w:val="single" w:color="auto"/>
          <w:color w:val="auto"/>
        </w:rPr>
        <w:t>The Private Placement Warrants</w:t>
      </w:r>
      <w:r>
        <w:rPr>
          <w:rFonts w:ascii="Arial" w:cs="Arial" w:eastAsia="Arial" w:hAnsi="Arial"/>
          <w:sz w:val="16"/>
          <w:szCs w:val="16"/>
          <w:color w:val="auto"/>
        </w:rPr>
        <w:t>. The Private Placement Warrants to be issued and sold by the Company under the Warrant Purchase Agreement have been duly authorized by the Company and, when issued and delivered in the manner set forth in the Warrant Agreement against payment therefor by the Sponsor pursuant to the Warrant Purchase Agreement, will be duly and validly issued and delivered, will constitute valid and legally binding obligations of the Company enforceable against the Company in accordance with their terms, except as enforceability may be limited by applicable bankruptcy, insolvency or similar laws affecting the enforcement of creditors’ rights generally or by equitable principles relating to enforceability, and will conform to the descriptions thereof in the Registration Statement, the Pricing Disclosure Package and the Prospectus.</w:t>
      </w:r>
    </w:p>
    <w:p>
      <w:pPr>
        <w:spacing w:after="0" w:line="164" w:lineRule="exact"/>
        <w:rPr>
          <w:rFonts w:ascii="Arial" w:cs="Arial" w:eastAsia="Arial" w:hAnsi="Arial"/>
          <w:sz w:val="16"/>
          <w:szCs w:val="16"/>
          <w:color w:val="auto"/>
        </w:rPr>
      </w:pPr>
    </w:p>
    <w:p>
      <w:pPr>
        <w:ind w:left="1560" w:hanging="904"/>
        <w:spacing w:after="0"/>
        <w:tabs>
          <w:tab w:leader="none" w:pos="1560" w:val="left"/>
        </w:tabs>
        <w:numPr>
          <w:ilvl w:val="0"/>
          <w:numId w:val="103"/>
        </w:numPr>
        <w:rPr>
          <w:rFonts w:ascii="Arial" w:cs="Arial" w:eastAsia="Arial" w:hAnsi="Arial"/>
          <w:sz w:val="18"/>
          <w:szCs w:val="18"/>
          <w:color w:val="auto"/>
        </w:rPr>
      </w:pPr>
      <w:r>
        <w:rPr>
          <w:rFonts w:ascii="Arial" w:cs="Arial" w:eastAsia="Arial" w:hAnsi="Arial"/>
          <w:sz w:val="18"/>
          <w:szCs w:val="18"/>
          <w:u w:val="single" w:color="auto"/>
          <w:color w:val="auto"/>
        </w:rPr>
        <w:t>[Reserved.]</w:t>
      </w:r>
    </w:p>
    <w:p>
      <w:pPr>
        <w:spacing w:after="0" w:line="225" w:lineRule="exact"/>
        <w:rPr>
          <w:rFonts w:ascii="Arial" w:cs="Arial" w:eastAsia="Arial" w:hAnsi="Arial"/>
          <w:sz w:val="18"/>
          <w:szCs w:val="18"/>
          <w:color w:val="auto"/>
        </w:rPr>
      </w:pPr>
    </w:p>
    <w:p>
      <w:pPr>
        <w:ind w:left="1600" w:hanging="944"/>
        <w:spacing w:after="0"/>
        <w:tabs>
          <w:tab w:leader="none" w:pos="1600" w:val="left"/>
        </w:tabs>
        <w:numPr>
          <w:ilvl w:val="0"/>
          <w:numId w:val="103"/>
        </w:numPr>
        <w:rPr>
          <w:rFonts w:ascii="Arial" w:cs="Arial" w:eastAsia="Arial" w:hAnsi="Arial"/>
          <w:sz w:val="18"/>
          <w:szCs w:val="18"/>
          <w:color w:val="auto"/>
        </w:rPr>
      </w:pPr>
      <w:r>
        <w:rPr>
          <w:rFonts w:ascii="Arial" w:cs="Arial" w:eastAsia="Arial" w:hAnsi="Arial"/>
          <w:sz w:val="18"/>
          <w:szCs w:val="18"/>
          <w:u w:val="single" w:color="auto"/>
          <w:color w:val="auto"/>
        </w:rPr>
        <w:t>[Reserved.]</w:t>
      </w:r>
    </w:p>
    <w:p>
      <w:pPr>
        <w:spacing w:after="0" w:line="33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203" w:name="page204"/>
    <w:bookmarkEnd w:id="203"/>
    <w:p>
      <w:pPr>
        <w:ind w:right="60" w:firstLine="656"/>
        <w:spacing w:after="0" w:line="259" w:lineRule="auto"/>
        <w:tabs>
          <w:tab w:leader="none" w:pos="1532" w:val="left"/>
        </w:tabs>
        <w:numPr>
          <w:ilvl w:val="0"/>
          <w:numId w:val="104"/>
        </w:numPr>
        <w:rPr>
          <w:rFonts w:ascii="Arial" w:cs="Arial" w:eastAsia="Arial" w:hAnsi="Arial"/>
          <w:sz w:val="18"/>
          <w:szCs w:val="18"/>
          <w:color w:val="auto"/>
        </w:rPr>
      </w:pPr>
      <w:r>
        <w:rPr>
          <w:rFonts w:ascii="Arial" w:cs="Arial" w:eastAsia="Arial" w:hAnsi="Arial"/>
          <w:sz w:val="18"/>
          <w:szCs w:val="18"/>
          <w:u w:val="single" w:color="auto"/>
          <w:color w:val="auto"/>
        </w:rPr>
        <w:t>The Trust Agreement</w:t>
      </w:r>
      <w:r>
        <w:rPr>
          <w:rFonts w:ascii="Arial" w:cs="Arial" w:eastAsia="Arial" w:hAnsi="Arial"/>
          <w:sz w:val="18"/>
          <w:szCs w:val="18"/>
          <w:color w:val="auto"/>
        </w:rPr>
        <w:t>. The Trust Agreement has been duly authorized, executed and delivered by the Company and constitutes a valid and legally binding obligation of the Company enforceable against the Company in accordance with its terms, except as enforceability may be limited by applicable bankruptcy, insolvency or similar laws affecting the enforcement of creditors’ rights generally or by equitable principles relating to enforceability.</w:t>
      </w:r>
    </w:p>
    <w:p>
      <w:pPr>
        <w:spacing w:after="0" w:line="186" w:lineRule="exact"/>
        <w:rPr>
          <w:rFonts w:ascii="Arial" w:cs="Arial" w:eastAsia="Arial" w:hAnsi="Arial"/>
          <w:sz w:val="18"/>
          <w:szCs w:val="18"/>
          <w:color w:val="auto"/>
        </w:rPr>
      </w:pPr>
    </w:p>
    <w:p>
      <w:pPr>
        <w:jc w:val="both"/>
        <w:ind w:right="20" w:firstLine="656"/>
        <w:spacing w:after="0" w:line="259" w:lineRule="auto"/>
        <w:tabs>
          <w:tab w:leader="none" w:pos="1532" w:val="left"/>
        </w:tabs>
        <w:numPr>
          <w:ilvl w:val="0"/>
          <w:numId w:val="104"/>
        </w:numPr>
        <w:rPr>
          <w:rFonts w:ascii="Arial" w:cs="Arial" w:eastAsia="Arial" w:hAnsi="Arial"/>
          <w:sz w:val="18"/>
          <w:szCs w:val="18"/>
          <w:color w:val="auto"/>
        </w:rPr>
      </w:pPr>
      <w:r>
        <w:rPr>
          <w:rFonts w:ascii="Arial" w:cs="Arial" w:eastAsia="Arial" w:hAnsi="Arial"/>
          <w:sz w:val="18"/>
          <w:szCs w:val="18"/>
          <w:u w:val="single" w:color="auto"/>
          <w:color w:val="auto"/>
        </w:rPr>
        <w:t>The Warrant Agreement</w:t>
      </w:r>
      <w:r>
        <w:rPr>
          <w:rFonts w:ascii="Arial" w:cs="Arial" w:eastAsia="Arial" w:hAnsi="Arial"/>
          <w:sz w:val="18"/>
          <w:szCs w:val="18"/>
          <w:color w:val="auto"/>
        </w:rPr>
        <w:t>. The Warrant Agreement has been duly authorized, executed and delivered by the Company and constitutes a valid and legally binding obligation of the Company enforceable against the Company in accordance with its terms, except as enforceability may be limited by applicable bankruptcy, insolvency or similar laws affecting the enforcement of creditors’ rights generally or by equitable principles relating to enforceability.</w:t>
      </w:r>
    </w:p>
    <w:p>
      <w:pPr>
        <w:spacing w:after="0" w:line="186" w:lineRule="exact"/>
        <w:rPr>
          <w:rFonts w:ascii="Arial" w:cs="Arial" w:eastAsia="Arial" w:hAnsi="Arial"/>
          <w:sz w:val="18"/>
          <w:szCs w:val="18"/>
          <w:color w:val="auto"/>
        </w:rPr>
      </w:pPr>
    </w:p>
    <w:p>
      <w:pPr>
        <w:ind w:right="40" w:firstLine="656"/>
        <w:spacing w:after="0" w:line="279" w:lineRule="auto"/>
        <w:tabs>
          <w:tab w:leader="none" w:pos="1482" w:val="left"/>
        </w:tabs>
        <w:numPr>
          <w:ilvl w:val="0"/>
          <w:numId w:val="104"/>
        </w:numPr>
        <w:rPr>
          <w:rFonts w:ascii="Arial" w:cs="Arial" w:eastAsia="Arial" w:hAnsi="Arial"/>
          <w:sz w:val="17"/>
          <w:szCs w:val="17"/>
          <w:color w:val="auto"/>
        </w:rPr>
      </w:pPr>
      <w:r>
        <w:rPr>
          <w:rFonts w:ascii="Arial" w:cs="Arial" w:eastAsia="Arial" w:hAnsi="Arial"/>
          <w:sz w:val="17"/>
          <w:szCs w:val="17"/>
          <w:u w:val="single" w:color="auto"/>
          <w:color w:val="auto"/>
        </w:rPr>
        <w:t>The Founder’s Purchase Agreement</w:t>
      </w:r>
      <w:r>
        <w:rPr>
          <w:rFonts w:ascii="Arial" w:cs="Arial" w:eastAsia="Arial" w:hAnsi="Arial"/>
          <w:sz w:val="17"/>
          <w:szCs w:val="17"/>
          <w:color w:val="auto"/>
        </w:rPr>
        <w:t>. The Founder’s Purchase Agreement has been duly authorized, executed and delivered by the Company and the Sponsor and constitutes a valid and legally binding obligation of the Company and the Sponsor enforceable against the Company and the Sponsor in accordance with its terms, except as enforceability may be limited by applicable bankruptcy, insolvency or similar laws affecting the enforcement of creditors’ rights generally or by equitable principles relating to enforceability.</w:t>
      </w:r>
    </w:p>
    <w:p>
      <w:pPr>
        <w:spacing w:after="0" w:line="171" w:lineRule="exact"/>
        <w:rPr>
          <w:rFonts w:ascii="Arial" w:cs="Arial" w:eastAsia="Arial" w:hAnsi="Arial"/>
          <w:sz w:val="17"/>
          <w:szCs w:val="17"/>
          <w:color w:val="auto"/>
        </w:rPr>
      </w:pPr>
    </w:p>
    <w:p>
      <w:pPr>
        <w:ind w:right="40" w:firstLine="656"/>
        <w:spacing w:after="0" w:line="259" w:lineRule="auto"/>
        <w:tabs>
          <w:tab w:leader="none" w:pos="1532" w:val="left"/>
        </w:tabs>
        <w:numPr>
          <w:ilvl w:val="0"/>
          <w:numId w:val="104"/>
        </w:numPr>
        <w:rPr>
          <w:rFonts w:ascii="Arial" w:cs="Arial" w:eastAsia="Arial" w:hAnsi="Arial"/>
          <w:sz w:val="18"/>
          <w:szCs w:val="18"/>
          <w:color w:val="auto"/>
        </w:rPr>
      </w:pPr>
      <w:r>
        <w:rPr>
          <w:rFonts w:ascii="Arial" w:cs="Arial" w:eastAsia="Arial" w:hAnsi="Arial"/>
          <w:sz w:val="18"/>
          <w:szCs w:val="18"/>
          <w:u w:val="single" w:color="auto"/>
          <w:color w:val="auto"/>
        </w:rPr>
        <w:t>The Warrant Purchase Agreement</w:t>
      </w:r>
      <w:r>
        <w:rPr>
          <w:rFonts w:ascii="Arial" w:cs="Arial" w:eastAsia="Arial" w:hAnsi="Arial"/>
          <w:sz w:val="18"/>
          <w:szCs w:val="18"/>
          <w:color w:val="auto"/>
        </w:rPr>
        <w:t>. The Warrant Purchase Agreement has been duly authorized, executed and delivered by the Company and the Sponsor and constitutes a valid and legally binding obligation of the Company and the Sponsor enforceable against the Company and the Sponsor in accordance with its terms, except as enforceability may be limited by applicable bankruptcy, insolvency or similar laws affecting the enforcement of creditors’ rights generally or by equitable principles relating to enforceability.</w:t>
      </w:r>
    </w:p>
    <w:p>
      <w:pPr>
        <w:spacing w:after="0" w:line="186" w:lineRule="exact"/>
        <w:rPr>
          <w:rFonts w:ascii="Arial" w:cs="Arial" w:eastAsia="Arial" w:hAnsi="Arial"/>
          <w:sz w:val="18"/>
          <w:szCs w:val="18"/>
          <w:color w:val="auto"/>
        </w:rPr>
      </w:pPr>
    </w:p>
    <w:p>
      <w:pPr>
        <w:ind w:right="160" w:firstLine="656"/>
        <w:spacing w:after="0" w:line="259" w:lineRule="auto"/>
        <w:tabs>
          <w:tab w:leader="none" w:pos="1532" w:val="left"/>
        </w:tabs>
        <w:numPr>
          <w:ilvl w:val="0"/>
          <w:numId w:val="104"/>
        </w:numPr>
        <w:rPr>
          <w:rFonts w:ascii="Arial" w:cs="Arial" w:eastAsia="Arial" w:hAnsi="Arial"/>
          <w:sz w:val="18"/>
          <w:szCs w:val="18"/>
          <w:color w:val="auto"/>
        </w:rPr>
      </w:pPr>
      <w:r>
        <w:rPr>
          <w:rFonts w:ascii="Arial" w:cs="Arial" w:eastAsia="Arial" w:hAnsi="Arial"/>
          <w:sz w:val="18"/>
          <w:szCs w:val="18"/>
          <w:u w:val="single" w:color="auto"/>
          <w:color w:val="auto"/>
        </w:rPr>
        <w:t>The Registration Rights Agreement</w:t>
      </w:r>
      <w:r>
        <w:rPr>
          <w:rFonts w:ascii="Arial" w:cs="Arial" w:eastAsia="Arial" w:hAnsi="Arial"/>
          <w:sz w:val="18"/>
          <w:szCs w:val="18"/>
          <w:color w:val="auto"/>
        </w:rPr>
        <w:t>. The Registration Rights Agreement has been duly authorized, executed and delivered by the Company and constitutes a valid and legally binding obligation of the Company enforceable against the Company in accordance with its terms, except as enforceability may be limited by applicable bankruptcy, insolvency or similar laws affecting the enforcement of creditors’ rights generally or by equitable principles relating to enforceability.</w:t>
      </w:r>
    </w:p>
    <w:p>
      <w:pPr>
        <w:spacing w:after="0" w:line="186" w:lineRule="exact"/>
        <w:rPr>
          <w:rFonts w:ascii="Arial" w:cs="Arial" w:eastAsia="Arial" w:hAnsi="Arial"/>
          <w:sz w:val="18"/>
          <w:szCs w:val="18"/>
          <w:color w:val="auto"/>
        </w:rPr>
      </w:pPr>
    </w:p>
    <w:p>
      <w:pPr>
        <w:ind w:firstLine="656"/>
        <w:spacing w:after="0" w:line="259" w:lineRule="auto"/>
        <w:tabs>
          <w:tab w:leader="none" w:pos="1522" w:val="left"/>
        </w:tabs>
        <w:numPr>
          <w:ilvl w:val="0"/>
          <w:numId w:val="104"/>
        </w:numPr>
        <w:rPr>
          <w:rFonts w:ascii="Arial" w:cs="Arial" w:eastAsia="Arial" w:hAnsi="Arial"/>
          <w:sz w:val="18"/>
          <w:szCs w:val="18"/>
          <w:color w:val="auto"/>
        </w:rPr>
      </w:pPr>
      <w:r>
        <w:rPr>
          <w:rFonts w:ascii="Arial" w:cs="Arial" w:eastAsia="Arial" w:hAnsi="Arial"/>
          <w:sz w:val="18"/>
          <w:szCs w:val="18"/>
          <w:u w:val="single" w:color="auto"/>
          <w:color w:val="auto"/>
        </w:rPr>
        <w:t>The Administrative Services Agreement</w:t>
      </w:r>
      <w:r>
        <w:rPr>
          <w:rFonts w:ascii="Arial" w:cs="Arial" w:eastAsia="Arial" w:hAnsi="Arial"/>
          <w:sz w:val="18"/>
          <w:szCs w:val="18"/>
          <w:color w:val="auto"/>
        </w:rPr>
        <w:t>. The Administrative Services Agreement has been duly authorized, executed and delivered by the Company and constitutes a valid and legally binding obligation of the Company enforceable against the Company in accordance with its terms, except as enforceability may be limited by applicable bankruptcy, insolvency or similar laws affecting the enforcement of creditors’ rights generally or by equitable principles relating to enforceability.</w:t>
      </w:r>
    </w:p>
    <w:p>
      <w:pPr>
        <w:spacing w:after="0" w:line="187" w:lineRule="exact"/>
        <w:rPr>
          <w:sz w:val="20"/>
          <w:szCs w:val="20"/>
          <w:color w:val="auto"/>
        </w:rPr>
      </w:pPr>
    </w:p>
    <w:p>
      <w:pPr>
        <w:ind w:right="120" w:firstLine="656"/>
        <w:spacing w:after="0" w:line="257" w:lineRule="auto"/>
        <w:tabs>
          <w:tab w:leader="none" w:pos="1467" w:val="left"/>
        </w:tabs>
        <w:numPr>
          <w:ilvl w:val="0"/>
          <w:numId w:val="105"/>
        </w:numPr>
        <w:rPr>
          <w:rFonts w:ascii="Arial" w:cs="Arial" w:eastAsia="Arial" w:hAnsi="Arial"/>
          <w:sz w:val="18"/>
          <w:szCs w:val="18"/>
          <w:color w:val="auto"/>
        </w:rPr>
      </w:pPr>
      <w:r>
        <w:rPr>
          <w:rFonts w:ascii="Arial" w:cs="Arial" w:eastAsia="Arial" w:hAnsi="Arial"/>
          <w:sz w:val="18"/>
          <w:szCs w:val="18"/>
          <w:u w:val="single" w:color="auto"/>
          <w:color w:val="auto"/>
        </w:rPr>
        <w:t>The Insider Letter</w:t>
      </w:r>
      <w:r>
        <w:rPr>
          <w:rFonts w:ascii="Arial" w:cs="Arial" w:eastAsia="Arial" w:hAnsi="Arial"/>
          <w:sz w:val="18"/>
          <w:szCs w:val="18"/>
          <w:color w:val="auto"/>
        </w:rPr>
        <w:t>. The Insider Letter has been duly authorized, executed and delivered by the Company, the Sponsor and, to the Company’s knowledge, each officer, director and director nominee of the Company and constitutes a valid and legally binding obligation of the Company, the Sponsor and, to the Company’s knowledge, each officer, director and director nominee of the Company enforceable against the Company, the Sponsor and, to the Company’s knowledge, each officer, director and director nominee of the Company in accordance with its terms, except as enforceability may be limited by applicable bankruptcy, insolvency or similar</w:t>
      </w:r>
    </w:p>
    <w:p>
      <w:pPr>
        <w:spacing w:after="0" w:line="29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7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04" w:name="page205"/>
    <w:bookmarkEnd w:id="204"/>
    <w:p>
      <w:pPr>
        <w:spacing w:after="0"/>
        <w:rPr>
          <w:sz w:val="20"/>
          <w:szCs w:val="20"/>
          <w:color w:val="auto"/>
        </w:rPr>
      </w:pPr>
      <w:r>
        <w:rPr>
          <w:rFonts w:ascii="Arial" w:cs="Arial" w:eastAsia="Arial" w:hAnsi="Arial"/>
          <w:sz w:val="18"/>
          <w:szCs w:val="18"/>
          <w:color w:val="auto"/>
        </w:rPr>
        <w:t>laws affecting the enforcement of creditors’ rights generally or by equitable principles relating to enforceability.</w:t>
      </w:r>
    </w:p>
    <w:p>
      <w:pPr>
        <w:spacing w:after="0" w:line="225" w:lineRule="exact"/>
        <w:rPr>
          <w:sz w:val="20"/>
          <w:szCs w:val="20"/>
          <w:color w:val="auto"/>
        </w:rPr>
      </w:pPr>
    </w:p>
    <w:p>
      <w:pPr>
        <w:ind w:right="300" w:firstLine="656"/>
        <w:spacing w:after="0" w:line="277" w:lineRule="auto"/>
        <w:tabs>
          <w:tab w:leader="none" w:pos="1442" w:val="left"/>
        </w:tabs>
        <w:numPr>
          <w:ilvl w:val="0"/>
          <w:numId w:val="106"/>
        </w:numPr>
        <w:rPr>
          <w:rFonts w:ascii="Arial" w:cs="Arial" w:eastAsia="Arial" w:hAnsi="Arial"/>
          <w:sz w:val="18"/>
          <w:szCs w:val="18"/>
          <w:color w:val="auto"/>
        </w:rPr>
      </w:pPr>
      <w:r>
        <w:rPr>
          <w:rFonts w:ascii="Arial" w:cs="Arial" w:eastAsia="Arial" w:hAnsi="Arial"/>
          <w:sz w:val="18"/>
          <w:szCs w:val="18"/>
          <w:u w:val="single" w:color="auto"/>
          <w:color w:val="auto"/>
        </w:rPr>
        <w:t>Descriptions of the Transaction Documents</w:t>
      </w:r>
      <w:r>
        <w:rPr>
          <w:rFonts w:ascii="Arial" w:cs="Arial" w:eastAsia="Arial" w:hAnsi="Arial"/>
          <w:sz w:val="18"/>
          <w:szCs w:val="18"/>
          <w:color w:val="auto"/>
        </w:rPr>
        <w:t>. Each Transaction Document conforms in all material respects to the description thereof contained in the Registration Statement, the Pricing Disclosure Package and the Prospectus.</w:t>
      </w:r>
    </w:p>
    <w:p>
      <w:pPr>
        <w:spacing w:after="0" w:line="170" w:lineRule="exact"/>
        <w:rPr>
          <w:rFonts w:ascii="Arial" w:cs="Arial" w:eastAsia="Arial" w:hAnsi="Arial"/>
          <w:sz w:val="18"/>
          <w:szCs w:val="18"/>
          <w:color w:val="auto"/>
        </w:rPr>
      </w:pPr>
    </w:p>
    <w:p>
      <w:pPr>
        <w:ind w:right="80" w:firstLine="656"/>
        <w:spacing w:after="0" w:line="293" w:lineRule="auto"/>
        <w:tabs>
          <w:tab w:leader="none" w:pos="1467" w:val="left"/>
        </w:tabs>
        <w:numPr>
          <w:ilvl w:val="0"/>
          <w:numId w:val="106"/>
        </w:numPr>
        <w:rPr>
          <w:rFonts w:ascii="Arial" w:cs="Arial" w:eastAsia="Arial" w:hAnsi="Arial"/>
          <w:sz w:val="16"/>
          <w:szCs w:val="16"/>
          <w:color w:val="auto"/>
        </w:rPr>
      </w:pPr>
      <w:r>
        <w:rPr>
          <w:rFonts w:ascii="Arial" w:cs="Arial" w:eastAsia="Arial" w:hAnsi="Arial"/>
          <w:sz w:val="16"/>
          <w:szCs w:val="16"/>
          <w:u w:val="single" w:color="auto"/>
          <w:color w:val="auto"/>
        </w:rPr>
        <w:t>No Violation or Default</w:t>
      </w:r>
      <w:r>
        <w:rPr>
          <w:rFonts w:ascii="Arial" w:cs="Arial" w:eastAsia="Arial" w:hAnsi="Arial"/>
          <w:sz w:val="16"/>
          <w:szCs w:val="16"/>
          <w:color w:val="auto"/>
        </w:rPr>
        <w:t>. The Company is not (i) in violation of any provision in its Amended and Restated Memorandum and Articles of Association; (ii) in default, and no event has occurred that, with notice or lapse of time or both, would constitute such a default, in the due performance or observance of any term, covenant or condition contained in any indenture, mortgage, deed of trust, loan agreement or other agreement or instrument to which the Company is a party or by which the Company is bound or to which any property or asset of the Company is subject; or (iii) in violation of any law or statute or any judgment, order, rule or regulation of any court or arbitrator or governmental or regulatory authority, except, in the case of clauses (ii) and (iii) above, for any such default or violation that would not, individually or in the aggregate, have a Material Adverse Effect.</w:t>
      </w:r>
    </w:p>
    <w:p>
      <w:pPr>
        <w:spacing w:after="0" w:line="164" w:lineRule="exact"/>
        <w:rPr>
          <w:rFonts w:ascii="Arial" w:cs="Arial" w:eastAsia="Arial" w:hAnsi="Arial"/>
          <w:sz w:val="16"/>
          <w:szCs w:val="16"/>
          <w:color w:val="auto"/>
        </w:rPr>
      </w:pPr>
    </w:p>
    <w:p>
      <w:pPr>
        <w:ind w:firstLine="656"/>
        <w:spacing w:after="0" w:line="289" w:lineRule="auto"/>
        <w:tabs>
          <w:tab w:leader="none" w:pos="1442" w:val="left"/>
        </w:tabs>
        <w:numPr>
          <w:ilvl w:val="0"/>
          <w:numId w:val="106"/>
        </w:numPr>
        <w:rPr>
          <w:rFonts w:ascii="Arial" w:cs="Arial" w:eastAsia="Arial" w:hAnsi="Arial"/>
          <w:sz w:val="16"/>
          <w:szCs w:val="16"/>
          <w:color w:val="auto"/>
        </w:rPr>
      </w:pPr>
      <w:r>
        <w:rPr>
          <w:rFonts w:ascii="Arial" w:cs="Arial" w:eastAsia="Arial" w:hAnsi="Arial"/>
          <w:sz w:val="16"/>
          <w:szCs w:val="16"/>
          <w:u w:val="single" w:color="auto"/>
          <w:color w:val="auto"/>
        </w:rPr>
        <w:t>No Conflicts</w:t>
      </w:r>
      <w:r>
        <w:rPr>
          <w:rFonts w:ascii="Arial" w:cs="Arial" w:eastAsia="Arial" w:hAnsi="Arial"/>
          <w:sz w:val="16"/>
          <w:szCs w:val="16"/>
          <w:color w:val="auto"/>
        </w:rPr>
        <w:t>. The execution, delivery and performance by the Company of each of the Transaction Documents, the issuance and sale of the Units and the consummation of the transactions contemplated by the Transaction Documents or the Pricing Disclosure Package and the Prospectus will not (i) conflict with or result in a breach or violation of any of the terms or provisions of, or constitute a default under, result in the termination, modification or acceleration of, or result in the creation or imposition of any lien, charge or encumbrance upon any property, right or asset of the Company pursuant to, any indenture, mortgage, deed of trust, loan agreement or other agreement or instrument to which the Company is a party or by which the Company is bound or to which any property, right or asset of the Company is subject, (ii) result in any violation of any provision of the Company’s Amended and Restated Memorandum and Articles of Association or (iii) result in the violation of any law or statute or any judgment, order, rule or regulation of any court or arbitrator or governmental or regulatory authority, except, in the case of clauses (i) and (iii) above, for any such conflict, breach, violation, default, lien, charge or encumbrance that would not, individually or in the aggregate, have a Material Adverse Effect.</w:t>
      </w:r>
    </w:p>
    <w:p>
      <w:pPr>
        <w:spacing w:after="0" w:line="166" w:lineRule="exact"/>
        <w:rPr>
          <w:rFonts w:ascii="Arial" w:cs="Arial" w:eastAsia="Arial" w:hAnsi="Arial"/>
          <w:sz w:val="16"/>
          <w:szCs w:val="16"/>
          <w:color w:val="auto"/>
        </w:rPr>
      </w:pPr>
    </w:p>
    <w:p>
      <w:pPr>
        <w:ind w:right="40" w:firstLine="656"/>
        <w:spacing w:after="0" w:line="273" w:lineRule="auto"/>
        <w:tabs>
          <w:tab w:leader="none" w:pos="1467" w:val="left"/>
        </w:tabs>
        <w:numPr>
          <w:ilvl w:val="0"/>
          <w:numId w:val="106"/>
        </w:numPr>
        <w:rPr>
          <w:rFonts w:ascii="Arial" w:cs="Arial" w:eastAsia="Arial" w:hAnsi="Arial"/>
          <w:sz w:val="17"/>
          <w:szCs w:val="17"/>
          <w:color w:val="auto"/>
        </w:rPr>
      </w:pPr>
      <w:r>
        <w:rPr>
          <w:rFonts w:ascii="Arial" w:cs="Arial" w:eastAsia="Arial" w:hAnsi="Arial"/>
          <w:sz w:val="17"/>
          <w:szCs w:val="17"/>
          <w:u w:val="single" w:color="auto"/>
          <w:color w:val="auto"/>
        </w:rPr>
        <w:t>No Consents Required</w:t>
      </w:r>
      <w:r>
        <w:rPr>
          <w:rFonts w:ascii="Arial" w:cs="Arial" w:eastAsia="Arial" w:hAnsi="Arial"/>
          <w:sz w:val="17"/>
          <w:szCs w:val="17"/>
          <w:color w:val="auto"/>
        </w:rPr>
        <w:t>. No consent, approval, authorization, order, registration or qualification of or with any court or arbitrator or governmental or regulatory authority is required for the execution, delivery and performance by the Company of each of the Transaction Documents, the issuance and sale of the Units and the consummation of the transactions contemplated by the Transaction Documents, except for the registration of the Units and the Ordinary Shares and the Warrants included in the Units under the Securities Act and such consents, approvals, authorizations, orders and registrations or qualifications as may be required by the Financial Industry Regulatory Authority, Inc. (“FINRA”) and under applicable state securities laws in connection with the purchase and distribution of the Units by the Underwriters.</w:t>
      </w:r>
    </w:p>
    <w:p>
      <w:pPr>
        <w:spacing w:after="0" w:line="177" w:lineRule="exact"/>
        <w:rPr>
          <w:rFonts w:ascii="Arial" w:cs="Arial" w:eastAsia="Arial" w:hAnsi="Arial"/>
          <w:sz w:val="17"/>
          <w:szCs w:val="17"/>
          <w:color w:val="auto"/>
        </w:rPr>
      </w:pPr>
    </w:p>
    <w:p>
      <w:pPr>
        <w:ind w:right="60" w:firstLine="656"/>
        <w:spacing w:after="0" w:line="263" w:lineRule="auto"/>
        <w:tabs>
          <w:tab w:leader="none" w:pos="1514" w:val="left"/>
        </w:tabs>
        <w:numPr>
          <w:ilvl w:val="0"/>
          <w:numId w:val="106"/>
        </w:numPr>
        <w:rPr>
          <w:rFonts w:ascii="Arial" w:cs="Arial" w:eastAsia="Arial" w:hAnsi="Arial"/>
          <w:sz w:val="18"/>
          <w:szCs w:val="18"/>
          <w:color w:val="auto"/>
        </w:rPr>
      </w:pPr>
      <w:r>
        <w:rPr>
          <w:rFonts w:ascii="Arial" w:cs="Arial" w:eastAsia="Arial" w:hAnsi="Arial"/>
          <w:sz w:val="18"/>
          <w:szCs w:val="18"/>
          <w:u w:val="single" w:color="auto"/>
          <w:color w:val="auto"/>
        </w:rPr>
        <w:t>Legal Proceedings</w:t>
      </w:r>
      <w:r>
        <w:rPr>
          <w:rFonts w:ascii="Arial" w:cs="Arial" w:eastAsia="Arial" w:hAnsi="Arial"/>
          <w:sz w:val="18"/>
          <w:szCs w:val="18"/>
          <w:color w:val="auto"/>
        </w:rPr>
        <w:t>. There are no legal, governmental or regulatory investigations, actions, demands, claims, suits, arbitrations, inquiries or proceedings (“Actions”) pending to which the Company is or may be a party or to which any property of the Company is or may be the subject that, individually or in the aggregate, if determined adversely to the Company, could</w:t>
      </w:r>
    </w:p>
    <w:p>
      <w:pPr>
        <w:spacing w:after="0" w:line="29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7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05" w:name="page206"/>
    <w:bookmarkEnd w:id="205"/>
    <w:p>
      <w:pPr>
        <w:spacing w:after="0" w:line="254" w:lineRule="auto"/>
        <w:rPr>
          <w:sz w:val="20"/>
          <w:szCs w:val="20"/>
          <w:color w:val="auto"/>
        </w:rPr>
      </w:pPr>
      <w:r>
        <w:rPr>
          <w:rFonts w:ascii="Arial" w:cs="Arial" w:eastAsia="Arial" w:hAnsi="Arial"/>
          <w:sz w:val="18"/>
          <w:szCs w:val="18"/>
          <w:color w:val="auto"/>
        </w:rPr>
        <w:t>reasonably be expected to have a Material Adverse Effect; no such Actions are threatened or, to the knowledge of the Company, contemplated by any governmental or regulatory authority or threatened by others; and (i) there are no current or pending Actions that are required under the Securities Act to be described in the Registration Statement, the Pricing Disclosure Package or the Prospectus that are not so described in the Registration Statement, the Pricing Disclosure Package and the Prospectus and (ii) there are no statutes, regulations or contracts or other documents that are required under the Securities Act to be filed as exhibits to the Registration Statement or described in the Registration Statement, the Pricing Disclosure Package or the Prospectus that are not so filed as exhibits to the Registration Statement or described in the Registration Statement, the Pricing Disclosure Package and the Prospectus.</w:t>
      </w:r>
    </w:p>
    <w:p>
      <w:pPr>
        <w:spacing w:after="0" w:line="195" w:lineRule="exact"/>
        <w:rPr>
          <w:sz w:val="20"/>
          <w:szCs w:val="20"/>
          <w:color w:val="auto"/>
        </w:rPr>
      </w:pPr>
    </w:p>
    <w:p>
      <w:pPr>
        <w:ind w:right="160" w:firstLine="656"/>
        <w:spacing w:after="0" w:line="263" w:lineRule="auto"/>
        <w:tabs>
          <w:tab w:leader="none" w:pos="1442" w:val="left"/>
        </w:tabs>
        <w:numPr>
          <w:ilvl w:val="0"/>
          <w:numId w:val="107"/>
        </w:numPr>
        <w:rPr>
          <w:rFonts w:ascii="Arial" w:cs="Arial" w:eastAsia="Arial" w:hAnsi="Arial"/>
          <w:sz w:val="18"/>
          <w:szCs w:val="18"/>
          <w:color w:val="auto"/>
        </w:rPr>
      </w:pPr>
      <w:r>
        <w:rPr>
          <w:rFonts w:ascii="Arial" w:cs="Arial" w:eastAsia="Arial" w:hAnsi="Arial"/>
          <w:sz w:val="18"/>
          <w:szCs w:val="18"/>
          <w:u w:val="single" w:color="auto"/>
          <w:color w:val="auto"/>
        </w:rPr>
        <w:t>Independent Accountants</w:t>
      </w:r>
      <w:r>
        <w:rPr>
          <w:rFonts w:ascii="Arial" w:cs="Arial" w:eastAsia="Arial" w:hAnsi="Arial"/>
          <w:sz w:val="18"/>
          <w:szCs w:val="18"/>
          <w:color w:val="auto"/>
        </w:rPr>
        <w:t>. Marcum LLP, who have certified certain financial statements of the Company, is an independent registered public accounting firm with respect to the Company within the applicable rules and regulations adopted by the Commission and the Public Company Accounting Oversight Board (United States) and as required by the Securities Act.</w:t>
      </w:r>
    </w:p>
    <w:p>
      <w:pPr>
        <w:spacing w:after="0" w:line="183" w:lineRule="exact"/>
        <w:rPr>
          <w:rFonts w:ascii="Arial" w:cs="Arial" w:eastAsia="Arial" w:hAnsi="Arial"/>
          <w:sz w:val="18"/>
          <w:szCs w:val="18"/>
          <w:color w:val="auto"/>
        </w:rPr>
      </w:pPr>
    </w:p>
    <w:p>
      <w:pPr>
        <w:ind w:firstLine="656"/>
        <w:spacing w:after="0" w:line="271" w:lineRule="auto"/>
        <w:tabs>
          <w:tab w:leader="none" w:pos="1442" w:val="left"/>
        </w:tabs>
        <w:numPr>
          <w:ilvl w:val="0"/>
          <w:numId w:val="107"/>
        </w:numPr>
        <w:rPr>
          <w:rFonts w:ascii="Arial" w:cs="Arial" w:eastAsia="Arial" w:hAnsi="Arial"/>
          <w:sz w:val="17"/>
          <w:szCs w:val="17"/>
          <w:color w:val="auto"/>
        </w:rPr>
      </w:pPr>
      <w:r>
        <w:rPr>
          <w:rFonts w:ascii="Arial" w:cs="Arial" w:eastAsia="Arial" w:hAnsi="Arial"/>
          <w:sz w:val="17"/>
          <w:szCs w:val="17"/>
          <w:u w:val="single" w:color="auto"/>
          <w:color w:val="auto"/>
        </w:rPr>
        <w:t>Disclosure</w:t>
      </w:r>
      <w:r>
        <w:rPr>
          <w:rFonts w:ascii="Arial" w:cs="Arial" w:eastAsia="Arial" w:hAnsi="Arial"/>
          <w:sz w:val="17"/>
          <w:szCs w:val="17"/>
          <w:color w:val="auto"/>
        </w:rPr>
        <w:t>. There is no franchise, contract or other document of a character required to be described in the Registration Statement or Prospectus, or to be filed as an exhibit thereto, which is not described or filed as required (and the Pricing Disclosure Package contains in all material respects the same description of the foregoing matters contained in the Prospectus); and the statements in the Registration Statement, the Pricing Disclosure Package and the Prospectus under the headings “Principal Shareholders,” “Certain Relationships and Related Party Transactions,” “Description of Securities,” “Underwriting” and “Taxation” insofar as such statements summarize legal matters, agreements, documents or proceedings discussed therein, are in all material respects accurate and fair summaries of such legal matters, agreements, documents or proceedings. There are no business relationships or related party transactions involving the Company or any other person required by the Securities Act to be described in the Registration Statement or Prospectus that have not been described as required.</w:t>
      </w:r>
    </w:p>
    <w:p>
      <w:pPr>
        <w:spacing w:after="0" w:line="178" w:lineRule="exact"/>
        <w:rPr>
          <w:rFonts w:ascii="Arial" w:cs="Arial" w:eastAsia="Arial" w:hAnsi="Arial"/>
          <w:sz w:val="17"/>
          <w:szCs w:val="17"/>
          <w:color w:val="auto"/>
        </w:rPr>
      </w:pPr>
    </w:p>
    <w:p>
      <w:pPr>
        <w:ind w:right="120" w:firstLine="656"/>
        <w:spacing w:after="0" w:line="311" w:lineRule="auto"/>
        <w:tabs>
          <w:tab w:leader="none" w:pos="1497" w:val="left"/>
        </w:tabs>
        <w:numPr>
          <w:ilvl w:val="0"/>
          <w:numId w:val="107"/>
        </w:numPr>
        <w:rPr>
          <w:rFonts w:ascii="Arial" w:cs="Arial" w:eastAsia="Arial" w:hAnsi="Arial"/>
          <w:sz w:val="16"/>
          <w:szCs w:val="16"/>
          <w:color w:val="auto"/>
        </w:rPr>
      </w:pPr>
      <w:r>
        <w:rPr>
          <w:rFonts w:ascii="Arial" w:cs="Arial" w:eastAsia="Arial" w:hAnsi="Arial"/>
          <w:sz w:val="16"/>
          <w:szCs w:val="16"/>
          <w:u w:val="single" w:color="auto"/>
          <w:color w:val="auto"/>
        </w:rPr>
        <w:t>No Undisclosed Relationships</w:t>
      </w:r>
      <w:r>
        <w:rPr>
          <w:rFonts w:ascii="Arial" w:cs="Arial" w:eastAsia="Arial" w:hAnsi="Arial"/>
          <w:sz w:val="16"/>
          <w:szCs w:val="16"/>
          <w:color w:val="auto"/>
        </w:rPr>
        <w:t>. No relationship, direct or indirect, exists between or among the Company, on the one hand, and the directors, officers, shareholders, customers, suppliers or other affiliates of the Company, on the other, that is required by the Securities Act to be described in each of the Registration Statement and the Prospectus and that is not so described in such documents and in the Pricing Disclosure Package.</w:t>
      </w:r>
    </w:p>
    <w:p>
      <w:pPr>
        <w:spacing w:after="0" w:line="148" w:lineRule="exact"/>
        <w:rPr>
          <w:rFonts w:ascii="Arial" w:cs="Arial" w:eastAsia="Arial" w:hAnsi="Arial"/>
          <w:sz w:val="16"/>
          <w:szCs w:val="16"/>
          <w:color w:val="auto"/>
        </w:rPr>
      </w:pPr>
    </w:p>
    <w:p>
      <w:pPr>
        <w:ind w:right="160" w:firstLine="656"/>
        <w:spacing w:after="0" w:line="279" w:lineRule="auto"/>
        <w:tabs>
          <w:tab w:leader="none" w:pos="1497" w:val="left"/>
        </w:tabs>
        <w:numPr>
          <w:ilvl w:val="0"/>
          <w:numId w:val="107"/>
        </w:numPr>
        <w:rPr>
          <w:rFonts w:ascii="Arial" w:cs="Arial" w:eastAsia="Arial" w:hAnsi="Arial"/>
          <w:sz w:val="17"/>
          <w:szCs w:val="17"/>
          <w:color w:val="auto"/>
        </w:rPr>
      </w:pPr>
      <w:r>
        <w:rPr>
          <w:rFonts w:ascii="Arial" w:cs="Arial" w:eastAsia="Arial" w:hAnsi="Arial"/>
          <w:sz w:val="17"/>
          <w:szCs w:val="17"/>
          <w:u w:val="single" w:color="auto"/>
          <w:color w:val="auto"/>
        </w:rPr>
        <w:t>Investment Company Act</w:t>
      </w:r>
      <w:r>
        <w:rPr>
          <w:rFonts w:ascii="Arial" w:cs="Arial" w:eastAsia="Arial" w:hAnsi="Arial"/>
          <w:sz w:val="17"/>
          <w:szCs w:val="17"/>
          <w:color w:val="auto"/>
        </w:rPr>
        <w:t>. The Company is not and, after giving effect to the offering and sale of the Units and the application of the proceeds thereof as described in the Registration Statement, the Pricing Disclosure Package and the Prospectus, will not be required to register as an “investment company” or an entity “controlled” by an “investment company” within the meaning of the Investment Company Act of 1940, as amended, and the rules and regulations of the Commission thereunder (collectively, the “Investment Company Act”).</w:t>
      </w:r>
    </w:p>
    <w:p>
      <w:pPr>
        <w:spacing w:after="0" w:line="171" w:lineRule="exact"/>
        <w:rPr>
          <w:rFonts w:ascii="Arial" w:cs="Arial" w:eastAsia="Arial" w:hAnsi="Arial"/>
          <w:sz w:val="17"/>
          <w:szCs w:val="17"/>
          <w:color w:val="auto"/>
        </w:rPr>
      </w:pPr>
    </w:p>
    <w:p>
      <w:pPr>
        <w:ind w:right="140" w:firstLine="656"/>
        <w:spacing w:after="0" w:line="308" w:lineRule="auto"/>
        <w:tabs>
          <w:tab w:leader="none" w:pos="1442" w:val="left"/>
        </w:tabs>
        <w:numPr>
          <w:ilvl w:val="0"/>
          <w:numId w:val="107"/>
        </w:numPr>
        <w:rPr>
          <w:rFonts w:ascii="Arial" w:cs="Arial" w:eastAsia="Arial" w:hAnsi="Arial"/>
          <w:sz w:val="17"/>
          <w:szCs w:val="17"/>
          <w:color w:val="auto"/>
        </w:rPr>
      </w:pPr>
      <w:r>
        <w:rPr>
          <w:rFonts w:ascii="Arial" w:cs="Arial" w:eastAsia="Arial" w:hAnsi="Arial"/>
          <w:sz w:val="17"/>
          <w:szCs w:val="17"/>
          <w:u w:val="single" w:color="auto"/>
          <w:color w:val="auto"/>
        </w:rPr>
        <w:t>Taxes</w:t>
      </w:r>
      <w:r>
        <w:rPr>
          <w:rFonts w:ascii="Arial" w:cs="Arial" w:eastAsia="Arial" w:hAnsi="Arial"/>
          <w:sz w:val="17"/>
          <w:szCs w:val="17"/>
          <w:color w:val="auto"/>
        </w:rPr>
        <w:t>. The Company has paid all federal, state, local and foreign taxes and filed all tax returns required to be paid or filed through the date hereof; and except as otherwise disclosed in each of the Registration Statement, the Pricing Disclosure Package and the</w:t>
      </w:r>
    </w:p>
    <w:p>
      <w:pPr>
        <w:spacing w:after="0" w:line="25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7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206" w:name="page207"/>
    <w:bookmarkEnd w:id="206"/>
    <w:p>
      <w:pPr>
        <w:spacing w:after="0"/>
        <w:rPr>
          <w:sz w:val="20"/>
          <w:szCs w:val="20"/>
          <w:color w:val="auto"/>
        </w:rPr>
      </w:pPr>
      <w:r>
        <w:rPr>
          <w:rFonts w:ascii="Arial" w:cs="Arial" w:eastAsia="Arial" w:hAnsi="Arial"/>
          <w:sz w:val="16"/>
          <w:szCs w:val="16"/>
          <w:color w:val="auto"/>
        </w:rPr>
        <w:t>Prospectus, there is no tax deficiency that has been, or could reasonably be expected to be, asserted against the Company or any of its properties or assets.</w:t>
      </w:r>
    </w:p>
    <w:p>
      <w:pPr>
        <w:spacing w:after="0" w:line="248" w:lineRule="exact"/>
        <w:rPr>
          <w:sz w:val="20"/>
          <w:szCs w:val="20"/>
          <w:color w:val="auto"/>
        </w:rPr>
      </w:pPr>
    </w:p>
    <w:p>
      <w:pPr>
        <w:ind w:firstLine="656"/>
        <w:spacing w:after="0" w:line="272" w:lineRule="auto"/>
        <w:tabs>
          <w:tab w:leader="none" w:pos="1497" w:val="left"/>
        </w:tabs>
        <w:numPr>
          <w:ilvl w:val="0"/>
          <w:numId w:val="108"/>
        </w:numPr>
        <w:rPr>
          <w:rFonts w:ascii="Arial" w:cs="Arial" w:eastAsia="Arial" w:hAnsi="Arial"/>
          <w:sz w:val="17"/>
          <w:szCs w:val="17"/>
          <w:color w:val="auto"/>
        </w:rPr>
      </w:pPr>
      <w:r>
        <w:rPr>
          <w:rFonts w:ascii="Arial" w:cs="Arial" w:eastAsia="Arial" w:hAnsi="Arial"/>
          <w:sz w:val="17"/>
          <w:szCs w:val="17"/>
          <w:u w:val="single" w:color="auto"/>
          <w:color w:val="auto"/>
        </w:rPr>
        <w:t>Licenses and Permits</w:t>
      </w:r>
      <w:r>
        <w:rPr>
          <w:rFonts w:ascii="Arial" w:cs="Arial" w:eastAsia="Arial" w:hAnsi="Arial"/>
          <w:sz w:val="17"/>
          <w:szCs w:val="17"/>
          <w:color w:val="auto"/>
        </w:rPr>
        <w:t>. The Company possesses all licenses, sub-licenses, certificates, permits and other authorizations issued by, and has made all declarations and filings with, the appropriate federal, state, local or foreign governmental or regulatory authorities that are necessary for the ownership or lease of its properties or the conduct of its business as described in each of the Registration Statement, the Pricing Disclosure Package and the Prospectus, except where the failure to possess or make the same would not, individually or in the aggregate, have a Material Adverse Effect; and except as described in each of the Registration Statement, the Pricing Disclosure Package and the Prospectus, the Company has not received notice of any revocation or modification of any such license, sub-license, certificate, permit or authorization or has any reason to believe that any such license, sub-license, certificate, permit or authorization will not be renewed in the ordinary course.</w:t>
      </w:r>
    </w:p>
    <w:p>
      <w:pPr>
        <w:spacing w:after="0" w:line="177" w:lineRule="exact"/>
        <w:rPr>
          <w:rFonts w:ascii="Arial" w:cs="Arial" w:eastAsia="Arial" w:hAnsi="Arial"/>
          <w:sz w:val="17"/>
          <w:szCs w:val="17"/>
          <w:color w:val="auto"/>
        </w:rPr>
      </w:pPr>
    </w:p>
    <w:p>
      <w:pPr>
        <w:ind w:right="120" w:firstLine="656"/>
        <w:spacing w:after="0" w:line="342" w:lineRule="auto"/>
        <w:tabs>
          <w:tab w:leader="none" w:pos="1318" w:val="left"/>
        </w:tabs>
        <w:numPr>
          <w:ilvl w:val="0"/>
          <w:numId w:val="108"/>
        </w:numPr>
        <w:rPr>
          <w:rFonts w:ascii="Arial" w:cs="Arial" w:eastAsia="Arial" w:hAnsi="Arial"/>
          <w:sz w:val="16"/>
          <w:szCs w:val="16"/>
          <w:color w:val="auto"/>
        </w:rPr>
      </w:pPr>
      <w:r>
        <w:rPr>
          <w:rFonts w:ascii="Arial" w:cs="Arial" w:eastAsia="Arial" w:hAnsi="Arial"/>
          <w:sz w:val="16"/>
          <w:szCs w:val="16"/>
          <w:u w:val="single" w:color="auto"/>
          <w:color w:val="auto"/>
        </w:rPr>
        <w:t>Disclosure Controls</w:t>
      </w:r>
      <w:r>
        <w:rPr>
          <w:rFonts w:ascii="Arial" w:cs="Arial" w:eastAsia="Arial" w:hAnsi="Arial"/>
          <w:sz w:val="16"/>
          <w:szCs w:val="16"/>
          <w:color w:val="auto"/>
        </w:rPr>
        <w:t>. The Company maintains an effective system of “disclosure controls and procedures” (as defined in Rule 13a-15(e) of the Exchange Act) that is designed to comply with the requirements of the Exchange Act to the extent required by Rule 13a-15 of the Exchange Act.</w:t>
      </w:r>
    </w:p>
    <w:p>
      <w:pPr>
        <w:spacing w:after="0" w:line="123" w:lineRule="exact"/>
        <w:rPr>
          <w:rFonts w:ascii="Arial" w:cs="Arial" w:eastAsia="Arial" w:hAnsi="Arial"/>
          <w:sz w:val="16"/>
          <w:szCs w:val="16"/>
          <w:color w:val="auto"/>
        </w:rPr>
      </w:pPr>
    </w:p>
    <w:p>
      <w:pPr>
        <w:ind w:right="40" w:firstLine="656"/>
        <w:spacing w:after="0" w:line="287" w:lineRule="auto"/>
        <w:tabs>
          <w:tab w:leader="none" w:pos="1442" w:val="left"/>
        </w:tabs>
        <w:numPr>
          <w:ilvl w:val="0"/>
          <w:numId w:val="108"/>
        </w:numPr>
        <w:rPr>
          <w:rFonts w:ascii="Arial" w:cs="Arial" w:eastAsia="Arial" w:hAnsi="Arial"/>
          <w:sz w:val="16"/>
          <w:szCs w:val="16"/>
          <w:color w:val="auto"/>
        </w:rPr>
      </w:pPr>
      <w:r>
        <w:rPr>
          <w:rFonts w:ascii="Arial" w:cs="Arial" w:eastAsia="Arial" w:hAnsi="Arial"/>
          <w:sz w:val="16"/>
          <w:szCs w:val="16"/>
          <w:u w:val="single" w:color="auto"/>
          <w:color w:val="auto"/>
        </w:rPr>
        <w:t>Cybersecurity; Data Protection</w:t>
      </w:r>
      <w:r>
        <w:rPr>
          <w:rFonts w:ascii="Arial" w:cs="Arial" w:eastAsia="Arial" w:hAnsi="Arial"/>
          <w:sz w:val="16"/>
          <w:szCs w:val="16"/>
          <w:color w:val="auto"/>
        </w:rPr>
        <w:t>. The Company’s information technology assets and equipment, computers, systems, networks, hardware, software, websites, applications, and databases (collectively, “IT Systems”) are adequate for, and operate and perform in all material respects as required in connection with the operation of the business of the Company as currently conducted, free and clear of all material bugs, errors, defects, Trojan horses, time bombs, malware and other corruptants. The Company has implemented and maintained commercially reasonable controls, policies, procedures, and safeguards to maintain and protect its material confidential information and the integrity, continuous operation, redundancy and security of all IT Systems and data (including all personal, personally identifiable, sensitive, confidential or regulated data (“Personal Data”)) used in connection with its business, and there have been no breaches, violations, outages or unauthorized uses of or accesses to same, except for those that have been remedied without material cost or liability or the duty to notify any other person, nor any incidents under internal review or investigations relating to the same. The Company is presently in compliance with all applicable laws or statutes and all judgments, orders, rules and regulations of any court or arbitrator or governmental or regulatory authority, internal policies and contractual obligations relating to the privacy and security of IT Systems and Personal Data and to the protection of such IT Systems and Personal Data from unauthorized use, access, misappropriation or modification, except where the failure to be in compliance would not, individually or in the aggregate, have a Material Adverse Effect.</w:t>
      </w:r>
    </w:p>
    <w:p>
      <w:pPr>
        <w:spacing w:after="0" w:line="167" w:lineRule="exact"/>
        <w:rPr>
          <w:rFonts w:ascii="Arial" w:cs="Arial" w:eastAsia="Arial" w:hAnsi="Arial"/>
          <w:sz w:val="16"/>
          <w:szCs w:val="16"/>
          <w:color w:val="auto"/>
        </w:rPr>
      </w:pPr>
    </w:p>
    <w:p>
      <w:pPr>
        <w:ind w:right="440" w:firstLine="656"/>
        <w:spacing w:after="0" w:line="257" w:lineRule="auto"/>
        <w:tabs>
          <w:tab w:leader="none" w:pos="1442" w:val="left"/>
        </w:tabs>
        <w:numPr>
          <w:ilvl w:val="0"/>
          <w:numId w:val="108"/>
        </w:numPr>
        <w:rPr>
          <w:rFonts w:ascii="Arial" w:cs="Arial" w:eastAsia="Arial" w:hAnsi="Arial"/>
          <w:sz w:val="18"/>
          <w:szCs w:val="18"/>
          <w:color w:val="auto"/>
        </w:rPr>
      </w:pPr>
      <w:r>
        <w:rPr>
          <w:rFonts w:ascii="Arial" w:cs="Arial" w:eastAsia="Arial" w:hAnsi="Arial"/>
          <w:sz w:val="18"/>
          <w:szCs w:val="18"/>
          <w:u w:val="single" w:color="auto"/>
          <w:color w:val="auto"/>
        </w:rPr>
        <w:t>No Unlawful Payments</w:t>
      </w:r>
      <w:r>
        <w:rPr>
          <w:rFonts w:ascii="Arial" w:cs="Arial" w:eastAsia="Arial" w:hAnsi="Arial"/>
          <w:sz w:val="18"/>
          <w:szCs w:val="18"/>
          <w:color w:val="auto"/>
        </w:rPr>
        <w:t>. Neither the Company nor any director, officer or employee of the Company nor, to the knowledge of the Company, any agent, affiliate or other person associated with or acting on behalf of the Company has (i) used any corporate funds for any unlawful contribution, gift, entertainment or other unlawful expense relating to political activity; (ii) made or taken an act in furtherance of an offer, promise or authorization of any direct or indirect unlawful payment or benefit to any foreign or domestic government official or employee, including of any government-owned or controlled entity or of a public international</w:t>
      </w:r>
    </w:p>
    <w:p>
      <w:pPr>
        <w:spacing w:after="0" w:line="29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7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207" w:name="page208"/>
    <w:bookmarkEnd w:id="207"/>
    <w:p>
      <w:pPr>
        <w:ind w:right="60"/>
        <w:spacing w:after="0" w:line="291" w:lineRule="auto"/>
        <w:rPr>
          <w:sz w:val="20"/>
          <w:szCs w:val="20"/>
          <w:color w:val="auto"/>
        </w:rPr>
      </w:pPr>
      <w:r>
        <w:rPr>
          <w:rFonts w:ascii="Arial" w:cs="Arial" w:eastAsia="Arial" w:hAnsi="Arial"/>
          <w:sz w:val="16"/>
          <w:szCs w:val="16"/>
          <w:color w:val="auto"/>
        </w:rPr>
        <w:t>organization, or any person acting in an official capacity for or on behalf of any of the foregoing, or any political party or party official or candidate for political office; (iii) violated or is in violation of any provision of the Foreign Corrupt Practices Act of 1977, as amended, or any applicable law or regulation implementing the OECD Convention on Combating Bribery of Foreign Public Officials in International Business Transactions, or committed an offence under the Bribery Act 2010 of the United Kingdom or any other applicable anti-bribery or anticorruption law; or (iv) made, offered, agreed, requested or taken an act in furtherance of any unlawful bribe or other unlawful benefit, including, without limitation, any rebate, payoff, influence payment, kickback or other unlawful or improper payment or benefit. The Company has instituted, maintains and enforces, and will continue to maintain and enforce policies and procedures designed to promote and ensure compliance with all applicable anti-bribery and anti-corruption laws.</w:t>
      </w:r>
    </w:p>
    <w:p>
      <w:pPr>
        <w:spacing w:after="0" w:line="166" w:lineRule="exact"/>
        <w:rPr>
          <w:sz w:val="20"/>
          <w:szCs w:val="20"/>
          <w:color w:val="auto"/>
        </w:rPr>
      </w:pPr>
    </w:p>
    <w:p>
      <w:pPr>
        <w:ind w:firstLine="656"/>
        <w:spacing w:after="0" w:line="293" w:lineRule="auto"/>
        <w:tabs>
          <w:tab w:leader="none" w:pos="1442" w:val="left"/>
        </w:tabs>
        <w:numPr>
          <w:ilvl w:val="0"/>
          <w:numId w:val="109"/>
        </w:numPr>
        <w:rPr>
          <w:rFonts w:ascii="Arial" w:cs="Arial" w:eastAsia="Arial" w:hAnsi="Arial"/>
          <w:sz w:val="16"/>
          <w:szCs w:val="16"/>
          <w:color w:val="auto"/>
        </w:rPr>
      </w:pPr>
      <w:r>
        <w:rPr>
          <w:rFonts w:ascii="Arial" w:cs="Arial" w:eastAsia="Arial" w:hAnsi="Arial"/>
          <w:sz w:val="16"/>
          <w:szCs w:val="16"/>
          <w:u w:val="single" w:color="auto"/>
          <w:color w:val="auto"/>
        </w:rPr>
        <w:t>Compliance with Anti-Money Laundering Laws</w:t>
      </w:r>
      <w:r>
        <w:rPr>
          <w:rFonts w:ascii="Arial" w:cs="Arial" w:eastAsia="Arial" w:hAnsi="Arial"/>
          <w:sz w:val="16"/>
          <w:szCs w:val="16"/>
          <w:color w:val="auto"/>
        </w:rPr>
        <w:t>. The operations of the Company are and have been conducted at all times in compliance with applicable financial recordkeeping and reporting requirements, including those of the Currency and Foreign Transactions Reporting Act of 1970, as amended, the applicable money laundering statutes of all jurisdictions where the Company conducts business, the rules and regulations thereunder and any related or similar rules, regulations or guidelines issued, administered or enforced by any governmental agency (collectively, the “Anti-Money Laundering Laws”) and no action, suit or proceeding by or before any court or governmental agency, authority or body or any arbitrator involving the Company with respect to the Anti-Money Laundering Laws is pending or, to the knowledge of the Company, threatened.</w:t>
      </w:r>
    </w:p>
    <w:p>
      <w:pPr>
        <w:spacing w:after="0" w:line="164" w:lineRule="exact"/>
        <w:rPr>
          <w:rFonts w:ascii="Arial" w:cs="Arial" w:eastAsia="Arial" w:hAnsi="Arial"/>
          <w:sz w:val="16"/>
          <w:szCs w:val="16"/>
          <w:color w:val="auto"/>
        </w:rPr>
      </w:pPr>
    </w:p>
    <w:p>
      <w:pPr>
        <w:ind w:right="40" w:firstLine="656"/>
        <w:spacing w:after="0" w:line="268" w:lineRule="auto"/>
        <w:tabs>
          <w:tab w:leader="none" w:pos="1442" w:val="left"/>
        </w:tabs>
        <w:numPr>
          <w:ilvl w:val="0"/>
          <w:numId w:val="109"/>
        </w:numPr>
        <w:rPr>
          <w:rFonts w:ascii="Arial" w:cs="Arial" w:eastAsia="Arial" w:hAnsi="Arial"/>
          <w:sz w:val="17"/>
          <w:szCs w:val="17"/>
          <w:color w:val="auto"/>
        </w:rPr>
      </w:pPr>
      <w:r>
        <w:rPr>
          <w:rFonts w:ascii="Arial" w:cs="Arial" w:eastAsia="Arial" w:hAnsi="Arial"/>
          <w:sz w:val="17"/>
          <w:szCs w:val="17"/>
          <w:u w:val="single" w:color="auto"/>
          <w:color w:val="auto"/>
        </w:rPr>
        <w:t>No Conflicts with Sanctions Laws</w:t>
      </w:r>
      <w:r>
        <w:rPr>
          <w:rFonts w:ascii="Arial" w:cs="Arial" w:eastAsia="Arial" w:hAnsi="Arial"/>
          <w:sz w:val="17"/>
          <w:szCs w:val="17"/>
          <w:color w:val="auto"/>
        </w:rPr>
        <w:t>. Neither the Company nor any of its directors, officers, or employees, nor, to the knowledge of the Company, any agent, affiliate or other person associated with or acting on behalf of the Company is currently the subject or the target of any sanctions administered or enforced by the U.S. government, (including, without limitation, the Office of Foreign Assets Control of the U.S. Department of the Treasury or the U.S. Department of State and including, without limitation, the designation as a “specially designated national” or “blocked person”), the United Nations Security Council, the European Union, Her Majesty’s Treasury or other relevant sanctions authority (collectively, “Sanctions”), nor is the Company located, organized or resident in a country or territory that is the subject or target of Sanctions, including, without limitation, Crimea, Cuba, Iran, North Korea and Syria (each, a “Sanctioned Country”); and the Company will not directly or indirectly use the proceeds of the Offering hereunder, or lend, contribute or otherwise make available such proceeds to any subsidiary, joint venture partner or other person or entity (i) to fund or facilitate any activities of or business with any person that, at the time of such funding or facilitation, is the subject or target of Sanctions, (ii) to fund or facilitate any activities of or business in any Sanctioned Country or (iii) in any other manner that will result in a violation by any person (including any person participating in the transaction, whether as underwriter, advisor, investor or otherwise) of Sanctions. For the past five years, the Company has not knowingly engaged in and are not now knowingly engaged in any dealings or transactions with any person that at the time of the dealing or transaction is or was the subject or the target of Sanctions or with any Sanctioned Country.</w:t>
      </w:r>
    </w:p>
    <w:p>
      <w:pPr>
        <w:spacing w:after="0" w:line="186" w:lineRule="exact"/>
        <w:rPr>
          <w:rFonts w:ascii="Arial" w:cs="Arial" w:eastAsia="Arial" w:hAnsi="Arial"/>
          <w:sz w:val="17"/>
          <w:szCs w:val="17"/>
          <w:color w:val="auto"/>
        </w:rPr>
      </w:pPr>
    </w:p>
    <w:p>
      <w:pPr>
        <w:ind w:right="380" w:firstLine="656"/>
        <w:spacing w:after="0" w:line="277" w:lineRule="auto"/>
        <w:tabs>
          <w:tab w:leader="none" w:pos="1517" w:val="left"/>
        </w:tabs>
        <w:numPr>
          <w:ilvl w:val="0"/>
          <w:numId w:val="109"/>
        </w:numPr>
        <w:rPr>
          <w:rFonts w:ascii="Arial" w:cs="Arial" w:eastAsia="Arial" w:hAnsi="Arial"/>
          <w:sz w:val="18"/>
          <w:szCs w:val="18"/>
          <w:color w:val="auto"/>
        </w:rPr>
      </w:pPr>
      <w:r>
        <w:rPr>
          <w:rFonts w:ascii="Arial" w:cs="Arial" w:eastAsia="Arial" w:hAnsi="Arial"/>
          <w:sz w:val="18"/>
          <w:szCs w:val="18"/>
          <w:u w:val="single" w:color="auto"/>
          <w:color w:val="auto"/>
        </w:rPr>
        <w:t>No Registration Rights</w:t>
      </w:r>
      <w:r>
        <w:rPr>
          <w:rFonts w:ascii="Arial" w:cs="Arial" w:eastAsia="Arial" w:hAnsi="Arial"/>
          <w:sz w:val="18"/>
          <w:szCs w:val="18"/>
          <w:color w:val="auto"/>
        </w:rPr>
        <w:t>. Except as described in the Registration Statement, the Pricing Disclosure Package and the Prospectus, no person has the right to require the Company</w:t>
      </w:r>
    </w:p>
    <w:p>
      <w:pPr>
        <w:spacing w:after="0" w:line="27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7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208" w:name="page209"/>
    <w:bookmarkEnd w:id="208"/>
    <w:p>
      <w:pPr>
        <w:spacing w:after="0" w:line="277" w:lineRule="auto"/>
        <w:rPr>
          <w:sz w:val="20"/>
          <w:szCs w:val="20"/>
          <w:color w:val="auto"/>
        </w:rPr>
      </w:pPr>
      <w:r>
        <w:rPr>
          <w:rFonts w:ascii="Arial" w:cs="Arial" w:eastAsia="Arial" w:hAnsi="Arial"/>
          <w:sz w:val="18"/>
          <w:szCs w:val="18"/>
          <w:color w:val="auto"/>
        </w:rPr>
        <w:t>to register any securities for sale under the Securities Act by reason of the filing of the Registration Statement with the Commission or the issuance and sale of the Units.</w:t>
      </w:r>
    </w:p>
    <w:p>
      <w:pPr>
        <w:spacing w:after="0" w:line="170" w:lineRule="exact"/>
        <w:rPr>
          <w:sz w:val="20"/>
          <w:szCs w:val="20"/>
          <w:color w:val="auto"/>
        </w:rPr>
      </w:pPr>
    </w:p>
    <w:p>
      <w:pPr>
        <w:ind w:right="60" w:firstLine="656"/>
        <w:spacing w:after="0" w:line="291" w:lineRule="auto"/>
        <w:tabs>
          <w:tab w:leader="none" w:pos="1493" w:val="left"/>
        </w:tabs>
        <w:numPr>
          <w:ilvl w:val="0"/>
          <w:numId w:val="110"/>
        </w:numPr>
        <w:rPr>
          <w:rFonts w:ascii="Arial" w:cs="Arial" w:eastAsia="Arial" w:hAnsi="Arial"/>
          <w:sz w:val="16"/>
          <w:szCs w:val="16"/>
          <w:color w:val="auto"/>
        </w:rPr>
      </w:pPr>
      <w:r>
        <w:rPr>
          <w:rFonts w:ascii="Arial" w:cs="Arial" w:eastAsia="Arial" w:hAnsi="Arial"/>
          <w:sz w:val="16"/>
          <w:szCs w:val="16"/>
          <w:u w:val="single" w:color="auto"/>
          <w:color w:val="auto"/>
        </w:rPr>
        <w:t>Compliance with NYSE Rules</w:t>
      </w:r>
      <w:r>
        <w:rPr>
          <w:rFonts w:ascii="Arial" w:cs="Arial" w:eastAsia="Arial" w:hAnsi="Arial"/>
          <w:sz w:val="16"/>
          <w:szCs w:val="16"/>
          <w:color w:val="auto"/>
        </w:rPr>
        <w:t>. There is and has been no failure on the part of the Company or, to the knowledge of the Company, any of the Company’s officers or directors, in their capacities as such, to comply with (as and when applicable), and immediately following the initial effective date of the Registration Statement, the Company will be in compliance with, the requirements of Section 303A of the New York Stock Exchange Listed Company Manual (taking into account any applicable phase-in rules). Further, there is and has been no failure on the part of the Company or, to the knowledge of the Company, any of the Company’s officers or directors, in their capacities as such, to comply with (as and when applicable), and immediately following the initial effective date of the Registration Statement the Company will be in compliance with, the phase-in requirements and all other provisions of the corporate governance requirements set forth in the New York Stock Exchange Listed Company Manual.</w:t>
      </w:r>
    </w:p>
    <w:p>
      <w:pPr>
        <w:spacing w:after="0" w:line="166" w:lineRule="exact"/>
        <w:rPr>
          <w:rFonts w:ascii="Arial" w:cs="Arial" w:eastAsia="Arial" w:hAnsi="Arial"/>
          <w:sz w:val="16"/>
          <w:szCs w:val="16"/>
          <w:color w:val="auto"/>
        </w:rPr>
      </w:pPr>
    </w:p>
    <w:p>
      <w:pPr>
        <w:ind w:right="20" w:firstLine="656"/>
        <w:spacing w:after="0" w:line="301" w:lineRule="auto"/>
        <w:tabs>
          <w:tab w:leader="none" w:pos="1497" w:val="left"/>
        </w:tabs>
        <w:numPr>
          <w:ilvl w:val="0"/>
          <w:numId w:val="110"/>
        </w:numPr>
        <w:rPr>
          <w:rFonts w:ascii="Arial" w:cs="Arial" w:eastAsia="Arial" w:hAnsi="Arial"/>
          <w:sz w:val="16"/>
          <w:szCs w:val="16"/>
          <w:color w:val="auto"/>
        </w:rPr>
      </w:pPr>
      <w:r>
        <w:rPr>
          <w:rFonts w:ascii="Arial" w:cs="Arial" w:eastAsia="Arial" w:hAnsi="Arial"/>
          <w:sz w:val="16"/>
          <w:szCs w:val="16"/>
          <w:u w:val="single" w:color="auto"/>
          <w:color w:val="auto"/>
        </w:rPr>
        <w:t>Taxes</w:t>
      </w:r>
      <w:r>
        <w:rPr>
          <w:rFonts w:ascii="Arial" w:cs="Arial" w:eastAsia="Arial" w:hAnsi="Arial"/>
          <w:sz w:val="16"/>
          <w:szCs w:val="16"/>
          <w:color w:val="auto"/>
        </w:rPr>
        <w:t>. There are no transfer, stamp, issue, registration, documentary or other similar taxes, duties, fees or charges under the laws of the Cayman Islands, the United States or any political subdivision or taxing authority thereof, or under the laws of any other non-U.S. jurisdiction, required to be paid in connection with (A) the execution and delivery of this Agreement, (B) the issuance and delivery of the Units in the manner contemplated by this Agreement and the Prospectus and (C) the sale and delivery by the Underwriters of the Units as contemplated by this Agreement and the Prospectus.</w:t>
      </w:r>
    </w:p>
    <w:p>
      <w:pPr>
        <w:spacing w:after="0" w:line="157" w:lineRule="exact"/>
        <w:rPr>
          <w:rFonts w:ascii="Arial" w:cs="Arial" w:eastAsia="Arial" w:hAnsi="Arial"/>
          <w:sz w:val="16"/>
          <w:szCs w:val="16"/>
          <w:color w:val="auto"/>
        </w:rPr>
      </w:pPr>
    </w:p>
    <w:p>
      <w:pPr>
        <w:ind w:right="200" w:firstLine="656"/>
        <w:spacing w:after="0" w:line="279" w:lineRule="auto"/>
        <w:tabs>
          <w:tab w:leader="none" w:pos="1442" w:val="left"/>
        </w:tabs>
        <w:numPr>
          <w:ilvl w:val="0"/>
          <w:numId w:val="110"/>
        </w:numPr>
        <w:rPr>
          <w:rFonts w:ascii="Arial" w:cs="Arial" w:eastAsia="Arial" w:hAnsi="Arial"/>
          <w:sz w:val="17"/>
          <w:szCs w:val="17"/>
          <w:color w:val="auto"/>
        </w:rPr>
      </w:pPr>
      <w:r>
        <w:rPr>
          <w:rFonts w:ascii="Arial" w:cs="Arial" w:eastAsia="Arial" w:hAnsi="Arial"/>
          <w:sz w:val="17"/>
          <w:szCs w:val="17"/>
          <w:u w:val="single" w:color="auto"/>
          <w:color w:val="auto"/>
        </w:rPr>
        <w:t>Questionnaires</w:t>
      </w:r>
      <w:r>
        <w:rPr>
          <w:rFonts w:ascii="Arial" w:cs="Arial" w:eastAsia="Arial" w:hAnsi="Arial"/>
          <w:sz w:val="17"/>
          <w:szCs w:val="17"/>
          <w:color w:val="auto"/>
        </w:rPr>
        <w:t>. All information contained in the questionnaires (the “Questionnaires”) completed by the Company and the Sponsor and, to the knowledge of the Company, the Company’s officers, directors and director nominees and provided to the Underwriters, is true and correct and the Company has not become aware of any information that would cause the information disclosed in the Questionnaires completed by the Company, the Sponsor or the Company’s officers, directors and director nominees to become inaccurate and incorrect.</w:t>
      </w:r>
    </w:p>
    <w:p>
      <w:pPr>
        <w:spacing w:after="0" w:line="171" w:lineRule="exact"/>
        <w:rPr>
          <w:rFonts w:ascii="Arial" w:cs="Arial" w:eastAsia="Arial" w:hAnsi="Arial"/>
          <w:sz w:val="17"/>
          <w:szCs w:val="17"/>
          <w:color w:val="auto"/>
        </w:rPr>
      </w:pPr>
    </w:p>
    <w:p>
      <w:pPr>
        <w:jc w:val="both"/>
        <w:ind w:right="60" w:firstLine="656"/>
        <w:spacing w:after="0" w:line="263" w:lineRule="auto"/>
        <w:tabs>
          <w:tab w:leader="none" w:pos="1442" w:val="left"/>
        </w:tabs>
        <w:numPr>
          <w:ilvl w:val="0"/>
          <w:numId w:val="110"/>
        </w:numPr>
        <w:rPr>
          <w:rFonts w:ascii="Arial" w:cs="Arial" w:eastAsia="Arial" w:hAnsi="Arial"/>
          <w:sz w:val="18"/>
          <w:szCs w:val="18"/>
          <w:color w:val="auto"/>
        </w:rPr>
      </w:pPr>
      <w:r>
        <w:rPr>
          <w:rFonts w:ascii="Arial" w:cs="Arial" w:eastAsia="Arial" w:hAnsi="Arial"/>
          <w:sz w:val="18"/>
          <w:szCs w:val="18"/>
          <w:u w:val="single" w:color="auto"/>
          <w:color w:val="auto"/>
        </w:rPr>
        <w:t>Acquisition Target Not Identified</w:t>
      </w:r>
      <w:r>
        <w:rPr>
          <w:rFonts w:ascii="Arial" w:cs="Arial" w:eastAsia="Arial" w:hAnsi="Arial"/>
          <w:sz w:val="18"/>
          <w:szCs w:val="18"/>
          <w:color w:val="auto"/>
        </w:rPr>
        <w:t>. Prior to the date hereof, the Company has not identified any acquisition target and has not, nor, to its knowledge, has anyone on its behalf, initiated any substantive discussions, directly or indirectly, with respect to a possible initial Business Combination, or engaged or retained any agent or other representative to identify or locate any such acquisition candidate.</w:t>
      </w:r>
    </w:p>
    <w:p>
      <w:pPr>
        <w:spacing w:after="0" w:line="183" w:lineRule="exact"/>
        <w:rPr>
          <w:rFonts w:ascii="Arial" w:cs="Arial" w:eastAsia="Arial" w:hAnsi="Arial"/>
          <w:sz w:val="18"/>
          <w:szCs w:val="18"/>
          <w:color w:val="auto"/>
        </w:rPr>
      </w:pPr>
    </w:p>
    <w:p>
      <w:pPr>
        <w:ind w:right="240" w:firstLine="656"/>
        <w:spacing w:after="0" w:line="275" w:lineRule="auto"/>
        <w:tabs>
          <w:tab w:leader="none" w:pos="1342" w:val="left"/>
        </w:tabs>
        <w:numPr>
          <w:ilvl w:val="0"/>
          <w:numId w:val="110"/>
        </w:numPr>
        <w:rPr>
          <w:rFonts w:ascii="Arial" w:cs="Arial" w:eastAsia="Arial" w:hAnsi="Arial"/>
          <w:sz w:val="17"/>
          <w:szCs w:val="17"/>
          <w:color w:val="auto"/>
        </w:rPr>
      </w:pPr>
      <w:r>
        <w:rPr>
          <w:rFonts w:ascii="Arial" w:cs="Arial" w:eastAsia="Arial" w:hAnsi="Arial"/>
          <w:sz w:val="17"/>
          <w:szCs w:val="17"/>
          <w:u w:val="single" w:color="auto"/>
          <w:color w:val="auto"/>
        </w:rPr>
        <w:t>No Broker’s Fees</w:t>
      </w:r>
      <w:r>
        <w:rPr>
          <w:rFonts w:ascii="Arial" w:cs="Arial" w:eastAsia="Arial" w:hAnsi="Arial"/>
          <w:sz w:val="17"/>
          <w:szCs w:val="17"/>
          <w:color w:val="auto"/>
        </w:rPr>
        <w:t>. Except as described in the Registration Statement, the Pricing Disclosure Package and the Prospectus, there are no claims, payments, arrangements, contracts, agreements or understandings relating to the payment of a brokerage commission or finder’s, consulting, origination or similar fee by the Company, the Sponsor or any officer, director or director nominee of the Company with respect to the sale of the Units hereunder or any other arrangements, agreements or understandings of the Company, the Sponsor or any such officer, director or director nominee of the Company, or their respective affiliates, that may affect the Underwriters’ compensation, as determined by the FINRA.</w:t>
      </w:r>
    </w:p>
    <w:p>
      <w:pPr>
        <w:spacing w:after="0" w:line="28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09" w:name="page210"/>
    <w:bookmarkEnd w:id="209"/>
    <w:p>
      <w:pPr>
        <w:ind w:firstLine="656"/>
        <w:spacing w:after="0" w:line="254" w:lineRule="auto"/>
        <w:tabs>
          <w:tab w:leader="none" w:pos="1397" w:val="left"/>
        </w:tabs>
        <w:numPr>
          <w:ilvl w:val="0"/>
          <w:numId w:val="111"/>
        </w:numPr>
        <w:rPr>
          <w:rFonts w:ascii="Arial" w:cs="Arial" w:eastAsia="Arial" w:hAnsi="Arial"/>
          <w:sz w:val="18"/>
          <w:szCs w:val="18"/>
          <w:color w:val="auto"/>
        </w:rPr>
      </w:pPr>
      <w:r>
        <w:rPr>
          <w:rFonts w:ascii="Arial" w:cs="Arial" w:eastAsia="Arial" w:hAnsi="Arial"/>
          <w:sz w:val="18"/>
          <w:szCs w:val="18"/>
          <w:u w:val="single" w:color="auto"/>
          <w:color w:val="auto"/>
        </w:rPr>
        <w:t>No Direct or Indirect Payments</w:t>
      </w:r>
      <w:r>
        <w:rPr>
          <w:rFonts w:ascii="Arial" w:cs="Arial" w:eastAsia="Arial" w:hAnsi="Arial"/>
          <w:sz w:val="18"/>
          <w:szCs w:val="18"/>
          <w:color w:val="auto"/>
        </w:rPr>
        <w:t>. Except as described in the Registration Statement, the Pricing Disclosure Package and the Prospectus, the Company has not made any direct or indirect payments (in cash, securities or any other form that would be “underwriting compensation” as defined in Rule 5110 of the FINRA Manual): (i) to any person, as a finder’s fee, consulting fee or otherwise, in consideration of such person raising capital for the Company or introducing to the Company persons who raised or provided capital to the Company; (ii) to any person that, to the Company’s knowledge, has been accepted by FINRA as a member of FINRA (a “Member”); or (iii) to any person or entity that, to the Company’s knowledge, has any direct or indirect affiliation or association with any Member, within the FINRA Review Period, as defined in Rule 5110(j)(20) of the FINRA Manual, other than payments to the Underwriters pursuant to this Agreement.</w:t>
      </w:r>
    </w:p>
    <w:p>
      <w:pPr>
        <w:spacing w:after="0" w:line="194" w:lineRule="exact"/>
        <w:rPr>
          <w:rFonts w:ascii="Arial" w:cs="Arial" w:eastAsia="Arial" w:hAnsi="Arial"/>
          <w:sz w:val="18"/>
          <w:szCs w:val="18"/>
          <w:color w:val="auto"/>
        </w:rPr>
      </w:pPr>
    </w:p>
    <w:p>
      <w:pPr>
        <w:jc w:val="both"/>
        <w:ind w:right="80" w:firstLine="656"/>
        <w:spacing w:after="0" w:line="279" w:lineRule="auto"/>
        <w:tabs>
          <w:tab w:leader="none" w:pos="1442" w:val="left"/>
        </w:tabs>
        <w:numPr>
          <w:ilvl w:val="0"/>
          <w:numId w:val="111"/>
        </w:numPr>
        <w:rPr>
          <w:rFonts w:ascii="Arial" w:cs="Arial" w:eastAsia="Arial" w:hAnsi="Arial"/>
          <w:sz w:val="17"/>
          <w:szCs w:val="17"/>
          <w:color w:val="auto"/>
        </w:rPr>
      </w:pPr>
      <w:r>
        <w:rPr>
          <w:rFonts w:ascii="Arial" w:cs="Arial" w:eastAsia="Arial" w:hAnsi="Arial"/>
          <w:sz w:val="17"/>
          <w:szCs w:val="17"/>
          <w:u w:val="single" w:color="auto"/>
          <w:color w:val="auto"/>
        </w:rPr>
        <w:t>No Investment Banking, Financial Advisory and/or Consulting Services</w:t>
      </w:r>
      <w:r>
        <w:rPr>
          <w:rFonts w:ascii="Arial" w:cs="Arial" w:eastAsia="Arial" w:hAnsi="Arial"/>
          <w:sz w:val="17"/>
          <w:szCs w:val="17"/>
          <w:color w:val="auto"/>
        </w:rPr>
        <w:t>. Except as described in the Registration Statement, the Pricing Disclosure Package and the Prospectus, during the period beginning 180 days prior to the initial confidential submission of the Registration Statement and ending on the initial effective date of the Registration Statement, no Member and/or any person associated or affiliated with a Member has provided any investment banking, financial advisory and/or consulting services to the Company.</w:t>
      </w:r>
    </w:p>
    <w:p>
      <w:pPr>
        <w:spacing w:after="0" w:line="171" w:lineRule="exact"/>
        <w:rPr>
          <w:rFonts w:ascii="Arial" w:cs="Arial" w:eastAsia="Arial" w:hAnsi="Arial"/>
          <w:sz w:val="17"/>
          <w:szCs w:val="17"/>
          <w:color w:val="auto"/>
        </w:rPr>
      </w:pPr>
    </w:p>
    <w:p>
      <w:pPr>
        <w:ind w:firstLine="656"/>
        <w:spacing w:after="0" w:line="259" w:lineRule="auto"/>
        <w:tabs>
          <w:tab w:leader="none" w:pos="1467" w:val="left"/>
        </w:tabs>
        <w:numPr>
          <w:ilvl w:val="0"/>
          <w:numId w:val="111"/>
        </w:numPr>
        <w:rPr>
          <w:rFonts w:ascii="Arial" w:cs="Arial" w:eastAsia="Arial" w:hAnsi="Arial"/>
          <w:sz w:val="18"/>
          <w:szCs w:val="18"/>
          <w:color w:val="auto"/>
        </w:rPr>
      </w:pPr>
      <w:r>
        <w:rPr>
          <w:rFonts w:ascii="Arial" w:cs="Arial" w:eastAsia="Arial" w:hAnsi="Arial"/>
          <w:sz w:val="18"/>
          <w:szCs w:val="18"/>
          <w:u w:val="single" w:color="auto"/>
          <w:color w:val="auto"/>
        </w:rPr>
        <w:t>Affiliation with FINRA</w:t>
      </w:r>
      <w:r>
        <w:rPr>
          <w:rFonts w:ascii="Arial" w:cs="Arial" w:eastAsia="Arial" w:hAnsi="Arial"/>
          <w:sz w:val="18"/>
          <w:szCs w:val="18"/>
          <w:color w:val="auto"/>
        </w:rPr>
        <w:t>. Except as disclosed in the Questionnaires provided to the Representative, to the Company’s knowledge, no officer, director, director nominee or beneficial owner of any class of the Company’s securities (whether debt or equity, registered or unregistered, regardless of the time acquired or the source from which derived) (any such individual or entity, a “Company Affiliate”) is a Member or a person associated or affiliated with a Member.</w:t>
      </w:r>
    </w:p>
    <w:p>
      <w:pPr>
        <w:spacing w:after="0" w:line="187" w:lineRule="exact"/>
        <w:rPr>
          <w:sz w:val="20"/>
          <w:szCs w:val="20"/>
          <w:color w:val="auto"/>
        </w:rPr>
      </w:pPr>
    </w:p>
    <w:p>
      <w:pPr>
        <w:ind w:right="200" w:firstLine="656"/>
        <w:spacing w:after="0" w:line="342" w:lineRule="auto"/>
        <w:tabs>
          <w:tab w:leader="none" w:pos="1367" w:val="left"/>
        </w:tabs>
        <w:numPr>
          <w:ilvl w:val="0"/>
          <w:numId w:val="112"/>
        </w:numPr>
        <w:rPr>
          <w:rFonts w:ascii="Arial" w:cs="Arial" w:eastAsia="Arial" w:hAnsi="Arial"/>
          <w:sz w:val="16"/>
          <w:szCs w:val="16"/>
          <w:color w:val="auto"/>
        </w:rPr>
      </w:pPr>
      <w:r>
        <w:rPr>
          <w:rFonts w:ascii="Arial" w:cs="Arial" w:eastAsia="Arial" w:hAnsi="Arial"/>
          <w:sz w:val="16"/>
          <w:szCs w:val="16"/>
          <w:u w:val="single" w:color="auto"/>
          <w:color w:val="auto"/>
        </w:rPr>
        <w:t>Ownership of FINRA Member Securities</w:t>
      </w:r>
      <w:r>
        <w:rPr>
          <w:rFonts w:ascii="Arial" w:cs="Arial" w:eastAsia="Arial" w:hAnsi="Arial"/>
          <w:sz w:val="16"/>
          <w:szCs w:val="16"/>
          <w:color w:val="auto"/>
        </w:rPr>
        <w:t>. Except as disclosed in the Questionnaires provided to the Representative, to the Company’s knowledge, no Company Affiliate is an owner of stock or other securities of any Member (other than securities purchased on the open market).</w:t>
      </w:r>
    </w:p>
    <w:p>
      <w:pPr>
        <w:spacing w:after="0" w:line="123" w:lineRule="exact"/>
        <w:rPr>
          <w:rFonts w:ascii="Arial" w:cs="Arial" w:eastAsia="Arial" w:hAnsi="Arial"/>
          <w:sz w:val="16"/>
          <w:szCs w:val="16"/>
          <w:color w:val="auto"/>
        </w:rPr>
      </w:pPr>
    </w:p>
    <w:p>
      <w:pPr>
        <w:ind w:left="1360" w:hanging="704"/>
        <w:spacing w:after="0"/>
        <w:tabs>
          <w:tab w:leader="none" w:pos="1360" w:val="left"/>
        </w:tabs>
        <w:numPr>
          <w:ilvl w:val="0"/>
          <w:numId w:val="112"/>
        </w:numPr>
        <w:rPr>
          <w:rFonts w:ascii="Arial" w:cs="Arial" w:eastAsia="Arial" w:hAnsi="Arial"/>
          <w:sz w:val="18"/>
          <w:szCs w:val="18"/>
          <w:color w:val="auto"/>
        </w:rPr>
      </w:pPr>
      <w:r>
        <w:rPr>
          <w:rFonts w:ascii="Arial" w:cs="Arial" w:eastAsia="Arial" w:hAnsi="Arial"/>
          <w:sz w:val="18"/>
          <w:szCs w:val="18"/>
          <w:u w:val="single" w:color="auto"/>
          <w:color w:val="auto"/>
        </w:rPr>
        <w:t>[Reserved.]</w:t>
      </w:r>
    </w:p>
    <w:p>
      <w:pPr>
        <w:spacing w:after="0" w:line="225" w:lineRule="exact"/>
        <w:rPr>
          <w:rFonts w:ascii="Arial" w:cs="Arial" w:eastAsia="Arial" w:hAnsi="Arial"/>
          <w:sz w:val="18"/>
          <w:szCs w:val="18"/>
          <w:color w:val="auto"/>
        </w:rPr>
      </w:pPr>
    </w:p>
    <w:p>
      <w:pPr>
        <w:ind w:right="160" w:firstLine="656"/>
        <w:spacing w:after="0" w:line="259" w:lineRule="auto"/>
        <w:tabs>
          <w:tab w:leader="none" w:pos="1367" w:val="left"/>
        </w:tabs>
        <w:numPr>
          <w:ilvl w:val="0"/>
          <w:numId w:val="112"/>
        </w:numPr>
        <w:rPr>
          <w:rFonts w:ascii="Arial" w:cs="Arial" w:eastAsia="Arial" w:hAnsi="Arial"/>
          <w:sz w:val="18"/>
          <w:szCs w:val="18"/>
          <w:color w:val="auto"/>
        </w:rPr>
      </w:pPr>
      <w:r>
        <w:rPr>
          <w:rFonts w:ascii="Arial" w:cs="Arial" w:eastAsia="Arial" w:hAnsi="Arial"/>
          <w:sz w:val="18"/>
          <w:szCs w:val="18"/>
          <w:u w:val="single" w:color="auto"/>
          <w:color w:val="auto"/>
        </w:rPr>
        <w:t>Non-Compete/Non-Solicitation</w:t>
      </w:r>
      <w:r>
        <w:rPr>
          <w:rFonts w:ascii="Arial" w:cs="Arial" w:eastAsia="Arial" w:hAnsi="Arial"/>
          <w:sz w:val="18"/>
          <w:szCs w:val="18"/>
          <w:color w:val="auto"/>
        </w:rPr>
        <w:t>. Except as described in the Registration Statement, the Pricing Disclosure Package and the Prospectus, to the Company’s knowledge, none of the Sponsor, officers, directors or director nominees of the Company is subject to a non-competition agreement or non-solicitation agreement with any employer or prior employer that could materially affect its, his or her ability to be and act in the capacity of shareholder, officer or director of the Company, as applicable.</w:t>
      </w:r>
    </w:p>
    <w:p>
      <w:pPr>
        <w:spacing w:after="0" w:line="186" w:lineRule="exact"/>
        <w:rPr>
          <w:rFonts w:ascii="Arial" w:cs="Arial" w:eastAsia="Arial" w:hAnsi="Arial"/>
          <w:sz w:val="18"/>
          <w:szCs w:val="18"/>
          <w:color w:val="auto"/>
        </w:rPr>
      </w:pPr>
    </w:p>
    <w:p>
      <w:pPr>
        <w:ind w:right="40" w:firstLine="656"/>
        <w:spacing w:after="0" w:line="257" w:lineRule="auto"/>
        <w:tabs>
          <w:tab w:leader="none" w:pos="1352" w:val="left"/>
        </w:tabs>
        <w:numPr>
          <w:ilvl w:val="0"/>
          <w:numId w:val="112"/>
        </w:numPr>
        <w:rPr>
          <w:rFonts w:ascii="Arial" w:cs="Arial" w:eastAsia="Arial" w:hAnsi="Arial"/>
          <w:sz w:val="18"/>
          <w:szCs w:val="18"/>
          <w:color w:val="auto"/>
        </w:rPr>
      </w:pPr>
      <w:r>
        <w:rPr>
          <w:rFonts w:ascii="Arial" w:cs="Arial" w:eastAsia="Arial" w:hAnsi="Arial"/>
          <w:sz w:val="18"/>
          <w:szCs w:val="18"/>
          <w:u w:val="single" w:color="auto"/>
          <w:color w:val="auto"/>
        </w:rPr>
        <w:t>Related Party Transactions</w:t>
      </w:r>
      <w:r>
        <w:rPr>
          <w:rFonts w:ascii="Arial" w:cs="Arial" w:eastAsia="Arial" w:hAnsi="Arial"/>
          <w:sz w:val="18"/>
          <w:szCs w:val="18"/>
          <w:color w:val="auto"/>
        </w:rPr>
        <w:t>. No relationship, direct or indirect, exists between or among any of the Company or any affiliate of the Company, on the one hand, and any director, director nominee, officer, shareholder, special advisor, customer or supplier of the Company or any affiliate of the Company, on the other hand, which is required by the Securities Act or the Exchange Act to be described in the Registration Statement, Pricing Disclosure Package or the Prospectus that is not described as required. There are no outstanding loans, advances (except normal advances for business expenses in the ordinary course of business) or guarantees of</w:t>
      </w:r>
    </w:p>
    <w:p>
      <w:pPr>
        <w:spacing w:after="0" w:line="29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10" w:name="page211"/>
    <w:bookmarkEnd w:id="210"/>
    <w:p>
      <w:pPr>
        <w:ind w:right="180"/>
        <w:spacing w:after="0" w:line="263" w:lineRule="auto"/>
        <w:rPr>
          <w:sz w:val="20"/>
          <w:szCs w:val="20"/>
          <w:color w:val="auto"/>
        </w:rPr>
      </w:pPr>
      <w:r>
        <w:rPr>
          <w:rFonts w:ascii="Arial" w:cs="Arial" w:eastAsia="Arial" w:hAnsi="Arial"/>
          <w:sz w:val="18"/>
          <w:szCs w:val="18"/>
          <w:color w:val="auto"/>
        </w:rPr>
        <w:t>indebtedness by the Company to or for the benefit of any of the officers, directors or director nominees of the Company or any of their respective family members. The Company has not extended or maintained credit, arranged for the extension of credit, or renewed an extension of credit, in the form of a personal loan to or for any officer, director or director nominee of the Company.</w:t>
      </w:r>
    </w:p>
    <w:p>
      <w:pPr>
        <w:spacing w:after="0" w:line="184" w:lineRule="exact"/>
        <w:rPr>
          <w:sz w:val="20"/>
          <w:szCs w:val="20"/>
          <w:color w:val="auto"/>
        </w:rPr>
      </w:pPr>
    </w:p>
    <w:p>
      <w:pPr>
        <w:ind w:firstLine="656"/>
        <w:spacing w:after="0" w:line="259" w:lineRule="auto"/>
        <w:tabs>
          <w:tab w:leader="none" w:pos="1367" w:val="left"/>
        </w:tabs>
        <w:numPr>
          <w:ilvl w:val="0"/>
          <w:numId w:val="113"/>
        </w:numPr>
        <w:rPr>
          <w:rFonts w:ascii="Arial" w:cs="Arial" w:eastAsia="Arial" w:hAnsi="Arial"/>
          <w:sz w:val="18"/>
          <w:szCs w:val="18"/>
          <w:color w:val="auto"/>
        </w:rPr>
      </w:pPr>
      <w:r>
        <w:rPr>
          <w:rFonts w:ascii="Arial" w:cs="Arial" w:eastAsia="Arial" w:hAnsi="Arial"/>
          <w:sz w:val="18"/>
          <w:szCs w:val="18"/>
          <w:u w:val="single" w:color="auto"/>
          <w:color w:val="auto"/>
        </w:rPr>
        <w:t>No Unlawful Influence</w:t>
      </w:r>
      <w:r>
        <w:rPr>
          <w:rFonts w:ascii="Arial" w:cs="Arial" w:eastAsia="Arial" w:hAnsi="Arial"/>
          <w:sz w:val="18"/>
          <w:szCs w:val="18"/>
          <w:color w:val="auto"/>
        </w:rPr>
        <w:t>. The Company has not offered, or caused the Underwriters to offer, the Units to any person or entity with the intention of unlawfully influencing: (a) a customer or supplier of the Company or any affiliate of the Company to alter the customer’s or supplier’s level or type of business with the Company or such affiliate or (b) a journalist or publication to write or publish favorable information about the Company or any such affiliate.</w:t>
      </w:r>
    </w:p>
    <w:p>
      <w:pPr>
        <w:spacing w:after="0" w:line="186" w:lineRule="exact"/>
        <w:rPr>
          <w:rFonts w:ascii="Arial" w:cs="Arial" w:eastAsia="Arial" w:hAnsi="Arial"/>
          <w:sz w:val="18"/>
          <w:szCs w:val="18"/>
          <w:color w:val="auto"/>
        </w:rPr>
      </w:pPr>
    </w:p>
    <w:p>
      <w:pPr>
        <w:ind w:right="40" w:firstLine="656"/>
        <w:spacing w:after="0" w:line="263" w:lineRule="auto"/>
        <w:tabs>
          <w:tab w:leader="none" w:pos="1436" w:val="left"/>
        </w:tabs>
        <w:numPr>
          <w:ilvl w:val="0"/>
          <w:numId w:val="113"/>
        </w:numPr>
        <w:rPr>
          <w:rFonts w:ascii="Arial" w:cs="Arial" w:eastAsia="Arial" w:hAnsi="Arial"/>
          <w:sz w:val="18"/>
          <w:szCs w:val="18"/>
          <w:color w:val="auto"/>
        </w:rPr>
      </w:pPr>
      <w:r>
        <w:rPr>
          <w:rFonts w:ascii="Arial" w:cs="Arial" w:eastAsia="Arial" w:hAnsi="Arial"/>
          <w:sz w:val="18"/>
          <w:szCs w:val="18"/>
          <w:u w:val="single" w:color="auto"/>
          <w:color w:val="auto"/>
        </w:rPr>
        <w:t>Applicability of Rule 419</w:t>
      </w:r>
      <w:r>
        <w:rPr>
          <w:rFonts w:ascii="Arial" w:cs="Arial" w:eastAsia="Arial" w:hAnsi="Arial"/>
          <w:sz w:val="18"/>
          <w:szCs w:val="18"/>
          <w:color w:val="auto"/>
        </w:rPr>
        <w:t>. Upon delivery and payment for the Units on the Closing Date and each Additional Closing Date, the Company will not be subject to Rule 419 under the Securities Act and none of the Company’s outstanding securities will be deemed to be a “penny stock” as defined in Rule 3a51-1 under the Exchange Act.</w:t>
      </w:r>
    </w:p>
    <w:p>
      <w:pPr>
        <w:spacing w:after="0" w:line="183" w:lineRule="exact"/>
        <w:rPr>
          <w:rFonts w:ascii="Arial" w:cs="Arial" w:eastAsia="Arial" w:hAnsi="Arial"/>
          <w:sz w:val="18"/>
          <w:szCs w:val="18"/>
          <w:color w:val="auto"/>
        </w:rPr>
      </w:pPr>
    </w:p>
    <w:p>
      <w:pPr>
        <w:ind w:right="200" w:firstLine="656"/>
        <w:spacing w:after="0" w:line="263" w:lineRule="auto"/>
        <w:tabs>
          <w:tab w:leader="none" w:pos="1352" w:val="left"/>
        </w:tabs>
        <w:numPr>
          <w:ilvl w:val="0"/>
          <w:numId w:val="113"/>
        </w:numPr>
        <w:rPr>
          <w:rFonts w:ascii="Arial" w:cs="Arial" w:eastAsia="Arial" w:hAnsi="Arial"/>
          <w:sz w:val="18"/>
          <w:szCs w:val="18"/>
          <w:color w:val="auto"/>
        </w:rPr>
      </w:pPr>
      <w:r>
        <w:rPr>
          <w:rFonts w:ascii="Arial" w:cs="Arial" w:eastAsia="Arial" w:hAnsi="Arial"/>
          <w:sz w:val="18"/>
          <w:szCs w:val="18"/>
          <w:u w:val="single" w:color="auto"/>
          <w:color w:val="auto"/>
        </w:rPr>
        <w:t>Absence of Manipulation</w:t>
      </w:r>
      <w:r>
        <w:rPr>
          <w:rFonts w:ascii="Arial" w:cs="Arial" w:eastAsia="Arial" w:hAnsi="Arial"/>
          <w:sz w:val="18"/>
          <w:szCs w:val="18"/>
          <w:color w:val="auto"/>
        </w:rPr>
        <w:t>. The Company has not taken, directly or indirectly, any action designed to or that would constitute or that might reasonably be expected to cause or result in, under the Exchange Act or otherwise, stabilization or manipulation of the price of any security of the Company to facilitate the sale or resale of the Units.</w:t>
      </w:r>
    </w:p>
    <w:p>
      <w:pPr>
        <w:spacing w:after="0" w:line="183" w:lineRule="exact"/>
        <w:rPr>
          <w:rFonts w:ascii="Arial" w:cs="Arial" w:eastAsia="Arial" w:hAnsi="Arial"/>
          <w:sz w:val="18"/>
          <w:szCs w:val="18"/>
          <w:color w:val="auto"/>
        </w:rPr>
      </w:pPr>
    </w:p>
    <w:p>
      <w:pPr>
        <w:ind w:right="460" w:firstLine="656"/>
        <w:spacing w:after="0" w:line="263" w:lineRule="auto"/>
        <w:tabs>
          <w:tab w:leader="none" w:pos="1352" w:val="left"/>
        </w:tabs>
        <w:numPr>
          <w:ilvl w:val="0"/>
          <w:numId w:val="113"/>
        </w:numPr>
        <w:rPr>
          <w:rFonts w:ascii="Arial" w:cs="Arial" w:eastAsia="Arial" w:hAnsi="Arial"/>
          <w:sz w:val="18"/>
          <w:szCs w:val="18"/>
          <w:color w:val="auto"/>
        </w:rPr>
      </w:pPr>
      <w:r>
        <w:rPr>
          <w:rFonts w:ascii="Arial" w:cs="Arial" w:eastAsia="Arial" w:hAnsi="Arial"/>
          <w:sz w:val="18"/>
          <w:szCs w:val="18"/>
          <w:u w:val="single" w:color="auto"/>
          <w:color w:val="auto"/>
        </w:rPr>
        <w:t>Margin Rules</w:t>
      </w:r>
      <w:r>
        <w:rPr>
          <w:rFonts w:ascii="Arial" w:cs="Arial" w:eastAsia="Arial" w:hAnsi="Arial"/>
          <w:sz w:val="18"/>
          <w:szCs w:val="18"/>
          <w:color w:val="auto"/>
        </w:rPr>
        <w:t>. Neither the issuance, sale and delivery of the Units nor the application of the proceeds thereof by the Company as described in each of the Registration Statement, the Pricing Disclosure Package and the Prospectus will violate Regulation T, U or X of the Board of Governors of the Federal Reserve System or any other regulation of such Board of Governors.</w:t>
      </w:r>
    </w:p>
    <w:p>
      <w:pPr>
        <w:spacing w:after="0" w:line="183" w:lineRule="exact"/>
        <w:rPr>
          <w:rFonts w:ascii="Arial" w:cs="Arial" w:eastAsia="Arial" w:hAnsi="Arial"/>
          <w:sz w:val="18"/>
          <w:szCs w:val="18"/>
          <w:color w:val="auto"/>
        </w:rPr>
      </w:pPr>
    </w:p>
    <w:p>
      <w:pPr>
        <w:ind w:right="320" w:firstLine="656"/>
        <w:spacing w:after="0" w:line="263" w:lineRule="auto"/>
        <w:tabs>
          <w:tab w:leader="none" w:pos="1458" w:val="left"/>
        </w:tabs>
        <w:numPr>
          <w:ilvl w:val="0"/>
          <w:numId w:val="113"/>
        </w:numPr>
        <w:rPr>
          <w:rFonts w:ascii="Arial" w:cs="Arial" w:eastAsia="Arial" w:hAnsi="Arial"/>
          <w:sz w:val="18"/>
          <w:szCs w:val="18"/>
          <w:color w:val="auto"/>
        </w:rPr>
      </w:pPr>
      <w:r>
        <w:rPr>
          <w:rFonts w:ascii="Arial" w:cs="Arial" w:eastAsia="Arial" w:hAnsi="Arial"/>
          <w:sz w:val="18"/>
          <w:szCs w:val="18"/>
          <w:u w:val="single" w:color="auto"/>
          <w:color w:val="auto"/>
        </w:rPr>
        <w:t>Statistical and Market Data</w:t>
      </w:r>
      <w:r>
        <w:rPr>
          <w:rFonts w:ascii="Arial" w:cs="Arial" w:eastAsia="Arial" w:hAnsi="Arial"/>
          <w:sz w:val="18"/>
          <w:szCs w:val="18"/>
          <w:color w:val="auto"/>
        </w:rPr>
        <w:t>. Nothing has come to the attention of the Company that has caused the Company to believe that the statistical and market-related data included in each of the Registration Statement, the Pricing Disclosure Package and the Prospectus is not based on or derived from sources that are reliable and accurate in all material respects.</w:t>
      </w:r>
    </w:p>
    <w:p>
      <w:pPr>
        <w:spacing w:after="0" w:line="183" w:lineRule="exact"/>
        <w:rPr>
          <w:rFonts w:ascii="Arial" w:cs="Arial" w:eastAsia="Arial" w:hAnsi="Arial"/>
          <w:sz w:val="18"/>
          <w:szCs w:val="18"/>
          <w:color w:val="auto"/>
        </w:rPr>
      </w:pPr>
    </w:p>
    <w:p>
      <w:pPr>
        <w:ind w:right="40" w:firstLine="656"/>
        <w:spacing w:after="0" w:line="259" w:lineRule="auto"/>
        <w:tabs>
          <w:tab w:leader="none" w:pos="1458" w:val="left"/>
        </w:tabs>
        <w:numPr>
          <w:ilvl w:val="0"/>
          <w:numId w:val="113"/>
        </w:numPr>
        <w:rPr>
          <w:rFonts w:ascii="Arial" w:cs="Arial" w:eastAsia="Arial" w:hAnsi="Arial"/>
          <w:sz w:val="18"/>
          <w:szCs w:val="18"/>
          <w:color w:val="auto"/>
        </w:rPr>
      </w:pPr>
      <w:r>
        <w:rPr>
          <w:rFonts w:ascii="Arial" w:cs="Arial" w:eastAsia="Arial" w:hAnsi="Arial"/>
          <w:sz w:val="18"/>
          <w:szCs w:val="18"/>
          <w:u w:val="single" w:color="auto"/>
          <w:color w:val="auto"/>
        </w:rPr>
        <w:t>Sarbanes-Oxley Act</w:t>
      </w:r>
      <w:r>
        <w:rPr>
          <w:rFonts w:ascii="Arial" w:cs="Arial" w:eastAsia="Arial" w:hAnsi="Arial"/>
          <w:sz w:val="18"/>
          <w:szCs w:val="18"/>
          <w:color w:val="auto"/>
        </w:rPr>
        <w:t>. Solely to the extent that the Sarbanes-Oxley Act of 2002, as amended, and the rules and regulations promulgated by the Commission thereunder (the “Sarbanes-Oxley Act”) have been applicable to the Company, there is and has been no failure on the part of the Company or any of the Company’s directors or officers, in their capacities as such, to comply with any provision of the Sarbanes-Oxley Act, including Section 402 related to loans and Sections 302 and 906 related to certifications.</w:t>
      </w:r>
    </w:p>
    <w:p>
      <w:pPr>
        <w:spacing w:after="0" w:line="186" w:lineRule="exact"/>
        <w:rPr>
          <w:rFonts w:ascii="Arial" w:cs="Arial" w:eastAsia="Arial" w:hAnsi="Arial"/>
          <w:sz w:val="18"/>
          <w:szCs w:val="18"/>
          <w:color w:val="auto"/>
        </w:rPr>
      </w:pPr>
    </w:p>
    <w:p>
      <w:pPr>
        <w:ind w:right="20" w:firstLine="656"/>
        <w:spacing w:after="0" w:line="263" w:lineRule="auto"/>
        <w:tabs>
          <w:tab w:leader="none" w:pos="1352" w:val="left"/>
        </w:tabs>
        <w:numPr>
          <w:ilvl w:val="0"/>
          <w:numId w:val="113"/>
        </w:numPr>
        <w:rPr>
          <w:rFonts w:ascii="Arial" w:cs="Arial" w:eastAsia="Arial" w:hAnsi="Arial"/>
          <w:sz w:val="18"/>
          <w:szCs w:val="18"/>
          <w:color w:val="auto"/>
        </w:rPr>
      </w:pPr>
      <w:r>
        <w:rPr>
          <w:rFonts w:ascii="Arial" w:cs="Arial" w:eastAsia="Arial" w:hAnsi="Arial"/>
          <w:sz w:val="18"/>
          <w:szCs w:val="18"/>
          <w:u w:val="single" w:color="auto"/>
          <w:color w:val="auto"/>
        </w:rPr>
        <w:t>Status under the Securities Act</w:t>
      </w:r>
      <w:r>
        <w:rPr>
          <w:rFonts w:ascii="Arial" w:cs="Arial" w:eastAsia="Arial" w:hAnsi="Arial"/>
          <w:sz w:val="18"/>
          <w:szCs w:val="18"/>
          <w:color w:val="auto"/>
        </w:rPr>
        <w:t>. At the time of filing the Registration Statement and any post-effective amendment thereto the Company was an “ineligible issuer,” as defined in Rule 405 under the Securities Act solely because of subclause (B) of clause (ii) of the definition thereof. The Company has paid the registration fee for the Offering pursuant to Rule 456(b)(1) under the Securities Act.</w:t>
      </w:r>
    </w:p>
    <w:p>
      <w:pPr>
        <w:spacing w:after="0" w:line="2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8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60"/>
          </w:cols>
          <w:pgMar w:left="320" w:top="584" w:right="419" w:bottom="1440" w:gutter="0" w:footer="0" w:header="0"/>
        </w:sectPr>
      </w:pPr>
    </w:p>
    <w:bookmarkStart w:id="211" w:name="page212"/>
    <w:bookmarkEnd w:id="211"/>
    <w:p>
      <w:pPr>
        <w:ind w:right="100" w:firstLine="656"/>
        <w:spacing w:after="0" w:line="263" w:lineRule="auto"/>
        <w:tabs>
          <w:tab w:leader="none" w:pos="1458" w:val="left"/>
        </w:tabs>
        <w:numPr>
          <w:ilvl w:val="1"/>
          <w:numId w:val="114"/>
        </w:numPr>
        <w:rPr>
          <w:rFonts w:ascii="Arial" w:cs="Arial" w:eastAsia="Arial" w:hAnsi="Arial"/>
          <w:sz w:val="18"/>
          <w:szCs w:val="18"/>
          <w:color w:val="auto"/>
        </w:rPr>
      </w:pPr>
      <w:r>
        <w:rPr>
          <w:rFonts w:ascii="Arial" w:cs="Arial" w:eastAsia="Arial" w:hAnsi="Arial"/>
          <w:sz w:val="18"/>
          <w:szCs w:val="18"/>
          <w:u w:val="single" w:color="auto"/>
          <w:color w:val="auto"/>
        </w:rPr>
        <w:t>No Ratings</w:t>
      </w:r>
      <w:r>
        <w:rPr>
          <w:rFonts w:ascii="Arial" w:cs="Arial" w:eastAsia="Arial" w:hAnsi="Arial"/>
          <w:sz w:val="18"/>
          <w:szCs w:val="18"/>
          <w:color w:val="auto"/>
        </w:rPr>
        <w:t>. There are (and prior to the Closing Date, will be) no debt securities, convertible securities or preferred shares issued or guaranteed by the Company that are rated by a “nationally recognized statistical rating organization,” as such term is defined in Section 3(a)(62) under the Exchange Act.</w:t>
      </w:r>
    </w:p>
    <w:p>
      <w:pPr>
        <w:spacing w:after="0" w:line="183" w:lineRule="exact"/>
        <w:rPr>
          <w:rFonts w:ascii="Arial" w:cs="Arial" w:eastAsia="Arial" w:hAnsi="Arial"/>
          <w:sz w:val="18"/>
          <w:szCs w:val="18"/>
          <w:color w:val="auto"/>
        </w:rPr>
      </w:pPr>
    </w:p>
    <w:p>
      <w:pPr>
        <w:ind w:right="140" w:firstLine="656"/>
        <w:spacing w:after="0" w:line="277" w:lineRule="auto"/>
        <w:tabs>
          <w:tab w:leader="none" w:pos="2267" w:val="left"/>
        </w:tabs>
        <w:numPr>
          <w:ilvl w:val="1"/>
          <w:numId w:val="114"/>
        </w:numPr>
        <w:rPr>
          <w:rFonts w:ascii="Arial" w:cs="Arial" w:eastAsia="Arial" w:hAnsi="Arial"/>
          <w:sz w:val="18"/>
          <w:szCs w:val="18"/>
          <w:color w:val="auto"/>
        </w:rPr>
      </w:pPr>
      <w:r>
        <w:rPr>
          <w:rFonts w:ascii="Arial" w:cs="Arial" w:eastAsia="Arial" w:hAnsi="Arial"/>
          <w:sz w:val="18"/>
          <w:szCs w:val="18"/>
          <w:u w:val="single" w:color="auto"/>
          <w:color w:val="auto"/>
        </w:rPr>
        <w:t>Company Ownership of Other Entities</w:t>
      </w:r>
      <w:r>
        <w:rPr>
          <w:rFonts w:ascii="Arial" w:cs="Arial" w:eastAsia="Arial" w:hAnsi="Arial"/>
          <w:sz w:val="18"/>
          <w:szCs w:val="18"/>
          <w:color w:val="auto"/>
        </w:rPr>
        <w:t>. The Company does not own, and since its incorporation has not owned, an interest in any corporation, partnership, limited liability company, joint venture, trust or other entity.</w:t>
      </w:r>
    </w:p>
    <w:p>
      <w:pPr>
        <w:spacing w:after="0" w:line="170" w:lineRule="exact"/>
        <w:rPr>
          <w:rFonts w:ascii="Arial" w:cs="Arial" w:eastAsia="Arial" w:hAnsi="Arial"/>
          <w:sz w:val="18"/>
          <w:szCs w:val="18"/>
          <w:color w:val="auto"/>
        </w:rPr>
      </w:pPr>
    </w:p>
    <w:p>
      <w:pPr>
        <w:ind w:firstLine="656"/>
        <w:spacing w:after="0" w:line="270" w:lineRule="auto"/>
        <w:tabs>
          <w:tab w:leader="none" w:pos="1352" w:val="left"/>
        </w:tabs>
        <w:numPr>
          <w:ilvl w:val="1"/>
          <w:numId w:val="114"/>
        </w:numPr>
        <w:rPr>
          <w:rFonts w:ascii="Arial" w:cs="Arial" w:eastAsia="Arial" w:hAnsi="Arial"/>
          <w:sz w:val="17"/>
          <w:szCs w:val="17"/>
          <w:color w:val="auto"/>
        </w:rPr>
      </w:pPr>
      <w:r>
        <w:rPr>
          <w:rFonts w:ascii="Arial" w:cs="Arial" w:eastAsia="Arial" w:hAnsi="Arial"/>
          <w:sz w:val="17"/>
          <w:szCs w:val="17"/>
          <w:u w:val="single" w:color="auto"/>
          <w:color w:val="auto"/>
        </w:rPr>
        <w:t>No Immunity</w:t>
      </w:r>
      <w:r>
        <w:rPr>
          <w:rFonts w:ascii="Arial" w:cs="Arial" w:eastAsia="Arial" w:hAnsi="Arial"/>
          <w:sz w:val="17"/>
          <w:szCs w:val="17"/>
          <w:color w:val="auto"/>
        </w:rPr>
        <w:t>. Neither the Company nor any of its properties or assets has immunity under Cayman Islands, U.S. federal or New York state law from any legal action, suit or proceeding, from the giving of any relief in any such legal action, suit or proceeding, from set-off or counterclaim, from the jurisdiction of any Cayman Islands, U.S. federal or New York state court, from service of process, attachment upon or prior to judgment, or attachment in aid of execution of judgment, or from execution of a judgment, or other legal process or proceeding for the giving of any relief or for the enforcement of a judgment, in any such court with respect to their respective obligations, liabilities or any other matter under or arising out of or in connection herewith; and, to the extent that the Company or any of its properties, assets or revenues may have or may hereafter become entitled to any such right of immunity in any such court in which proceedings arising out of, or relating to the transactions contemplated by the Transaction Documents, may at any time be commenced, the Company has, pursuant to Section 16(e) of this Agreement, waived, and it will waive, or will cause its subsidiaries to waive, such right to the extent permitted by law.</w:t>
      </w:r>
    </w:p>
    <w:p>
      <w:pPr>
        <w:spacing w:after="0" w:line="180" w:lineRule="exact"/>
        <w:rPr>
          <w:rFonts w:ascii="Arial" w:cs="Arial" w:eastAsia="Arial" w:hAnsi="Arial"/>
          <w:sz w:val="17"/>
          <w:szCs w:val="17"/>
          <w:color w:val="auto"/>
        </w:rPr>
      </w:pPr>
    </w:p>
    <w:p>
      <w:pPr>
        <w:ind w:right="80" w:firstLine="656"/>
        <w:spacing w:after="0" w:line="259" w:lineRule="auto"/>
        <w:tabs>
          <w:tab w:leader="none" w:pos="1352" w:val="left"/>
        </w:tabs>
        <w:numPr>
          <w:ilvl w:val="1"/>
          <w:numId w:val="114"/>
        </w:numPr>
        <w:rPr>
          <w:rFonts w:ascii="Arial" w:cs="Arial" w:eastAsia="Arial" w:hAnsi="Arial"/>
          <w:sz w:val="18"/>
          <w:szCs w:val="18"/>
          <w:color w:val="auto"/>
        </w:rPr>
      </w:pPr>
      <w:r>
        <w:rPr>
          <w:rFonts w:ascii="Arial" w:cs="Arial" w:eastAsia="Arial" w:hAnsi="Arial"/>
          <w:sz w:val="18"/>
          <w:szCs w:val="18"/>
          <w:u w:val="single" w:color="auto"/>
          <w:color w:val="auto"/>
        </w:rPr>
        <w:t>Legality</w:t>
      </w:r>
      <w:r>
        <w:rPr>
          <w:rFonts w:ascii="Arial" w:cs="Arial" w:eastAsia="Arial" w:hAnsi="Arial"/>
          <w:sz w:val="18"/>
          <w:szCs w:val="18"/>
          <w:color w:val="auto"/>
        </w:rPr>
        <w:t>. The legality, validity, enforceability or admissibility into evidence of any of the Registration Statement, the Pricing Disclosure Package, the Prospectus, this Agreement or the Units in any jurisdiction in which the Company is organized or does business is not dependent upon such document being submitted into, filed or recorded with any court or other authority in any such jurisdiction on or before the date hereof or that any tax, imposition or charge be paid in any such jurisdiction on or in respect of any such document.</w:t>
      </w:r>
    </w:p>
    <w:p>
      <w:pPr>
        <w:spacing w:after="0" w:line="186" w:lineRule="exact"/>
        <w:rPr>
          <w:rFonts w:ascii="Arial" w:cs="Arial" w:eastAsia="Arial" w:hAnsi="Arial"/>
          <w:sz w:val="18"/>
          <w:szCs w:val="18"/>
          <w:color w:val="auto"/>
        </w:rPr>
      </w:pPr>
    </w:p>
    <w:p>
      <w:pPr>
        <w:ind w:right="120" w:firstLine="656"/>
        <w:spacing w:after="0" w:line="275" w:lineRule="auto"/>
        <w:tabs>
          <w:tab w:leader="none" w:pos="1352" w:val="left"/>
        </w:tabs>
        <w:numPr>
          <w:ilvl w:val="1"/>
          <w:numId w:val="114"/>
        </w:numPr>
        <w:rPr>
          <w:rFonts w:ascii="Arial" w:cs="Arial" w:eastAsia="Arial" w:hAnsi="Arial"/>
          <w:sz w:val="17"/>
          <w:szCs w:val="17"/>
          <w:color w:val="auto"/>
        </w:rPr>
      </w:pPr>
      <w:r>
        <w:rPr>
          <w:rFonts w:ascii="Arial" w:cs="Arial" w:eastAsia="Arial" w:hAnsi="Arial"/>
          <w:sz w:val="17"/>
          <w:szCs w:val="17"/>
          <w:u w:val="single" w:color="auto"/>
          <w:color w:val="auto"/>
        </w:rPr>
        <w:t>Legal Action</w:t>
      </w:r>
      <w:r>
        <w:rPr>
          <w:rFonts w:ascii="Arial" w:cs="Arial" w:eastAsia="Arial" w:hAnsi="Arial"/>
          <w:sz w:val="17"/>
          <w:szCs w:val="17"/>
          <w:color w:val="auto"/>
        </w:rPr>
        <w:t>. A holder of Units, Warrants or Ordinary Shares and each Underwriter are each entitled to sue as plaintiff in the court of the jurisdiction of formation and domicile of the Company for the enforcement of their respective rights under this Agreement and the Units, Warrants or Ordinary Shares, as applicable, and such access to such courts will not be subject to any conditions which are not applicable to residents of such jurisdiction or a company incorporated in such jurisdiction except that plaintiffs not residing in the Cayman Islands may be required to guarantee payment of a possible order for payment of costs or damages at the request of the defendant.</w:t>
      </w:r>
    </w:p>
    <w:p>
      <w:pPr>
        <w:spacing w:after="0" w:line="176" w:lineRule="exact"/>
        <w:rPr>
          <w:rFonts w:ascii="Arial" w:cs="Arial" w:eastAsia="Arial" w:hAnsi="Arial"/>
          <w:sz w:val="17"/>
          <w:szCs w:val="17"/>
          <w:color w:val="auto"/>
        </w:rPr>
      </w:pPr>
    </w:p>
    <w:p>
      <w:pPr>
        <w:ind w:left="960" w:hanging="952"/>
        <w:spacing w:after="0"/>
        <w:tabs>
          <w:tab w:leader="none" w:pos="960" w:val="left"/>
        </w:tabs>
        <w:numPr>
          <w:ilvl w:val="0"/>
          <w:numId w:val="115"/>
        </w:numPr>
        <w:rPr>
          <w:rFonts w:ascii="Arial" w:cs="Arial" w:eastAsia="Arial" w:hAnsi="Arial"/>
          <w:sz w:val="18"/>
          <w:szCs w:val="18"/>
          <w:color w:val="auto"/>
        </w:rPr>
      </w:pPr>
      <w:r>
        <w:rPr>
          <w:rFonts w:ascii="Arial" w:cs="Arial" w:eastAsia="Arial" w:hAnsi="Arial"/>
          <w:sz w:val="18"/>
          <w:szCs w:val="18"/>
          <w:u w:val="single" w:color="auto"/>
          <w:color w:val="auto"/>
        </w:rPr>
        <w:t>Further Agreements of the Company</w:t>
      </w:r>
      <w:r>
        <w:rPr>
          <w:rFonts w:ascii="Arial" w:cs="Arial" w:eastAsia="Arial" w:hAnsi="Arial"/>
          <w:sz w:val="18"/>
          <w:szCs w:val="18"/>
          <w:color w:val="auto"/>
        </w:rPr>
        <w:t>. The Company covenants and agrees with each Underwriter that:</w:t>
      </w:r>
    </w:p>
    <w:p>
      <w:pPr>
        <w:spacing w:after="0" w:line="225" w:lineRule="exact"/>
        <w:rPr>
          <w:rFonts w:ascii="Arial" w:cs="Arial" w:eastAsia="Arial" w:hAnsi="Arial"/>
          <w:sz w:val="18"/>
          <w:szCs w:val="18"/>
          <w:color w:val="auto"/>
        </w:rPr>
      </w:pPr>
    </w:p>
    <w:p>
      <w:pPr>
        <w:jc w:val="both"/>
        <w:ind w:right="160" w:firstLine="656"/>
        <w:spacing w:after="0" w:line="263" w:lineRule="auto"/>
        <w:tabs>
          <w:tab w:leader="none" w:pos="1522" w:val="left"/>
        </w:tabs>
        <w:numPr>
          <w:ilvl w:val="1"/>
          <w:numId w:val="115"/>
        </w:numPr>
        <w:rPr>
          <w:rFonts w:ascii="Arial" w:cs="Arial" w:eastAsia="Arial" w:hAnsi="Arial"/>
          <w:sz w:val="18"/>
          <w:szCs w:val="18"/>
          <w:color w:val="auto"/>
        </w:rPr>
      </w:pPr>
      <w:r>
        <w:rPr>
          <w:rFonts w:ascii="Arial" w:cs="Arial" w:eastAsia="Arial" w:hAnsi="Arial"/>
          <w:sz w:val="18"/>
          <w:szCs w:val="18"/>
          <w:u w:val="single" w:color="auto"/>
          <w:color w:val="auto"/>
        </w:rPr>
        <w:t>Required Filings</w:t>
      </w:r>
      <w:r>
        <w:rPr>
          <w:rFonts w:ascii="Arial" w:cs="Arial" w:eastAsia="Arial" w:hAnsi="Arial"/>
          <w:sz w:val="18"/>
          <w:szCs w:val="18"/>
          <w:color w:val="auto"/>
        </w:rPr>
        <w:t>. The Company will file the final Prospectus with the Commission within the time periods specified by Rule 424(b) and Rule 430A, 430B or 430C under the Securities Act; and the Company will furnish copies of the Prospectus (to the extent not previously delivered) to the Underwriters in New York City prior to 10:00 A.M., New York</w:t>
      </w:r>
    </w:p>
    <w:p>
      <w:pPr>
        <w:spacing w:after="0" w:line="29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8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212" w:name="page213"/>
    <w:bookmarkEnd w:id="212"/>
    <w:p>
      <w:pPr>
        <w:spacing w:after="0"/>
        <w:rPr>
          <w:sz w:val="20"/>
          <w:szCs w:val="20"/>
          <w:color w:val="auto"/>
        </w:rPr>
      </w:pPr>
      <w:r>
        <w:rPr>
          <w:rFonts w:ascii="Arial" w:cs="Arial" w:eastAsia="Arial" w:hAnsi="Arial"/>
          <w:sz w:val="18"/>
          <w:szCs w:val="18"/>
          <w:color w:val="auto"/>
        </w:rPr>
        <w:t>City time, on the business day next succeeding the date of this Agreement in such quantities as the Representative may reasonably request.</w:t>
      </w:r>
    </w:p>
    <w:p>
      <w:pPr>
        <w:spacing w:after="0" w:line="225" w:lineRule="exact"/>
        <w:rPr>
          <w:sz w:val="20"/>
          <w:szCs w:val="20"/>
          <w:color w:val="auto"/>
        </w:rPr>
      </w:pPr>
    </w:p>
    <w:p>
      <w:pPr>
        <w:ind w:firstLine="656"/>
        <w:spacing w:after="0" w:line="272" w:lineRule="auto"/>
        <w:tabs>
          <w:tab w:leader="none" w:pos="1532" w:val="left"/>
        </w:tabs>
        <w:numPr>
          <w:ilvl w:val="0"/>
          <w:numId w:val="116"/>
        </w:numPr>
        <w:rPr>
          <w:rFonts w:ascii="Arial" w:cs="Arial" w:eastAsia="Arial" w:hAnsi="Arial"/>
          <w:sz w:val="17"/>
          <w:szCs w:val="17"/>
          <w:color w:val="auto"/>
        </w:rPr>
      </w:pPr>
      <w:r>
        <w:rPr>
          <w:rFonts w:ascii="Arial" w:cs="Arial" w:eastAsia="Arial" w:hAnsi="Arial"/>
          <w:sz w:val="17"/>
          <w:szCs w:val="17"/>
          <w:u w:val="single" w:color="auto"/>
          <w:color w:val="auto"/>
        </w:rPr>
        <w:t>Delivery of Copies</w:t>
      </w:r>
      <w:r>
        <w:rPr>
          <w:rFonts w:ascii="Arial" w:cs="Arial" w:eastAsia="Arial" w:hAnsi="Arial"/>
          <w:sz w:val="17"/>
          <w:szCs w:val="17"/>
          <w:color w:val="auto"/>
        </w:rPr>
        <w:t>. The Company will deliver, upon request, without charge, (i) to the Representative, signed copies of the Registration Statement as originally filed and each amendment thereto, in each case including all exhibits and consents filed therewith; and (ii) to each Underwriter (A) a conformed copy of the Registration Statement as originally filed and each amendment thereto (without exhibits) and (B) during the Prospectus Delivery Period (as defined below), as many copies of the Prospectus (including all amendments and supplements thereto) as the Representative may reasonably request. As used herein, the term “Prospectus Delivery Period” means such period of time after the first date of the public offering of the Units as in the opinion of counsel for the Underwriters a prospectus relating to the Units is required by law to be delivered (or required to be delivered but for Rule 172 under the Securities Act) in connection with sales of the Units by any Underwriter or dealer.</w:t>
      </w:r>
    </w:p>
    <w:p>
      <w:pPr>
        <w:spacing w:after="0" w:line="177" w:lineRule="exact"/>
        <w:rPr>
          <w:rFonts w:ascii="Arial" w:cs="Arial" w:eastAsia="Arial" w:hAnsi="Arial"/>
          <w:sz w:val="17"/>
          <w:szCs w:val="17"/>
          <w:color w:val="auto"/>
        </w:rPr>
      </w:pPr>
    </w:p>
    <w:p>
      <w:pPr>
        <w:ind w:right="200" w:firstLine="656"/>
        <w:spacing w:after="0" w:line="279" w:lineRule="auto"/>
        <w:tabs>
          <w:tab w:leader="none" w:pos="1522" w:val="left"/>
        </w:tabs>
        <w:numPr>
          <w:ilvl w:val="0"/>
          <w:numId w:val="116"/>
        </w:numPr>
        <w:rPr>
          <w:rFonts w:ascii="Arial" w:cs="Arial" w:eastAsia="Arial" w:hAnsi="Arial"/>
          <w:sz w:val="17"/>
          <w:szCs w:val="17"/>
          <w:color w:val="auto"/>
        </w:rPr>
      </w:pPr>
      <w:r>
        <w:rPr>
          <w:rFonts w:ascii="Arial" w:cs="Arial" w:eastAsia="Arial" w:hAnsi="Arial"/>
          <w:sz w:val="17"/>
          <w:szCs w:val="17"/>
          <w:u w:val="single" w:color="auto"/>
          <w:color w:val="auto"/>
        </w:rPr>
        <w:t>Amendments or Supplements</w:t>
      </w:r>
      <w:r>
        <w:rPr>
          <w:rFonts w:ascii="Arial" w:cs="Arial" w:eastAsia="Arial" w:hAnsi="Arial"/>
          <w:sz w:val="17"/>
          <w:szCs w:val="17"/>
          <w:color w:val="auto"/>
        </w:rPr>
        <w:t>. Before making, preparing, using, authorizing, approving, referring to or filing any amendment or supplement to the Registration Statement, the Pricing Disclosure Package or the Prospectus, the Company will furnish to the Representative and counsel for the Underwriters a copy of the proposed amendment or supplement for review and will not make, prepare, use, authorize, approve, refer to or file any such proposed amendment or supplement to which the Representative reasonably objects.</w:t>
      </w:r>
    </w:p>
    <w:p>
      <w:pPr>
        <w:spacing w:after="0" w:line="171" w:lineRule="exact"/>
        <w:rPr>
          <w:rFonts w:ascii="Arial" w:cs="Arial" w:eastAsia="Arial" w:hAnsi="Arial"/>
          <w:sz w:val="17"/>
          <w:szCs w:val="17"/>
          <w:color w:val="auto"/>
        </w:rPr>
      </w:pPr>
    </w:p>
    <w:p>
      <w:pPr>
        <w:ind w:right="20" w:firstLine="656"/>
        <w:spacing w:after="0" w:line="268" w:lineRule="auto"/>
        <w:tabs>
          <w:tab w:leader="none" w:pos="1532" w:val="left"/>
        </w:tabs>
        <w:numPr>
          <w:ilvl w:val="0"/>
          <w:numId w:val="116"/>
        </w:numPr>
        <w:rPr>
          <w:rFonts w:ascii="Arial" w:cs="Arial" w:eastAsia="Arial" w:hAnsi="Arial"/>
          <w:sz w:val="17"/>
          <w:szCs w:val="17"/>
          <w:color w:val="auto"/>
        </w:rPr>
      </w:pPr>
      <w:r>
        <w:rPr>
          <w:rFonts w:ascii="Arial" w:cs="Arial" w:eastAsia="Arial" w:hAnsi="Arial"/>
          <w:sz w:val="17"/>
          <w:szCs w:val="17"/>
          <w:u w:val="single" w:color="auto"/>
          <w:color w:val="auto"/>
        </w:rPr>
        <w:t>Notice to the Representative</w:t>
      </w:r>
      <w:r>
        <w:rPr>
          <w:rFonts w:ascii="Arial" w:cs="Arial" w:eastAsia="Arial" w:hAnsi="Arial"/>
          <w:sz w:val="17"/>
          <w:szCs w:val="17"/>
          <w:color w:val="auto"/>
        </w:rPr>
        <w:t>. The Company will advise the Representative promptly, and confirm such advice in writing, (i) when the Registration Statement has become effective; (ii) when any amendment to the Registration Statement has been filed or becomes effective; (iii) when any supplement to the Pricing Disclosure Package, the Prospectus or any Written Testing-the-Waters Communication or any amendment to the Prospectus has been filed or distributed; (iv) of any request by the Commission for any amendment to the Registration Statement or any amendment or supplement to the Prospectus or the receipt of any comments from the Commission relating to the Registration Statement or any other request by the Commission for any additional information, including, but not limited to, any request for information concerning any Testing-the-Waters Communication; (v) of the issuance by the Commission or any other governmental or regulatory authority of any order suspending the effectiveness of the Registration Statement or preventing or suspending the use of any Preliminary Prospectus, any of the Pricing Disclosure Package, the Prospectus or any Written Testing-the-Waters Communication or the initiation or threatening of any proceeding for that purpose or pursuant to Section 8A of the Securities Act; (vi) of the occurrence of any event or development within the Prospectus Delivery Period as a result of which the Prospectus, any of the Pricing Disclosure Package or any Written Testing-the-Waters Communication as then amended or supplemented would include any untrue statement of a material fact or omit to state a material fact necessary in order to make the statements therein, in the light of the circumstances existing when the Prospectus, the Pricing Disclosure Package or any Written Testing-the-Waters Communication is delivered to a purchaser, not misleading; and (vii) of the receipt by the Company of any notice with respect to any suspension of the qualification of the Units for offer and sale in any jurisdiction or the initiation or threatening of any proceeding for such purpose; and the Company will use its reasonable best efforts to prevent the issuance of any such order suspending the effectiveness of the Registration Statement, preventing or suspending the use of</w:t>
      </w:r>
    </w:p>
    <w:p>
      <w:pPr>
        <w:spacing w:after="0" w:line="28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213" w:name="page214"/>
    <w:bookmarkEnd w:id="213"/>
    <w:p>
      <w:pPr>
        <w:ind w:right="40"/>
        <w:spacing w:after="0" w:line="277" w:lineRule="auto"/>
        <w:rPr>
          <w:sz w:val="20"/>
          <w:szCs w:val="20"/>
          <w:color w:val="auto"/>
        </w:rPr>
      </w:pPr>
      <w:r>
        <w:rPr>
          <w:rFonts w:ascii="Arial" w:cs="Arial" w:eastAsia="Arial" w:hAnsi="Arial"/>
          <w:sz w:val="18"/>
          <w:szCs w:val="18"/>
          <w:color w:val="auto"/>
        </w:rPr>
        <w:t>any Preliminary Prospectus, any of the Pricing Disclosure Package or the Prospectus or any Written Testing-the-Waters Communication or suspending any such qualification of the Units and, if any such order is issued, will obtain as soon as possible the withdrawal thereof.</w:t>
      </w:r>
    </w:p>
    <w:p>
      <w:pPr>
        <w:spacing w:after="0" w:line="170" w:lineRule="exact"/>
        <w:rPr>
          <w:sz w:val="20"/>
          <w:szCs w:val="20"/>
          <w:color w:val="auto"/>
        </w:rPr>
      </w:pPr>
    </w:p>
    <w:p>
      <w:pPr>
        <w:ind w:right="20" w:firstLine="656"/>
        <w:spacing w:after="0" w:line="286" w:lineRule="auto"/>
        <w:tabs>
          <w:tab w:leader="none" w:pos="1522" w:val="left"/>
        </w:tabs>
        <w:numPr>
          <w:ilvl w:val="0"/>
          <w:numId w:val="117"/>
        </w:numPr>
        <w:rPr>
          <w:rFonts w:ascii="Arial" w:cs="Arial" w:eastAsia="Arial" w:hAnsi="Arial"/>
          <w:sz w:val="16"/>
          <w:szCs w:val="16"/>
          <w:color w:val="auto"/>
        </w:rPr>
      </w:pPr>
      <w:r>
        <w:rPr>
          <w:rFonts w:ascii="Arial" w:cs="Arial" w:eastAsia="Arial" w:hAnsi="Arial"/>
          <w:sz w:val="16"/>
          <w:szCs w:val="16"/>
          <w:u w:val="single" w:color="auto"/>
          <w:color w:val="auto"/>
        </w:rPr>
        <w:t>Ongoing Compliance</w:t>
      </w:r>
      <w:r>
        <w:rPr>
          <w:rFonts w:ascii="Arial" w:cs="Arial" w:eastAsia="Arial" w:hAnsi="Arial"/>
          <w:sz w:val="16"/>
          <w:szCs w:val="16"/>
          <w:color w:val="auto"/>
        </w:rPr>
        <w:t>. (1) If during the Prospectus Delivery Period (i) any event or development shall occur or condition shall exist as a result of which the Prospectus as then amended or supplemented would include any untrue statement of a material fact or omit to state any material fact necessary in order to make the statements therein, in the light of the circumstances existing when the Prospectus is delivered to a purchaser, not misleading or (ii) it is necessary to amend or supplement the Prospectus to comply with law, the Company will immediately notify the Underwriters thereof and forthwith prepare and, subject to paragraph (c) above, file with the Commission and furnish to the Underwriters and to such dealers as the Representative may designate such amendments or supplements to the Prospectus as may be necessary so that the statements in the Prospectus as so amended or supplemented will not, in the light of the circumstances existing when the Prospectus is delivered to a purchaser, be misleading or so that the Prospectus will comply with law and (2) if at any time prior to the Closing Date (i) any event or development shall occur or condition shall exist as a result of which the Pricing Disclosure Package as then amended or supplemented would include any untrue statement of a material fact or omit to state any material fact necessary in order to make the statements therein, in the light of the circumstances existing when the Pricing Disclosure Package is delivered to a purchaser, not misleading or (ii) it is necessary to amend or supplement the Pricing Disclosure Package to comply with law, the Company will immediately notify the Underwriters thereof and forthwith prepare and, subject to paragraph (c) above, file with the Commission (to the extent required) and furnish to the Underwriters and to such dealers as the Representative may designate such amendments or supplements to the Pricing Disclosure Package as may be necessary so that the statements in the Pricing Disclosure Package as so amended or supplemented will not, in the light of the circumstances existing when the Pricing Disclosure Package is delivered to a purchaser, be misleading or so that the Pricing Disclosure Package will comply with law.</w:t>
      </w:r>
    </w:p>
    <w:p>
      <w:pPr>
        <w:spacing w:after="0" w:line="167" w:lineRule="exact"/>
        <w:rPr>
          <w:rFonts w:ascii="Arial" w:cs="Arial" w:eastAsia="Arial" w:hAnsi="Arial"/>
          <w:sz w:val="16"/>
          <w:szCs w:val="16"/>
          <w:color w:val="auto"/>
        </w:rPr>
      </w:pPr>
    </w:p>
    <w:p>
      <w:pPr>
        <w:ind w:right="140" w:firstLine="656"/>
        <w:spacing w:after="0" w:line="257" w:lineRule="auto"/>
        <w:tabs>
          <w:tab w:leader="none" w:pos="1547" w:val="left"/>
        </w:tabs>
        <w:numPr>
          <w:ilvl w:val="0"/>
          <w:numId w:val="117"/>
        </w:numPr>
        <w:rPr>
          <w:rFonts w:ascii="Arial" w:cs="Arial" w:eastAsia="Arial" w:hAnsi="Arial"/>
          <w:sz w:val="18"/>
          <w:szCs w:val="18"/>
          <w:color w:val="auto"/>
        </w:rPr>
      </w:pPr>
      <w:r>
        <w:rPr>
          <w:rFonts w:ascii="Arial" w:cs="Arial" w:eastAsia="Arial" w:hAnsi="Arial"/>
          <w:sz w:val="18"/>
          <w:szCs w:val="18"/>
          <w:u w:val="single" w:color="auto"/>
          <w:color w:val="auto"/>
        </w:rPr>
        <w:t>Blue Sky Compliance</w:t>
      </w:r>
      <w:r>
        <w:rPr>
          <w:rFonts w:ascii="Arial" w:cs="Arial" w:eastAsia="Arial" w:hAnsi="Arial"/>
          <w:sz w:val="18"/>
          <w:szCs w:val="18"/>
          <w:color w:val="auto"/>
        </w:rPr>
        <w:t xml:space="preserve">. The Company will qualify the Units for offer and sale under the securities or Blue Sky laws of such jurisdictions as the Representative shall reasonably request and will continue such qualifications in effect so long as required for distribution of the Units;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Company shall not be required to (i) qualify as a foreign corporation or other entity or as a dealer in securities in any such jurisdiction where it would not otherwise be required to so qualify, (ii) file any general consent to service of process in any such jurisdiction or (iii) subject itself to taxation in any such jurisdiction if it is not otherwise so subject.</w:t>
      </w:r>
    </w:p>
    <w:p>
      <w:pPr>
        <w:spacing w:after="0" w:line="187" w:lineRule="exact"/>
        <w:rPr>
          <w:rFonts w:ascii="Arial" w:cs="Arial" w:eastAsia="Arial" w:hAnsi="Arial"/>
          <w:sz w:val="18"/>
          <w:szCs w:val="18"/>
          <w:color w:val="auto"/>
        </w:rPr>
      </w:pPr>
    </w:p>
    <w:p>
      <w:pPr>
        <w:ind w:firstLine="656"/>
        <w:spacing w:after="0" w:line="259" w:lineRule="auto"/>
        <w:tabs>
          <w:tab w:leader="none" w:pos="1532" w:val="left"/>
        </w:tabs>
        <w:numPr>
          <w:ilvl w:val="0"/>
          <w:numId w:val="117"/>
        </w:numPr>
        <w:rPr>
          <w:rFonts w:ascii="Arial" w:cs="Arial" w:eastAsia="Arial" w:hAnsi="Arial"/>
          <w:sz w:val="18"/>
          <w:szCs w:val="18"/>
          <w:color w:val="auto"/>
        </w:rPr>
      </w:pPr>
      <w:r>
        <w:rPr>
          <w:rFonts w:ascii="Arial" w:cs="Arial" w:eastAsia="Arial" w:hAnsi="Arial"/>
          <w:sz w:val="18"/>
          <w:szCs w:val="18"/>
          <w:u w:val="single" w:color="auto"/>
          <w:color w:val="auto"/>
        </w:rPr>
        <w:t>Earning Statement</w:t>
      </w:r>
      <w:r>
        <w:rPr>
          <w:rFonts w:ascii="Arial" w:cs="Arial" w:eastAsia="Arial" w:hAnsi="Arial"/>
          <w:sz w:val="18"/>
          <w:szCs w:val="18"/>
          <w:color w:val="auto"/>
        </w:rPr>
        <w:t>. The Company will make generally available to its security holders and the Representative as soon as practicable an earning statement that satisfies the provisions of Section 11(a) of the Securities Act and Rule 158 of the Commission promulgated thereunder covering a period of at least twelve months beginning with the first fiscal quarter of the Company occurring after the “effective date” (as defined in Rule 158) of the Registration Statement.</w:t>
      </w:r>
    </w:p>
    <w:p>
      <w:pPr>
        <w:spacing w:after="0" w:line="186" w:lineRule="exact"/>
        <w:rPr>
          <w:rFonts w:ascii="Arial" w:cs="Arial" w:eastAsia="Arial" w:hAnsi="Arial"/>
          <w:sz w:val="18"/>
          <w:szCs w:val="18"/>
          <w:color w:val="auto"/>
        </w:rPr>
      </w:pPr>
    </w:p>
    <w:p>
      <w:pPr>
        <w:ind w:right="220" w:firstLine="656"/>
        <w:spacing w:after="0" w:line="277" w:lineRule="auto"/>
        <w:tabs>
          <w:tab w:leader="none" w:pos="1532" w:val="left"/>
        </w:tabs>
        <w:numPr>
          <w:ilvl w:val="0"/>
          <w:numId w:val="117"/>
        </w:numPr>
        <w:rPr>
          <w:rFonts w:ascii="Arial" w:cs="Arial" w:eastAsia="Arial" w:hAnsi="Arial"/>
          <w:sz w:val="18"/>
          <w:szCs w:val="18"/>
          <w:color w:val="auto"/>
        </w:rPr>
      </w:pPr>
      <w:r>
        <w:rPr>
          <w:rFonts w:ascii="Arial" w:cs="Arial" w:eastAsia="Arial" w:hAnsi="Arial"/>
          <w:sz w:val="18"/>
          <w:szCs w:val="18"/>
          <w:u w:val="single" w:color="auto"/>
          <w:color w:val="auto"/>
        </w:rPr>
        <w:t>Clear Market</w:t>
      </w:r>
      <w:r>
        <w:rPr>
          <w:rFonts w:ascii="Arial" w:cs="Arial" w:eastAsia="Arial" w:hAnsi="Arial"/>
          <w:sz w:val="18"/>
          <w:szCs w:val="18"/>
          <w:color w:val="auto"/>
        </w:rPr>
        <w:t>. For a period of 180 days after the date of the Prospectus, the Company will not (i) offer, pledge, sell, contract to sell, sell any option or contract to purchase,</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584" w:right="379" w:bottom="1440" w:gutter="0" w:footer="0" w:header="0"/>
        </w:sectPr>
      </w:pPr>
    </w:p>
    <w:bookmarkStart w:id="214" w:name="page215"/>
    <w:bookmarkEnd w:id="214"/>
    <w:p>
      <w:pPr>
        <w:spacing w:after="0" w:line="267" w:lineRule="auto"/>
        <w:rPr>
          <w:sz w:val="20"/>
          <w:szCs w:val="20"/>
          <w:color w:val="auto"/>
        </w:rPr>
      </w:pPr>
      <w:r>
        <w:rPr>
          <w:rFonts w:ascii="Arial" w:cs="Arial" w:eastAsia="Arial" w:hAnsi="Arial"/>
          <w:sz w:val="17"/>
          <w:szCs w:val="17"/>
          <w:color w:val="auto"/>
        </w:rPr>
        <w:t xml:space="preserve">purchase any option or contract to sell, grant any option, right or warrant to purchase, lend, or otherwise transfer or dispose of, directly or indirectly, or submit to, or file with, the Commission a registration statement under the Securities Act relating to any Units, Ordinary Shares, Founder Shares, Warrants or any securities convertible into or exercisable or exchangeable for any Units, Ordinary Shares, Founder Shares or Warrants, or publicly disclose the intention to undertake any of the foregoing, or (ii) enter into any swap or other agreement that transfers, in whole or in part, any of the economic consequences of ownership of any Units, Ordinary Shares, Founder Shares or Warrants or any such other securities, whether any such transaction described in clause (i) or (ii) above is to be settled by delivery of Units or such other securities, in cash or otherwise, without the prior written consent of the Representative except, in each case, that the Company may (a) issue and sell the Private Placement Warrants, (b) issue and sell the Option Units on exercise of the option provided for in Section 2(b) hereof, (c) register with the Commission pursuant to the Registration Rights Agreement, in accordance with the terms of the Registration Rights Agreement, the resale of the Founder Shares, the Private Placement Warrants and warrants that may be issued upon conversion of working capital loans (and any Ordinary Shares issued or issuable upon the exercise of any such Private Placement Warrants or warrants issued upon conversion of the working capital loans and upon conversion of the Founder Shares), and (d) issue securities in connection with a Business Combination;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foregoing restrictions shall not apply to the forfeiture of any Founder Shares pursuant to their terms or any transfer of Founder Shares to any current or future independent directors or employees of the Company (as long as such current or future independent directors or employees are subject to the terms of the Insider Letter with respect to such Founder Shares at the time of such transfer; and as long as, to the extent any reporting obligation under Section 16 of the Exchange Act is triggered as a result of such transfer, any related filing under Section 16 of the Exchange Act includes a practical explanation of the transfer). For a period of 180 days after the date of the Prospectus, the Company agrees not to waive or amend the Insider Letter without the written consent of the Representative.</w:t>
      </w:r>
    </w:p>
    <w:p>
      <w:pPr>
        <w:spacing w:after="0" w:line="191" w:lineRule="exact"/>
        <w:rPr>
          <w:sz w:val="20"/>
          <w:szCs w:val="20"/>
          <w:color w:val="auto"/>
        </w:rPr>
      </w:pPr>
    </w:p>
    <w:p>
      <w:pPr>
        <w:ind w:right="380" w:firstLine="656"/>
        <w:spacing w:after="0" w:line="263" w:lineRule="auto"/>
        <w:tabs>
          <w:tab w:leader="none" w:pos="1582" w:val="left"/>
        </w:tabs>
        <w:numPr>
          <w:ilvl w:val="0"/>
          <w:numId w:val="118"/>
        </w:numPr>
        <w:rPr>
          <w:rFonts w:ascii="Arial" w:cs="Arial" w:eastAsia="Arial" w:hAnsi="Arial"/>
          <w:sz w:val="18"/>
          <w:szCs w:val="18"/>
          <w:color w:val="auto"/>
        </w:rPr>
      </w:pPr>
      <w:r>
        <w:rPr>
          <w:rFonts w:ascii="Arial" w:cs="Arial" w:eastAsia="Arial" w:hAnsi="Arial"/>
          <w:sz w:val="18"/>
          <w:szCs w:val="18"/>
          <w:u w:val="single" w:color="auto"/>
          <w:color w:val="auto"/>
        </w:rPr>
        <w:t>Use of Proceeds</w:t>
      </w:r>
      <w:r>
        <w:rPr>
          <w:rFonts w:ascii="Arial" w:cs="Arial" w:eastAsia="Arial" w:hAnsi="Arial"/>
          <w:sz w:val="18"/>
          <w:szCs w:val="18"/>
          <w:color w:val="auto"/>
        </w:rPr>
        <w:t>. The Company will apply the net proceeds from the sale of the Private Placement Warrants received by it in a manner materially consistent with the applications described under the caption “Use of Proceeds” in the Registration Statement, the Pricing Disclosure Package and the Prospectus.</w:t>
      </w:r>
    </w:p>
    <w:p>
      <w:pPr>
        <w:spacing w:after="0" w:line="183" w:lineRule="exact"/>
        <w:rPr>
          <w:rFonts w:ascii="Arial" w:cs="Arial" w:eastAsia="Arial" w:hAnsi="Arial"/>
          <w:sz w:val="18"/>
          <w:szCs w:val="18"/>
          <w:color w:val="auto"/>
        </w:rPr>
      </w:pPr>
    </w:p>
    <w:p>
      <w:pPr>
        <w:ind w:right="780" w:firstLine="656"/>
        <w:spacing w:after="0" w:line="277" w:lineRule="auto"/>
        <w:tabs>
          <w:tab w:leader="none" w:pos="1582" w:val="left"/>
        </w:tabs>
        <w:numPr>
          <w:ilvl w:val="0"/>
          <w:numId w:val="118"/>
        </w:numPr>
        <w:rPr>
          <w:rFonts w:ascii="Arial" w:cs="Arial" w:eastAsia="Arial" w:hAnsi="Arial"/>
          <w:sz w:val="18"/>
          <w:szCs w:val="18"/>
          <w:color w:val="auto"/>
        </w:rPr>
      </w:pPr>
      <w:r>
        <w:rPr>
          <w:rFonts w:ascii="Arial" w:cs="Arial" w:eastAsia="Arial" w:hAnsi="Arial"/>
          <w:sz w:val="18"/>
          <w:szCs w:val="18"/>
          <w:u w:val="single" w:color="auto"/>
          <w:color w:val="auto"/>
        </w:rPr>
        <w:t>No Stabilization</w:t>
      </w:r>
      <w:r>
        <w:rPr>
          <w:rFonts w:ascii="Arial" w:cs="Arial" w:eastAsia="Arial" w:hAnsi="Arial"/>
          <w:sz w:val="18"/>
          <w:szCs w:val="18"/>
          <w:color w:val="auto"/>
        </w:rPr>
        <w:t>. Neither the Company nor its affiliates will take, directly or indirectly, any action designed to or that could reasonably be expected to cause or result in any stabilization or manipulation of the price of the Units.</w:t>
      </w:r>
    </w:p>
    <w:p>
      <w:pPr>
        <w:spacing w:after="0" w:line="170" w:lineRule="exact"/>
        <w:rPr>
          <w:rFonts w:ascii="Arial" w:cs="Arial" w:eastAsia="Arial" w:hAnsi="Arial"/>
          <w:sz w:val="18"/>
          <w:szCs w:val="18"/>
          <w:color w:val="auto"/>
        </w:rPr>
      </w:pPr>
    </w:p>
    <w:p>
      <w:pPr>
        <w:ind w:right="520" w:firstLine="656"/>
        <w:spacing w:after="0" w:line="277" w:lineRule="auto"/>
        <w:tabs>
          <w:tab w:leader="none" w:pos="1532" w:val="left"/>
        </w:tabs>
        <w:numPr>
          <w:ilvl w:val="0"/>
          <w:numId w:val="118"/>
        </w:numPr>
        <w:rPr>
          <w:rFonts w:ascii="Arial" w:cs="Arial" w:eastAsia="Arial" w:hAnsi="Arial"/>
          <w:sz w:val="18"/>
          <w:szCs w:val="18"/>
          <w:color w:val="auto"/>
        </w:rPr>
      </w:pPr>
      <w:r>
        <w:rPr>
          <w:rFonts w:ascii="Arial" w:cs="Arial" w:eastAsia="Arial" w:hAnsi="Arial"/>
          <w:sz w:val="18"/>
          <w:szCs w:val="18"/>
          <w:u w:val="single" w:color="auto"/>
          <w:color w:val="auto"/>
        </w:rPr>
        <w:t>Exchange Listing</w:t>
      </w:r>
      <w:r>
        <w:rPr>
          <w:rFonts w:ascii="Arial" w:cs="Arial" w:eastAsia="Arial" w:hAnsi="Arial"/>
          <w:sz w:val="18"/>
          <w:szCs w:val="18"/>
          <w:color w:val="auto"/>
        </w:rPr>
        <w:t>. The Company will use its reasonable best efforts to list, subject to notice of issuance, the Units, the Ordinary Shares and the Warrants on the NYSE.</w:t>
      </w:r>
    </w:p>
    <w:p>
      <w:pPr>
        <w:spacing w:after="0" w:line="170" w:lineRule="exact"/>
        <w:rPr>
          <w:rFonts w:ascii="Arial" w:cs="Arial" w:eastAsia="Arial" w:hAnsi="Arial"/>
          <w:sz w:val="18"/>
          <w:szCs w:val="18"/>
          <w:color w:val="auto"/>
        </w:rPr>
      </w:pPr>
    </w:p>
    <w:p>
      <w:pPr>
        <w:ind w:right="140" w:firstLine="656"/>
        <w:spacing w:after="0" w:line="257" w:lineRule="auto"/>
        <w:tabs>
          <w:tab w:leader="none" w:pos="1582" w:val="left"/>
        </w:tabs>
        <w:numPr>
          <w:ilvl w:val="0"/>
          <w:numId w:val="118"/>
        </w:numPr>
        <w:rPr>
          <w:rFonts w:ascii="Arial" w:cs="Arial" w:eastAsia="Arial" w:hAnsi="Arial"/>
          <w:sz w:val="18"/>
          <w:szCs w:val="18"/>
          <w:color w:val="auto"/>
        </w:rPr>
      </w:pPr>
      <w:r>
        <w:rPr>
          <w:rFonts w:ascii="Arial" w:cs="Arial" w:eastAsia="Arial" w:hAnsi="Arial"/>
          <w:sz w:val="18"/>
          <w:szCs w:val="18"/>
          <w:u w:val="single" w:color="auto"/>
          <w:color w:val="auto"/>
        </w:rPr>
        <w:t>Reports</w:t>
      </w:r>
      <w:r>
        <w:rPr>
          <w:rFonts w:ascii="Arial" w:cs="Arial" w:eastAsia="Arial" w:hAnsi="Arial"/>
          <w:sz w:val="18"/>
          <w:szCs w:val="18"/>
          <w:color w:val="auto"/>
        </w:rPr>
        <w:t>. For a period commencing on the initial effective date of the Registration Statement and ending five years from the date of the consummation of the Business Combination or until such earlier time at which the Liquidation occurs, the Company shall, to the extent such information or documents are not otherwise publicly available, upon written request from the Representative, furnish to the Representative copies of such financial statements and other periodic and special reports as the Company from time to time furnishes generally to holders of any class of securities, and, to the extent such information or documents are not otherwise</w:t>
      </w:r>
    </w:p>
    <w:p>
      <w:pPr>
        <w:spacing w:after="0" w:line="29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8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15" w:name="page216"/>
    <w:bookmarkEnd w:id="215"/>
    <w:p>
      <w:pPr>
        <w:ind w:right="320"/>
        <w:spacing w:after="0" w:line="272" w:lineRule="auto"/>
        <w:rPr>
          <w:sz w:val="20"/>
          <w:szCs w:val="20"/>
          <w:color w:val="auto"/>
        </w:rPr>
      </w:pPr>
      <w:r>
        <w:rPr>
          <w:rFonts w:ascii="Arial" w:cs="Arial" w:eastAsia="Arial" w:hAnsi="Arial"/>
          <w:sz w:val="17"/>
          <w:szCs w:val="17"/>
          <w:color w:val="auto"/>
        </w:rPr>
        <w:t>publicly available, upon written request from the Representative, promptly furnish to the Representative: (i) a copy of such registration statements, financial statements and periodic and special reports as the Company shall be required to file with the Commission and from time to time furnishes generally to holders of any such class of its securities in their capacities as such; and (ii) such additional documents and information with respect to the Company and the affairs of any future subsidiaries of the Company as the Representative may from time to time reasonably request, all subject to the execution of a satisfactory confidentiality agreement. Any registration statements, financial statements, periodic and special reports or other additional documents referred to in the preceding sentence filed or furnished on the Commission’s Electronic Data Gathering, Analysis, and Retrieval website and publicly available will be considered furnished for the purposes of this Section 4(l).</w:t>
      </w:r>
    </w:p>
    <w:p>
      <w:pPr>
        <w:spacing w:after="0" w:line="177" w:lineRule="exact"/>
        <w:rPr>
          <w:sz w:val="20"/>
          <w:szCs w:val="20"/>
          <w:color w:val="auto"/>
        </w:rPr>
      </w:pPr>
    </w:p>
    <w:p>
      <w:pPr>
        <w:ind w:left="1500" w:hanging="844"/>
        <w:spacing w:after="0"/>
        <w:tabs>
          <w:tab w:leader="none" w:pos="1500" w:val="left"/>
        </w:tabs>
        <w:numPr>
          <w:ilvl w:val="0"/>
          <w:numId w:val="119"/>
        </w:numPr>
        <w:rPr>
          <w:rFonts w:ascii="Arial" w:cs="Arial" w:eastAsia="Arial" w:hAnsi="Arial"/>
          <w:sz w:val="18"/>
          <w:szCs w:val="18"/>
          <w:color w:val="auto"/>
        </w:rPr>
      </w:pPr>
      <w:r>
        <w:rPr>
          <w:rFonts w:ascii="Arial" w:cs="Arial" w:eastAsia="Arial" w:hAnsi="Arial"/>
          <w:sz w:val="18"/>
          <w:szCs w:val="18"/>
          <w:u w:val="single" w:color="auto"/>
          <w:color w:val="auto"/>
        </w:rPr>
        <w:t>Filings</w:t>
      </w:r>
      <w:r>
        <w:rPr>
          <w:rFonts w:ascii="Arial" w:cs="Arial" w:eastAsia="Arial" w:hAnsi="Arial"/>
          <w:sz w:val="18"/>
          <w:szCs w:val="18"/>
          <w:color w:val="auto"/>
        </w:rPr>
        <w:t>. The Company will file with the Commission such reports as may be required by Rule 463 under the Securities Act.</w:t>
      </w:r>
    </w:p>
    <w:p>
      <w:pPr>
        <w:spacing w:after="0" w:line="225" w:lineRule="exact"/>
        <w:rPr>
          <w:rFonts w:ascii="Arial" w:cs="Arial" w:eastAsia="Arial" w:hAnsi="Arial"/>
          <w:sz w:val="18"/>
          <w:szCs w:val="18"/>
          <w:color w:val="auto"/>
        </w:rPr>
      </w:pPr>
    </w:p>
    <w:p>
      <w:pPr>
        <w:jc w:val="both"/>
        <w:ind w:right="20" w:firstLine="656"/>
        <w:spacing w:after="0" w:line="263" w:lineRule="auto"/>
        <w:tabs>
          <w:tab w:leader="none" w:pos="1532" w:val="left"/>
        </w:tabs>
        <w:numPr>
          <w:ilvl w:val="0"/>
          <w:numId w:val="119"/>
        </w:numPr>
        <w:rPr>
          <w:rFonts w:ascii="Arial" w:cs="Arial" w:eastAsia="Arial" w:hAnsi="Arial"/>
          <w:sz w:val="18"/>
          <w:szCs w:val="18"/>
          <w:color w:val="auto"/>
        </w:rPr>
      </w:pPr>
      <w:r>
        <w:rPr>
          <w:rFonts w:ascii="Arial" w:cs="Arial" w:eastAsia="Arial" w:hAnsi="Arial"/>
          <w:sz w:val="18"/>
          <w:szCs w:val="18"/>
          <w:u w:val="single" w:color="auto"/>
          <w:color w:val="auto"/>
        </w:rPr>
        <w:t>Emerging Growth Company</w:t>
      </w:r>
      <w:r>
        <w:rPr>
          <w:rFonts w:ascii="Arial" w:cs="Arial" w:eastAsia="Arial" w:hAnsi="Arial"/>
          <w:sz w:val="18"/>
          <w:szCs w:val="18"/>
          <w:color w:val="auto"/>
        </w:rPr>
        <w:t>. The Company will promptly notify the Representative if the Company ceases to be an Emerging Growth Company at any time prior to the later of (i) completion of the distribution of Units within the meaning of the Securities Act and (ii) completion of the 180-day restricted period referred to in Section 4(h) hereof.</w:t>
      </w:r>
    </w:p>
    <w:p>
      <w:pPr>
        <w:spacing w:after="0" w:line="183" w:lineRule="exact"/>
        <w:rPr>
          <w:rFonts w:ascii="Arial" w:cs="Arial" w:eastAsia="Arial" w:hAnsi="Arial"/>
          <w:sz w:val="18"/>
          <w:szCs w:val="18"/>
          <w:color w:val="auto"/>
        </w:rPr>
      </w:pPr>
    </w:p>
    <w:p>
      <w:pPr>
        <w:ind w:right="100" w:firstLine="656"/>
        <w:spacing w:after="0" w:line="272" w:lineRule="auto"/>
        <w:tabs>
          <w:tab w:leader="none" w:pos="1532" w:val="left"/>
        </w:tabs>
        <w:numPr>
          <w:ilvl w:val="0"/>
          <w:numId w:val="119"/>
        </w:numPr>
        <w:rPr>
          <w:rFonts w:ascii="Arial" w:cs="Arial" w:eastAsia="Arial" w:hAnsi="Arial"/>
          <w:sz w:val="17"/>
          <w:szCs w:val="17"/>
          <w:color w:val="auto"/>
        </w:rPr>
      </w:pPr>
      <w:r>
        <w:rPr>
          <w:rFonts w:ascii="Arial" w:cs="Arial" w:eastAsia="Arial" w:hAnsi="Arial"/>
          <w:sz w:val="17"/>
          <w:szCs w:val="17"/>
          <w:u w:val="single" w:color="auto"/>
          <w:color w:val="auto"/>
        </w:rPr>
        <w:t>Exchange Act Registration</w:t>
      </w:r>
      <w:r>
        <w:rPr>
          <w:rFonts w:ascii="Arial" w:cs="Arial" w:eastAsia="Arial" w:hAnsi="Arial"/>
          <w:sz w:val="17"/>
          <w:szCs w:val="17"/>
          <w:color w:val="auto"/>
        </w:rPr>
        <w:t>. For a period commencing on the initial effective date of the Registration Statement and ending five years from the date of the consummation of the Business Combination or until such earlier time at which the Liquidation occurs, the Company will use its best efforts to maintain the registration of the Ordinary Shares (or such other security into which such Ordinary Shares may be exchanged in connection with a Business Combination) under the provisions of the Exchange Act, except after giving effect to a going private transaction after the completion of an initial Business Combination. During such period, the Company will not deregister the Ordinary Shares under the Exchange Act (except in connection with an exchange of the Ordinary Shares pursuant to a Business Combination or a going private transaction after the completion of an initial Business Combination) without the prior written consent of the Representative.</w:t>
      </w:r>
    </w:p>
    <w:p>
      <w:pPr>
        <w:spacing w:after="0" w:line="177" w:lineRule="exact"/>
        <w:rPr>
          <w:rFonts w:ascii="Arial" w:cs="Arial" w:eastAsia="Arial" w:hAnsi="Arial"/>
          <w:sz w:val="17"/>
          <w:szCs w:val="17"/>
          <w:color w:val="auto"/>
        </w:rPr>
      </w:pPr>
    </w:p>
    <w:p>
      <w:pPr>
        <w:ind w:firstLine="656"/>
        <w:spacing w:after="0" w:line="271" w:lineRule="auto"/>
        <w:tabs>
          <w:tab w:leader="none" w:pos="1532" w:val="left"/>
        </w:tabs>
        <w:numPr>
          <w:ilvl w:val="0"/>
          <w:numId w:val="119"/>
        </w:numPr>
        <w:rPr>
          <w:rFonts w:ascii="Arial" w:cs="Arial" w:eastAsia="Arial" w:hAnsi="Arial"/>
          <w:sz w:val="17"/>
          <w:szCs w:val="17"/>
          <w:color w:val="auto"/>
        </w:rPr>
      </w:pPr>
      <w:r>
        <w:rPr>
          <w:rFonts w:ascii="Arial" w:cs="Arial" w:eastAsia="Arial" w:hAnsi="Arial"/>
          <w:sz w:val="17"/>
          <w:szCs w:val="17"/>
          <w:u w:val="single" w:color="auto"/>
          <w:color w:val="auto"/>
        </w:rPr>
        <w:t>Current Report on Form 8-K</w:t>
      </w:r>
      <w:r>
        <w:rPr>
          <w:rFonts w:ascii="Arial" w:cs="Arial" w:eastAsia="Arial" w:hAnsi="Arial"/>
          <w:sz w:val="17"/>
          <w:szCs w:val="17"/>
          <w:color w:val="auto"/>
        </w:rPr>
        <w:t>. The Company shall, on the date hereof, retain its independent registered public accounting firm to audit the balance sheet of the Company as of the Closing Date (the “</w:t>
      </w:r>
      <w:r>
        <w:rPr>
          <w:rFonts w:ascii="Arial" w:cs="Arial" w:eastAsia="Arial" w:hAnsi="Arial"/>
          <w:sz w:val="17"/>
          <w:szCs w:val="17"/>
          <w:u w:val="single" w:color="auto"/>
          <w:color w:val="auto"/>
        </w:rPr>
        <w:t>Audited Balance Sheet</w:t>
      </w:r>
      <w:r>
        <w:rPr>
          <w:rFonts w:ascii="Arial" w:cs="Arial" w:eastAsia="Arial" w:hAnsi="Arial"/>
          <w:sz w:val="17"/>
          <w:szCs w:val="17"/>
          <w:color w:val="auto"/>
        </w:rPr>
        <w:t>”) reflecting the receipt by the Company of the proceeds of the Offering on the Closing Date. As soon as the Audited Balance Sheet becomes available, the Company shall promptly, but not later than four business days after the Closing Date, file a Current Report on Form 8-K with the Commission, which Current Report shall contain the Company’s Audited Balance Sheet. Additionally, upon the Company’s receipt of the proceeds from the exercise of all or any portion of the option provided for in Section 2(b) hereof, the Company shall promptly, but not later than four business days after the receipt of such proceeds, file a Current Report on Form 8-K with the Commission, which report shall disclose the Company’s sale of the Option Units and its receipt of the proceeds therefrom, unless the receipt of such proceeds are reflected in the Current Report on Form 8-K referenced in the immediately prior sentence.</w:t>
      </w:r>
    </w:p>
    <w:p>
      <w:pPr>
        <w:spacing w:after="0" w:line="28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8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16" w:name="page217"/>
    <w:bookmarkEnd w:id="216"/>
    <w:p>
      <w:pPr>
        <w:ind w:right="80" w:firstLine="656"/>
        <w:spacing w:after="0" w:line="296" w:lineRule="auto"/>
        <w:tabs>
          <w:tab w:leader="none" w:pos="1532" w:val="left"/>
        </w:tabs>
        <w:numPr>
          <w:ilvl w:val="0"/>
          <w:numId w:val="120"/>
        </w:numPr>
        <w:rPr>
          <w:rFonts w:ascii="Arial" w:cs="Arial" w:eastAsia="Arial" w:hAnsi="Arial"/>
          <w:sz w:val="16"/>
          <w:szCs w:val="16"/>
          <w:color w:val="auto"/>
        </w:rPr>
      </w:pPr>
      <w:r>
        <w:rPr>
          <w:rFonts w:ascii="Arial" w:cs="Arial" w:eastAsia="Arial" w:hAnsi="Arial"/>
          <w:sz w:val="16"/>
          <w:szCs w:val="16"/>
          <w:u w:val="single" w:color="auto"/>
          <w:color w:val="auto"/>
        </w:rPr>
        <w:t>Quarterly Review</w:t>
      </w:r>
      <w:r>
        <w:rPr>
          <w:rFonts w:ascii="Arial" w:cs="Arial" w:eastAsia="Arial" w:hAnsi="Arial"/>
          <w:sz w:val="16"/>
          <w:szCs w:val="16"/>
          <w:color w:val="auto"/>
        </w:rPr>
        <w:t>. For a period commencing on the initial effective date of the Registration Statement and ending five years from the date of the consummation of the Business Combination or until such earlier time at which the Liquidation occurs or the Ordinary Shares and Warrants cease to be publicly traded, the Company, at its expense, shall cause its regularly engaged independent registered public accounting firm to review (but not audit) the Company’s financial statements for each of the first three fiscal quarters prior to the announcement of quarterly financial information, the filing of the Company’s Form 10-Q quarterly report and the mailing, if any, of quarterly financial information to shareholders.</w:t>
      </w:r>
    </w:p>
    <w:p>
      <w:pPr>
        <w:spacing w:after="0" w:line="161" w:lineRule="exact"/>
        <w:rPr>
          <w:rFonts w:ascii="Arial" w:cs="Arial" w:eastAsia="Arial" w:hAnsi="Arial"/>
          <w:sz w:val="16"/>
          <w:szCs w:val="16"/>
          <w:color w:val="auto"/>
        </w:rPr>
      </w:pPr>
    </w:p>
    <w:p>
      <w:pPr>
        <w:ind w:right="20" w:firstLine="656"/>
        <w:spacing w:after="0" w:line="259" w:lineRule="auto"/>
        <w:tabs>
          <w:tab w:leader="none" w:pos="1547" w:val="left"/>
        </w:tabs>
        <w:numPr>
          <w:ilvl w:val="0"/>
          <w:numId w:val="120"/>
        </w:numPr>
        <w:rPr>
          <w:rFonts w:ascii="Arial" w:cs="Arial" w:eastAsia="Arial" w:hAnsi="Arial"/>
          <w:sz w:val="18"/>
          <w:szCs w:val="18"/>
          <w:color w:val="auto"/>
        </w:rPr>
      </w:pPr>
      <w:r>
        <w:rPr>
          <w:rFonts w:ascii="Arial" w:cs="Arial" w:eastAsia="Arial" w:hAnsi="Arial"/>
          <w:sz w:val="18"/>
          <w:szCs w:val="18"/>
          <w:u w:val="single" w:color="auto"/>
          <w:color w:val="auto"/>
        </w:rPr>
        <w:t>Rule 462(b) Registration Statement</w:t>
      </w:r>
      <w:r>
        <w:rPr>
          <w:rFonts w:ascii="Arial" w:cs="Arial" w:eastAsia="Arial" w:hAnsi="Arial"/>
          <w:sz w:val="18"/>
          <w:szCs w:val="18"/>
          <w:color w:val="auto"/>
        </w:rPr>
        <w:t>. If the Company elects to rely upon Rule 462(b), the Company shall file a Rule 462(b) Registration Statement with the Commission in compliance with Rule 462(b) by 10:00 P.M., Washington, D.C. time, on the date of this Agreement, and the Company shall at the time of filing either pay to the Commission the filing fee for the Rule 462(b) Registration Statement or give irrevocable instructions for the payment of such fee pursuant to Rule 111(b) under the Securities Act.</w:t>
      </w:r>
    </w:p>
    <w:p>
      <w:pPr>
        <w:spacing w:after="0" w:line="186" w:lineRule="exact"/>
        <w:rPr>
          <w:rFonts w:ascii="Arial" w:cs="Arial" w:eastAsia="Arial" w:hAnsi="Arial"/>
          <w:sz w:val="18"/>
          <w:szCs w:val="18"/>
          <w:color w:val="auto"/>
        </w:rPr>
      </w:pPr>
    </w:p>
    <w:p>
      <w:pPr>
        <w:ind w:firstLine="656"/>
        <w:spacing w:after="0" w:line="263" w:lineRule="auto"/>
        <w:tabs>
          <w:tab w:leader="none" w:pos="1558" w:val="left"/>
        </w:tabs>
        <w:numPr>
          <w:ilvl w:val="0"/>
          <w:numId w:val="120"/>
        </w:numPr>
        <w:rPr>
          <w:rFonts w:ascii="Arial" w:cs="Arial" w:eastAsia="Arial" w:hAnsi="Arial"/>
          <w:sz w:val="18"/>
          <w:szCs w:val="18"/>
          <w:color w:val="auto"/>
        </w:rPr>
      </w:pPr>
      <w:r>
        <w:rPr>
          <w:rFonts w:ascii="Arial" w:cs="Arial" w:eastAsia="Arial" w:hAnsi="Arial"/>
          <w:sz w:val="18"/>
          <w:szCs w:val="18"/>
          <w:u w:val="single" w:color="auto"/>
          <w:color w:val="auto"/>
        </w:rPr>
        <w:t>Transfer and Warrant Agent</w:t>
      </w:r>
      <w:r>
        <w:rPr>
          <w:rFonts w:ascii="Arial" w:cs="Arial" w:eastAsia="Arial" w:hAnsi="Arial"/>
          <w:sz w:val="18"/>
          <w:szCs w:val="18"/>
          <w:color w:val="auto"/>
        </w:rPr>
        <w:t>. For a period commencing on the initial effective date of the Registration Statement and ending five years from the date of the consummation of the Business Combination or until such earlier time at which the Liquidation occurs or the Ordinary Shares and Warrants cease to be publicly traded, the Company shall retain a transfer and warrant agent.</w:t>
      </w:r>
    </w:p>
    <w:p>
      <w:pPr>
        <w:spacing w:after="0" w:line="183" w:lineRule="exact"/>
        <w:rPr>
          <w:rFonts w:ascii="Arial" w:cs="Arial" w:eastAsia="Arial" w:hAnsi="Arial"/>
          <w:sz w:val="18"/>
          <w:szCs w:val="18"/>
          <w:color w:val="auto"/>
        </w:rPr>
      </w:pPr>
    </w:p>
    <w:p>
      <w:pPr>
        <w:ind w:right="40" w:firstLine="656"/>
        <w:spacing w:after="0" w:line="293" w:lineRule="auto"/>
        <w:tabs>
          <w:tab w:leader="none" w:pos="1582" w:val="left"/>
        </w:tabs>
        <w:numPr>
          <w:ilvl w:val="0"/>
          <w:numId w:val="120"/>
        </w:numPr>
        <w:rPr>
          <w:rFonts w:ascii="Arial" w:cs="Arial" w:eastAsia="Arial" w:hAnsi="Arial"/>
          <w:sz w:val="16"/>
          <w:szCs w:val="16"/>
          <w:color w:val="auto"/>
        </w:rPr>
      </w:pPr>
      <w:r>
        <w:rPr>
          <w:rFonts w:ascii="Arial" w:cs="Arial" w:eastAsia="Arial" w:hAnsi="Arial"/>
          <w:sz w:val="16"/>
          <w:szCs w:val="16"/>
          <w:u w:val="single" w:color="auto"/>
          <w:color w:val="auto"/>
        </w:rPr>
        <w:t>Initial Business Combination</w:t>
      </w:r>
      <w:r>
        <w:rPr>
          <w:rFonts w:ascii="Arial" w:cs="Arial" w:eastAsia="Arial" w:hAnsi="Arial"/>
          <w:sz w:val="16"/>
          <w:szCs w:val="16"/>
          <w:color w:val="auto"/>
        </w:rPr>
        <w:t>. The Company will not consummate an initial Business Combination with any entity that is affiliated with the Sponsor or any of the Company’s officers or directors unless it or a committee of independent and disinterested members of its board of directors obtains an opinion from an independent investment banking firm or from a valuation or appraisal firm, that such initial Business Combination is fair to the Company from a financial point of view. Except as described in the Registration Statement, the Pricing Disclosure Package and the Prospectus, the Company shall not pay the Sponsor or its affiliates or any of the Company’s officers, directors or any of their respective affiliates any fees or compensation of any kind for services rendered to the Company prior to, or in connection with, the consummation of an initial Business Combination.</w:t>
      </w:r>
    </w:p>
    <w:p>
      <w:pPr>
        <w:spacing w:after="0" w:line="164" w:lineRule="exact"/>
        <w:rPr>
          <w:rFonts w:ascii="Arial" w:cs="Arial" w:eastAsia="Arial" w:hAnsi="Arial"/>
          <w:sz w:val="16"/>
          <w:szCs w:val="16"/>
          <w:color w:val="auto"/>
        </w:rPr>
      </w:pPr>
    </w:p>
    <w:p>
      <w:pPr>
        <w:ind w:firstLine="656"/>
        <w:spacing w:after="0" w:line="253" w:lineRule="auto"/>
        <w:tabs>
          <w:tab w:leader="none" w:pos="1532" w:val="left"/>
        </w:tabs>
        <w:numPr>
          <w:ilvl w:val="0"/>
          <w:numId w:val="120"/>
        </w:numPr>
        <w:rPr>
          <w:rFonts w:ascii="Arial" w:cs="Arial" w:eastAsia="Arial" w:hAnsi="Arial"/>
          <w:sz w:val="18"/>
          <w:szCs w:val="18"/>
          <w:color w:val="auto"/>
        </w:rPr>
      </w:pPr>
      <w:r>
        <w:rPr>
          <w:rFonts w:ascii="Arial" w:cs="Arial" w:eastAsia="Arial" w:hAnsi="Arial"/>
          <w:sz w:val="18"/>
          <w:szCs w:val="18"/>
          <w:u w:val="single" w:color="auto"/>
          <w:color w:val="auto"/>
        </w:rPr>
        <w:t>FINRA Submissions</w:t>
      </w:r>
      <w:r>
        <w:rPr>
          <w:rFonts w:ascii="Arial" w:cs="Arial" w:eastAsia="Arial" w:hAnsi="Arial"/>
          <w:sz w:val="18"/>
          <w:szCs w:val="18"/>
          <w:color w:val="auto"/>
        </w:rPr>
        <w:t>. For a period of 60 days following the effective date of the Registration Statement, in the event any person or entity (regardless of any FINRA affiliation or association) is engaged to assist the Company in its search for a merger candidate or to provide any other merger and acquisition services, or has provided or will provide any investment banking, financial, advisory and/or consulting services to the Company, the Company agrees that it shall promptly provide to the Representative and its counsel a notification prior to entering into the agreement or transaction relating to a potential Business Combination: (i) the identity of the person or entity providing any such services; (ii) complete details of all such services and copies of all agreements governing such services prior to entering into the agreement or transaction; and (iii) justification as to why the value received by any person or entity for such services is not underwriting compensation for the Offering. The Company also agrees that proper disclosure of such arrangement or potential arrangement will be made in the tender offer materials or proxy statement, as applicable, which the Company may file in connection with the Business Combination for purposes of offering redemption of shares held by its shareholders or for soliciting shareholder approval, as applicable.</w:t>
      </w:r>
    </w:p>
    <w:p>
      <w:pPr>
        <w:spacing w:after="0" w:line="30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8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217" w:name="page218"/>
    <w:bookmarkEnd w:id="217"/>
    <w:p>
      <w:pPr>
        <w:ind w:right="40" w:firstLine="656"/>
        <w:spacing w:after="0" w:line="308" w:lineRule="auto"/>
        <w:tabs>
          <w:tab w:leader="none" w:pos="1532" w:val="left"/>
        </w:tabs>
        <w:numPr>
          <w:ilvl w:val="0"/>
          <w:numId w:val="121"/>
        </w:numPr>
        <w:rPr>
          <w:rFonts w:ascii="Arial" w:cs="Arial" w:eastAsia="Arial" w:hAnsi="Arial"/>
          <w:sz w:val="17"/>
          <w:szCs w:val="17"/>
          <w:color w:val="auto"/>
        </w:rPr>
      </w:pPr>
      <w:r>
        <w:rPr>
          <w:rFonts w:ascii="Arial" w:cs="Arial" w:eastAsia="Arial" w:hAnsi="Arial"/>
          <w:sz w:val="17"/>
          <w:szCs w:val="17"/>
          <w:u w:val="single" w:color="auto"/>
          <w:color w:val="auto"/>
        </w:rPr>
        <w:t>Affiliates or Associated Persons of Members</w:t>
      </w:r>
      <w:r>
        <w:rPr>
          <w:rFonts w:ascii="Arial" w:cs="Arial" w:eastAsia="Arial" w:hAnsi="Arial"/>
          <w:sz w:val="17"/>
          <w:szCs w:val="17"/>
          <w:color w:val="auto"/>
        </w:rPr>
        <w:t>. The Company shall advise the Representative and its counsel if it is aware that any 10% or greater shareholder of the Company becomes an affiliate or associated person of a Member participating in the distribution of the Units.</w:t>
      </w:r>
    </w:p>
    <w:p>
      <w:pPr>
        <w:spacing w:after="0" w:line="146" w:lineRule="exact"/>
        <w:rPr>
          <w:rFonts w:ascii="Arial" w:cs="Arial" w:eastAsia="Arial" w:hAnsi="Arial"/>
          <w:sz w:val="17"/>
          <w:szCs w:val="17"/>
          <w:color w:val="auto"/>
        </w:rPr>
      </w:pPr>
    </w:p>
    <w:p>
      <w:pPr>
        <w:ind w:firstLine="656"/>
        <w:spacing w:after="0" w:line="255" w:lineRule="auto"/>
        <w:tabs>
          <w:tab w:leader="none" w:pos="1482" w:val="left"/>
        </w:tabs>
        <w:numPr>
          <w:ilvl w:val="0"/>
          <w:numId w:val="121"/>
        </w:numPr>
        <w:rPr>
          <w:rFonts w:ascii="Arial" w:cs="Arial" w:eastAsia="Arial" w:hAnsi="Arial"/>
          <w:sz w:val="18"/>
          <w:szCs w:val="18"/>
          <w:color w:val="auto"/>
        </w:rPr>
      </w:pPr>
      <w:r>
        <w:rPr>
          <w:rFonts w:ascii="Arial" w:cs="Arial" w:eastAsia="Arial" w:hAnsi="Arial"/>
          <w:sz w:val="18"/>
          <w:szCs w:val="18"/>
          <w:u w:val="single" w:color="auto"/>
          <w:color w:val="auto"/>
        </w:rPr>
        <w:t>Trust Account Investments</w:t>
      </w:r>
      <w:r>
        <w:rPr>
          <w:rFonts w:ascii="Arial" w:cs="Arial" w:eastAsia="Arial" w:hAnsi="Arial"/>
          <w:sz w:val="18"/>
          <w:szCs w:val="18"/>
          <w:color w:val="auto"/>
        </w:rPr>
        <w:t>. The Company shall cause the proceeds of the Offering and the sale of the Private Placement Warrants to be held in the Trust Account to be invested only in United States government treasury bills with a maturity of 185 days or less or in money market funds meeting certain conditions under Rule 2a-7 under the Investment Company Act as set forth in the Trust Agreement and disclosed in the Registration Statement, the Pricing Disclosure Package and the Prospectus. The Company will otherwise conduct its business in a manner so that it will not become subject to the Investment Company Act. Furthermore, once the Company consummates an initial Business Combination, it will not be required to register as an investment company under the Investment Company Act.</w:t>
      </w:r>
    </w:p>
    <w:p>
      <w:pPr>
        <w:spacing w:after="0" w:line="192" w:lineRule="exact"/>
        <w:rPr>
          <w:rFonts w:ascii="Arial" w:cs="Arial" w:eastAsia="Arial" w:hAnsi="Arial"/>
          <w:sz w:val="18"/>
          <w:szCs w:val="18"/>
          <w:color w:val="auto"/>
        </w:rPr>
      </w:pPr>
    </w:p>
    <w:p>
      <w:pPr>
        <w:ind w:right="20" w:firstLine="656"/>
        <w:spacing w:after="0" w:line="287" w:lineRule="auto"/>
        <w:tabs>
          <w:tab w:leader="none" w:pos="1532" w:val="left"/>
        </w:tabs>
        <w:numPr>
          <w:ilvl w:val="0"/>
          <w:numId w:val="121"/>
        </w:numPr>
        <w:rPr>
          <w:rFonts w:ascii="Arial" w:cs="Arial" w:eastAsia="Arial" w:hAnsi="Arial"/>
          <w:sz w:val="16"/>
          <w:szCs w:val="16"/>
          <w:color w:val="auto"/>
        </w:rPr>
      </w:pPr>
      <w:r>
        <w:rPr>
          <w:rFonts w:ascii="Arial" w:cs="Arial" w:eastAsia="Arial" w:hAnsi="Arial"/>
          <w:sz w:val="16"/>
          <w:szCs w:val="16"/>
          <w:u w:val="single" w:color="auto"/>
          <w:color w:val="auto"/>
        </w:rPr>
        <w:t>Use of Funds in Trust Account</w:t>
      </w:r>
      <w:r>
        <w:rPr>
          <w:rFonts w:ascii="Arial" w:cs="Arial" w:eastAsia="Arial" w:hAnsi="Arial"/>
          <w:sz w:val="16"/>
          <w:szCs w:val="16"/>
          <w:color w:val="auto"/>
        </w:rPr>
        <w:t xml:space="preserve">. During the period prior to the Company’s initial Business Combination or Liquidation, the Company may instruct the Trustee to release from the Trust Account, (i) solely from interest income earned on the funds held in the Trust Account, the amounts necessary to pay taxes, if any, and (ii) to pay Public Shareholders who properly redeem their Public Shares (as defined below) in connection with a shareholder vote to approve an amendment to the Company’s Amended and Restated Memorandum and Articles of Association (x) to modify the substance or timing of the Company’s obligation to allow redemption in connection with its initial Business Combination or to redeem 100% of the outstanding Public Shares if the Company has not consummated an initial Business Combination within 24 months from the closing of the Offering or (y) with respect to any other material provisions relating to shareholders’ rights or pre-initial Business Combination activity. Otherwise, all funds held in the Trust Account (including any interest income earned on the amounts held in the Trust Account (net of taxes payable thereon in accordance with the preceding sentence)) will remain in the Trust Account until the earlier of the consummation of the Company’s initial Business Combination and the Liquidation;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the event of the Liquidation, up to $100,000 of interest income may be released to the Company if the proceeds of the Offering held by the Company outside of the Trust Account are not sufficient to cover the costs and expenses associated with implementing the Company’s plan of dissolution.</w:t>
      </w:r>
    </w:p>
    <w:p>
      <w:pPr>
        <w:spacing w:after="0" w:line="171" w:lineRule="exact"/>
        <w:rPr>
          <w:rFonts w:ascii="Arial" w:cs="Arial" w:eastAsia="Arial" w:hAnsi="Arial"/>
          <w:sz w:val="16"/>
          <w:szCs w:val="16"/>
          <w:color w:val="auto"/>
        </w:rPr>
      </w:pPr>
    </w:p>
    <w:p>
      <w:pPr>
        <w:ind w:right="100" w:firstLine="656"/>
        <w:spacing w:after="0" w:line="263" w:lineRule="auto"/>
        <w:tabs>
          <w:tab w:leader="none" w:pos="1532" w:val="left"/>
        </w:tabs>
        <w:numPr>
          <w:ilvl w:val="0"/>
          <w:numId w:val="121"/>
        </w:numPr>
        <w:rPr>
          <w:rFonts w:ascii="Arial" w:cs="Arial" w:eastAsia="Arial" w:hAnsi="Arial"/>
          <w:sz w:val="18"/>
          <w:szCs w:val="18"/>
          <w:color w:val="auto"/>
        </w:rPr>
      </w:pPr>
      <w:r>
        <w:rPr>
          <w:rFonts w:ascii="Arial" w:cs="Arial" w:eastAsia="Arial" w:hAnsi="Arial"/>
          <w:sz w:val="18"/>
          <w:szCs w:val="18"/>
          <w:u w:val="single" w:color="auto"/>
          <w:color w:val="auto"/>
        </w:rPr>
        <w:t>Availability of Authorized but Unissued Securities</w:t>
      </w:r>
      <w:r>
        <w:rPr>
          <w:rFonts w:ascii="Arial" w:cs="Arial" w:eastAsia="Arial" w:hAnsi="Arial"/>
          <w:sz w:val="18"/>
          <w:szCs w:val="18"/>
          <w:i w:val="1"/>
          <w:iCs w:val="1"/>
          <w:color w:val="auto"/>
        </w:rPr>
        <w:t>.</w:t>
      </w:r>
      <w:r>
        <w:rPr>
          <w:rFonts w:ascii="Arial" w:cs="Arial" w:eastAsia="Arial" w:hAnsi="Arial"/>
          <w:sz w:val="18"/>
          <w:szCs w:val="18"/>
          <w:color w:val="auto"/>
        </w:rPr>
        <w:t xml:space="preserve"> The Company will reserve and keep available that maximum number of its authorized but unissued securities that are issuable upon exercise of any of the Warrants and the Private Placement Warrants outstanding from time to time and the conversion of the Founder Shares.</w:t>
      </w:r>
    </w:p>
    <w:p>
      <w:pPr>
        <w:spacing w:after="0" w:line="183" w:lineRule="exact"/>
        <w:rPr>
          <w:rFonts w:ascii="Arial" w:cs="Arial" w:eastAsia="Arial" w:hAnsi="Arial"/>
          <w:sz w:val="18"/>
          <w:szCs w:val="18"/>
          <w:color w:val="auto"/>
        </w:rPr>
      </w:pPr>
    </w:p>
    <w:p>
      <w:pPr>
        <w:ind w:right="320" w:firstLine="656"/>
        <w:spacing w:after="0" w:line="259" w:lineRule="auto"/>
        <w:tabs>
          <w:tab w:leader="none" w:pos="1522" w:val="left"/>
        </w:tabs>
        <w:numPr>
          <w:ilvl w:val="0"/>
          <w:numId w:val="121"/>
        </w:numPr>
        <w:rPr>
          <w:rFonts w:ascii="Arial" w:cs="Arial" w:eastAsia="Arial" w:hAnsi="Arial"/>
          <w:sz w:val="18"/>
          <w:szCs w:val="18"/>
          <w:color w:val="auto"/>
        </w:rPr>
      </w:pPr>
      <w:r>
        <w:rPr>
          <w:rFonts w:ascii="Arial" w:cs="Arial" w:eastAsia="Arial" w:hAnsi="Arial"/>
          <w:sz w:val="18"/>
          <w:szCs w:val="18"/>
          <w:u w:val="single" w:color="auto"/>
          <w:color w:val="auto"/>
        </w:rPr>
        <w:t>No Additional Issuances prior to the Business Combination</w:t>
      </w:r>
      <w:r>
        <w:rPr>
          <w:rFonts w:ascii="Arial" w:cs="Arial" w:eastAsia="Arial" w:hAnsi="Arial"/>
          <w:sz w:val="18"/>
          <w:szCs w:val="18"/>
          <w:color w:val="auto"/>
        </w:rPr>
        <w:t>. Prior to the earlier of the consummation of an initial Business Combination and the Liquidation, the Company shall not issue (other than in replacement for lost, stolen or mutilated certificates) any Ordinary Shares, Warrants or any options or other securities convertible into Ordinary Shares, or any preferred shares, in each case, that (1) receive funds from the Trust Account or (2) vote on any initial Business Combination.</w:t>
      </w:r>
    </w:p>
    <w:p>
      <w:pPr>
        <w:spacing w:after="0" w:line="29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18" w:name="page219"/>
    <w:bookmarkEnd w:id="218"/>
    <w:p>
      <w:pPr>
        <w:ind w:left="-20" w:firstLine="656"/>
        <w:spacing w:after="0" w:line="263" w:lineRule="auto"/>
        <w:tabs>
          <w:tab w:leader="none" w:pos="1447" w:val="left"/>
        </w:tabs>
        <w:numPr>
          <w:ilvl w:val="0"/>
          <w:numId w:val="122"/>
        </w:numPr>
        <w:rPr>
          <w:rFonts w:ascii="Arial" w:cs="Arial" w:eastAsia="Arial" w:hAnsi="Arial"/>
          <w:sz w:val="18"/>
          <w:szCs w:val="18"/>
          <w:color w:val="auto"/>
        </w:rPr>
      </w:pPr>
      <w:r>
        <w:rPr>
          <w:rFonts w:ascii="Arial" w:cs="Arial" w:eastAsia="Arial" w:hAnsi="Arial"/>
          <w:sz w:val="18"/>
          <w:szCs w:val="18"/>
          <w:u w:val="single" w:color="auto"/>
          <w:color w:val="auto"/>
        </w:rPr>
        <w:t>Audit Committee Review</w:t>
      </w:r>
      <w:r>
        <w:rPr>
          <w:rFonts w:ascii="Arial" w:cs="Arial" w:eastAsia="Arial" w:hAnsi="Arial"/>
          <w:sz w:val="18"/>
          <w:szCs w:val="18"/>
          <w:color w:val="auto"/>
        </w:rPr>
        <w:t>. Prior to the earlier of the consummation of an initial Business Combination and the Liquidation, the Company’s audit committee will review on a quarterly basis all payments made to the Sponsor, to the Company’s officers or directors, or to the Company’s or any of such other persons’ respective affiliates.</w:t>
      </w:r>
    </w:p>
    <w:p>
      <w:pPr>
        <w:spacing w:after="0" w:line="183" w:lineRule="exact"/>
        <w:rPr>
          <w:rFonts w:ascii="Arial" w:cs="Arial" w:eastAsia="Arial" w:hAnsi="Arial"/>
          <w:sz w:val="18"/>
          <w:szCs w:val="18"/>
          <w:color w:val="auto"/>
        </w:rPr>
      </w:pPr>
    </w:p>
    <w:p>
      <w:pPr>
        <w:ind w:left="-20" w:right="120" w:firstLine="656"/>
        <w:spacing w:after="0" w:line="259" w:lineRule="auto"/>
        <w:tabs>
          <w:tab w:leader="none" w:pos="1422" w:val="left"/>
        </w:tabs>
        <w:numPr>
          <w:ilvl w:val="0"/>
          <w:numId w:val="122"/>
        </w:numPr>
        <w:rPr>
          <w:rFonts w:ascii="Arial" w:cs="Arial" w:eastAsia="Arial" w:hAnsi="Arial"/>
          <w:sz w:val="18"/>
          <w:szCs w:val="18"/>
          <w:color w:val="auto"/>
        </w:rPr>
      </w:pPr>
      <w:r>
        <w:rPr>
          <w:rFonts w:ascii="Arial" w:cs="Arial" w:eastAsia="Arial" w:hAnsi="Arial"/>
          <w:sz w:val="18"/>
          <w:szCs w:val="18"/>
          <w:u w:val="single" w:color="auto"/>
          <w:color w:val="auto"/>
        </w:rPr>
        <w:t>Penny Stock</w:t>
      </w:r>
      <w:r>
        <w:rPr>
          <w:rFonts w:ascii="Arial" w:cs="Arial" w:eastAsia="Arial" w:hAnsi="Arial"/>
          <w:sz w:val="18"/>
          <w:szCs w:val="18"/>
          <w:color w:val="auto"/>
        </w:rPr>
        <w:t>. The Company agrees that it will use commercially reasonable efforts to prevent the Company from becoming subject to Rule 419 under the Securities Act prior to the consummation of any Business Combination, including, but not limited to, using its best efforts to prevent any of the Company’s outstanding securities from being deemed to be a “penny stock” as defined in Rule 3a51-1 under the Exchange Act during such period.</w:t>
      </w:r>
    </w:p>
    <w:p>
      <w:pPr>
        <w:spacing w:after="0" w:line="186" w:lineRule="exact"/>
        <w:rPr>
          <w:rFonts w:ascii="Arial" w:cs="Arial" w:eastAsia="Arial" w:hAnsi="Arial"/>
          <w:sz w:val="18"/>
          <w:szCs w:val="18"/>
          <w:color w:val="auto"/>
        </w:rPr>
      </w:pPr>
    </w:p>
    <w:p>
      <w:pPr>
        <w:jc w:val="both"/>
        <w:ind w:left="-20" w:right="80" w:firstLine="656"/>
        <w:spacing w:after="0" w:line="293" w:lineRule="auto"/>
        <w:tabs>
          <w:tab w:leader="none" w:pos="1447" w:val="left"/>
        </w:tabs>
        <w:numPr>
          <w:ilvl w:val="0"/>
          <w:numId w:val="122"/>
        </w:numPr>
        <w:rPr>
          <w:rFonts w:ascii="Arial" w:cs="Arial" w:eastAsia="Arial" w:hAnsi="Arial"/>
          <w:sz w:val="16"/>
          <w:szCs w:val="16"/>
          <w:color w:val="auto"/>
        </w:rPr>
      </w:pPr>
      <w:r>
        <w:rPr>
          <w:rFonts w:ascii="Arial" w:cs="Arial" w:eastAsia="Arial" w:hAnsi="Arial"/>
          <w:sz w:val="16"/>
          <w:szCs w:val="16"/>
          <w:u w:val="single" w:color="auto"/>
          <w:color w:val="auto"/>
        </w:rPr>
        <w:t>Internal Controls</w:t>
      </w:r>
      <w:r>
        <w:rPr>
          <w:rFonts w:ascii="Arial" w:cs="Arial" w:eastAsia="Arial" w:hAnsi="Arial"/>
          <w:sz w:val="16"/>
          <w:szCs w:val="16"/>
          <w:color w:val="auto"/>
        </w:rPr>
        <w:t>. To the extent required by Rule 13a-15(e) under the Exchange Act, the Company will maintain “disclosure controls and procedures” (as defined under Rule 13a-15(e) under the Exchange Act) and a system of internal accounting controls sufficient to provide reasonable assurances that (i) transactions are executed in accordance with management’s general or specific authorization, (ii) transactions are recorded as necessary in order to permit preparation of financial statements in accordance with GAAP and to maintain accountability for assets, (iii) access to assets is permitted only in accordance with management’s general or specific authorization, and (iv) the recorded accountability for assets is compared with existing assets at reasonable intervals and appropriate action is taken with respect to any differences.</w:t>
      </w:r>
    </w:p>
    <w:p>
      <w:pPr>
        <w:spacing w:after="0" w:line="164" w:lineRule="exact"/>
        <w:rPr>
          <w:rFonts w:ascii="Arial" w:cs="Arial" w:eastAsia="Arial" w:hAnsi="Arial"/>
          <w:sz w:val="16"/>
          <w:szCs w:val="16"/>
          <w:color w:val="auto"/>
        </w:rPr>
      </w:pPr>
    </w:p>
    <w:p>
      <w:pPr>
        <w:ind w:left="-20" w:right="160" w:firstLine="656"/>
        <w:spacing w:after="0" w:line="259" w:lineRule="auto"/>
        <w:tabs>
          <w:tab w:leader="none" w:pos="1422" w:val="left"/>
        </w:tabs>
        <w:numPr>
          <w:ilvl w:val="0"/>
          <w:numId w:val="122"/>
        </w:numPr>
        <w:rPr>
          <w:rFonts w:ascii="Arial" w:cs="Arial" w:eastAsia="Arial" w:hAnsi="Arial"/>
          <w:sz w:val="18"/>
          <w:szCs w:val="18"/>
          <w:color w:val="auto"/>
        </w:rPr>
      </w:pPr>
      <w:r>
        <w:rPr>
          <w:rFonts w:ascii="Arial" w:cs="Arial" w:eastAsia="Arial" w:hAnsi="Arial"/>
          <w:sz w:val="18"/>
          <w:szCs w:val="18"/>
          <w:u w:val="single" w:color="auto"/>
          <w:color w:val="auto"/>
        </w:rPr>
        <w:t>Maintenance of Listing</w:t>
      </w:r>
      <w:r>
        <w:rPr>
          <w:rFonts w:ascii="Arial" w:cs="Arial" w:eastAsia="Arial" w:hAnsi="Arial"/>
          <w:sz w:val="18"/>
          <w:szCs w:val="18"/>
          <w:color w:val="auto"/>
        </w:rPr>
        <w:t>. The Company will use commercially reasonable efforts to effect and maintain the listing of (x) the Units and Warrants on the NYSE (or another national securities exchange) until the consummation of the Business Combination or until such earlier time at which the Liquidation occurs, and (y) the Ordinary Shares on the NYSE (or another national securities exchange) until five years from the date of the consummation of the Business Combination or until such earlier time at which Liquidation occurs.</w:t>
      </w:r>
    </w:p>
    <w:p>
      <w:pPr>
        <w:spacing w:after="0" w:line="186" w:lineRule="exact"/>
        <w:rPr>
          <w:rFonts w:ascii="Arial" w:cs="Arial" w:eastAsia="Arial" w:hAnsi="Arial"/>
          <w:sz w:val="18"/>
          <w:szCs w:val="18"/>
          <w:color w:val="auto"/>
        </w:rPr>
      </w:pPr>
    </w:p>
    <w:p>
      <w:pPr>
        <w:jc w:val="both"/>
        <w:ind w:left="-20" w:right="20" w:firstLine="656"/>
        <w:spacing w:after="0" w:line="263" w:lineRule="auto"/>
        <w:tabs>
          <w:tab w:leader="none" w:pos="1447" w:val="left"/>
        </w:tabs>
        <w:numPr>
          <w:ilvl w:val="0"/>
          <w:numId w:val="122"/>
        </w:numPr>
        <w:rPr>
          <w:rFonts w:ascii="Arial" w:cs="Arial" w:eastAsia="Arial" w:hAnsi="Arial"/>
          <w:sz w:val="18"/>
          <w:szCs w:val="18"/>
          <w:color w:val="auto"/>
        </w:rPr>
      </w:pPr>
      <w:r>
        <w:rPr>
          <w:rFonts w:ascii="Arial" w:cs="Arial" w:eastAsia="Arial" w:hAnsi="Arial"/>
          <w:sz w:val="18"/>
          <w:szCs w:val="18"/>
          <w:u w:val="single" w:color="auto"/>
          <w:color w:val="auto"/>
        </w:rPr>
        <w:t>Sarbanes Oxley</w:t>
      </w:r>
      <w:r>
        <w:rPr>
          <w:rFonts w:ascii="Arial" w:cs="Arial" w:eastAsia="Arial" w:hAnsi="Arial"/>
          <w:sz w:val="18"/>
          <w:szCs w:val="18"/>
          <w:color w:val="auto"/>
        </w:rPr>
        <w:t>. As soon as legally required to do so, the Company and its directors and officers, in their capacities as such, shall take all actions necessary to comply with any applicable provisions of the Sarbanes-Oxley Act, including Section 402 related to loans and Sections 302 and 906 related to certifications, and to comply with the rules of NYSE.</w:t>
      </w:r>
    </w:p>
    <w:p>
      <w:pPr>
        <w:spacing w:after="0" w:line="183" w:lineRule="exact"/>
        <w:rPr>
          <w:rFonts w:ascii="Arial" w:cs="Arial" w:eastAsia="Arial" w:hAnsi="Arial"/>
          <w:sz w:val="18"/>
          <w:szCs w:val="18"/>
          <w:color w:val="auto"/>
        </w:rPr>
      </w:pPr>
    </w:p>
    <w:p>
      <w:pPr>
        <w:ind w:left="-20" w:right="340" w:firstLine="656"/>
        <w:spacing w:after="0" w:line="277" w:lineRule="auto"/>
        <w:tabs>
          <w:tab w:leader="none" w:pos="1494" w:val="left"/>
        </w:tabs>
        <w:numPr>
          <w:ilvl w:val="0"/>
          <w:numId w:val="122"/>
        </w:numPr>
        <w:rPr>
          <w:rFonts w:ascii="Arial" w:cs="Arial" w:eastAsia="Arial" w:hAnsi="Arial"/>
          <w:sz w:val="18"/>
          <w:szCs w:val="18"/>
          <w:color w:val="auto"/>
        </w:rPr>
      </w:pPr>
      <w:r>
        <w:rPr>
          <w:rFonts w:ascii="Arial" w:cs="Arial" w:eastAsia="Arial" w:hAnsi="Arial"/>
          <w:sz w:val="18"/>
          <w:szCs w:val="18"/>
          <w:u w:val="single" w:color="auto"/>
          <w:color w:val="auto"/>
        </w:rPr>
        <w:t>Memorandum and Articles of Association</w:t>
      </w:r>
      <w:r>
        <w:rPr>
          <w:rFonts w:ascii="Arial" w:cs="Arial" w:eastAsia="Arial" w:hAnsi="Arial"/>
          <w:sz w:val="18"/>
          <w:szCs w:val="18"/>
          <w:color w:val="auto"/>
        </w:rPr>
        <w:t>. The Company shall not take any action or omit to take any action that would cause the Company to be in breach or violation of its Amended and Restated Memorandum and Articles of Association.</w:t>
      </w:r>
    </w:p>
    <w:p>
      <w:pPr>
        <w:spacing w:after="0" w:line="170" w:lineRule="exact"/>
        <w:rPr>
          <w:rFonts w:ascii="Arial" w:cs="Arial" w:eastAsia="Arial" w:hAnsi="Arial"/>
          <w:sz w:val="18"/>
          <w:szCs w:val="18"/>
          <w:color w:val="auto"/>
        </w:rPr>
      </w:pPr>
    </w:p>
    <w:p>
      <w:pPr>
        <w:ind w:left="-20" w:right="40" w:firstLine="656"/>
        <w:spacing w:after="0" w:line="279" w:lineRule="auto"/>
        <w:tabs>
          <w:tab w:leader="none" w:pos="1422" w:val="left"/>
        </w:tabs>
        <w:numPr>
          <w:ilvl w:val="0"/>
          <w:numId w:val="122"/>
        </w:numPr>
        <w:rPr>
          <w:rFonts w:ascii="Arial" w:cs="Arial" w:eastAsia="Arial" w:hAnsi="Arial"/>
          <w:sz w:val="17"/>
          <w:szCs w:val="17"/>
          <w:color w:val="auto"/>
        </w:rPr>
      </w:pPr>
      <w:r>
        <w:rPr>
          <w:rFonts w:ascii="Arial" w:cs="Arial" w:eastAsia="Arial" w:hAnsi="Arial"/>
          <w:sz w:val="17"/>
          <w:szCs w:val="17"/>
          <w:u w:val="single" w:color="auto"/>
          <w:color w:val="auto"/>
        </w:rPr>
        <w:t>Consummate the Initial Business Combination</w:t>
      </w:r>
      <w:r>
        <w:rPr>
          <w:rFonts w:ascii="Arial" w:cs="Arial" w:eastAsia="Arial" w:hAnsi="Arial"/>
          <w:sz w:val="17"/>
          <w:szCs w:val="17"/>
          <w:color w:val="auto"/>
        </w:rPr>
        <w:t>. The Company, subject to any applicable provision of the Company’s Amended and Restated Memorandum and Articles of Association, may consummate the initial Business Combination and conduct redemptions of Public Shares for cash upon consummation of such Business Combination without a shareholder vote pursuant to Rule 13e-4 and Regulation 14E under the Exchange Act, including the filing of tender offer documents with the Commission. Such tender offer documents will contain</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8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40" w:top="584" w:right="379" w:bottom="1440" w:gutter="0" w:footer="0" w:header="0"/>
        </w:sectPr>
      </w:pPr>
    </w:p>
    <w:bookmarkStart w:id="219" w:name="page220"/>
    <w:bookmarkEnd w:id="219"/>
    <w:p>
      <w:pPr>
        <w:spacing w:after="0" w:line="283" w:lineRule="auto"/>
        <w:rPr>
          <w:sz w:val="20"/>
          <w:szCs w:val="20"/>
          <w:color w:val="auto"/>
        </w:rPr>
      </w:pPr>
      <w:r>
        <w:rPr>
          <w:rFonts w:ascii="Arial" w:cs="Arial" w:eastAsia="Arial" w:hAnsi="Arial"/>
          <w:sz w:val="16"/>
          <w:szCs w:val="16"/>
          <w:color w:val="auto"/>
        </w:rPr>
        <w:t>substantially the same financial and other information about the initial Business Combination and the redemption rights as is required under the Commission’s proxy rules and will provide each shareholder of the Company with the opportunity prior to the consummation of the initial Business Combination to redeem the Ordinary Shares held by such shareholder for an amount of cash equal to (A) the aggregate amount then on deposit in the Trust Account, calculated as of two business days prior to the consummation of the initial Business Combination, representing (x) the proceeds held in the Trust Account from the Offering and the sale of the Private Placement Warrants and (y) interest income earned on the funds held in the Trust Account (which interest shall be net of taxes payable), divided by (B) the total number of Ordinary Shares sold as part of the Units in the Offering (the “</w:t>
      </w:r>
      <w:r>
        <w:rPr>
          <w:rFonts w:ascii="Arial" w:cs="Arial" w:eastAsia="Arial" w:hAnsi="Arial"/>
          <w:sz w:val="16"/>
          <w:szCs w:val="16"/>
          <w:u w:val="single" w:color="auto"/>
          <w:color w:val="auto"/>
        </w:rPr>
        <w:t>Public Shares</w:t>
      </w:r>
      <w:r>
        <w:rPr>
          <w:rFonts w:ascii="Arial" w:cs="Arial" w:eastAsia="Arial" w:hAnsi="Arial"/>
          <w:sz w:val="16"/>
          <w:szCs w:val="16"/>
          <w:color w:val="auto"/>
        </w:rPr>
        <w:t>”) then outstanding. If, however, a shareholder vote is required by applicable law or stock exchange listing requirement in connection with the initial Business Combination, or the Company decides to hold a shareholder vote for business or other reasons, the Company will submit such Business Combination to the Company’s shareholders for their approval (“</w:t>
      </w:r>
      <w:r>
        <w:rPr>
          <w:rFonts w:ascii="Arial" w:cs="Arial" w:eastAsia="Arial" w:hAnsi="Arial"/>
          <w:sz w:val="16"/>
          <w:szCs w:val="16"/>
          <w:u w:val="single" w:color="auto"/>
          <w:color w:val="auto"/>
        </w:rPr>
        <w:t>Business Combination Vote</w:t>
      </w:r>
      <w:r>
        <w:rPr>
          <w:rFonts w:ascii="Arial" w:cs="Arial" w:eastAsia="Arial" w:hAnsi="Arial"/>
          <w:sz w:val="16"/>
          <w:szCs w:val="16"/>
          <w:color w:val="auto"/>
        </w:rPr>
        <w:t>”). With respect to the initial Business Combination Vote, if any, each of the Sponsor and the Company’s directors and officers has agreed to vote all of the Founder Shares and Public Shares it then holds, if any, in favor of the Company’s initial Business Combination. If the Company seeks shareholder approval of the initial Business Combination, the Company will offer to each Public Shareholder the right to have its shares redeemed in conjunction with a proxy solicitation pursuant to the proxy rules of the Commission at a per share redemption price (the “</w:t>
      </w:r>
      <w:r>
        <w:rPr>
          <w:rFonts w:ascii="Arial" w:cs="Arial" w:eastAsia="Arial" w:hAnsi="Arial"/>
          <w:sz w:val="16"/>
          <w:szCs w:val="16"/>
          <w:u w:val="single" w:color="auto"/>
          <w:color w:val="auto"/>
        </w:rPr>
        <w:t>Redemption Price</w:t>
      </w:r>
      <w:r>
        <w:rPr>
          <w:rFonts w:ascii="Arial" w:cs="Arial" w:eastAsia="Arial" w:hAnsi="Arial"/>
          <w:sz w:val="16"/>
          <w:szCs w:val="16"/>
          <w:color w:val="auto"/>
        </w:rPr>
        <w:t>”) equal to (I) the aggregate amount then on deposit in the Trust Account, calculated as of two business days prior to the consummation of the initial Business Combination, representing (1) the proceeds held in the Trust Account from the Offering and the sale of the Private Placement Warrants and (2) interest income earned on the funds held in the Trust Account (which interest shall be net of any taxes payable), divided by (II) the total number of Public Shares then outstanding. If the Company seeks shareholder approval of the initial Business Combination, the Company may proceed with such Business Combination only if the Company receives an ordinary resolution under Cayman Islands law, which requires the affirmative vote of a majority of the shareholders who attend and vote at a general meeting of the Company. If, after seeking and receiving such shareholder approval, the Company elects to so proceed, it will redeem shares, at the Redemption Price, from those Public Shareholders who validly and affirmatively requested such redemption. Only Public Shareholders who properly exercise their redemption rights, in accordance with the applicable tender offer or proxy materials related to such Business Combination and the Amended and Restated Memorandum and Articles of Association, shall be entitled to receive distributions from the Trust Account in connection with an initial Business Combination, and the Company shall pay no distributions with respect to any other holders of shares of capital stock of the Company in connection therewith. In the event that the Company does not effect a Business Combination by twenty-four months from the closing of the Offering (or such later date as has been approved pursuant to a valid amendment to the Company’s Amended and Restated Memorandum and Articles of Association), the Company will (i) cease all operations except for the purpose of winding up, (ii) as promptly as reasonably possible but not more than ten business days thereafter, redeem 100% of the Public Shares, at a per-share price, payable in cash, equal to the aggregate amount then on deposit in the Trust Account, including interest (less taxes payable and up to $100,000 of interest income to pay dissolution expenses ), divided by the number of then outstanding Public Shares, which redemption will completely extinguish Public Shareholders’ rights as shareholders (including the right to receive</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9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584" w:right="379" w:bottom="1440" w:gutter="0" w:footer="0" w:header="0"/>
        </w:sectPr>
      </w:pPr>
    </w:p>
    <w:bookmarkStart w:id="220" w:name="page221"/>
    <w:bookmarkEnd w:id="220"/>
    <w:p>
      <w:pPr>
        <w:ind w:right="20"/>
        <w:spacing w:after="0" w:line="269" w:lineRule="auto"/>
        <w:rPr>
          <w:sz w:val="20"/>
          <w:szCs w:val="20"/>
          <w:color w:val="auto"/>
        </w:rPr>
      </w:pPr>
      <w:r>
        <w:rPr>
          <w:rFonts w:ascii="Arial" w:cs="Arial" w:eastAsia="Arial" w:hAnsi="Arial"/>
          <w:sz w:val="17"/>
          <w:szCs w:val="17"/>
          <w:color w:val="auto"/>
        </w:rPr>
        <w:t>further liquidation distributions, if any), and (iii) as promptly as reasonably possible following such redemption, subject to the approval of the Company’s remaining shareholders and the Company’s board of directors, liquidate and dissolve, subject, in each case, to the Company’s obligations under Cayman Islands law to provide for claims of creditors and in all cases subject to the other requirements of applicable law. Only Public Shareholders holding Ordinary Shares included in the Units shall be entitled to receive such redemption amounts and the Company shall pay no such redemption amounts with respect to any other shares of capital stock of the Company. The Sponsor and the Company’s officers and directors have agreed that they will not propose any amendment to the Company’s Amended and Restated Memorandum and Articles of Association (A) to modify the substance or timing of the Company’s obligation to allow redemption in connection with its initial Business Combination or to redeem 100% of the outstanding Public Shares if the Company has not consummated an initial Business Combination within 24 months from the closing of the Offering or (B) with respect to any other material provisions relating to shareholders’ rights or pre-initial Business Combination activity, unless the Company offers to the Public Shareholders the right to redeem their Public Shares in connection with such amendment, as described in the Registration Statement, the Pricing Disclosure Package and the Prospectus.</w:t>
      </w:r>
    </w:p>
    <w:p>
      <w:pPr>
        <w:spacing w:after="0" w:line="182" w:lineRule="exact"/>
        <w:rPr>
          <w:sz w:val="20"/>
          <w:szCs w:val="20"/>
          <w:color w:val="auto"/>
        </w:rPr>
      </w:pPr>
    </w:p>
    <w:p>
      <w:pPr>
        <w:ind w:firstLine="656"/>
        <w:spacing w:after="0" w:line="254" w:lineRule="auto"/>
        <w:tabs>
          <w:tab w:leader="none" w:pos="1442" w:val="left"/>
        </w:tabs>
        <w:numPr>
          <w:ilvl w:val="0"/>
          <w:numId w:val="123"/>
        </w:numPr>
        <w:rPr>
          <w:rFonts w:ascii="Arial" w:cs="Arial" w:eastAsia="Arial" w:hAnsi="Arial"/>
          <w:sz w:val="18"/>
          <w:szCs w:val="18"/>
          <w:color w:val="auto"/>
        </w:rPr>
      </w:pPr>
      <w:r>
        <w:rPr>
          <w:rFonts w:ascii="Arial" w:cs="Arial" w:eastAsia="Arial" w:hAnsi="Arial"/>
          <w:sz w:val="18"/>
          <w:szCs w:val="18"/>
          <w:u w:val="single" w:color="auto"/>
          <w:color w:val="auto"/>
        </w:rPr>
        <w:t>Business Combination Announcement</w:t>
      </w:r>
      <w:r>
        <w:rPr>
          <w:rFonts w:ascii="Arial" w:cs="Arial" w:eastAsia="Arial" w:hAnsi="Arial"/>
          <w:sz w:val="18"/>
          <w:szCs w:val="18"/>
          <w:color w:val="auto"/>
        </w:rPr>
        <w:t>. In the event that the Company desires or is required by an applicable law or regulation to cause an announcement (a “</w:t>
      </w:r>
      <w:r>
        <w:rPr>
          <w:rFonts w:ascii="Arial" w:cs="Arial" w:eastAsia="Arial" w:hAnsi="Arial"/>
          <w:sz w:val="18"/>
          <w:szCs w:val="18"/>
          <w:u w:val="single" w:color="auto"/>
          <w:color w:val="auto"/>
        </w:rPr>
        <w:t>Business Combination Announcement</w:t>
      </w:r>
      <w:r>
        <w:rPr>
          <w:rFonts w:ascii="Arial" w:cs="Arial" w:eastAsia="Arial" w:hAnsi="Arial"/>
          <w:sz w:val="18"/>
          <w:szCs w:val="18"/>
          <w:color w:val="auto"/>
        </w:rPr>
        <w:t>”) to be placed in The Wall Street Journal, The New York Times or any other news or media publication or outlet or to be made via a public filing or submission with the Commission announcing the consummation of an initial Business Combination that indicates that the Underwriters were the underwriters in the Offering, the Company shall supply the Representative with a draft of the Business Combination Announcement and provide the Representative with a reasonable advance opportunity to comment thereon, subject to the agreement of the Underwriters to keep confidential such draft announcement in accordance with the Representative’s standard policies regarding confidential information.</w:t>
      </w:r>
    </w:p>
    <w:p>
      <w:pPr>
        <w:spacing w:after="0" w:line="194" w:lineRule="exact"/>
        <w:rPr>
          <w:rFonts w:ascii="Arial" w:cs="Arial" w:eastAsia="Arial" w:hAnsi="Arial"/>
          <w:sz w:val="18"/>
          <w:szCs w:val="18"/>
          <w:color w:val="auto"/>
        </w:rPr>
      </w:pPr>
    </w:p>
    <w:p>
      <w:pPr>
        <w:ind w:firstLine="656"/>
        <w:spacing w:after="0" w:line="272" w:lineRule="auto"/>
        <w:tabs>
          <w:tab w:leader="none" w:pos="1497" w:val="left"/>
        </w:tabs>
        <w:numPr>
          <w:ilvl w:val="0"/>
          <w:numId w:val="123"/>
        </w:numPr>
        <w:rPr>
          <w:rFonts w:ascii="Arial" w:cs="Arial" w:eastAsia="Arial" w:hAnsi="Arial"/>
          <w:sz w:val="17"/>
          <w:szCs w:val="17"/>
          <w:color w:val="auto"/>
        </w:rPr>
      </w:pPr>
      <w:r>
        <w:rPr>
          <w:rFonts w:ascii="Arial" w:cs="Arial" w:eastAsia="Arial" w:hAnsi="Arial"/>
          <w:sz w:val="17"/>
          <w:szCs w:val="17"/>
          <w:u w:val="single" w:color="auto"/>
          <w:color w:val="auto"/>
        </w:rPr>
        <w:t>Deferred Discount Payment</w:t>
      </w:r>
      <w:r>
        <w:rPr>
          <w:rFonts w:ascii="Arial" w:cs="Arial" w:eastAsia="Arial" w:hAnsi="Arial"/>
          <w:sz w:val="17"/>
          <w:szCs w:val="17"/>
          <w:color w:val="auto"/>
        </w:rPr>
        <w:t>. Upon the consummation of the initial Business Combination, the Company will direct the Trustee to pay the Representative, on behalf of the Underwriters, the Deferred Discount, pursuant to and subject to Section 2(c) hereof, out of the proceeds of the Offering held in the Trust Account. The Underwriters shall have no claim to payment of any interest earned on the portion of the proceeds held in the Trust Account representing the Deferred Discount. If the Company fails to consummate its initial Business Combination within the time period required by its Amended and Restated Memorandum and Articles of Association, the Deferred Discount will not be paid to the Representative and will, instead, be included in the Liquidation distribution of the proceeds held in the Trust Account made to the Public Shareholders. In connection with any such Liquidation, the Underwriters forfeit any rights or claims to the Deferred Discount.</w:t>
      </w:r>
    </w:p>
    <w:p>
      <w:pPr>
        <w:spacing w:after="0" w:line="177" w:lineRule="exact"/>
        <w:rPr>
          <w:rFonts w:ascii="Arial" w:cs="Arial" w:eastAsia="Arial" w:hAnsi="Arial"/>
          <w:sz w:val="17"/>
          <w:szCs w:val="17"/>
          <w:color w:val="auto"/>
        </w:rPr>
      </w:pPr>
    </w:p>
    <w:p>
      <w:pPr>
        <w:ind w:firstLine="656"/>
        <w:spacing w:after="0" w:line="279" w:lineRule="auto"/>
        <w:tabs>
          <w:tab w:leader="none" w:pos="1497" w:val="left"/>
        </w:tabs>
        <w:numPr>
          <w:ilvl w:val="0"/>
          <w:numId w:val="123"/>
        </w:numPr>
        <w:rPr>
          <w:rFonts w:ascii="Arial" w:cs="Arial" w:eastAsia="Arial" w:hAnsi="Arial"/>
          <w:sz w:val="17"/>
          <w:szCs w:val="17"/>
          <w:color w:val="auto"/>
        </w:rPr>
      </w:pPr>
      <w:r>
        <w:rPr>
          <w:rFonts w:ascii="Arial" w:cs="Arial" w:eastAsia="Arial" w:hAnsi="Arial"/>
          <w:sz w:val="17"/>
          <w:szCs w:val="17"/>
          <w:u w:val="single" w:color="auto"/>
          <w:color w:val="auto"/>
        </w:rPr>
        <w:t>Forfeiture</w:t>
      </w:r>
      <w:r>
        <w:rPr>
          <w:rFonts w:ascii="Arial" w:cs="Arial" w:eastAsia="Arial" w:hAnsi="Arial"/>
          <w:sz w:val="17"/>
          <w:szCs w:val="17"/>
          <w:color w:val="auto"/>
        </w:rPr>
        <w:t>. Upon the earlier to occur of the expiration and termination of the Underwriters’ over-allotment option, the Company shall cancel or otherwise effect the forfeiture of Founder Shares from the Sponsor, in an aggregate amount equal to the number of Founder Shares determined by multiplying (a) 937,500 by (b) a fraction, (i) the numerator of which is 3,750,000 minus the number of Option Units purchased by the Underwriters upon the exercise of their over-allotment option, and (ii) the denominator of which is 3,750,000. For the avoidance of</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9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584" w:right="379" w:bottom="1440" w:gutter="0" w:footer="0" w:header="0"/>
        </w:sectPr>
      </w:pPr>
    </w:p>
    <w:bookmarkStart w:id="221" w:name="page222"/>
    <w:bookmarkEnd w:id="221"/>
    <w:p>
      <w:pPr>
        <w:ind w:right="20"/>
        <w:spacing w:after="0" w:line="277" w:lineRule="auto"/>
        <w:rPr>
          <w:sz w:val="20"/>
          <w:szCs w:val="20"/>
          <w:color w:val="auto"/>
        </w:rPr>
      </w:pPr>
      <w:r>
        <w:rPr>
          <w:rFonts w:ascii="Arial" w:cs="Arial" w:eastAsia="Arial" w:hAnsi="Arial"/>
          <w:sz w:val="18"/>
          <w:szCs w:val="18"/>
          <w:color w:val="auto"/>
        </w:rPr>
        <w:t>doubt, if the Underwriters exercise their over-allotment option in full, the Company shall not cancel or otherwise effect the forfeiture of the Founder Shares pursuant to this Section 4(jj).</w:t>
      </w:r>
    </w:p>
    <w:p>
      <w:pPr>
        <w:spacing w:after="0" w:line="170" w:lineRule="exact"/>
        <w:rPr>
          <w:sz w:val="20"/>
          <w:szCs w:val="20"/>
          <w:color w:val="auto"/>
        </w:rPr>
      </w:pPr>
    </w:p>
    <w:p>
      <w:pPr>
        <w:ind w:firstLine="656"/>
        <w:spacing w:after="0" w:line="254" w:lineRule="auto"/>
        <w:tabs>
          <w:tab w:leader="none" w:pos="1442" w:val="left"/>
        </w:tabs>
        <w:numPr>
          <w:ilvl w:val="1"/>
          <w:numId w:val="124"/>
        </w:numPr>
        <w:rPr>
          <w:rFonts w:ascii="Arial" w:cs="Arial" w:eastAsia="Arial" w:hAnsi="Arial"/>
          <w:sz w:val="18"/>
          <w:szCs w:val="18"/>
          <w:color w:val="auto"/>
        </w:rPr>
      </w:pPr>
      <w:r>
        <w:rPr>
          <w:rFonts w:ascii="Arial" w:cs="Arial" w:eastAsia="Arial" w:hAnsi="Arial"/>
          <w:sz w:val="18"/>
          <w:szCs w:val="18"/>
          <w:u w:val="single" w:color="auto"/>
          <w:color w:val="auto"/>
        </w:rPr>
        <w:t>Written Testing-the-Waters Communication</w:t>
      </w:r>
      <w:r>
        <w:rPr>
          <w:rFonts w:ascii="Arial" w:cs="Arial" w:eastAsia="Arial" w:hAnsi="Arial"/>
          <w:sz w:val="18"/>
          <w:szCs w:val="18"/>
          <w:color w:val="auto"/>
        </w:rPr>
        <w:t>. If at any time following the distribution of any Written Testing-the-Waters Communication, there occurred or occurs an event or development as a result of which such Written Testing-the-Waters Communication included or would include any untrue statement of a material fact or omitted or would omit to state any material fact necessary to make the statements therein in the light of the circumstances existing at that subsequent time, not misleading, the Company will promptly (i) notify the Representative so that use of the Written Testing-the-Waters Communication may cease until it is amended or supplemented; (ii) amend or supplement, at its own expense, such Written Testing-the-Waters Communication to eliminate or correct such untrue statement or omission; and (iii) supply any amendment or supplement to the Representative in such quantities as may be reasonably requested.</w:t>
      </w:r>
    </w:p>
    <w:p>
      <w:pPr>
        <w:spacing w:after="0" w:line="194" w:lineRule="exact"/>
        <w:rPr>
          <w:rFonts w:ascii="Arial" w:cs="Arial" w:eastAsia="Arial" w:hAnsi="Arial"/>
          <w:sz w:val="18"/>
          <w:szCs w:val="18"/>
          <w:color w:val="auto"/>
        </w:rPr>
      </w:pPr>
    </w:p>
    <w:p>
      <w:pPr>
        <w:ind w:right="40" w:firstLine="656"/>
        <w:spacing w:after="0" w:line="263" w:lineRule="auto"/>
        <w:tabs>
          <w:tab w:leader="none" w:pos="1497" w:val="left"/>
        </w:tabs>
        <w:numPr>
          <w:ilvl w:val="1"/>
          <w:numId w:val="124"/>
        </w:numPr>
        <w:rPr>
          <w:rFonts w:ascii="Arial" w:cs="Arial" w:eastAsia="Arial" w:hAnsi="Arial"/>
          <w:sz w:val="18"/>
          <w:szCs w:val="18"/>
          <w:color w:val="auto"/>
        </w:rPr>
      </w:pPr>
      <w:r>
        <w:rPr>
          <w:rFonts w:ascii="Arial" w:cs="Arial" w:eastAsia="Arial" w:hAnsi="Arial"/>
          <w:sz w:val="18"/>
          <w:szCs w:val="18"/>
          <w:u w:val="single" w:color="auto"/>
          <w:color w:val="auto"/>
        </w:rPr>
        <w:t>Emerging Growth Company</w:t>
      </w:r>
      <w:r>
        <w:rPr>
          <w:rFonts w:ascii="Arial" w:cs="Arial" w:eastAsia="Arial" w:hAnsi="Arial"/>
          <w:sz w:val="18"/>
          <w:szCs w:val="18"/>
          <w:color w:val="auto"/>
        </w:rPr>
        <w:t>. The Company will promptly notify the Representative if the Company ceases to be an Emerging Growth Company at any time prior to the later of (i) completion of the distribution of the Units within the meaning of the Securities Act and (ii) completion of the 180-day restricted period referred to in Section 4(h) hereof.</w:t>
      </w:r>
    </w:p>
    <w:p>
      <w:pPr>
        <w:spacing w:after="0" w:line="183" w:lineRule="exact"/>
        <w:rPr>
          <w:rFonts w:ascii="Arial" w:cs="Arial" w:eastAsia="Arial" w:hAnsi="Arial"/>
          <w:sz w:val="18"/>
          <w:szCs w:val="18"/>
          <w:color w:val="auto"/>
        </w:rPr>
      </w:pPr>
    </w:p>
    <w:p>
      <w:pPr>
        <w:ind w:right="660" w:firstLine="656"/>
        <w:spacing w:after="0" w:line="263" w:lineRule="auto"/>
        <w:tabs>
          <w:tab w:leader="none" w:pos="1318" w:val="left"/>
        </w:tabs>
        <w:numPr>
          <w:ilvl w:val="1"/>
          <w:numId w:val="124"/>
        </w:numPr>
        <w:rPr>
          <w:rFonts w:ascii="Arial" w:cs="Arial" w:eastAsia="Arial" w:hAnsi="Arial"/>
          <w:sz w:val="18"/>
          <w:szCs w:val="18"/>
          <w:color w:val="auto"/>
        </w:rPr>
      </w:pPr>
      <w:r>
        <w:rPr>
          <w:rFonts w:ascii="Arial" w:cs="Arial" w:eastAsia="Arial" w:hAnsi="Arial"/>
          <w:sz w:val="18"/>
          <w:szCs w:val="18"/>
          <w:u w:val="single" w:color="auto"/>
          <w:color w:val="auto"/>
        </w:rPr>
        <w:t>Delivery of Agreements</w:t>
      </w:r>
      <w:r>
        <w:rPr>
          <w:rFonts w:ascii="Arial" w:cs="Arial" w:eastAsia="Arial" w:hAnsi="Arial"/>
          <w:sz w:val="18"/>
          <w:szCs w:val="18"/>
          <w:color w:val="auto"/>
        </w:rPr>
        <w:t>. The Company will deliver to the Representative executed copies of the Trust Agreement, the Warrant Agreement, the Founder’s Purchase Agreement, the Warrant Purchase Agreement, the Registration Rights Agreement, the Administrative Services Agreement and the Insider Letter.</w:t>
      </w:r>
    </w:p>
    <w:p>
      <w:pPr>
        <w:spacing w:after="0" w:line="183" w:lineRule="exact"/>
        <w:rPr>
          <w:rFonts w:ascii="Arial" w:cs="Arial" w:eastAsia="Arial" w:hAnsi="Arial"/>
          <w:sz w:val="18"/>
          <w:szCs w:val="18"/>
          <w:color w:val="auto"/>
        </w:rPr>
      </w:pPr>
    </w:p>
    <w:p>
      <w:pPr>
        <w:ind w:right="280" w:firstLine="656"/>
        <w:spacing w:after="0" w:line="257" w:lineRule="auto"/>
        <w:tabs>
          <w:tab w:leader="none" w:pos="1442" w:val="left"/>
        </w:tabs>
        <w:numPr>
          <w:ilvl w:val="1"/>
          <w:numId w:val="124"/>
        </w:numPr>
        <w:rPr>
          <w:rFonts w:ascii="Arial" w:cs="Arial" w:eastAsia="Arial" w:hAnsi="Arial"/>
          <w:sz w:val="18"/>
          <w:szCs w:val="18"/>
          <w:color w:val="auto"/>
        </w:rPr>
      </w:pPr>
      <w:r>
        <w:rPr>
          <w:rFonts w:ascii="Arial" w:cs="Arial" w:eastAsia="Arial" w:hAnsi="Arial"/>
          <w:sz w:val="18"/>
          <w:szCs w:val="18"/>
          <w:u w:val="single" w:color="auto"/>
          <w:color w:val="auto"/>
        </w:rPr>
        <w:t>Trust Account Waiver</w:t>
      </w:r>
      <w:r>
        <w:rPr>
          <w:rFonts w:ascii="Arial" w:cs="Arial" w:eastAsia="Arial" w:hAnsi="Arial"/>
          <w:sz w:val="18"/>
          <w:szCs w:val="18"/>
          <w:color w:val="auto"/>
        </w:rPr>
        <w:t>. The Company will seek to have all vendors, service providers (other than its independent registered public accounting firm), prospective target businesses and other entities with which it does business enter into an agreement waiving any right, title, interest or claim of any kind in or to any monies held in the Trust Account for the benefit of the Public Shareholders. The Company may forego obtaining such waivers only if the Company’s management shall have determined that such third party’s engagement would be significantly more beneficial to the Company than any alternative.</w:t>
      </w:r>
    </w:p>
    <w:p>
      <w:pPr>
        <w:spacing w:after="0" w:line="187" w:lineRule="exact"/>
        <w:rPr>
          <w:rFonts w:ascii="Arial" w:cs="Arial" w:eastAsia="Arial" w:hAnsi="Arial"/>
          <w:sz w:val="18"/>
          <w:szCs w:val="18"/>
          <w:color w:val="auto"/>
        </w:rPr>
      </w:pPr>
    </w:p>
    <w:p>
      <w:pPr>
        <w:ind w:right="160" w:firstLine="656"/>
        <w:spacing w:after="0" w:line="259" w:lineRule="auto"/>
        <w:tabs>
          <w:tab w:leader="none" w:pos="1442" w:val="left"/>
        </w:tabs>
        <w:numPr>
          <w:ilvl w:val="1"/>
          <w:numId w:val="124"/>
        </w:numPr>
        <w:rPr>
          <w:rFonts w:ascii="Arial" w:cs="Arial" w:eastAsia="Arial" w:hAnsi="Arial"/>
          <w:sz w:val="18"/>
          <w:szCs w:val="18"/>
          <w:color w:val="auto"/>
        </w:rPr>
      </w:pPr>
      <w:r>
        <w:rPr>
          <w:rFonts w:ascii="Arial" w:cs="Arial" w:eastAsia="Arial" w:hAnsi="Arial"/>
          <w:sz w:val="18"/>
          <w:szCs w:val="18"/>
          <w:u w:val="single" w:color="auto"/>
          <w:color w:val="auto"/>
        </w:rPr>
        <w:t>Certification of Beneficial Ownership</w:t>
      </w:r>
      <w:r>
        <w:rPr>
          <w:rFonts w:ascii="Arial" w:cs="Arial" w:eastAsia="Arial" w:hAnsi="Arial"/>
          <w:sz w:val="18"/>
          <w:szCs w:val="18"/>
          <w:color w:val="auto"/>
        </w:rPr>
        <w:t>. The Company will deliver to each Underwriter (or its agent), on the date of execution of this Agreement, a properly completed and executed Certification Regarding Beneficial Owners and Key Controllers of Legal Entity Customers, together with copies of identifying documentation, and the Company undertakes to provide such additional supporting documentation as each Underwriter may reasonably request in connection with the verification of the foregoing Certification.</w:t>
      </w:r>
    </w:p>
    <w:p>
      <w:pPr>
        <w:spacing w:after="0" w:line="186" w:lineRule="exact"/>
        <w:rPr>
          <w:rFonts w:ascii="Arial" w:cs="Arial" w:eastAsia="Arial" w:hAnsi="Arial"/>
          <w:sz w:val="18"/>
          <w:szCs w:val="18"/>
          <w:color w:val="auto"/>
        </w:rPr>
      </w:pPr>
    </w:p>
    <w:p>
      <w:pPr>
        <w:ind w:right="80" w:firstLine="8"/>
        <w:spacing w:after="0" w:line="263" w:lineRule="auto"/>
        <w:tabs>
          <w:tab w:leader="none" w:pos="944" w:val="left"/>
        </w:tabs>
        <w:numPr>
          <w:ilvl w:val="0"/>
          <w:numId w:val="125"/>
        </w:numPr>
        <w:rPr>
          <w:rFonts w:ascii="Arial" w:cs="Arial" w:eastAsia="Arial" w:hAnsi="Arial"/>
          <w:sz w:val="18"/>
          <w:szCs w:val="18"/>
          <w:color w:val="auto"/>
        </w:rPr>
      </w:pPr>
      <w:r>
        <w:rPr>
          <w:rFonts w:ascii="Arial" w:cs="Arial" w:eastAsia="Arial" w:hAnsi="Arial"/>
          <w:sz w:val="18"/>
          <w:szCs w:val="18"/>
          <w:u w:val="single" w:color="auto"/>
          <w:color w:val="auto"/>
        </w:rPr>
        <w:t>Certain Agreements of the Underwriters</w:t>
      </w:r>
      <w:r>
        <w:rPr>
          <w:rFonts w:ascii="Arial" w:cs="Arial" w:eastAsia="Arial" w:hAnsi="Arial"/>
          <w:sz w:val="18"/>
          <w:szCs w:val="18"/>
          <w:color w:val="auto"/>
        </w:rPr>
        <w:t>. Each Underwriter hereby, severally and not jointly, represents and agrees that it is not subject to any pending proceeding under Section 8A of the Securities Act with respect to the Offering (and will promptly notify the Company if any such proceeding against it is initiated during the Prospectus Delivery Period).</w:t>
      </w:r>
    </w:p>
    <w:p>
      <w:pPr>
        <w:spacing w:after="0" w:line="183" w:lineRule="exact"/>
        <w:rPr>
          <w:rFonts w:ascii="Arial" w:cs="Arial" w:eastAsia="Arial" w:hAnsi="Arial"/>
          <w:sz w:val="18"/>
          <w:szCs w:val="18"/>
          <w:color w:val="auto"/>
        </w:rPr>
      </w:pPr>
    </w:p>
    <w:p>
      <w:pPr>
        <w:ind w:right="260" w:firstLine="8"/>
        <w:spacing w:after="0" w:line="263" w:lineRule="auto"/>
        <w:tabs>
          <w:tab w:leader="none" w:pos="944" w:val="left"/>
        </w:tabs>
        <w:numPr>
          <w:ilvl w:val="0"/>
          <w:numId w:val="125"/>
        </w:numPr>
        <w:rPr>
          <w:rFonts w:ascii="Arial" w:cs="Arial" w:eastAsia="Arial" w:hAnsi="Arial"/>
          <w:sz w:val="18"/>
          <w:szCs w:val="18"/>
          <w:color w:val="auto"/>
        </w:rPr>
      </w:pPr>
      <w:r>
        <w:rPr>
          <w:rFonts w:ascii="Arial" w:cs="Arial" w:eastAsia="Arial" w:hAnsi="Arial"/>
          <w:sz w:val="18"/>
          <w:szCs w:val="18"/>
          <w:u w:val="single" w:color="auto"/>
          <w:color w:val="auto"/>
        </w:rPr>
        <w:t>Conditions of Underwriters’ Obligations</w:t>
      </w:r>
      <w:r>
        <w:rPr>
          <w:rFonts w:ascii="Arial" w:cs="Arial" w:eastAsia="Arial" w:hAnsi="Arial"/>
          <w:sz w:val="18"/>
          <w:szCs w:val="18"/>
          <w:color w:val="auto"/>
        </w:rPr>
        <w:t>. The obligation of each Underwriter to purchase the Firm Units on the Closing Date or the Option Units on the Additional Closing Date, as the case may be, as provided herein is subject to the performance by the Company of its covenants and other obligations hereunder and to the following additional conditions:</w:t>
      </w:r>
    </w:p>
    <w:p>
      <w:pPr>
        <w:spacing w:after="0" w:line="29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9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222" w:name="page223"/>
    <w:bookmarkEnd w:id="222"/>
    <w:p>
      <w:pPr>
        <w:ind w:right="200" w:firstLine="656"/>
        <w:spacing w:after="0" w:line="301" w:lineRule="auto"/>
        <w:tabs>
          <w:tab w:leader="none" w:pos="1522" w:val="left"/>
        </w:tabs>
        <w:numPr>
          <w:ilvl w:val="1"/>
          <w:numId w:val="126"/>
        </w:numPr>
        <w:rPr>
          <w:rFonts w:ascii="Arial" w:cs="Arial" w:eastAsia="Arial" w:hAnsi="Arial"/>
          <w:sz w:val="16"/>
          <w:szCs w:val="16"/>
          <w:color w:val="auto"/>
        </w:rPr>
      </w:pPr>
      <w:r>
        <w:rPr>
          <w:rFonts w:ascii="Arial" w:cs="Arial" w:eastAsia="Arial" w:hAnsi="Arial"/>
          <w:sz w:val="16"/>
          <w:szCs w:val="16"/>
          <w:u w:val="single" w:color="auto"/>
          <w:color w:val="auto"/>
        </w:rPr>
        <w:t>Registration Compliance; No Stop Order</w:t>
      </w:r>
      <w:r>
        <w:rPr>
          <w:rFonts w:ascii="Arial" w:cs="Arial" w:eastAsia="Arial" w:hAnsi="Arial"/>
          <w:sz w:val="16"/>
          <w:szCs w:val="16"/>
          <w:color w:val="auto"/>
        </w:rPr>
        <w:t>. No order suspending the effectiveness of the Registration Statement shall be in effect, and no proceeding for such purpose or pursuant to Section 8A under the Securities Act shall be pending before or threatened by the Commission; the Prospectus shall have been timely filed with the Commission under the Securities Act and in accordance with Section 4(a) hereof; and all requests by the Commission for additional information shall have been complied with to the reasonable satisfaction of the Representative.</w:t>
      </w:r>
    </w:p>
    <w:p>
      <w:pPr>
        <w:spacing w:after="0" w:line="157" w:lineRule="exact"/>
        <w:rPr>
          <w:rFonts w:ascii="Arial" w:cs="Arial" w:eastAsia="Arial" w:hAnsi="Arial"/>
          <w:sz w:val="16"/>
          <w:szCs w:val="16"/>
          <w:color w:val="auto"/>
        </w:rPr>
      </w:pPr>
    </w:p>
    <w:p>
      <w:pPr>
        <w:jc w:val="both"/>
        <w:ind w:right="80" w:firstLine="656"/>
        <w:spacing w:after="0" w:line="259" w:lineRule="auto"/>
        <w:tabs>
          <w:tab w:leader="none" w:pos="1532" w:val="left"/>
        </w:tabs>
        <w:numPr>
          <w:ilvl w:val="1"/>
          <w:numId w:val="126"/>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The representations and warranties of the Company contained herein shall be true and correct on the date hereof and on and as of the Closing Date or the Additional Closing Date, as the case may be; and the statements of the Company and its officers made in any certificates delivered pursuant to this Agreement shall be true and correct on and as of the Closing Date or the Additional Closing Date, as the case may be.</w:t>
      </w:r>
    </w:p>
    <w:p>
      <w:pPr>
        <w:spacing w:after="0" w:line="186" w:lineRule="exact"/>
        <w:rPr>
          <w:rFonts w:ascii="Arial" w:cs="Arial" w:eastAsia="Arial" w:hAnsi="Arial"/>
          <w:sz w:val="18"/>
          <w:szCs w:val="18"/>
          <w:color w:val="auto"/>
        </w:rPr>
      </w:pPr>
    </w:p>
    <w:p>
      <w:pPr>
        <w:ind w:firstLine="656"/>
        <w:spacing w:after="0" w:line="296" w:lineRule="auto"/>
        <w:tabs>
          <w:tab w:leader="none" w:pos="1522" w:val="left"/>
        </w:tabs>
        <w:numPr>
          <w:ilvl w:val="1"/>
          <w:numId w:val="126"/>
        </w:numPr>
        <w:rPr>
          <w:rFonts w:ascii="Arial" w:cs="Arial" w:eastAsia="Arial" w:hAnsi="Arial"/>
          <w:sz w:val="16"/>
          <w:szCs w:val="16"/>
          <w:color w:val="auto"/>
        </w:rPr>
      </w:pPr>
      <w:r>
        <w:rPr>
          <w:rFonts w:ascii="Arial" w:cs="Arial" w:eastAsia="Arial" w:hAnsi="Arial"/>
          <w:sz w:val="16"/>
          <w:szCs w:val="16"/>
          <w:u w:val="single" w:color="auto"/>
          <w:color w:val="auto"/>
        </w:rPr>
        <w:t>No Material Adverse Change</w:t>
      </w:r>
      <w:r>
        <w:rPr>
          <w:rFonts w:ascii="Arial" w:cs="Arial" w:eastAsia="Arial" w:hAnsi="Arial"/>
          <w:sz w:val="16"/>
          <w:szCs w:val="16"/>
          <w:color w:val="auto"/>
        </w:rPr>
        <w:t>. No event or condition of a type described in Section 3(i) hereof shall have occurred or shall exist, which event or condition is not described in the Registration Statement, the Pricing Disclosure Package (excluding any amendment or supplement thereto) and the Prospectus (excluding any amendment or supplement thereto) and the effect of which in the judgment of the Representative makes it impracticable or inadvisable to proceed with the offering, sale or delivery of the Units on the Closing Date or the Additional Closing Date, as the case may be, on the terms and in the manner contemplated by this Agreement, the Registration Statement, the Pricing Disclosure Package and the Prospectus.</w:t>
      </w:r>
    </w:p>
    <w:p>
      <w:pPr>
        <w:spacing w:after="0" w:line="161" w:lineRule="exact"/>
        <w:rPr>
          <w:rFonts w:ascii="Arial" w:cs="Arial" w:eastAsia="Arial" w:hAnsi="Arial"/>
          <w:sz w:val="16"/>
          <w:szCs w:val="16"/>
          <w:color w:val="auto"/>
        </w:rPr>
      </w:pPr>
    </w:p>
    <w:p>
      <w:pPr>
        <w:ind w:right="40" w:firstLine="656"/>
        <w:spacing w:after="0" w:line="284" w:lineRule="auto"/>
        <w:tabs>
          <w:tab w:leader="none" w:pos="1532" w:val="left"/>
        </w:tabs>
        <w:numPr>
          <w:ilvl w:val="1"/>
          <w:numId w:val="126"/>
        </w:numPr>
        <w:rPr>
          <w:rFonts w:ascii="Arial" w:cs="Arial" w:eastAsia="Arial" w:hAnsi="Arial"/>
          <w:sz w:val="16"/>
          <w:szCs w:val="16"/>
          <w:color w:val="auto"/>
        </w:rPr>
      </w:pPr>
      <w:r>
        <w:rPr>
          <w:rFonts w:ascii="Arial" w:cs="Arial" w:eastAsia="Arial" w:hAnsi="Arial"/>
          <w:sz w:val="16"/>
          <w:szCs w:val="16"/>
          <w:u w:val="single" w:color="auto"/>
          <w:color w:val="auto"/>
        </w:rPr>
        <w:t>Officer’s Certificate</w:t>
      </w:r>
      <w:r>
        <w:rPr>
          <w:rFonts w:ascii="Arial" w:cs="Arial" w:eastAsia="Arial" w:hAnsi="Arial"/>
          <w:sz w:val="16"/>
          <w:szCs w:val="16"/>
          <w:color w:val="auto"/>
        </w:rPr>
        <w:t>. The Representative shall have received on and as of the Closing Date or the Additional Closing Date, as the case may be, a certificate of the principal executive officer, principal financial officer and principal accounting officer of the Company (i) confirming that such officer has carefully reviewed the Registration Statement, the Pricing Disclosure Package and the Prospectus and, to the knowledge of such officer, the representations set forth in Sections 3(b) and 3(c) hereof are true and correct, (ii) confirming that the other representations and warranties of the Company in this Agreement are true and correct and that the Company has complied with all agreements and satisfied all conditions on its part to be performed or satisfied hereunder at or prior to the Closing Date or the Additional Closing Date, as the case may be, and (iii) to the effect set forth in paragraphs (a) and</w:t>
      </w:r>
    </w:p>
    <w:p>
      <w:pPr>
        <w:spacing w:after="0" w:line="4" w:lineRule="exact"/>
        <w:rPr>
          <w:rFonts w:ascii="Arial" w:cs="Arial" w:eastAsia="Arial" w:hAnsi="Arial"/>
          <w:sz w:val="16"/>
          <w:szCs w:val="16"/>
          <w:color w:val="auto"/>
        </w:rPr>
      </w:pPr>
    </w:p>
    <w:p>
      <w:pPr>
        <w:ind w:left="260" w:hanging="252"/>
        <w:spacing w:after="0"/>
        <w:tabs>
          <w:tab w:leader="none" w:pos="26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above.</w:t>
      </w:r>
    </w:p>
    <w:p>
      <w:pPr>
        <w:spacing w:after="0" w:line="210" w:lineRule="exact"/>
        <w:rPr>
          <w:rFonts w:ascii="Arial" w:cs="Arial" w:eastAsia="Arial" w:hAnsi="Arial"/>
          <w:sz w:val="18"/>
          <w:szCs w:val="18"/>
          <w:color w:val="auto"/>
        </w:rPr>
      </w:pPr>
    </w:p>
    <w:p>
      <w:pPr>
        <w:ind w:right="20" w:firstLine="656"/>
        <w:spacing w:after="0" w:line="254" w:lineRule="auto"/>
        <w:tabs>
          <w:tab w:leader="none" w:pos="1522" w:val="left"/>
        </w:tabs>
        <w:numPr>
          <w:ilvl w:val="1"/>
          <w:numId w:val="127"/>
        </w:numPr>
        <w:rPr>
          <w:rFonts w:ascii="Arial" w:cs="Arial" w:eastAsia="Arial" w:hAnsi="Arial"/>
          <w:sz w:val="18"/>
          <w:szCs w:val="18"/>
          <w:color w:val="auto"/>
        </w:rPr>
      </w:pPr>
      <w:r>
        <w:rPr>
          <w:rFonts w:ascii="Arial" w:cs="Arial" w:eastAsia="Arial" w:hAnsi="Arial"/>
          <w:sz w:val="18"/>
          <w:szCs w:val="18"/>
          <w:u w:val="single" w:color="auto"/>
          <w:color w:val="auto"/>
        </w:rPr>
        <w:t>Comfort Letters</w:t>
      </w:r>
      <w:r>
        <w:rPr>
          <w:rFonts w:ascii="Arial" w:cs="Arial" w:eastAsia="Arial" w:hAnsi="Arial"/>
          <w:sz w:val="18"/>
          <w:szCs w:val="18"/>
          <w:color w:val="auto"/>
        </w:rPr>
        <w:t xml:space="preserve">. On the date of this Agreement and on the Closing Date or the Additional Closing Date, as the case may be, Marcum LLP shall have furnished to the Representative, at the request of the Company, letters, dated the respective dates of delivery thereof and addressed to the Underwriters, in form and substance reasonably satisfactory to the Representative, containing statements and information of the type customarily included in accountants’ “comfort letters” to underwriters with respect to the financial statements and certain financial information contained in each of the Registration Statement, the Pricing Disclosure Package and the Prospectus; </w:t>
      </w:r>
      <w:r>
        <w:rPr>
          <w:rFonts w:ascii="Arial" w:cs="Arial" w:eastAsia="Arial" w:hAnsi="Arial"/>
          <w:sz w:val="18"/>
          <w:szCs w:val="18"/>
          <w:u w:val="single" w:color="auto"/>
          <w:color w:val="auto"/>
        </w:rPr>
        <w:t>provided</w:t>
      </w:r>
      <w:r>
        <w:rPr>
          <w:rFonts w:ascii="Arial" w:cs="Arial" w:eastAsia="Arial" w:hAnsi="Arial"/>
          <w:sz w:val="18"/>
          <w:szCs w:val="18"/>
          <w:color w:val="auto"/>
        </w:rPr>
        <w:t>, that the letter delivered on the Closing Date or the Additional Closing Date, as the case may be, shall use a “cut-off” date no more than two business days prior to such Closing Date or such Additional Closing Date, as the case may be.</w:t>
      </w:r>
    </w:p>
    <w:p>
      <w:pPr>
        <w:spacing w:after="0" w:line="30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9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23" w:name="page224"/>
    <w:bookmarkEnd w:id="223"/>
    <w:p>
      <w:pPr>
        <w:ind w:right="60" w:firstLine="656"/>
        <w:spacing w:after="0" w:line="286" w:lineRule="auto"/>
        <w:tabs>
          <w:tab w:leader="none" w:pos="1547" w:val="left"/>
        </w:tabs>
        <w:numPr>
          <w:ilvl w:val="0"/>
          <w:numId w:val="128"/>
        </w:numPr>
        <w:rPr>
          <w:rFonts w:ascii="Arial" w:cs="Arial" w:eastAsia="Arial" w:hAnsi="Arial"/>
          <w:sz w:val="17"/>
          <w:szCs w:val="17"/>
          <w:color w:val="auto"/>
        </w:rPr>
      </w:pPr>
      <w:r>
        <w:rPr>
          <w:rFonts w:ascii="Arial" w:cs="Arial" w:eastAsia="Arial" w:hAnsi="Arial"/>
          <w:sz w:val="17"/>
          <w:szCs w:val="17"/>
          <w:u w:val="single" w:color="auto"/>
          <w:color w:val="auto"/>
        </w:rPr>
        <w:t>Opinion and 10b-5 Statement of Counsel for the Company</w:t>
      </w:r>
      <w:r>
        <w:rPr>
          <w:rFonts w:ascii="Arial" w:cs="Arial" w:eastAsia="Arial" w:hAnsi="Arial"/>
          <w:sz w:val="17"/>
          <w:szCs w:val="17"/>
          <w:color w:val="auto"/>
        </w:rPr>
        <w:t>. Davis Polk &amp; Wardwell LLP, counsel for the Company, shall have furnished to the Representative, at the request of the Company, their written opinion and 10b-5 statement, dated the Closing Date or the Additional Closing Date, as the case may be, and addressed to the Underwriters, in form and substance reasonably satisfactory to the Representative.</w:t>
      </w:r>
    </w:p>
    <w:p>
      <w:pPr>
        <w:spacing w:after="0" w:line="165" w:lineRule="exact"/>
        <w:rPr>
          <w:rFonts w:ascii="Arial" w:cs="Arial" w:eastAsia="Arial" w:hAnsi="Arial"/>
          <w:sz w:val="17"/>
          <w:szCs w:val="17"/>
          <w:color w:val="auto"/>
        </w:rPr>
      </w:pPr>
    </w:p>
    <w:p>
      <w:pPr>
        <w:ind w:right="320" w:firstLine="656"/>
        <w:spacing w:after="0" w:line="286" w:lineRule="auto"/>
        <w:tabs>
          <w:tab w:leader="none" w:pos="1532" w:val="left"/>
        </w:tabs>
        <w:numPr>
          <w:ilvl w:val="0"/>
          <w:numId w:val="128"/>
        </w:numPr>
        <w:rPr>
          <w:rFonts w:ascii="Arial" w:cs="Arial" w:eastAsia="Arial" w:hAnsi="Arial"/>
          <w:sz w:val="17"/>
          <w:szCs w:val="17"/>
          <w:color w:val="auto"/>
        </w:rPr>
      </w:pPr>
      <w:r>
        <w:rPr>
          <w:rFonts w:ascii="Arial" w:cs="Arial" w:eastAsia="Arial" w:hAnsi="Arial"/>
          <w:sz w:val="17"/>
          <w:szCs w:val="17"/>
          <w:u w:val="single" w:color="auto"/>
          <w:color w:val="auto"/>
        </w:rPr>
        <w:t>Opinion of Cayman Islands Counsel for the Company</w:t>
      </w:r>
      <w:r>
        <w:rPr>
          <w:rFonts w:ascii="Arial" w:cs="Arial" w:eastAsia="Arial" w:hAnsi="Arial"/>
          <w:sz w:val="17"/>
          <w:szCs w:val="17"/>
          <w:color w:val="auto"/>
        </w:rPr>
        <w:t>. Maples and Calder, Cayman Islands counsel for the Company, shall have furnished to the Representative, at the request of the Company, their written opinion, dated the Closing Date or the Additional Closing Date, as the case may be, and addressed to the Underwriters, in form and substance reasonably satisfactory to the Representative.</w:t>
      </w:r>
    </w:p>
    <w:p>
      <w:pPr>
        <w:spacing w:after="0" w:line="165" w:lineRule="exact"/>
        <w:rPr>
          <w:rFonts w:ascii="Arial" w:cs="Arial" w:eastAsia="Arial" w:hAnsi="Arial"/>
          <w:sz w:val="17"/>
          <w:szCs w:val="17"/>
          <w:color w:val="auto"/>
        </w:rPr>
      </w:pPr>
    </w:p>
    <w:p>
      <w:pPr>
        <w:ind w:right="160" w:firstLine="656"/>
        <w:spacing w:after="0" w:line="279" w:lineRule="auto"/>
        <w:tabs>
          <w:tab w:leader="none" w:pos="1532" w:val="left"/>
        </w:tabs>
        <w:numPr>
          <w:ilvl w:val="0"/>
          <w:numId w:val="128"/>
        </w:numPr>
        <w:rPr>
          <w:rFonts w:ascii="Arial" w:cs="Arial" w:eastAsia="Arial" w:hAnsi="Arial"/>
          <w:sz w:val="17"/>
          <w:szCs w:val="17"/>
          <w:color w:val="auto"/>
        </w:rPr>
      </w:pPr>
      <w:r>
        <w:rPr>
          <w:rFonts w:ascii="Arial" w:cs="Arial" w:eastAsia="Arial" w:hAnsi="Arial"/>
          <w:sz w:val="17"/>
          <w:szCs w:val="17"/>
          <w:u w:val="single" w:color="auto"/>
          <w:color w:val="auto"/>
        </w:rPr>
        <w:t>Opinion and 10b-5 Statement of Counsel for the Underwriters</w:t>
      </w:r>
      <w:r>
        <w:rPr>
          <w:rFonts w:ascii="Arial" w:cs="Arial" w:eastAsia="Arial" w:hAnsi="Arial"/>
          <w:sz w:val="17"/>
          <w:szCs w:val="17"/>
          <w:color w:val="auto"/>
        </w:rPr>
        <w:t>. The Representative shall have received on and as of the Closing Date or the Additional Closing Date, as the case may be, an opinion and 10b-5 statement, addressed to the Underwriters, of Skadden, Arps, Slate, Meagher &amp; Flom LLP, counsel for the Underwriters, with respect to such matters as the Representative may reasonably request, and such counsel shall have received such documents and information as they may reasonably request to enable them to pass upon such matters.</w:t>
      </w:r>
    </w:p>
    <w:p>
      <w:pPr>
        <w:spacing w:after="0" w:line="171" w:lineRule="exact"/>
        <w:rPr>
          <w:rFonts w:ascii="Arial" w:cs="Arial" w:eastAsia="Arial" w:hAnsi="Arial"/>
          <w:sz w:val="17"/>
          <w:szCs w:val="17"/>
          <w:color w:val="auto"/>
        </w:rPr>
      </w:pPr>
    </w:p>
    <w:p>
      <w:pPr>
        <w:ind w:right="120" w:firstLine="656"/>
        <w:spacing w:after="0" w:line="301" w:lineRule="auto"/>
        <w:tabs>
          <w:tab w:leader="none" w:pos="1582" w:val="left"/>
        </w:tabs>
        <w:numPr>
          <w:ilvl w:val="0"/>
          <w:numId w:val="128"/>
        </w:numPr>
        <w:rPr>
          <w:rFonts w:ascii="Arial" w:cs="Arial" w:eastAsia="Arial" w:hAnsi="Arial"/>
          <w:sz w:val="16"/>
          <w:szCs w:val="16"/>
          <w:color w:val="auto"/>
        </w:rPr>
      </w:pPr>
      <w:r>
        <w:rPr>
          <w:rFonts w:ascii="Arial" w:cs="Arial" w:eastAsia="Arial" w:hAnsi="Arial"/>
          <w:sz w:val="16"/>
          <w:szCs w:val="16"/>
          <w:u w:val="single" w:color="auto"/>
          <w:color w:val="auto"/>
        </w:rPr>
        <w:t>No Legal Impediment to Issuance and Sale</w:t>
      </w:r>
      <w:r>
        <w:rPr>
          <w:rFonts w:ascii="Arial" w:cs="Arial" w:eastAsia="Arial" w:hAnsi="Arial"/>
          <w:sz w:val="16"/>
          <w:szCs w:val="16"/>
          <w:color w:val="auto"/>
        </w:rPr>
        <w:t>. No action shall have been taken and no statute, rule, regulation or order shall have been enacted, adopted or issued by any federal, state or foreign governmental or regulatory authority that would, as of the Closing Date or the Additional Closing Date, as the case may be, prevent the issuance or sale of the Units; and no injunction or order of any federal, state or foreign court shall have been issued that would, as of the Closing Date or the Additional Closing Date, as the case may be, prevent the issuance or sale of the Units.</w:t>
      </w:r>
    </w:p>
    <w:p>
      <w:pPr>
        <w:spacing w:after="0" w:line="157" w:lineRule="exact"/>
        <w:rPr>
          <w:rFonts w:ascii="Arial" w:cs="Arial" w:eastAsia="Arial" w:hAnsi="Arial"/>
          <w:sz w:val="16"/>
          <w:szCs w:val="16"/>
          <w:color w:val="auto"/>
        </w:rPr>
      </w:pPr>
    </w:p>
    <w:p>
      <w:pPr>
        <w:ind w:firstLine="656"/>
        <w:spacing w:after="0" w:line="259" w:lineRule="auto"/>
        <w:tabs>
          <w:tab w:leader="none" w:pos="1582" w:val="left"/>
        </w:tabs>
        <w:numPr>
          <w:ilvl w:val="0"/>
          <w:numId w:val="128"/>
        </w:numPr>
        <w:rPr>
          <w:rFonts w:ascii="Arial" w:cs="Arial" w:eastAsia="Arial" w:hAnsi="Arial"/>
          <w:sz w:val="18"/>
          <w:szCs w:val="18"/>
          <w:color w:val="auto"/>
        </w:rPr>
      </w:pPr>
      <w:r>
        <w:rPr>
          <w:rFonts w:ascii="Arial" w:cs="Arial" w:eastAsia="Arial" w:hAnsi="Arial"/>
          <w:sz w:val="18"/>
          <w:szCs w:val="18"/>
          <w:u w:val="single" w:color="auto"/>
          <w:color w:val="auto"/>
        </w:rPr>
        <w:t>Good Standing</w:t>
      </w:r>
      <w:r>
        <w:rPr>
          <w:rFonts w:ascii="Arial" w:cs="Arial" w:eastAsia="Arial" w:hAnsi="Arial"/>
          <w:sz w:val="18"/>
          <w:szCs w:val="18"/>
          <w:color w:val="auto"/>
        </w:rPr>
        <w:t>. The Representative shall have received on and as of the Closing Date or the Additional Closing Date, as the case may be, satisfactory evidence of the good standing of the Company in its jurisdiction of organization and its good standing in such other jurisdictions as the Representative may reasonably request, in each case in writing or any standard form of telecommunication from the appropriate governmental authorities of such jurisdictions.</w:t>
      </w:r>
    </w:p>
    <w:p>
      <w:pPr>
        <w:spacing w:after="0" w:line="186" w:lineRule="exact"/>
        <w:rPr>
          <w:rFonts w:ascii="Arial" w:cs="Arial" w:eastAsia="Arial" w:hAnsi="Arial"/>
          <w:sz w:val="18"/>
          <w:szCs w:val="18"/>
          <w:color w:val="auto"/>
        </w:rPr>
      </w:pPr>
    </w:p>
    <w:p>
      <w:pPr>
        <w:ind w:right="140" w:firstLine="656"/>
        <w:spacing w:after="0" w:line="277" w:lineRule="auto"/>
        <w:tabs>
          <w:tab w:leader="none" w:pos="1532" w:val="left"/>
        </w:tabs>
        <w:numPr>
          <w:ilvl w:val="0"/>
          <w:numId w:val="128"/>
        </w:numPr>
        <w:rPr>
          <w:rFonts w:ascii="Arial" w:cs="Arial" w:eastAsia="Arial" w:hAnsi="Arial"/>
          <w:sz w:val="18"/>
          <w:szCs w:val="18"/>
          <w:color w:val="auto"/>
        </w:rPr>
      </w:pPr>
      <w:r>
        <w:rPr>
          <w:rFonts w:ascii="Arial" w:cs="Arial" w:eastAsia="Arial" w:hAnsi="Arial"/>
          <w:sz w:val="18"/>
          <w:szCs w:val="18"/>
          <w:u w:val="single" w:color="auto"/>
          <w:color w:val="auto"/>
        </w:rPr>
        <w:t>Exchange Listing</w:t>
      </w:r>
      <w:r>
        <w:rPr>
          <w:rFonts w:ascii="Arial" w:cs="Arial" w:eastAsia="Arial" w:hAnsi="Arial"/>
          <w:sz w:val="18"/>
          <w:szCs w:val="18"/>
          <w:color w:val="auto"/>
        </w:rPr>
        <w:t>. The Units to be delivered on the Closing Date or the Additional Closing Date, as the case may be, shall have been approved for listing on the NYSE, subject to official notice of issuance.</w:t>
      </w:r>
    </w:p>
    <w:p>
      <w:pPr>
        <w:spacing w:after="0" w:line="170" w:lineRule="exact"/>
        <w:rPr>
          <w:rFonts w:ascii="Arial" w:cs="Arial" w:eastAsia="Arial" w:hAnsi="Arial"/>
          <w:sz w:val="18"/>
          <w:szCs w:val="18"/>
          <w:color w:val="auto"/>
        </w:rPr>
      </w:pPr>
    </w:p>
    <w:p>
      <w:pPr>
        <w:ind w:right="220" w:firstLine="656"/>
        <w:spacing w:after="0" w:line="259" w:lineRule="auto"/>
        <w:tabs>
          <w:tab w:leader="none" w:pos="1582" w:val="left"/>
        </w:tabs>
        <w:numPr>
          <w:ilvl w:val="0"/>
          <w:numId w:val="128"/>
        </w:numPr>
        <w:rPr>
          <w:rFonts w:ascii="Arial" w:cs="Arial" w:eastAsia="Arial" w:hAnsi="Arial"/>
          <w:sz w:val="18"/>
          <w:szCs w:val="18"/>
          <w:color w:val="auto"/>
        </w:rPr>
      </w:pPr>
      <w:r>
        <w:rPr>
          <w:rFonts w:ascii="Arial" w:cs="Arial" w:eastAsia="Arial" w:hAnsi="Arial"/>
          <w:sz w:val="18"/>
          <w:szCs w:val="18"/>
          <w:u w:val="single" w:color="auto"/>
          <w:color w:val="auto"/>
        </w:rPr>
        <w:t>Delivery of Transaction Documents</w:t>
      </w:r>
      <w:r>
        <w:rPr>
          <w:rFonts w:ascii="Arial" w:cs="Arial" w:eastAsia="Arial" w:hAnsi="Arial"/>
          <w:sz w:val="18"/>
          <w:szCs w:val="18"/>
          <w:color w:val="auto"/>
        </w:rPr>
        <w:t>. On or prior to the Closing Date, the Company shall have delivered to the Representative executed copies of the Trust Agreement, the Warrant Agreement, the Founder’s Purchase Agreement, the Warrant Purchase Agreement, the Registration Rights Agreement, the Administrative Services Agreement and the Insider Letter, and each of the Transaction Documents shall be in full force and effect on the Closing Date or the Additional Closing Date, as the case may be.</w:t>
      </w:r>
    </w:p>
    <w:p>
      <w:pPr>
        <w:spacing w:after="0" w:line="29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24" w:name="page225"/>
    <w:bookmarkEnd w:id="224"/>
    <w:p>
      <w:pPr>
        <w:ind w:right="200" w:firstLine="656"/>
        <w:spacing w:after="0" w:line="257" w:lineRule="auto"/>
        <w:tabs>
          <w:tab w:leader="none" w:pos="1492" w:val="left"/>
        </w:tabs>
        <w:numPr>
          <w:ilvl w:val="0"/>
          <w:numId w:val="129"/>
        </w:numPr>
        <w:rPr>
          <w:rFonts w:ascii="Arial" w:cs="Arial" w:eastAsia="Arial" w:hAnsi="Arial"/>
          <w:sz w:val="18"/>
          <w:szCs w:val="18"/>
          <w:color w:val="auto"/>
        </w:rPr>
      </w:pPr>
      <w:r>
        <w:rPr>
          <w:rFonts w:ascii="Arial" w:cs="Arial" w:eastAsia="Arial" w:hAnsi="Arial"/>
          <w:sz w:val="18"/>
          <w:szCs w:val="18"/>
          <w:u w:val="single" w:color="auto"/>
          <w:color w:val="auto"/>
        </w:rPr>
        <w:t>Funding of Private Placement Warrants</w:t>
      </w:r>
      <w:r>
        <w:rPr>
          <w:rFonts w:ascii="Arial" w:cs="Arial" w:eastAsia="Arial" w:hAnsi="Arial"/>
          <w:sz w:val="18"/>
          <w:szCs w:val="18"/>
          <w:color w:val="auto"/>
        </w:rPr>
        <w:t>. At least one business day prior to the Closing Date or the Additional Closing Date, as applicable, the Company shall have caused proceeds from the sale of the Private Placement Warrants to be deposited into the Trust Account such that the cumulative amount deposited into the Trust Account as of such Closing Date or Additional Closing Date shall equal the product of the number of Units sold in the public offering as of such Closing Date or Additional Closing Date and the public offering price per Unit as set forth on the cover of the Prospectus.</w:t>
      </w:r>
    </w:p>
    <w:p>
      <w:pPr>
        <w:spacing w:after="0" w:line="187" w:lineRule="exact"/>
        <w:rPr>
          <w:rFonts w:ascii="Arial" w:cs="Arial" w:eastAsia="Arial" w:hAnsi="Arial"/>
          <w:sz w:val="18"/>
          <w:szCs w:val="18"/>
          <w:color w:val="auto"/>
        </w:rPr>
      </w:pPr>
    </w:p>
    <w:p>
      <w:pPr>
        <w:ind w:right="200" w:firstLine="656"/>
        <w:spacing w:after="0" w:line="308" w:lineRule="auto"/>
        <w:tabs>
          <w:tab w:leader="none" w:pos="1532" w:val="left"/>
        </w:tabs>
        <w:numPr>
          <w:ilvl w:val="0"/>
          <w:numId w:val="129"/>
        </w:numPr>
        <w:rPr>
          <w:rFonts w:ascii="Arial" w:cs="Arial" w:eastAsia="Arial" w:hAnsi="Arial"/>
          <w:sz w:val="17"/>
          <w:szCs w:val="17"/>
          <w:color w:val="auto"/>
        </w:rPr>
      </w:pPr>
      <w:r>
        <w:rPr>
          <w:rFonts w:ascii="Arial" w:cs="Arial" w:eastAsia="Arial" w:hAnsi="Arial"/>
          <w:sz w:val="17"/>
          <w:szCs w:val="17"/>
          <w:u w:val="single" w:color="auto"/>
          <w:color w:val="auto"/>
        </w:rPr>
        <w:t>Additional Documents</w:t>
      </w:r>
      <w:r>
        <w:rPr>
          <w:rFonts w:ascii="Arial" w:cs="Arial" w:eastAsia="Arial" w:hAnsi="Arial"/>
          <w:sz w:val="17"/>
          <w:szCs w:val="17"/>
          <w:color w:val="auto"/>
        </w:rPr>
        <w:t>. On or prior to the Closing Date or the Additional Closing Date, as the case may be, the Company shall have furnished to the Representative such further certificates and documents as the Representative may reasonably request.</w:t>
      </w:r>
    </w:p>
    <w:p>
      <w:pPr>
        <w:spacing w:after="0" w:line="146"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All opinions, letters, certificates and evidence mentioned above or elsewhere in this Agreement shall be deemed to be in compliance with the provisions hereof only if they are in form and substance reasonably satisfactory to counsel for the Underwriters.</w:t>
      </w:r>
    </w:p>
    <w:p>
      <w:pPr>
        <w:spacing w:after="0" w:line="170" w:lineRule="exact"/>
        <w:rPr>
          <w:sz w:val="20"/>
          <w:szCs w:val="20"/>
          <w:color w:val="auto"/>
        </w:rPr>
      </w:pPr>
    </w:p>
    <w:p>
      <w:pPr>
        <w:ind w:left="960" w:hanging="952"/>
        <w:spacing w:after="0"/>
        <w:tabs>
          <w:tab w:leader="none" w:pos="960" w:val="left"/>
        </w:tabs>
        <w:numPr>
          <w:ilvl w:val="0"/>
          <w:numId w:val="130"/>
        </w:numPr>
        <w:rPr>
          <w:rFonts w:ascii="Arial" w:cs="Arial" w:eastAsia="Arial" w:hAnsi="Arial"/>
          <w:sz w:val="18"/>
          <w:szCs w:val="18"/>
          <w:color w:val="auto"/>
        </w:rPr>
      </w:pPr>
      <w:r>
        <w:rPr>
          <w:rFonts w:ascii="Arial" w:cs="Arial" w:eastAsia="Arial" w:hAnsi="Arial"/>
          <w:sz w:val="18"/>
          <w:szCs w:val="18"/>
          <w:u w:val="single" w:color="auto"/>
          <w:color w:val="auto"/>
        </w:rPr>
        <w:t>Indemnification and Contribution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20" w:firstLine="656"/>
        <w:spacing w:after="0" w:line="286" w:lineRule="auto"/>
        <w:tabs>
          <w:tab w:leader="none" w:pos="1522" w:val="left"/>
        </w:tabs>
        <w:numPr>
          <w:ilvl w:val="1"/>
          <w:numId w:val="130"/>
        </w:numPr>
        <w:rPr>
          <w:rFonts w:ascii="Arial" w:cs="Arial" w:eastAsia="Arial" w:hAnsi="Arial"/>
          <w:sz w:val="16"/>
          <w:szCs w:val="16"/>
          <w:color w:val="auto"/>
        </w:rPr>
      </w:pPr>
      <w:r>
        <w:rPr>
          <w:rFonts w:ascii="Arial" w:cs="Arial" w:eastAsia="Arial" w:hAnsi="Arial"/>
          <w:sz w:val="16"/>
          <w:szCs w:val="16"/>
          <w:u w:val="single" w:color="auto"/>
          <w:color w:val="auto"/>
        </w:rPr>
        <w:t>Indemnification of the Underwriters</w:t>
      </w:r>
      <w:r>
        <w:rPr>
          <w:rFonts w:ascii="Arial" w:cs="Arial" w:eastAsia="Arial" w:hAnsi="Arial"/>
          <w:sz w:val="16"/>
          <w:szCs w:val="16"/>
          <w:color w:val="auto"/>
        </w:rPr>
        <w:t>. The Company agrees to indemnify and hold harmless each Underwriter, its affiliates, directors and officers and each person, if any, who controls such Underwriter within the meaning of Section 15 of the Securities Act or Section 20 of the Exchange Act, from and against any and all losses, claims, damages and liabilities (including, without limitation, legal fees and other expenses incurred in connection with any suit, action or proceeding or any claim asserted, as such fees and expenses are incurred), joint or several, that arise out of, or are based upon, (i) any untrue statement or alleged untrue statement of a material fact contained in the Registration Statement or caused by any omission or alleged omission to state therein a material fact required to be stated therein or necessary in order to make the statements therein, not misleading, or (ii) any untrue statement or alleged untrue statement of a material fact contained in the Prospectus (or any amendment or supplement thereto), any Preliminary Prospectus, any Written Testing-the-Waters Communication, any road show as defined in Rule 433(h) under the Securities Act (a “road show”) or any Pricing Disclosure Package (including any Pricing Disclosure Package that has subsequently been amended), or caused by any omission or alleged omission to state therein a material fact necessary in order to make the statements therein, in light of the circumstances under which they were made, not misleading, in each case except insofar as such losses, claims, damages or liabilities arise out of, or are based upon, any untrue statement or omission or alleged untrue statement or omission made in reliance upon and in conformity with any information relating to any Underwriter furnished to the Company in writing by such Underwriter through the Representative expressly for use therein, it being understood and agreed that the only such information furnished by any Underwriter consists of the information described as such in paragraph (b) below.</w:t>
      </w:r>
    </w:p>
    <w:p>
      <w:pPr>
        <w:spacing w:after="0" w:line="170" w:lineRule="exact"/>
        <w:rPr>
          <w:rFonts w:ascii="Arial" w:cs="Arial" w:eastAsia="Arial" w:hAnsi="Arial"/>
          <w:sz w:val="16"/>
          <w:szCs w:val="16"/>
          <w:color w:val="auto"/>
        </w:rPr>
      </w:pPr>
    </w:p>
    <w:p>
      <w:pPr>
        <w:ind w:firstLine="656"/>
        <w:spacing w:after="0" w:line="259" w:lineRule="auto"/>
        <w:tabs>
          <w:tab w:leader="none" w:pos="1532" w:val="left"/>
        </w:tabs>
        <w:numPr>
          <w:ilvl w:val="1"/>
          <w:numId w:val="130"/>
        </w:numPr>
        <w:rPr>
          <w:rFonts w:ascii="Arial" w:cs="Arial" w:eastAsia="Arial" w:hAnsi="Arial"/>
          <w:sz w:val="18"/>
          <w:szCs w:val="18"/>
          <w:color w:val="auto"/>
        </w:rPr>
      </w:pPr>
      <w:r>
        <w:rPr>
          <w:rFonts w:ascii="Arial" w:cs="Arial" w:eastAsia="Arial" w:hAnsi="Arial"/>
          <w:sz w:val="18"/>
          <w:szCs w:val="18"/>
          <w:u w:val="single" w:color="auto"/>
          <w:color w:val="auto"/>
        </w:rPr>
        <w:t>Indemnification of the Company</w:t>
      </w:r>
      <w:r>
        <w:rPr>
          <w:rFonts w:ascii="Arial" w:cs="Arial" w:eastAsia="Arial" w:hAnsi="Arial"/>
          <w:sz w:val="18"/>
          <w:szCs w:val="18"/>
          <w:color w:val="auto"/>
        </w:rPr>
        <w:t>. Each Underwriter agrees, severally and not jointly, to indemnify and hold harmless the Company, its directors, its officers who signed the Registration Statement and each person, if any, who controls the Company within the meaning of Section 15 of the Securities Act or Section 20 of the Exchange Act to the same extent as the indemnity set forth in paragraph (a) above, but only with respect to any losses, claims, damages</w:t>
      </w:r>
    </w:p>
    <w:p>
      <w:pPr>
        <w:spacing w:after="0" w:line="29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225" w:name="page226"/>
    <w:bookmarkEnd w:id="225"/>
    <w:p>
      <w:pPr>
        <w:spacing w:after="0" w:line="254" w:lineRule="auto"/>
        <w:rPr>
          <w:sz w:val="20"/>
          <w:szCs w:val="20"/>
          <w:color w:val="auto"/>
        </w:rPr>
      </w:pPr>
      <w:r>
        <w:rPr>
          <w:rFonts w:ascii="Arial" w:cs="Arial" w:eastAsia="Arial" w:hAnsi="Arial"/>
          <w:sz w:val="18"/>
          <w:szCs w:val="18"/>
          <w:color w:val="auto"/>
        </w:rPr>
        <w:t>or liabilities that arise out of, or are based upon, any untrue statement or omission or alleged untrue statement or omission made in reliance upon and in conformity with any information relating to such Underwriter furnished to the Company in writing by such Underwriter through the Representative expressly for use in the Registration Statement, the Prospectus (or any amendment or supplement thereto), any Preliminary Prospectus, any Written Testing-the-Waters Communication, any road show or any Pricing Disclosure Package (including any Pricing Disclosure Package that has subsequently been amended), it being understood and agreed upon that the only such information furnished by any Underwriter consists of the following information in the Prospectus furnished on behalf of each Underwriter: (y) the concession figure appearing in the third paragraph under the caption “Underwriting” and (z) the seventeenth paragraph under the caption “Underwriting.”</w:t>
      </w:r>
    </w:p>
    <w:p>
      <w:pPr>
        <w:spacing w:after="0" w:line="195" w:lineRule="exact"/>
        <w:rPr>
          <w:sz w:val="20"/>
          <w:szCs w:val="20"/>
          <w:color w:val="auto"/>
        </w:rPr>
      </w:pPr>
    </w:p>
    <w:p>
      <w:pPr>
        <w:ind w:right="20" w:firstLine="656"/>
        <w:spacing w:after="0" w:line="284" w:lineRule="auto"/>
        <w:tabs>
          <w:tab w:leader="none" w:pos="1522" w:val="left"/>
        </w:tabs>
        <w:numPr>
          <w:ilvl w:val="0"/>
          <w:numId w:val="131"/>
        </w:numPr>
        <w:rPr>
          <w:rFonts w:ascii="Arial" w:cs="Arial" w:eastAsia="Arial" w:hAnsi="Arial"/>
          <w:sz w:val="16"/>
          <w:szCs w:val="16"/>
          <w:color w:val="auto"/>
        </w:rPr>
      </w:pPr>
      <w:r>
        <w:rPr>
          <w:rFonts w:ascii="Arial" w:cs="Arial" w:eastAsia="Arial" w:hAnsi="Arial"/>
          <w:sz w:val="16"/>
          <w:szCs w:val="16"/>
          <w:u w:val="single" w:color="auto"/>
          <w:color w:val="auto"/>
        </w:rPr>
        <w:t>Notice and Procedures</w:t>
      </w:r>
      <w:r>
        <w:rPr>
          <w:rFonts w:ascii="Arial" w:cs="Arial" w:eastAsia="Arial" w:hAnsi="Arial"/>
          <w:sz w:val="16"/>
          <w:szCs w:val="16"/>
          <w:color w:val="auto"/>
        </w:rPr>
        <w:t xml:space="preserve">. If any suit, action, proceeding (including any governmental or regulatory investigation), claim or demand shall be brought or asserted against any person in respect of which indemnification may be sought pursuant to the preceding paragraphs of this Section 7, such person (the “Indemnified Person”) shall promptly notify the person against whom such indemnification may be sought (the “Indemnifying Person”) in writing;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failure to notify the Indemnifying Person shall not relieve it from any liability that it may have under the preceding paragraphs of this Section 7 except to the extent that it has been materially prejudiced (through the forfeiture of substantive rights or defenses) by such failure;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the failure to notify the Indemnifying Person shall not relieve it from any liability that it may have to an Indemnified Person otherwise than under the preceding paragraphs of this Section 7. If any such proceeding shall be brought or asserted against an Indemnified Person and it shall have notified the Indemnifying Person thereof, the Indemnifying Person shall retain counsel reasonably satisfactory to the Indemnified Person (who shall not, without the consent of the Indemnified Person, be counsel to the Indemnifying Person) to represent the Indemnified Person and any others entitled to indemnification pursuant to this Section that the Indemnifying Person may designate in such proceeding and shall pay the fees and expenses in such proceeding and shall pay the fees and expenses of such counsel related to such proceeding, as incurred. In any such proceeding, any Indemnified Person shall have the right to retain its own counsel, but the fees and expenses of such counsel shall be at the expense of such Indemnified Person unless (i) the Indemnifying Person and the Indemnified Person shall have mutually agreed to the contrary; (ii) the Indemnifying Person has failed within a reasonable time to retain counsel reasonably satisfactory to the Indemnified Person; (iii) the Indemnified Person shall have reasonably concluded that there may be legal defenses available to it that are different from or in addition to those available to the Indemnifying Person; or (iv) the named parties in any such proceeding (including any impleaded parties) include both the Indemnifying Person and the Indemnified Person and representation of both parties by the same counsel would be inappropriate due to actual or potential differing interests between them. It is understood and agreed that the Indemnifying Person shall not, in connection with any proceeding or related proceeding in the same jurisdiction, be liable for the fees and expenses of more than one separate firm (in addition to any local counsel) for all Indemnified Persons, and that all such fees and expenses shall be paid or reimbursed as they are incurred. Any such separate firm for any Underwriter, its affiliates, directors and officers and any control persons of such Underwriter shall be designated in writing by the Representative and any such separate firm for the Company, its directors, its officers who signed the Registration Statement and any control persons of the Company shall be designated in writing by the Company. The Indemnifying Person shall not be</w:t>
      </w:r>
    </w:p>
    <w:p>
      <w:pPr>
        <w:spacing w:after="0" w:line="28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26" w:name="page227"/>
    <w:bookmarkEnd w:id="226"/>
    <w:p>
      <w:pPr>
        <w:spacing w:after="0" w:line="269" w:lineRule="auto"/>
        <w:rPr>
          <w:sz w:val="20"/>
          <w:szCs w:val="20"/>
          <w:color w:val="auto"/>
        </w:rPr>
      </w:pPr>
      <w:r>
        <w:rPr>
          <w:rFonts w:ascii="Arial" w:cs="Arial" w:eastAsia="Arial" w:hAnsi="Arial"/>
          <w:sz w:val="17"/>
          <w:szCs w:val="17"/>
          <w:color w:val="auto"/>
        </w:rPr>
        <w:t>liable for any settlement of any proceeding effected without its written consent, but if settled with such consent, the Indemnifying Person agrees to indemnify each Indemnified Person from and against any loss or liability by reason of such settlement. Notwithstanding the foregoing sentence, if at any time an Indemnified Person shall have requested that an Indemnifying Person reimburse the Indemnified Person for fees and expenses of counsel as contemplated by this paragraph, the Indemnifying Person shall be liable for any settlement of any proceeding effected without its written consent if (i) such settlement is entered into more than 30 days after receipt by the Indemnifying Person of such request and (ii) the Indemnifying Person shall not have reimbursed the Indemnified Person in accordance with such request prior to the date of such settlement. No Indemnifying Person shall, without the written consent of the Indemnified Person, effect any settlement of any pending or threatened proceeding in respect of which any Indemnified Person is or could have been a party and indemnification could have been sought hereunder by such Indemnified Person, unless such settlement (x) includes an unconditional release of such Indemnified Person, in form and substance reasonably satisfactory to such Indemnified Person, from all liability on claims that are the subject matter of such proceeding and (y) does not include any statement as to or any admission of fault, culpability or a failure to act by or on behalf of any Indemnified Person.</w:t>
      </w:r>
    </w:p>
    <w:p>
      <w:pPr>
        <w:spacing w:after="0" w:line="182" w:lineRule="exact"/>
        <w:rPr>
          <w:sz w:val="20"/>
          <w:szCs w:val="20"/>
          <w:color w:val="auto"/>
        </w:rPr>
      </w:pPr>
    </w:p>
    <w:p>
      <w:pPr>
        <w:ind w:firstLine="656"/>
        <w:spacing w:after="0" w:line="268" w:lineRule="auto"/>
        <w:tabs>
          <w:tab w:leader="none" w:pos="1532" w:val="left"/>
        </w:tabs>
        <w:numPr>
          <w:ilvl w:val="0"/>
          <w:numId w:val="132"/>
        </w:numPr>
        <w:rPr>
          <w:rFonts w:ascii="Arial" w:cs="Arial" w:eastAsia="Arial" w:hAnsi="Arial"/>
          <w:sz w:val="17"/>
          <w:szCs w:val="17"/>
          <w:color w:val="auto"/>
        </w:rPr>
      </w:pPr>
      <w:r>
        <w:rPr>
          <w:rFonts w:ascii="Arial" w:cs="Arial" w:eastAsia="Arial" w:hAnsi="Arial"/>
          <w:sz w:val="17"/>
          <w:szCs w:val="17"/>
          <w:u w:val="single" w:color="auto"/>
          <w:color w:val="auto"/>
        </w:rPr>
        <w:t>Contribution</w:t>
      </w:r>
      <w:r>
        <w:rPr>
          <w:rFonts w:ascii="Arial" w:cs="Arial" w:eastAsia="Arial" w:hAnsi="Arial"/>
          <w:sz w:val="17"/>
          <w:szCs w:val="17"/>
          <w:color w:val="auto"/>
        </w:rPr>
        <w:t>. If the indemnification provided for in paragraphs (a) or (b) above is unavailable to an Indemnified Person or insufficient in respect of any losses, claims, damages or liabilities referred to therein, then each Indemnifying Person under such paragraph, in lieu of indemnifying such Indemnified Person thereunder, shall contribute to the amount paid or payable by such Indemnified Person as a result of such losses, claims, damages or liabilities (i) in such proportion as is appropriate to reflect the relative benefits received by the Company, on the one hand, and the Underwriters on the other, from the Offering or (ii) if the allocation provided by clause (i) is not permitted by applicable law, in such proportion as is appropriate to reflect not only the relative benefits referred to in clause (i) but also the relative fault of the Company, on the one hand, and the Underwriters on the other, in connection with the statements or omissions that resulted in such losses, claims, damages or liabilities, as well as any other relevant equitable considerations. The relative benefits received by the Company, on the one hand, and the Underwriters on the other, shall be deemed to be in the same respective proportions as the net proceeds (before deducting expenses) received by the Company from the sale of the Units and the total underwriting discounts and commissions received by the Underwriters in connection therewith, in each case as set forth in the table on the cover of the Prospectus, bear to the aggregate offering price of the Units. The relative fault of the Company, on the one hand, and the Underwriters on the other, shall be determined by reference to, among other things, whether the untrue or alleged untrue statement of a material fact or the omission or alleged omission to state a material fact relates to information supplied by the Company or by the Underwriters and the parties’ relative intent, knowledge, access to information and opportunity to correct or prevent such statement or omission.</w:t>
      </w:r>
    </w:p>
    <w:p>
      <w:pPr>
        <w:spacing w:after="0" w:line="184" w:lineRule="exact"/>
        <w:rPr>
          <w:rFonts w:ascii="Arial" w:cs="Arial" w:eastAsia="Arial" w:hAnsi="Arial"/>
          <w:sz w:val="17"/>
          <w:szCs w:val="17"/>
          <w:color w:val="auto"/>
        </w:rPr>
      </w:pPr>
    </w:p>
    <w:p>
      <w:pPr>
        <w:ind w:right="140" w:firstLine="656"/>
        <w:spacing w:after="0" w:line="279" w:lineRule="auto"/>
        <w:tabs>
          <w:tab w:leader="none" w:pos="1522" w:val="left"/>
        </w:tabs>
        <w:numPr>
          <w:ilvl w:val="0"/>
          <w:numId w:val="132"/>
        </w:numPr>
        <w:rPr>
          <w:rFonts w:ascii="Arial" w:cs="Arial" w:eastAsia="Arial" w:hAnsi="Arial"/>
          <w:sz w:val="17"/>
          <w:szCs w:val="17"/>
          <w:color w:val="auto"/>
        </w:rPr>
      </w:pPr>
      <w:r>
        <w:rPr>
          <w:rFonts w:ascii="Arial" w:cs="Arial" w:eastAsia="Arial" w:hAnsi="Arial"/>
          <w:sz w:val="17"/>
          <w:szCs w:val="17"/>
          <w:u w:val="single" w:color="auto"/>
          <w:color w:val="auto"/>
        </w:rPr>
        <w:t>Limitation on Liability</w:t>
      </w:r>
      <w:r>
        <w:rPr>
          <w:rFonts w:ascii="Arial" w:cs="Arial" w:eastAsia="Arial" w:hAnsi="Arial"/>
          <w:sz w:val="17"/>
          <w:szCs w:val="17"/>
          <w:color w:val="auto"/>
        </w:rPr>
        <w:t xml:space="preserve">. The Company and the Underwriters agree that it would not be just and equitable if contribution pursuant to paragraph (d) above were determined by </w:t>
      </w:r>
      <w:r>
        <w:rPr>
          <w:rFonts w:ascii="Arial" w:cs="Arial" w:eastAsia="Arial" w:hAnsi="Arial"/>
          <w:sz w:val="17"/>
          <w:szCs w:val="17"/>
          <w:u w:val="single" w:color="auto"/>
          <w:color w:val="auto"/>
        </w:rPr>
        <w:t>pro rata</w:t>
      </w:r>
      <w:r>
        <w:rPr>
          <w:rFonts w:ascii="Arial" w:cs="Arial" w:eastAsia="Arial" w:hAnsi="Arial"/>
          <w:sz w:val="17"/>
          <w:szCs w:val="17"/>
          <w:color w:val="auto"/>
        </w:rPr>
        <w:t xml:space="preserve"> allocation (even if the Underwriters were treated as one entity for such purpose) or by any other method of allocation that does not take account of the equitable considerations referred to in paragraph (d) above. The amount paid or payable by an Indemnified Person as a result of the losses, claims, damages and liabilities referred to in paragraph (d) above shall be deemed to</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584" w:right="379" w:bottom="1440" w:gutter="0" w:footer="0" w:header="0"/>
        </w:sectPr>
      </w:pPr>
    </w:p>
    <w:bookmarkStart w:id="227" w:name="page228"/>
    <w:bookmarkEnd w:id="227"/>
    <w:p>
      <w:pPr>
        <w:ind w:right="60"/>
        <w:spacing w:after="0" w:line="272" w:lineRule="auto"/>
        <w:rPr>
          <w:sz w:val="20"/>
          <w:szCs w:val="20"/>
          <w:color w:val="auto"/>
        </w:rPr>
      </w:pPr>
      <w:r>
        <w:rPr>
          <w:rFonts w:ascii="Arial" w:cs="Arial" w:eastAsia="Arial" w:hAnsi="Arial"/>
          <w:sz w:val="17"/>
          <w:szCs w:val="17"/>
          <w:color w:val="auto"/>
        </w:rPr>
        <w:t>include, subject to the limitations set forth above, any legal or other expenses incurred by such Indemnified Person in connection with any such action or claim. Notwithstanding the provisions of paragraphs (d) and (e), in no event shall an Underwriter be required to contribute any amount in excess of the amount by which the total underwriting discounts and commissions received by such Underwriter with respect to the Offering exceeds the amount of any damages that such Underwriter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 The Underwriters’ obligations to contribute pursuant to paragraphs (d) and (e) are several in proportion to their respective purchase obligations hereunder and not joint.</w:t>
      </w:r>
    </w:p>
    <w:p>
      <w:pPr>
        <w:spacing w:after="0" w:line="177" w:lineRule="exact"/>
        <w:rPr>
          <w:sz w:val="20"/>
          <w:szCs w:val="20"/>
          <w:color w:val="auto"/>
        </w:rPr>
      </w:pPr>
    </w:p>
    <w:p>
      <w:pPr>
        <w:ind w:right="320" w:firstLine="656"/>
        <w:spacing w:after="0" w:line="277" w:lineRule="auto"/>
        <w:tabs>
          <w:tab w:leader="none" w:pos="1547" w:val="left"/>
        </w:tabs>
        <w:numPr>
          <w:ilvl w:val="1"/>
          <w:numId w:val="133"/>
        </w:numPr>
        <w:rPr>
          <w:rFonts w:ascii="Arial" w:cs="Arial" w:eastAsia="Arial" w:hAnsi="Arial"/>
          <w:sz w:val="18"/>
          <w:szCs w:val="18"/>
          <w:color w:val="auto"/>
        </w:rPr>
      </w:pPr>
      <w:r>
        <w:rPr>
          <w:rFonts w:ascii="Arial" w:cs="Arial" w:eastAsia="Arial" w:hAnsi="Arial"/>
          <w:sz w:val="18"/>
          <w:szCs w:val="18"/>
          <w:u w:val="single" w:color="auto"/>
          <w:color w:val="auto"/>
        </w:rPr>
        <w:t>Non-Exclusive Remedies</w:t>
      </w:r>
      <w:r>
        <w:rPr>
          <w:rFonts w:ascii="Arial" w:cs="Arial" w:eastAsia="Arial" w:hAnsi="Arial"/>
          <w:sz w:val="18"/>
          <w:szCs w:val="18"/>
          <w:color w:val="auto"/>
        </w:rPr>
        <w:t>. The remedies provided for in this Section 7 are not exclusive and shall not limit any rights or remedies which may otherwise be available to any Indemnified Person at law or in equity.</w:t>
      </w:r>
    </w:p>
    <w:p>
      <w:pPr>
        <w:spacing w:after="0" w:line="170" w:lineRule="exact"/>
        <w:rPr>
          <w:rFonts w:ascii="Arial" w:cs="Arial" w:eastAsia="Arial" w:hAnsi="Arial"/>
          <w:sz w:val="18"/>
          <w:szCs w:val="18"/>
          <w:color w:val="auto"/>
        </w:rPr>
      </w:pPr>
    </w:p>
    <w:p>
      <w:pPr>
        <w:ind w:left="960" w:hanging="952"/>
        <w:spacing w:after="0"/>
        <w:tabs>
          <w:tab w:leader="none" w:pos="960" w:val="left"/>
        </w:tabs>
        <w:numPr>
          <w:ilvl w:val="0"/>
          <w:numId w:val="134"/>
        </w:numPr>
        <w:rPr>
          <w:rFonts w:ascii="Arial" w:cs="Arial" w:eastAsia="Arial" w:hAnsi="Arial"/>
          <w:sz w:val="18"/>
          <w:szCs w:val="18"/>
          <w:color w:val="auto"/>
        </w:rPr>
      </w:pPr>
      <w:r>
        <w:rPr>
          <w:rFonts w:ascii="Arial" w:cs="Arial" w:eastAsia="Arial" w:hAnsi="Arial"/>
          <w:sz w:val="18"/>
          <w:szCs w:val="18"/>
          <w:u w:val="single" w:color="auto"/>
          <w:color w:val="auto"/>
        </w:rPr>
        <w:t>Effectiveness of Agreement</w:t>
      </w:r>
      <w:r>
        <w:rPr>
          <w:rFonts w:ascii="Arial" w:cs="Arial" w:eastAsia="Arial" w:hAnsi="Arial"/>
          <w:sz w:val="18"/>
          <w:szCs w:val="18"/>
          <w:color w:val="auto"/>
        </w:rPr>
        <w:t>. This Agreement shall become effective as of the date first written above.</w:t>
      </w:r>
    </w:p>
    <w:p>
      <w:pPr>
        <w:spacing w:after="0" w:line="225" w:lineRule="exact"/>
        <w:rPr>
          <w:rFonts w:ascii="Arial" w:cs="Arial" w:eastAsia="Arial" w:hAnsi="Arial"/>
          <w:sz w:val="18"/>
          <w:szCs w:val="18"/>
          <w:color w:val="auto"/>
        </w:rPr>
      </w:pPr>
    </w:p>
    <w:p>
      <w:pPr>
        <w:ind w:right="80" w:firstLine="8"/>
        <w:spacing w:after="0" w:line="253" w:lineRule="auto"/>
        <w:tabs>
          <w:tab w:leader="none" w:pos="944" w:val="left"/>
        </w:tabs>
        <w:numPr>
          <w:ilvl w:val="0"/>
          <w:numId w:val="134"/>
        </w:numPr>
        <w:rPr>
          <w:rFonts w:ascii="Arial" w:cs="Arial" w:eastAsia="Arial" w:hAnsi="Arial"/>
          <w:sz w:val="18"/>
          <w:szCs w:val="18"/>
          <w:color w:val="auto"/>
        </w:rPr>
      </w:pPr>
      <w:r>
        <w:rPr>
          <w:rFonts w:ascii="Arial" w:cs="Arial" w:eastAsia="Arial" w:hAnsi="Arial"/>
          <w:sz w:val="18"/>
          <w:szCs w:val="18"/>
          <w:u w:val="single" w:color="auto"/>
          <w:color w:val="auto"/>
        </w:rPr>
        <w:t>Termination</w:t>
      </w:r>
      <w:r>
        <w:rPr>
          <w:rFonts w:ascii="Arial" w:cs="Arial" w:eastAsia="Arial" w:hAnsi="Arial"/>
          <w:sz w:val="18"/>
          <w:szCs w:val="18"/>
          <w:color w:val="auto"/>
        </w:rPr>
        <w:t>. This Agreement may be terminated in the absolute discretion of the Representative, by notice to the Company, if after the execution and delivery of this Agreement and on or prior to the Closing Date or, in the case of the Option Units, prior to the Additional Closing Date (i) trading generally shall have been suspended or materially limited on or by any of the NYSE or The Nasdaq Stock Market; (ii) trading of any securities issued or guaranteed by the Company shall have been suspended on any exchange or in any over-the-counter market; (iii) a general moratorium on commercial banking activities shall have been declared by federal or New York State authorities; or (iv) there shall have occurred any outbreak or escalation of hostilities or any change in financial markets or any calamity or crisis, either within or outside the United States, that, in the judgment of the Representative, is material and adverse and makes it impracticable or inadvisable to proceed with the offering, sale or delivery of the Units on the Closing Date or the Additional Closing Date, as the case may be, on the terms and in the manner contemplated by this Agreement, the Pricing Disclosure Package and the Prospectus.</w:t>
      </w:r>
    </w:p>
    <w:p>
      <w:pPr>
        <w:spacing w:after="0" w:line="196" w:lineRule="exact"/>
        <w:rPr>
          <w:rFonts w:ascii="Arial" w:cs="Arial" w:eastAsia="Arial" w:hAnsi="Arial"/>
          <w:sz w:val="18"/>
          <w:szCs w:val="18"/>
          <w:color w:val="auto"/>
        </w:rPr>
      </w:pPr>
    </w:p>
    <w:p>
      <w:pPr>
        <w:ind w:left="860" w:hanging="852"/>
        <w:spacing w:after="0"/>
        <w:tabs>
          <w:tab w:leader="none" w:pos="860" w:val="left"/>
        </w:tabs>
        <w:numPr>
          <w:ilvl w:val="0"/>
          <w:numId w:val="134"/>
        </w:numPr>
        <w:rPr>
          <w:rFonts w:ascii="Arial" w:cs="Arial" w:eastAsia="Arial" w:hAnsi="Arial"/>
          <w:sz w:val="18"/>
          <w:szCs w:val="18"/>
          <w:color w:val="auto"/>
        </w:rPr>
      </w:pPr>
      <w:r>
        <w:rPr>
          <w:rFonts w:ascii="Arial" w:cs="Arial" w:eastAsia="Arial" w:hAnsi="Arial"/>
          <w:sz w:val="18"/>
          <w:szCs w:val="18"/>
          <w:u w:val="single" w:color="auto"/>
          <w:color w:val="auto"/>
        </w:rPr>
        <w:t>Defaulting Underwriter</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firstLine="656"/>
        <w:spacing w:after="0" w:line="271" w:lineRule="auto"/>
        <w:tabs>
          <w:tab w:leader="none" w:pos="1522" w:val="left"/>
        </w:tabs>
        <w:numPr>
          <w:ilvl w:val="1"/>
          <w:numId w:val="134"/>
        </w:numPr>
        <w:rPr>
          <w:rFonts w:ascii="Arial" w:cs="Arial" w:eastAsia="Arial" w:hAnsi="Arial"/>
          <w:sz w:val="17"/>
          <w:szCs w:val="17"/>
          <w:color w:val="auto"/>
        </w:rPr>
      </w:pPr>
      <w:r>
        <w:rPr>
          <w:rFonts w:ascii="Arial" w:cs="Arial" w:eastAsia="Arial" w:hAnsi="Arial"/>
          <w:sz w:val="17"/>
          <w:szCs w:val="17"/>
          <w:color w:val="auto"/>
        </w:rPr>
        <w:t>If, on the Closing Date or the Additional Closing Date, as the case may be, any Underwriter defaults on its obligation to purchase the Units that it has agreed to purchase hereunder on such date, the non-defaulting Underwriters may in their discretion arrange for the purchase of such Units by other persons satisfactory to the Company on the terms contained in this Agreement. If, within 36 hours after any such default by any Underwriter, the non-defaulting Underwriters do not arrange for the purchase of such Units, then the Company shall be entitled to a further period of 36 hours within which to procure other persons satisfactory to the non-defaulting Underwriters to purchase such Units on such terms. If other persons become obligated or agree to purchase the Units of a defaulting Underwriter, either the non-defaulting Underwriters or the Company may postpone the Closing Date or the Additional Closing Date, as the case may be, for up to five full business days in order to effect any changes that in the opinion of counsel for the Company or counsel for the Underwriters may be necessary in the</w:t>
      </w: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9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584" w:right="399" w:bottom="1440" w:gutter="0" w:footer="0" w:header="0"/>
        </w:sectPr>
      </w:pPr>
    </w:p>
    <w:bookmarkStart w:id="228" w:name="page229"/>
    <w:bookmarkEnd w:id="228"/>
    <w:p>
      <w:pPr>
        <w:ind w:right="20"/>
        <w:spacing w:after="0" w:line="259" w:lineRule="auto"/>
        <w:rPr>
          <w:sz w:val="20"/>
          <w:szCs w:val="20"/>
          <w:color w:val="auto"/>
        </w:rPr>
      </w:pPr>
      <w:r>
        <w:rPr>
          <w:rFonts w:ascii="Arial" w:cs="Arial" w:eastAsia="Arial" w:hAnsi="Arial"/>
          <w:sz w:val="18"/>
          <w:szCs w:val="18"/>
          <w:color w:val="auto"/>
        </w:rPr>
        <w:t>Registration Statement and the Prospectus or in any other document or arrangement, and the Company agrees to promptly prepare any amendment or supplement to the Registration Statement and the Prospectus that effects any such changes. As used in this Agreement, the term “Underwriter” includes, for all purposes of this Agreement unless the context otherwise requires, any person not listed in Schedule 1 hereto that, pursuant to this Section 10, purchases Units that a defaulting Underwriter agreed but failed to purchase.</w:t>
      </w:r>
    </w:p>
    <w:p>
      <w:pPr>
        <w:spacing w:after="0" w:line="187" w:lineRule="exact"/>
        <w:rPr>
          <w:sz w:val="20"/>
          <w:szCs w:val="20"/>
          <w:color w:val="auto"/>
        </w:rPr>
      </w:pPr>
    </w:p>
    <w:p>
      <w:pPr>
        <w:ind w:right="80" w:firstLine="656"/>
        <w:spacing w:after="0" w:line="273" w:lineRule="auto"/>
        <w:tabs>
          <w:tab w:leader="none" w:pos="1532" w:val="left"/>
        </w:tabs>
        <w:numPr>
          <w:ilvl w:val="1"/>
          <w:numId w:val="135"/>
        </w:numPr>
        <w:rPr>
          <w:rFonts w:ascii="Arial" w:cs="Arial" w:eastAsia="Arial" w:hAnsi="Arial"/>
          <w:sz w:val="17"/>
          <w:szCs w:val="17"/>
          <w:color w:val="auto"/>
        </w:rPr>
      </w:pPr>
      <w:r>
        <w:rPr>
          <w:rFonts w:ascii="Arial" w:cs="Arial" w:eastAsia="Arial" w:hAnsi="Arial"/>
          <w:sz w:val="17"/>
          <w:szCs w:val="17"/>
          <w:color w:val="auto"/>
        </w:rPr>
        <w:t>If, after giving effect to any arrangements for the purchase of the Units of a defaulting Underwriter or Underwriters by the non-defaulting Underwriters and the Company as provided in paragraph (a) above, the aggregate number of Units that remain unpurchased on the Closing Date or the Additional Closing Date, as the case may be, does not exceed one-eleventh of the aggregate number of Units to be purchased on such date, then the Company shall have the right to require each non-defaulting Underwriter to purchase the number of Units that such Underwriter agreed to purchase hereunder on such date plus such Underwriter’s pro rata share (based on the number of Units that such Underwriter agreed to purchase on such date) of the Units of such defaulting Underwriter or Underwriters for which such arrangements have not been made.</w:t>
      </w:r>
    </w:p>
    <w:p>
      <w:pPr>
        <w:spacing w:after="0" w:line="177" w:lineRule="exact"/>
        <w:rPr>
          <w:rFonts w:ascii="Arial" w:cs="Arial" w:eastAsia="Arial" w:hAnsi="Arial"/>
          <w:sz w:val="17"/>
          <w:szCs w:val="17"/>
          <w:color w:val="auto"/>
        </w:rPr>
      </w:pPr>
    </w:p>
    <w:p>
      <w:pPr>
        <w:ind w:firstLine="656"/>
        <w:spacing w:after="0" w:line="254" w:lineRule="auto"/>
        <w:tabs>
          <w:tab w:leader="none" w:pos="1522" w:val="left"/>
        </w:tabs>
        <w:numPr>
          <w:ilvl w:val="1"/>
          <w:numId w:val="135"/>
        </w:numPr>
        <w:rPr>
          <w:rFonts w:ascii="Arial" w:cs="Arial" w:eastAsia="Arial" w:hAnsi="Arial"/>
          <w:sz w:val="18"/>
          <w:szCs w:val="18"/>
          <w:color w:val="auto"/>
        </w:rPr>
      </w:pPr>
      <w:r>
        <w:rPr>
          <w:rFonts w:ascii="Arial" w:cs="Arial" w:eastAsia="Arial" w:hAnsi="Arial"/>
          <w:sz w:val="18"/>
          <w:szCs w:val="18"/>
          <w:color w:val="auto"/>
        </w:rPr>
        <w:t>If, after giving effect to any arrangements for the purchase of the Units of a defaulting Underwriter or Underwriters by the non-defaulting Underwriters and the Company as provided in paragraph (a) above, the aggregate number of Units that remain unpurchased on the Closing Date or the Additional Closing Date, as the case may be, exceeds one-eleventh of the aggregate amount of Units to be purchased on such date, or if the Company shall not exercise the right described in paragraph (b) above, then this Agreement or, with respect to any Additional Closing Date, the obligation of the Underwriters to purchase Units on the Additional Closing Date, as the case may be, shall terminate without liability on the part of the non-defaulting Underwriters. Any termination of this Agreement pursuant to this Section 10 shall be without liability on the part of the Company, except that the Company will continue to be liable for the payment of expenses as set forth in Section 11 hereof and except that the provisions of Section 7 hereof shall not terminate and shall remain in effect.</w:t>
      </w:r>
    </w:p>
    <w:p>
      <w:pPr>
        <w:spacing w:after="0" w:line="191" w:lineRule="exact"/>
        <w:rPr>
          <w:rFonts w:ascii="Arial" w:cs="Arial" w:eastAsia="Arial" w:hAnsi="Arial"/>
          <w:sz w:val="18"/>
          <w:szCs w:val="18"/>
          <w:color w:val="auto"/>
        </w:rPr>
      </w:pPr>
    </w:p>
    <w:p>
      <w:pPr>
        <w:ind w:right="340" w:firstLine="656"/>
        <w:spacing w:after="0" w:line="277" w:lineRule="auto"/>
        <w:tabs>
          <w:tab w:leader="none" w:pos="1532" w:val="left"/>
        </w:tabs>
        <w:numPr>
          <w:ilvl w:val="1"/>
          <w:numId w:val="135"/>
        </w:numPr>
        <w:rPr>
          <w:rFonts w:ascii="Arial" w:cs="Arial" w:eastAsia="Arial" w:hAnsi="Arial"/>
          <w:sz w:val="18"/>
          <w:szCs w:val="18"/>
          <w:color w:val="auto"/>
        </w:rPr>
      </w:pPr>
      <w:r>
        <w:rPr>
          <w:rFonts w:ascii="Arial" w:cs="Arial" w:eastAsia="Arial" w:hAnsi="Arial"/>
          <w:sz w:val="18"/>
          <w:szCs w:val="18"/>
          <w:color w:val="auto"/>
        </w:rPr>
        <w:t>Nothing contained herein shall relieve a defaulting Underwriter of any liability it may have to the Company or any non-defaulting Underwriter for damages caused by its default.</w:t>
      </w:r>
    </w:p>
    <w:p>
      <w:pPr>
        <w:spacing w:after="0" w:line="170" w:lineRule="exact"/>
        <w:rPr>
          <w:rFonts w:ascii="Arial" w:cs="Arial" w:eastAsia="Arial" w:hAnsi="Arial"/>
          <w:sz w:val="18"/>
          <w:szCs w:val="18"/>
          <w:color w:val="auto"/>
        </w:rPr>
      </w:pPr>
    </w:p>
    <w:p>
      <w:pPr>
        <w:ind w:left="860" w:hanging="852"/>
        <w:spacing w:after="0"/>
        <w:tabs>
          <w:tab w:leader="none" w:pos="860" w:val="left"/>
        </w:tabs>
        <w:numPr>
          <w:ilvl w:val="0"/>
          <w:numId w:val="136"/>
        </w:numPr>
        <w:rPr>
          <w:rFonts w:ascii="Arial" w:cs="Arial" w:eastAsia="Arial" w:hAnsi="Arial"/>
          <w:sz w:val="18"/>
          <w:szCs w:val="18"/>
          <w:color w:val="auto"/>
        </w:rPr>
      </w:pPr>
      <w:r>
        <w:rPr>
          <w:rFonts w:ascii="Arial" w:cs="Arial" w:eastAsia="Arial" w:hAnsi="Arial"/>
          <w:sz w:val="18"/>
          <w:szCs w:val="18"/>
          <w:u w:val="single" w:color="auto"/>
          <w:color w:val="auto"/>
        </w:rPr>
        <w:t>Payment of Expenses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60" w:firstLine="656"/>
        <w:spacing w:after="0" w:line="291" w:lineRule="auto"/>
        <w:tabs>
          <w:tab w:leader="none" w:pos="1522" w:val="left"/>
        </w:tabs>
        <w:numPr>
          <w:ilvl w:val="1"/>
          <w:numId w:val="136"/>
        </w:numPr>
        <w:rPr>
          <w:rFonts w:ascii="Arial" w:cs="Arial" w:eastAsia="Arial" w:hAnsi="Arial"/>
          <w:sz w:val="16"/>
          <w:szCs w:val="16"/>
          <w:color w:val="auto"/>
        </w:rPr>
      </w:pPr>
      <w:r>
        <w:rPr>
          <w:rFonts w:ascii="Arial" w:cs="Arial" w:eastAsia="Arial" w:hAnsi="Arial"/>
          <w:sz w:val="16"/>
          <w:szCs w:val="16"/>
          <w:color w:val="auto"/>
        </w:rPr>
        <w:t>Whether or not the transactions contemplated by this Agreement are consummated or this Agreement is terminated, the Company will pay or cause to be paid all costs and expenses incident to the performance of its obligations hereunder, including without limitation, (i) the costs incident to the authorization, issuance, sale, preparation and delivery of the Units and any taxes payable in that connection; (ii) the costs incident to the preparation, printing and filing under the Securities Act of the Registration Statement, the Preliminary Prospectus, any Pricing Disclosure Package and the Prospectus (including all exhibits, amendments and supplements thereto) and the distribution thereof; (iii) the costs of reproducing and distributing each of the Transaction Documents; (iv) the fees and expenses of the Company’s counsel and independent accountants; (v) the fees and expenses incurred in connection with the registration or qualification and determination of eligibility for investment of the Units under the</w:t>
      </w:r>
    </w:p>
    <w:p>
      <w:pPr>
        <w:spacing w:after="0" w:line="27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9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29" w:name="page230"/>
    <w:bookmarkEnd w:id="229"/>
    <w:p>
      <w:pPr>
        <w:ind w:right="40"/>
        <w:spacing w:after="0" w:line="255" w:lineRule="auto"/>
        <w:rPr>
          <w:sz w:val="20"/>
          <w:szCs w:val="20"/>
          <w:color w:val="auto"/>
        </w:rPr>
      </w:pPr>
      <w:r>
        <w:rPr>
          <w:rFonts w:ascii="Arial" w:cs="Arial" w:eastAsia="Arial" w:hAnsi="Arial"/>
          <w:sz w:val="18"/>
          <w:szCs w:val="18"/>
          <w:color w:val="auto"/>
        </w:rPr>
        <w:t>laws of such jurisdictions as the Representative may designate and the preparation, printing and distribution of a Blue Sky Memorandum (including the related fees and expenses of counsel for the Underwriters); (vi) the cost of preparing share certificates; (vii) the costs and charges of any transfer agent, trustee, warrant agent and registrar; (viii) all expenses and application fees incurred in connection with any filing with, and clearance of the offering by, FINRA (including the reasonable and documented fees and expenses of counsel for the Underwriters relating to such filings up to $25,000); (ix) all expenses incurred by the Company in connection with any “road show” presentation to potential investors; and (x) all expenses and application fees related to the listing of the Units on the NYSE.</w:t>
      </w:r>
    </w:p>
    <w:p>
      <w:pPr>
        <w:spacing w:after="0" w:line="192" w:lineRule="exact"/>
        <w:rPr>
          <w:sz w:val="20"/>
          <w:szCs w:val="20"/>
          <w:color w:val="auto"/>
        </w:rPr>
      </w:pPr>
    </w:p>
    <w:p>
      <w:pPr>
        <w:ind w:firstLine="656"/>
        <w:spacing w:after="0" w:line="259" w:lineRule="auto"/>
        <w:tabs>
          <w:tab w:leader="none" w:pos="1532" w:val="left"/>
        </w:tabs>
        <w:numPr>
          <w:ilvl w:val="1"/>
          <w:numId w:val="137"/>
        </w:numPr>
        <w:rPr>
          <w:rFonts w:ascii="Arial" w:cs="Arial" w:eastAsia="Arial" w:hAnsi="Arial"/>
          <w:sz w:val="18"/>
          <w:szCs w:val="18"/>
          <w:color w:val="auto"/>
        </w:rPr>
      </w:pPr>
      <w:r>
        <w:rPr>
          <w:rFonts w:ascii="Arial" w:cs="Arial" w:eastAsia="Arial" w:hAnsi="Arial"/>
          <w:sz w:val="18"/>
          <w:szCs w:val="18"/>
          <w:color w:val="auto"/>
        </w:rPr>
        <w:t>If (i) this Agreement is terminated pursuant to Section 9 hereof, (ii) the Company for any reason fails to tender the Units for delivery to the Underwriters or (iii) the Underwriters decline to purchase the Units for any reason permitted under this Agreement, the Company agrees to reimburse the Underwriters for all out-of-pocket costs and expenses (including the fees and expenses of their counsel) reasonably incurred by the Underwriters in connection with this Agreement and the Offering.</w:t>
      </w:r>
    </w:p>
    <w:p>
      <w:pPr>
        <w:spacing w:after="0" w:line="186" w:lineRule="exact"/>
        <w:rPr>
          <w:rFonts w:ascii="Arial" w:cs="Arial" w:eastAsia="Arial" w:hAnsi="Arial"/>
          <w:sz w:val="18"/>
          <w:szCs w:val="18"/>
          <w:color w:val="auto"/>
        </w:rPr>
      </w:pPr>
    </w:p>
    <w:p>
      <w:pPr>
        <w:ind w:right="180" w:firstLine="8"/>
        <w:spacing w:after="0" w:line="257" w:lineRule="auto"/>
        <w:tabs>
          <w:tab w:leader="none" w:pos="855" w:val="left"/>
        </w:tabs>
        <w:numPr>
          <w:ilvl w:val="0"/>
          <w:numId w:val="138"/>
        </w:numPr>
        <w:rPr>
          <w:rFonts w:ascii="Arial" w:cs="Arial" w:eastAsia="Arial" w:hAnsi="Arial"/>
          <w:sz w:val="18"/>
          <w:szCs w:val="18"/>
          <w:color w:val="auto"/>
        </w:rPr>
      </w:pPr>
      <w:r>
        <w:rPr>
          <w:rFonts w:ascii="Arial" w:cs="Arial" w:eastAsia="Arial" w:hAnsi="Arial"/>
          <w:sz w:val="18"/>
          <w:szCs w:val="18"/>
          <w:u w:val="single" w:color="auto"/>
          <w:color w:val="auto"/>
        </w:rPr>
        <w:t>Persons Entitled to Benefit of Agreement</w:t>
      </w:r>
      <w:r>
        <w:rPr>
          <w:rFonts w:ascii="Arial" w:cs="Arial" w:eastAsia="Arial" w:hAnsi="Arial"/>
          <w:sz w:val="18"/>
          <w:szCs w:val="18"/>
          <w:color w:val="auto"/>
        </w:rPr>
        <w:t>. This Agreement shall inure to the benefit of and be binding upon the parties hereto and their respective successors and the officers and directors and any controlling persons referred to herein, and the affiliates of each Underwriter referred to in Section 7 hereof. Nothing in this Agreement is intended or shall be construed to give any other person any legal or equitable right, remedy or claim under or in respect of this Agreement or any provision contained herein. No purchaser of Units from any Underwriter shall be deemed to be a successor merely by reason of such purchase.</w:t>
      </w:r>
    </w:p>
    <w:p>
      <w:pPr>
        <w:spacing w:after="0" w:line="187" w:lineRule="exact"/>
        <w:rPr>
          <w:rFonts w:ascii="Arial" w:cs="Arial" w:eastAsia="Arial" w:hAnsi="Arial"/>
          <w:sz w:val="18"/>
          <w:szCs w:val="18"/>
          <w:color w:val="auto"/>
        </w:rPr>
      </w:pPr>
    </w:p>
    <w:p>
      <w:pPr>
        <w:ind w:right="80" w:firstLine="8"/>
        <w:spacing w:after="0" w:line="257" w:lineRule="auto"/>
        <w:tabs>
          <w:tab w:leader="none" w:pos="855" w:val="left"/>
        </w:tabs>
        <w:numPr>
          <w:ilvl w:val="0"/>
          <w:numId w:val="138"/>
        </w:numPr>
        <w:rPr>
          <w:rFonts w:ascii="Arial" w:cs="Arial" w:eastAsia="Arial" w:hAnsi="Arial"/>
          <w:sz w:val="18"/>
          <w:szCs w:val="18"/>
          <w:color w:val="auto"/>
        </w:rPr>
      </w:pPr>
      <w:r>
        <w:rPr>
          <w:rFonts w:ascii="Arial" w:cs="Arial" w:eastAsia="Arial" w:hAnsi="Arial"/>
          <w:sz w:val="18"/>
          <w:szCs w:val="18"/>
          <w:u w:val="single" w:color="auto"/>
          <w:color w:val="auto"/>
        </w:rPr>
        <w:t>Survival</w:t>
      </w:r>
      <w:r>
        <w:rPr>
          <w:rFonts w:ascii="Arial" w:cs="Arial" w:eastAsia="Arial" w:hAnsi="Arial"/>
          <w:sz w:val="18"/>
          <w:szCs w:val="18"/>
          <w:color w:val="auto"/>
        </w:rPr>
        <w:t>. The respective indemnities, rights of contribution, representations, warranties and agreements of the Company and the Underwriters contained in this Agreement or made by or on behalf of the Company or the Underwriters pursuant to this Agreement or any certificate delivered pursuant hereto shall survive the delivery of and payment for the Units and shall remain in full force and effect, regardless of any termination of this Agreement or any investigation made by or on behalf of the Company or the Underwriters or the directors, officers, controlling persons or affiliates referred to in Section 7 hereof.</w:t>
      </w:r>
    </w:p>
    <w:p>
      <w:pPr>
        <w:spacing w:after="0" w:line="187" w:lineRule="exact"/>
        <w:rPr>
          <w:rFonts w:ascii="Arial" w:cs="Arial" w:eastAsia="Arial" w:hAnsi="Arial"/>
          <w:sz w:val="18"/>
          <w:szCs w:val="18"/>
          <w:color w:val="auto"/>
        </w:rPr>
      </w:pPr>
    </w:p>
    <w:p>
      <w:pPr>
        <w:ind w:right="20" w:firstLine="8"/>
        <w:spacing w:after="0" w:line="296" w:lineRule="auto"/>
        <w:tabs>
          <w:tab w:leader="none" w:pos="855" w:val="left"/>
        </w:tabs>
        <w:numPr>
          <w:ilvl w:val="0"/>
          <w:numId w:val="138"/>
        </w:numPr>
        <w:rPr>
          <w:rFonts w:ascii="Arial" w:cs="Arial" w:eastAsia="Arial" w:hAnsi="Arial"/>
          <w:sz w:val="16"/>
          <w:szCs w:val="16"/>
          <w:color w:val="auto"/>
        </w:rPr>
      </w:pPr>
      <w:r>
        <w:rPr>
          <w:rFonts w:ascii="Arial" w:cs="Arial" w:eastAsia="Arial" w:hAnsi="Arial"/>
          <w:sz w:val="16"/>
          <w:szCs w:val="16"/>
          <w:u w:val="single" w:color="auto"/>
          <w:color w:val="auto"/>
        </w:rPr>
        <w:t>Certain Defined Terms</w:t>
      </w:r>
      <w:r>
        <w:rPr>
          <w:rFonts w:ascii="Arial" w:cs="Arial" w:eastAsia="Arial" w:hAnsi="Arial"/>
          <w:sz w:val="16"/>
          <w:szCs w:val="16"/>
          <w:color w:val="auto"/>
        </w:rPr>
        <w:t>. For purposes of this Agreement, (a) except where otherwise expressly provided, the term “affiliate” has the meaning set forth in Rule 405 under the Securities Act; (b) the term “business day” means any day other than a day on which banks are permitted or required to be closed in New York City; and (c) the term “Liquidation” means the distributions of the Trust Account to the Public Shareholders in connection with the redemption of the Ordinary Shares held by the Public Shareholders pursuant to the terms of the Company’s Amended and Restated Memorandum and Articles of Association, as amended, if the Company fails to consummate a Business Combination with the time period provided therein.</w:t>
      </w:r>
    </w:p>
    <w:p>
      <w:pPr>
        <w:spacing w:after="0" w:line="161" w:lineRule="exact"/>
        <w:rPr>
          <w:rFonts w:ascii="Arial" w:cs="Arial" w:eastAsia="Arial" w:hAnsi="Arial"/>
          <w:sz w:val="16"/>
          <w:szCs w:val="16"/>
          <w:color w:val="auto"/>
        </w:rPr>
      </w:pPr>
    </w:p>
    <w:p>
      <w:pPr>
        <w:ind w:right="240" w:firstLine="8"/>
        <w:spacing w:after="0" w:line="259" w:lineRule="auto"/>
        <w:tabs>
          <w:tab w:leader="none" w:pos="855" w:val="left"/>
        </w:tabs>
        <w:numPr>
          <w:ilvl w:val="0"/>
          <w:numId w:val="138"/>
        </w:numPr>
        <w:rPr>
          <w:rFonts w:ascii="Arial" w:cs="Arial" w:eastAsia="Arial" w:hAnsi="Arial"/>
          <w:sz w:val="18"/>
          <w:szCs w:val="18"/>
          <w:color w:val="auto"/>
        </w:rPr>
      </w:pPr>
      <w:r>
        <w:rPr>
          <w:rFonts w:ascii="Arial" w:cs="Arial" w:eastAsia="Arial" w:hAnsi="Arial"/>
          <w:sz w:val="18"/>
          <w:szCs w:val="18"/>
          <w:u w:val="single" w:color="auto"/>
          <w:color w:val="auto"/>
        </w:rPr>
        <w:t>Compliance with USA Patriot Act</w:t>
      </w:r>
      <w:r>
        <w:rPr>
          <w:rFonts w:ascii="Arial" w:cs="Arial" w:eastAsia="Arial" w:hAnsi="Arial"/>
          <w:sz w:val="18"/>
          <w:szCs w:val="18"/>
          <w:color w:val="auto"/>
        </w:rPr>
        <w:t>. In accordance with the requirements of the USA Patriot Act (Title III of Pub. L. 107-56 (signed into law October 26, 2001)), the Underwriters are required to obtain, verify and record information that identifies their respective clients, including the Company, which information may include the name and address of their respective clients, as well as other information that will allow the Underwriters to properly identify their respective clients.</w:t>
      </w:r>
    </w:p>
    <w:p>
      <w:pPr>
        <w:spacing w:after="0" w:line="29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30" w:name="page231"/>
    <w:bookmarkEnd w:id="230"/>
    <w:p>
      <w:pPr>
        <w:ind w:left="860" w:hanging="852"/>
        <w:spacing w:after="0"/>
        <w:tabs>
          <w:tab w:leader="none" w:pos="860" w:val="left"/>
        </w:tabs>
        <w:numPr>
          <w:ilvl w:val="0"/>
          <w:numId w:val="139"/>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40" w:firstLine="656"/>
        <w:spacing w:after="0" w:line="277" w:lineRule="auto"/>
        <w:tabs>
          <w:tab w:leader="none" w:pos="1522" w:val="left"/>
        </w:tabs>
        <w:numPr>
          <w:ilvl w:val="1"/>
          <w:numId w:val="139"/>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All notices and other communications hereunder shall be in writing and shall be deemed to have been duly given if mailed or transmitted and confirmed by any standard form of telecommunication.</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Notices to the Underwriters shall be given to the Representative:</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J.P. Morgan Securities LLC</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383 Madison Avenue</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New York, New York 10179</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(fax: (212) 622-8358)</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Attention Equity Syndicate Desk</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with a copy to:</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Skadden, Arps, Slate, Meagher &amp; Flom LLP,</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300 South Grand Avenue, Suite 3400</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Los Angeles, California 90071</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Attention: Gregg A. Noel, P. Michelle Gasaway</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Notices to the Company shall be given to it at</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Freedom Acquisition I Corp.</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14 Wall Street, 20th Floor</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New York, NY 10005</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Attention: Adam Gishen</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with copies to:</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Davis Polk &amp; Wardwell LLP</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450 Lexington Avenue</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New York, NY 10017</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Attention: Deanna L. Kirkpatrick, Pedro J. Bermeo</w:t>
      </w:r>
    </w:p>
    <w:p>
      <w:pPr>
        <w:spacing w:after="0" w:line="211" w:lineRule="exact"/>
        <w:rPr>
          <w:sz w:val="20"/>
          <w:szCs w:val="20"/>
          <w:color w:val="auto"/>
        </w:rPr>
      </w:pPr>
    </w:p>
    <w:p>
      <w:pPr>
        <w:ind w:right="180" w:firstLine="656"/>
        <w:spacing w:after="0" w:line="277" w:lineRule="auto"/>
        <w:tabs>
          <w:tab w:leader="none" w:pos="1532" w:val="left"/>
        </w:tabs>
        <w:numPr>
          <w:ilvl w:val="0"/>
          <w:numId w:val="140"/>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and any claim, controversy or dispute arising under or related to this Agreement shall be governed by and construed in accordance with the laws of the State of New York.</w:t>
      </w:r>
    </w:p>
    <w:p>
      <w:pPr>
        <w:spacing w:after="0" w:line="170" w:lineRule="exact"/>
        <w:rPr>
          <w:rFonts w:ascii="Arial" w:cs="Arial" w:eastAsia="Arial" w:hAnsi="Arial"/>
          <w:sz w:val="18"/>
          <w:szCs w:val="18"/>
          <w:color w:val="auto"/>
        </w:rPr>
      </w:pPr>
    </w:p>
    <w:p>
      <w:pPr>
        <w:ind w:firstLine="656"/>
        <w:spacing w:after="0" w:line="279" w:lineRule="auto"/>
        <w:tabs>
          <w:tab w:leader="none" w:pos="1522" w:val="left"/>
        </w:tabs>
        <w:numPr>
          <w:ilvl w:val="0"/>
          <w:numId w:val="140"/>
        </w:numPr>
        <w:rPr>
          <w:rFonts w:ascii="Arial" w:cs="Arial" w:eastAsia="Arial" w:hAnsi="Arial"/>
          <w:sz w:val="17"/>
          <w:szCs w:val="17"/>
          <w:color w:val="auto"/>
        </w:rPr>
      </w:pPr>
      <w:r>
        <w:rPr>
          <w:rFonts w:ascii="Arial" w:cs="Arial" w:eastAsia="Arial" w:hAnsi="Arial"/>
          <w:sz w:val="17"/>
          <w:szCs w:val="17"/>
          <w:u w:val="single" w:color="auto"/>
          <w:color w:val="auto"/>
        </w:rPr>
        <w:t>Submission to Jurisdiction</w:t>
      </w:r>
      <w:r>
        <w:rPr>
          <w:rFonts w:ascii="Arial" w:cs="Arial" w:eastAsia="Arial" w:hAnsi="Arial"/>
          <w:sz w:val="17"/>
          <w:szCs w:val="17"/>
          <w:color w:val="auto"/>
        </w:rPr>
        <w:t>. The Company hereby submits to the exclusive jurisdiction of the U.S. federal and New York state courts in the Borough of Manhattan in The City of New York in any suit or proceeding arising out of or relating to this Agreement or the transactions contemplated hereby. The Company waives any objection which it may now or hereafter have to the laying of venue of any such suit or proceeding in such courts. The Company agrees that final judgment in any such suit, action or proceeding brought in such court shall be</w:t>
      </w:r>
    </w:p>
    <w:p>
      <w:pPr>
        <w:spacing w:after="0" w:line="27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0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231" w:name="page232"/>
    <w:bookmarkEnd w:id="231"/>
    <w:p>
      <w:pPr>
        <w:ind w:right="20"/>
        <w:spacing w:after="0" w:line="254" w:lineRule="auto"/>
        <w:rPr>
          <w:sz w:val="20"/>
          <w:szCs w:val="20"/>
          <w:color w:val="auto"/>
        </w:rPr>
      </w:pPr>
      <w:r>
        <w:rPr>
          <w:rFonts w:ascii="Arial" w:cs="Arial" w:eastAsia="Arial" w:hAnsi="Arial"/>
          <w:sz w:val="17"/>
          <w:szCs w:val="17"/>
          <w:color w:val="auto"/>
        </w:rPr>
        <w:t>conclusive and binding upon the Company and may be enforced in any court to the jurisdiction of which Company is subject by a suit upon such judgment. The Company irrevocably appoints Adam Gishen, located 14 Wall Street, 20</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Floor, New York, New York, 10005, as its authorized agent in the Borough of Manhattan in The City of New York upon which process may be served in any such suit or proceeding, and agrees that service of process upon such authorized agent, and written notice of such service to the Company by the person serving the same to the address provided in this Section 16(c), shall be deemed in every respect effective service of process upon the Company in any such suit or proceeding. The Company hereby represents and warrants that such authorized agent has accepted such appointment and has agreed to act as such authorized agent for service of process. The Company further agrees to take any and all action as may be necessary to maintain such designation and appointment of such authorized agent in full force and effect for a period of seven years from the date of this Agreement.</w:t>
      </w:r>
    </w:p>
    <w:p>
      <w:pPr>
        <w:spacing w:after="0" w:line="196" w:lineRule="exact"/>
        <w:rPr>
          <w:sz w:val="20"/>
          <w:szCs w:val="20"/>
          <w:color w:val="auto"/>
        </w:rPr>
      </w:pPr>
    </w:p>
    <w:p>
      <w:pPr>
        <w:ind w:firstLine="656"/>
        <w:spacing w:after="0" w:line="270" w:lineRule="auto"/>
        <w:tabs>
          <w:tab w:leader="none" w:pos="1532" w:val="left"/>
        </w:tabs>
        <w:numPr>
          <w:ilvl w:val="0"/>
          <w:numId w:val="141"/>
        </w:numPr>
        <w:rPr>
          <w:rFonts w:ascii="Arial" w:cs="Arial" w:eastAsia="Arial" w:hAnsi="Arial"/>
          <w:sz w:val="17"/>
          <w:szCs w:val="17"/>
          <w:color w:val="auto"/>
        </w:rPr>
      </w:pPr>
      <w:r>
        <w:rPr>
          <w:rFonts w:ascii="Arial" w:cs="Arial" w:eastAsia="Arial" w:hAnsi="Arial"/>
          <w:sz w:val="17"/>
          <w:szCs w:val="17"/>
          <w:u w:val="single" w:color="auto"/>
          <w:color w:val="auto"/>
        </w:rPr>
        <w:t>Judgment Currency</w:t>
      </w:r>
      <w:r>
        <w:rPr>
          <w:rFonts w:ascii="Arial" w:cs="Arial" w:eastAsia="Arial" w:hAnsi="Arial"/>
          <w:sz w:val="17"/>
          <w:szCs w:val="17"/>
          <w:color w:val="auto"/>
        </w:rPr>
        <w:t>. The Company agrees to indemnify each Underwriter, its directors, officers, affiliates and each person, if any, who controls such Underwriter within the meaning of Section 15 of the Securities Act or Section 20 of the Exchange Act, against any loss incurred by such Underwriter as a result of any judgment or order being given or made for any amount due hereunder and such judgment or order being expressed and paid in a currency (the “</w:t>
      </w:r>
      <w:r>
        <w:rPr>
          <w:rFonts w:ascii="Arial" w:cs="Arial" w:eastAsia="Arial" w:hAnsi="Arial"/>
          <w:sz w:val="17"/>
          <w:szCs w:val="17"/>
          <w:b w:val="1"/>
          <w:bCs w:val="1"/>
          <w:color w:val="auto"/>
        </w:rPr>
        <w:t>Judgment Currency</w:t>
      </w:r>
      <w:r>
        <w:rPr>
          <w:rFonts w:ascii="Arial" w:cs="Arial" w:eastAsia="Arial" w:hAnsi="Arial"/>
          <w:sz w:val="17"/>
          <w:szCs w:val="17"/>
          <w:color w:val="auto"/>
        </w:rPr>
        <w:t>”) other than U.S. dollars and as a result of any variation as between (i) the rate of exchange at which the U.S. dollar amount is converted into the Judgment Currency for the purpose of such judgment or order, and (ii) the rate of exchange at which such indemnified person is able to purchase U.S. dollars with the amount of the Judgment Currency actually received by the indemnified person. The foregoing indemnity shall constitute a separate and independent obligation of the Company and shall continue in full force and effect notwithstanding any such judgment or order as aforesaid. The term “rate of exchange” shall include any premiums and costs of exchange payable in connection with the purchase of, or conversion into, the relevant currency.</w:t>
      </w:r>
    </w:p>
    <w:p>
      <w:pPr>
        <w:spacing w:after="0" w:line="180" w:lineRule="exact"/>
        <w:rPr>
          <w:rFonts w:ascii="Arial" w:cs="Arial" w:eastAsia="Arial" w:hAnsi="Arial"/>
          <w:sz w:val="17"/>
          <w:szCs w:val="17"/>
          <w:color w:val="auto"/>
        </w:rPr>
      </w:pPr>
    </w:p>
    <w:p>
      <w:pPr>
        <w:ind w:right="40" w:firstLine="656"/>
        <w:spacing w:after="0" w:line="296" w:lineRule="auto"/>
        <w:tabs>
          <w:tab w:leader="none" w:pos="1522" w:val="left"/>
        </w:tabs>
        <w:numPr>
          <w:ilvl w:val="0"/>
          <w:numId w:val="141"/>
        </w:numPr>
        <w:rPr>
          <w:rFonts w:ascii="Arial" w:cs="Arial" w:eastAsia="Arial" w:hAnsi="Arial"/>
          <w:sz w:val="16"/>
          <w:szCs w:val="16"/>
          <w:color w:val="auto"/>
        </w:rPr>
      </w:pPr>
      <w:r>
        <w:rPr>
          <w:rFonts w:ascii="Arial" w:cs="Arial" w:eastAsia="Arial" w:hAnsi="Arial"/>
          <w:sz w:val="16"/>
          <w:szCs w:val="16"/>
          <w:u w:val="single" w:color="auto"/>
          <w:color w:val="auto"/>
        </w:rPr>
        <w:t>Waiver of Immunity</w:t>
      </w:r>
      <w:r>
        <w:rPr>
          <w:rFonts w:ascii="Arial" w:cs="Arial" w:eastAsia="Arial" w:hAnsi="Arial"/>
          <w:sz w:val="16"/>
          <w:szCs w:val="16"/>
          <w:color w:val="auto"/>
        </w:rPr>
        <w:t>. To the extent that the Company has or hereafter may acquire any immunity (sovereign or otherwise) from jurisdiction of any court of (i) the Cayman Islands, or any political subdivision thereof, (ii) the United States or the State of New York, (iii) any jurisdiction in which it owns or leases property or assets or from any legal process (whether through service of notice, attachment prior to judgment, attachment in aid of execution, execution, set-off or otherwise) with respect to themselves or their respective property and assets or this Agreement, the Company hereby irrevocably waives such immunity in respect of its obligations under this Agreement to the fullest extent permitted by applicable law.</w:t>
      </w:r>
    </w:p>
    <w:p>
      <w:pPr>
        <w:spacing w:after="0" w:line="157" w:lineRule="exact"/>
        <w:rPr>
          <w:rFonts w:ascii="Arial" w:cs="Arial" w:eastAsia="Arial" w:hAnsi="Arial"/>
          <w:sz w:val="16"/>
          <w:szCs w:val="16"/>
          <w:color w:val="auto"/>
        </w:rPr>
      </w:pPr>
    </w:p>
    <w:p>
      <w:pPr>
        <w:ind w:left="1560" w:hanging="904"/>
        <w:spacing w:after="0"/>
        <w:tabs>
          <w:tab w:leader="none" w:pos="1560" w:val="left"/>
        </w:tabs>
        <w:numPr>
          <w:ilvl w:val="0"/>
          <w:numId w:val="141"/>
        </w:numPr>
        <w:rPr>
          <w:rFonts w:ascii="Arial" w:cs="Arial" w:eastAsia="Arial" w:hAnsi="Arial"/>
          <w:sz w:val="18"/>
          <w:szCs w:val="18"/>
          <w:color w:val="auto"/>
        </w:rPr>
      </w:pPr>
      <w:r>
        <w:rPr>
          <w:rFonts w:ascii="Arial" w:cs="Arial" w:eastAsia="Arial" w:hAnsi="Arial"/>
          <w:sz w:val="18"/>
          <w:szCs w:val="18"/>
          <w:u w:val="single" w:color="auto"/>
          <w:color w:val="auto"/>
        </w:rPr>
        <w:t>Waiver of Jury Trial</w:t>
      </w:r>
      <w:r>
        <w:rPr>
          <w:rFonts w:ascii="Arial" w:cs="Arial" w:eastAsia="Arial" w:hAnsi="Arial"/>
          <w:sz w:val="18"/>
          <w:szCs w:val="18"/>
          <w:color w:val="auto"/>
        </w:rPr>
        <w:t xml:space="preserve">. </w:t>
      </w:r>
      <w:r>
        <w:rPr>
          <w:rFonts w:ascii="Arial" w:cs="Arial" w:eastAsia="Arial" w:hAnsi="Arial"/>
          <w:sz w:val="18"/>
          <w:szCs w:val="18"/>
          <w:b w:val="1"/>
          <w:bCs w:val="1"/>
          <w:color w:val="auto"/>
        </w:rPr>
        <w:t>EACH OF THE PARTIES HERETO HEREBY WAIVES ANY RIGHT TO TRIAL BY JURY IN ANY</w:t>
      </w:r>
    </w:p>
    <w:p>
      <w:pPr>
        <w:spacing w:after="0" w:line="27"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b w:val="1"/>
          <w:bCs w:val="1"/>
          <w:color w:val="auto"/>
        </w:rPr>
        <w:t>SUIT OR PROCEEDING ARISING OUT OF OR RELATING TO THIS AGREEMENT.</w:t>
      </w:r>
    </w:p>
    <w:p>
      <w:pPr>
        <w:spacing w:after="0" w:line="210" w:lineRule="exact"/>
        <w:rPr>
          <w:rFonts w:ascii="Arial" w:cs="Arial" w:eastAsia="Arial" w:hAnsi="Arial"/>
          <w:sz w:val="18"/>
          <w:szCs w:val="18"/>
          <w:color w:val="auto"/>
        </w:rPr>
      </w:pPr>
    </w:p>
    <w:p>
      <w:pPr>
        <w:ind w:left="1540" w:hanging="884"/>
        <w:spacing w:after="0"/>
        <w:tabs>
          <w:tab w:leader="none" w:pos="1540" w:val="left"/>
        </w:tabs>
        <w:numPr>
          <w:ilvl w:val="0"/>
          <w:numId w:val="141"/>
        </w:numPr>
        <w:rPr>
          <w:rFonts w:ascii="Arial" w:cs="Arial" w:eastAsia="Arial" w:hAnsi="Arial"/>
          <w:sz w:val="18"/>
          <w:szCs w:val="18"/>
          <w:color w:val="auto"/>
        </w:rPr>
      </w:pPr>
      <w:r>
        <w:rPr>
          <w:rFonts w:ascii="Arial" w:cs="Arial" w:eastAsia="Arial" w:hAnsi="Arial"/>
          <w:sz w:val="18"/>
          <w:szCs w:val="18"/>
          <w:u w:val="single" w:color="auto"/>
          <w:color w:val="auto"/>
        </w:rPr>
        <w:t>Recognition of the U.S.</w:t>
      </w:r>
      <w:r>
        <w:rPr>
          <w:rFonts w:ascii="Arial" w:cs="Arial" w:eastAsia="Arial" w:hAnsi="Arial"/>
          <w:sz w:val="18"/>
          <w:szCs w:val="18"/>
          <w:color w:val="auto"/>
        </w:rPr>
        <w:t xml:space="preserve"> Special Resolution Regimes.</w:t>
      </w:r>
    </w:p>
    <w:p>
      <w:pPr>
        <w:spacing w:after="0" w:line="225" w:lineRule="exact"/>
        <w:rPr>
          <w:rFonts w:ascii="Arial" w:cs="Arial" w:eastAsia="Arial" w:hAnsi="Arial"/>
          <w:sz w:val="18"/>
          <w:szCs w:val="18"/>
          <w:color w:val="auto"/>
        </w:rPr>
      </w:pPr>
    </w:p>
    <w:p>
      <w:pPr>
        <w:ind w:left="1300" w:right="120" w:firstLine="4"/>
        <w:spacing w:after="0" w:line="263" w:lineRule="auto"/>
        <w:tabs>
          <w:tab w:leader="none" w:pos="2234" w:val="left"/>
        </w:tabs>
        <w:numPr>
          <w:ilvl w:val="1"/>
          <w:numId w:val="141"/>
        </w:numPr>
        <w:rPr>
          <w:rFonts w:ascii="Arial" w:cs="Arial" w:eastAsia="Arial" w:hAnsi="Arial"/>
          <w:sz w:val="18"/>
          <w:szCs w:val="18"/>
          <w:color w:val="auto"/>
        </w:rPr>
      </w:pPr>
      <w:r>
        <w:rPr>
          <w:rFonts w:ascii="Arial" w:cs="Arial" w:eastAsia="Arial" w:hAnsi="Arial"/>
          <w:sz w:val="18"/>
          <w:szCs w:val="18"/>
          <w:color w:val="auto"/>
        </w:rPr>
        <w:t>In the event that any Underwriter that is a Covered Entity becomes subject to a proceeding under a U.S. Special Resolution Regime, the transfer from such Underwriter of this Agreement, and any interest and obligation in or under this Agreement, will be effective to the same extent as the transfer would be effective</w:t>
      </w:r>
    </w:p>
    <w:p>
      <w:pPr>
        <w:spacing w:after="0" w:line="29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232" w:name="page233"/>
    <w:bookmarkEnd w:id="232"/>
    <w:p>
      <w:pPr>
        <w:ind w:left="1300" w:right="380"/>
        <w:spacing w:after="0" w:line="277" w:lineRule="auto"/>
        <w:rPr>
          <w:sz w:val="20"/>
          <w:szCs w:val="20"/>
          <w:color w:val="auto"/>
        </w:rPr>
      </w:pPr>
      <w:r>
        <w:rPr>
          <w:rFonts w:ascii="Arial" w:cs="Arial" w:eastAsia="Arial" w:hAnsi="Arial"/>
          <w:sz w:val="18"/>
          <w:szCs w:val="18"/>
          <w:color w:val="auto"/>
        </w:rPr>
        <w:t>under the U.S. Special Resolution Regime if this Agreement, and any such interest and obligation, were governed by the laws of the United States or a state of the United States.</w:t>
      </w:r>
    </w:p>
    <w:p>
      <w:pPr>
        <w:spacing w:after="0" w:line="170" w:lineRule="exact"/>
        <w:rPr>
          <w:sz w:val="20"/>
          <w:szCs w:val="20"/>
          <w:color w:val="auto"/>
        </w:rPr>
      </w:pPr>
    </w:p>
    <w:p>
      <w:pPr>
        <w:ind w:left="1300" w:right="500" w:firstLine="4"/>
        <w:spacing w:after="0" w:line="301" w:lineRule="auto"/>
        <w:tabs>
          <w:tab w:leader="none" w:pos="1835" w:val="left"/>
        </w:tabs>
        <w:numPr>
          <w:ilvl w:val="0"/>
          <w:numId w:val="142"/>
        </w:numPr>
        <w:rPr>
          <w:rFonts w:ascii="Arial" w:cs="Arial" w:eastAsia="Arial" w:hAnsi="Arial"/>
          <w:sz w:val="16"/>
          <w:szCs w:val="16"/>
          <w:color w:val="auto"/>
        </w:rPr>
      </w:pPr>
      <w:r>
        <w:rPr>
          <w:rFonts w:ascii="Arial" w:cs="Arial" w:eastAsia="Arial" w:hAnsi="Arial"/>
          <w:sz w:val="16"/>
          <w:szCs w:val="16"/>
          <w:color w:val="auto"/>
        </w:rPr>
        <w:t>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w:t>
      </w:r>
    </w:p>
    <w:p>
      <w:pPr>
        <w:spacing w:after="0" w:line="157"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As used in this Section 16(g):</w:t>
      </w:r>
    </w:p>
    <w:p>
      <w:pPr>
        <w:spacing w:after="0" w:line="225" w:lineRule="exact"/>
        <w:rPr>
          <w:sz w:val="20"/>
          <w:szCs w:val="20"/>
          <w:color w:val="auto"/>
        </w:rPr>
      </w:pPr>
    </w:p>
    <w:p>
      <w:pPr>
        <w:ind w:left="1960" w:right="620"/>
        <w:spacing w:after="0" w:line="277" w:lineRule="auto"/>
        <w:rPr>
          <w:sz w:val="20"/>
          <w:szCs w:val="20"/>
          <w:color w:val="auto"/>
        </w:rPr>
      </w:pPr>
      <w:r>
        <w:rPr>
          <w:rFonts w:ascii="Arial" w:cs="Arial" w:eastAsia="Arial" w:hAnsi="Arial"/>
          <w:sz w:val="18"/>
          <w:szCs w:val="18"/>
          <w:color w:val="auto"/>
        </w:rPr>
        <w:t>“BHC Act Affiliate” has the meaning assigned to the term “affiliate” in, and shall be interpreted in accordance with, 12 U.S.C. § 1841(k).</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“Covered Entity” means any of the following:</w:t>
      </w:r>
    </w:p>
    <w:p>
      <w:pPr>
        <w:spacing w:after="0" w:line="225" w:lineRule="exact"/>
        <w:rPr>
          <w:sz w:val="20"/>
          <w:szCs w:val="20"/>
          <w:color w:val="auto"/>
        </w:rPr>
      </w:pPr>
    </w:p>
    <w:p>
      <w:pPr>
        <w:ind w:left="2520" w:hanging="568"/>
        <w:spacing w:after="0"/>
        <w:tabs>
          <w:tab w:leader="none" w:pos="252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a “covered entity” as that term is defined in, and interpreted in accordance with, 12 C.F.R. § 252.82(b);</w:t>
      </w:r>
    </w:p>
    <w:p>
      <w:pPr>
        <w:spacing w:after="0" w:line="225" w:lineRule="exact"/>
        <w:rPr>
          <w:rFonts w:ascii="Arial" w:cs="Arial" w:eastAsia="Arial" w:hAnsi="Arial"/>
          <w:sz w:val="18"/>
          <w:szCs w:val="18"/>
          <w:color w:val="auto"/>
        </w:rPr>
      </w:pPr>
    </w:p>
    <w:p>
      <w:pPr>
        <w:ind w:left="2540" w:hanging="588"/>
        <w:spacing w:after="0"/>
        <w:tabs>
          <w:tab w:leader="none" w:pos="254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a “covered bank” as that term is defined in, and interpreted in accordance with, 12 C.F.R. § 47.3(b); or</w:t>
      </w:r>
    </w:p>
    <w:p>
      <w:pPr>
        <w:spacing w:after="0" w:line="225" w:lineRule="exact"/>
        <w:rPr>
          <w:rFonts w:ascii="Arial" w:cs="Arial" w:eastAsia="Arial" w:hAnsi="Arial"/>
          <w:sz w:val="18"/>
          <w:szCs w:val="18"/>
          <w:color w:val="auto"/>
        </w:rPr>
      </w:pPr>
    </w:p>
    <w:p>
      <w:pPr>
        <w:ind w:left="2540" w:hanging="588"/>
        <w:spacing w:after="0"/>
        <w:tabs>
          <w:tab w:leader="none" w:pos="254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a “covered FSI” as that term is defined in, and interpreted in accordance with, 12 C.F.R. § 382.2(b).</w:t>
      </w:r>
    </w:p>
    <w:p>
      <w:pPr>
        <w:spacing w:after="0" w:line="225" w:lineRule="exact"/>
        <w:rPr>
          <w:sz w:val="20"/>
          <w:szCs w:val="20"/>
          <w:color w:val="auto"/>
        </w:rPr>
      </w:pPr>
    </w:p>
    <w:p>
      <w:pPr>
        <w:ind w:left="1300"/>
        <w:spacing w:after="0" w:line="277" w:lineRule="auto"/>
        <w:rPr>
          <w:sz w:val="20"/>
          <w:szCs w:val="20"/>
          <w:color w:val="auto"/>
        </w:rPr>
      </w:pPr>
      <w:r>
        <w:rPr>
          <w:rFonts w:ascii="Arial" w:cs="Arial" w:eastAsia="Arial" w:hAnsi="Arial"/>
          <w:sz w:val="18"/>
          <w:szCs w:val="18"/>
          <w:color w:val="auto"/>
        </w:rPr>
        <w:t>“Default Right” has the meaning assigned to that term in, and shall be interpreted in accordance with, 12 C.F.R. §§ 252.81, 47.2 or 382.1, as applicable.</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“U.S. Special Resolution Regime” means each of (i) the Federal Deposit Insurance Act and the regulations promulgated thereunder and</w:t>
      </w:r>
    </w:p>
    <w:p>
      <w:pPr>
        <w:spacing w:after="0" w:line="46" w:lineRule="exact"/>
        <w:rPr>
          <w:sz w:val="20"/>
          <w:szCs w:val="20"/>
          <w:color w:val="auto"/>
        </w:rPr>
      </w:pPr>
    </w:p>
    <w:p>
      <w:pPr>
        <w:ind w:left="1560" w:hanging="256"/>
        <w:spacing w:after="0"/>
        <w:tabs>
          <w:tab w:leader="none" w:pos="1560" w:val="left"/>
        </w:tabs>
        <w:numPr>
          <w:ilvl w:val="1"/>
          <w:numId w:val="144"/>
        </w:numPr>
        <w:rPr>
          <w:rFonts w:ascii="Arial" w:cs="Arial" w:eastAsia="Arial" w:hAnsi="Arial"/>
          <w:sz w:val="18"/>
          <w:szCs w:val="18"/>
          <w:color w:val="auto"/>
        </w:rPr>
      </w:pPr>
      <w:r>
        <w:rPr>
          <w:rFonts w:ascii="Arial" w:cs="Arial" w:eastAsia="Arial" w:hAnsi="Arial"/>
          <w:sz w:val="18"/>
          <w:szCs w:val="18"/>
          <w:color w:val="auto"/>
        </w:rPr>
        <w:t>Title II of the Dodd-Frank Wall Street Reform and Consumer Protection Act and the regulations promulgated thereunder.</w:t>
      </w:r>
    </w:p>
    <w:p>
      <w:pPr>
        <w:spacing w:after="0" w:line="210" w:lineRule="exact"/>
        <w:rPr>
          <w:rFonts w:ascii="Arial" w:cs="Arial" w:eastAsia="Arial" w:hAnsi="Arial"/>
          <w:sz w:val="18"/>
          <w:szCs w:val="18"/>
          <w:color w:val="auto"/>
        </w:rPr>
      </w:pPr>
    </w:p>
    <w:p>
      <w:pPr>
        <w:ind w:right="380" w:firstLine="656"/>
        <w:spacing w:after="0" w:line="308" w:lineRule="auto"/>
        <w:tabs>
          <w:tab w:leader="none" w:pos="1532" w:val="left"/>
        </w:tabs>
        <w:numPr>
          <w:ilvl w:val="0"/>
          <w:numId w:val="145"/>
        </w:numPr>
        <w:rPr>
          <w:rFonts w:ascii="Arial" w:cs="Arial" w:eastAsia="Arial" w:hAnsi="Arial"/>
          <w:sz w:val="17"/>
          <w:szCs w:val="17"/>
          <w:color w:val="auto"/>
        </w:rPr>
      </w:pPr>
      <w:r>
        <w:rPr>
          <w:rFonts w:ascii="Arial" w:cs="Arial" w:eastAsia="Arial" w:hAnsi="Arial"/>
          <w:sz w:val="17"/>
          <w:szCs w:val="17"/>
          <w:u w:val="single" w:color="auto"/>
          <w:color w:val="auto"/>
        </w:rPr>
        <w:t>Counterparts</w:t>
      </w:r>
      <w:r>
        <w:rPr>
          <w:rFonts w:ascii="Arial" w:cs="Arial" w:eastAsia="Arial" w:hAnsi="Arial"/>
          <w:sz w:val="17"/>
          <w:szCs w:val="17"/>
          <w:color w:val="auto"/>
        </w:rPr>
        <w:t>. This Agreement may be signed in counterparts (which may include counterparts delivered by any standard form of telecommunication), each of which shall be an original and all of which together shall constitute one and the same instrument.</w:t>
      </w:r>
    </w:p>
    <w:p>
      <w:pPr>
        <w:spacing w:after="0" w:line="146" w:lineRule="exact"/>
        <w:rPr>
          <w:rFonts w:ascii="Arial" w:cs="Arial" w:eastAsia="Arial" w:hAnsi="Arial"/>
          <w:sz w:val="17"/>
          <w:szCs w:val="17"/>
          <w:color w:val="auto"/>
        </w:rPr>
      </w:pPr>
    </w:p>
    <w:p>
      <w:pPr>
        <w:ind w:right="20" w:firstLine="656"/>
        <w:spacing w:after="0" w:line="277" w:lineRule="auto"/>
        <w:tabs>
          <w:tab w:leader="none" w:pos="1582" w:val="left"/>
        </w:tabs>
        <w:numPr>
          <w:ilvl w:val="0"/>
          <w:numId w:val="145"/>
        </w:numPr>
        <w:rPr>
          <w:rFonts w:ascii="Arial" w:cs="Arial" w:eastAsia="Arial" w:hAnsi="Arial"/>
          <w:sz w:val="18"/>
          <w:szCs w:val="18"/>
          <w:color w:val="auto"/>
        </w:rPr>
      </w:pPr>
      <w:r>
        <w:rPr>
          <w:rFonts w:ascii="Arial" w:cs="Arial" w:eastAsia="Arial" w:hAnsi="Arial"/>
          <w:sz w:val="18"/>
          <w:szCs w:val="18"/>
          <w:u w:val="single" w:color="auto"/>
          <w:color w:val="auto"/>
        </w:rPr>
        <w:t>Amendments or Waivers</w:t>
      </w:r>
      <w:r>
        <w:rPr>
          <w:rFonts w:ascii="Arial" w:cs="Arial" w:eastAsia="Arial" w:hAnsi="Arial"/>
          <w:sz w:val="18"/>
          <w:szCs w:val="18"/>
          <w:color w:val="auto"/>
        </w:rPr>
        <w:t>. No amendment or waiver of any provision of this Agreement, nor any consent or approval to any departure therefrom, shall in any event be effective unless the same shall be in writing and signed by the parties hereto.</w:t>
      </w:r>
    </w:p>
    <w:p>
      <w:pPr>
        <w:spacing w:after="0" w:line="170" w:lineRule="exact"/>
        <w:rPr>
          <w:rFonts w:ascii="Arial" w:cs="Arial" w:eastAsia="Arial" w:hAnsi="Arial"/>
          <w:sz w:val="18"/>
          <w:szCs w:val="18"/>
          <w:color w:val="auto"/>
        </w:rPr>
      </w:pPr>
    </w:p>
    <w:p>
      <w:pPr>
        <w:ind w:right="420" w:firstLine="656"/>
        <w:spacing w:after="0" w:line="277" w:lineRule="auto"/>
        <w:tabs>
          <w:tab w:leader="none" w:pos="1582" w:val="left"/>
        </w:tabs>
        <w:numPr>
          <w:ilvl w:val="0"/>
          <w:numId w:val="145"/>
        </w:numPr>
        <w:rPr>
          <w:rFonts w:ascii="Arial" w:cs="Arial" w:eastAsia="Arial" w:hAnsi="Arial"/>
          <w:sz w:val="18"/>
          <w:szCs w:val="18"/>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The headings herein are included for convenience of reference only and are not intended to be part of, or to affect the meaning or interpretation of, this Agreement.</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0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584" w:right="379" w:bottom="1440" w:gutter="0" w:footer="0" w:header="0"/>
        </w:sectPr>
      </w:pPr>
    </w:p>
    <w:bookmarkStart w:id="233" w:name="page234"/>
    <w:bookmarkEnd w:id="233"/>
    <w:p>
      <w:pPr>
        <w:ind w:firstLine="656"/>
        <w:spacing w:after="0" w:line="277" w:lineRule="auto"/>
        <w:tabs>
          <w:tab w:leader="none" w:pos="1532" w:val="left"/>
        </w:tabs>
        <w:numPr>
          <w:ilvl w:val="0"/>
          <w:numId w:val="146"/>
        </w:numPr>
        <w:rPr>
          <w:rFonts w:ascii="Arial" w:cs="Arial" w:eastAsia="Arial" w:hAnsi="Arial"/>
          <w:sz w:val="18"/>
          <w:szCs w:val="18"/>
          <w:color w:val="auto"/>
        </w:rPr>
      </w:pPr>
      <w:r>
        <w:rPr>
          <w:rFonts w:ascii="Arial" w:cs="Arial" w:eastAsia="Arial" w:hAnsi="Arial"/>
          <w:sz w:val="18"/>
          <w:szCs w:val="18"/>
          <w:u w:val="single" w:color="auto"/>
          <w:color w:val="auto"/>
        </w:rPr>
        <w:t>Integration</w:t>
      </w:r>
      <w:r>
        <w:rPr>
          <w:rFonts w:ascii="Arial" w:cs="Arial" w:eastAsia="Arial" w:hAnsi="Arial"/>
          <w:sz w:val="18"/>
          <w:szCs w:val="18"/>
          <w:color w:val="auto"/>
        </w:rPr>
        <w:t>. This Agreement supersedes all prior agreements and understandings (whether written or oral) between the Company and the Underwriters, or any of them, with respect to the subject matter hereof.</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If the foregoing is in accordance with your understanding, please indicate your acceptance of this Agreement by signing in the space provided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below.</w:t>
      </w:r>
    </w:p>
    <w:p>
      <w:pPr>
        <w:spacing w:after="0" w:line="31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0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00"/>
          </w:cols>
          <w:pgMar w:left="320" w:top="584" w:right="479" w:bottom="1440" w:gutter="0" w:footer="0" w:header="0"/>
        </w:sectPr>
      </w:pPr>
    </w:p>
    <w:bookmarkStart w:id="234" w:name="page235"/>
    <w:bookmarkEnd w:id="234"/>
    <w:p>
      <w:pPr>
        <w:ind w:left="6200"/>
        <w:spacing w:after="0"/>
        <w:rPr>
          <w:sz w:val="20"/>
          <w:szCs w:val="20"/>
          <w:color w:val="auto"/>
        </w:rPr>
      </w:pPr>
      <w:r>
        <w:rPr>
          <w:rFonts w:ascii="Arial" w:cs="Arial" w:eastAsia="Arial" w:hAnsi="Arial"/>
          <w:sz w:val="18"/>
          <w:szCs w:val="18"/>
          <w:color w:val="auto"/>
        </w:rPr>
        <w:t>Very truly yours,</w:t>
      </w:r>
    </w:p>
    <w:p>
      <w:pPr>
        <w:spacing w:after="0" w:line="200" w:lineRule="exact"/>
        <w:rPr>
          <w:sz w:val="20"/>
          <w:szCs w:val="20"/>
          <w:color w:val="auto"/>
        </w:rPr>
      </w:pPr>
    </w:p>
    <w:p>
      <w:pPr>
        <w:spacing w:after="0" w:line="241" w:lineRule="exact"/>
        <w:rPr>
          <w:sz w:val="20"/>
          <w:szCs w:val="20"/>
          <w:color w:val="auto"/>
        </w:rPr>
      </w:pPr>
    </w:p>
    <w:p>
      <w:pPr>
        <w:jc w:val="right"/>
        <w:ind w:right="1239"/>
        <w:spacing w:after="0"/>
        <w:rPr>
          <w:sz w:val="20"/>
          <w:szCs w:val="20"/>
          <w:color w:val="auto"/>
        </w:rPr>
      </w:pPr>
      <w:r>
        <w:rPr>
          <w:rFonts w:ascii="Arial" w:cs="Arial" w:eastAsia="Arial" w:hAnsi="Arial"/>
          <w:sz w:val="18"/>
          <w:szCs w:val="18"/>
          <w:color w:val="auto"/>
        </w:rPr>
        <w:t>FREEDOM ACQUISITION I CORP.</w:t>
      </w:r>
    </w:p>
    <w:p>
      <w:pPr>
        <w:spacing w:after="0" w:line="200" w:lineRule="exact"/>
        <w:rPr>
          <w:sz w:val="20"/>
          <w:szCs w:val="20"/>
          <w:color w:val="auto"/>
        </w:rPr>
      </w:pPr>
    </w:p>
    <w:p>
      <w:pPr>
        <w:spacing w:after="0" w:line="241"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05">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Title: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Accepted: As of the date first written above</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J.P. MORGAN SECURITIES LLC</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2854325"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06">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485775</wp:posOffset>
            </wp:positionV>
            <wp:extent cx="7132320"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0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800" w:right="1440" w:bottom="1440" w:gutter="0" w:footer="0" w:header="0"/>
        </w:sectPr>
      </w:pPr>
    </w:p>
    <w:bookmarkStart w:id="235" w:name="page236"/>
    <w:bookmarkEnd w:id="235"/>
    <w:p>
      <w:pPr>
        <w:jc w:val="right"/>
        <w:spacing w:after="0"/>
        <w:rPr>
          <w:sz w:val="20"/>
          <w:szCs w:val="20"/>
          <w:color w:val="auto"/>
        </w:rPr>
      </w:pPr>
      <w:r>
        <w:rPr>
          <w:rFonts w:ascii="Arial" w:cs="Arial" w:eastAsia="Arial" w:hAnsi="Arial"/>
          <w:sz w:val="18"/>
          <w:szCs w:val="18"/>
          <w:b w:val="1"/>
          <w:bCs w:val="1"/>
          <w:color w:val="auto"/>
        </w:rPr>
        <w:t>Schedule 1</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920" w:type="dxa"/>
            <w:vAlign w:val="bottom"/>
          </w:tcPr>
          <w:p>
            <w:pPr>
              <w:spacing w:after="0"/>
              <w:rPr>
                <w:sz w:val="20"/>
                <w:szCs w:val="20"/>
                <w:color w:val="auto"/>
              </w:rPr>
            </w:pPr>
          </w:p>
        </w:tc>
        <w:tc>
          <w:tcPr>
            <w:tcW w:w="3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Underwriter</w:t>
            </w:r>
          </w:p>
        </w:tc>
        <w:tc>
          <w:tcPr>
            <w:tcW w:w="3860" w:type="dxa"/>
            <w:vAlign w:val="bottom"/>
            <w:tcBorders>
              <w:bottom w:val="single" w:sz="8" w:color="auto"/>
            </w:tcBorders>
            <w:gridSpan w:val="2"/>
          </w:tcPr>
          <w:p>
            <w:pPr>
              <w:jc w:val="right"/>
              <w:ind w:right="1150"/>
              <w:spacing w:after="0"/>
              <w:rPr>
                <w:sz w:val="20"/>
                <w:szCs w:val="20"/>
                <w:color w:val="auto"/>
              </w:rPr>
            </w:pPr>
            <w:r>
              <w:rPr>
                <w:rFonts w:ascii="Arial" w:cs="Arial" w:eastAsia="Arial" w:hAnsi="Arial"/>
                <w:sz w:val="18"/>
                <w:szCs w:val="18"/>
                <w:color w:val="auto"/>
              </w:rPr>
              <w:t>Number of Units</w:t>
            </w:r>
          </w:p>
        </w:tc>
        <w:tc>
          <w:tcPr>
            <w:tcW w:w="1900" w:type="dxa"/>
            <w:vAlign w:val="bottom"/>
          </w:tcPr>
          <w:p>
            <w:pPr>
              <w:spacing w:after="0"/>
              <w:rPr>
                <w:sz w:val="20"/>
                <w:szCs w:val="20"/>
                <w:color w:val="auto"/>
              </w:rPr>
            </w:pPr>
          </w:p>
        </w:tc>
      </w:tr>
      <w:tr>
        <w:trPr>
          <w:trHeight w:val="195"/>
        </w:trPr>
        <w:tc>
          <w:tcPr>
            <w:tcW w:w="1920" w:type="dxa"/>
            <w:vAlign w:val="bottom"/>
          </w:tcPr>
          <w:p>
            <w:pPr>
              <w:spacing w:after="0"/>
              <w:rPr>
                <w:sz w:val="16"/>
                <w:szCs w:val="16"/>
                <w:color w:val="auto"/>
              </w:rPr>
            </w:pPr>
          </w:p>
        </w:tc>
        <w:tc>
          <w:tcPr>
            <w:tcW w:w="3560" w:type="dxa"/>
            <w:vAlign w:val="bottom"/>
          </w:tcPr>
          <w:p>
            <w:pPr>
              <w:spacing w:after="0" w:line="195" w:lineRule="exact"/>
              <w:rPr>
                <w:sz w:val="20"/>
                <w:szCs w:val="20"/>
                <w:color w:val="auto"/>
              </w:rPr>
            </w:pPr>
            <w:r>
              <w:rPr>
                <w:rFonts w:ascii="Arial" w:cs="Arial" w:eastAsia="Arial" w:hAnsi="Arial"/>
                <w:sz w:val="18"/>
                <w:szCs w:val="18"/>
                <w:color w:val="auto"/>
              </w:rPr>
              <w:t>J.P. Morgan Securities LLC</w:t>
            </w:r>
          </w:p>
        </w:tc>
        <w:tc>
          <w:tcPr>
            <w:tcW w:w="142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1900" w:type="dxa"/>
            <w:vAlign w:val="bottom"/>
          </w:tcPr>
          <w:p>
            <w:pPr>
              <w:spacing w:after="0"/>
              <w:rPr>
                <w:sz w:val="16"/>
                <w:szCs w:val="16"/>
                <w:color w:val="auto"/>
              </w:rPr>
            </w:pPr>
          </w:p>
        </w:tc>
      </w:tr>
      <w:tr>
        <w:trPr>
          <w:trHeight w:val="216"/>
        </w:trPr>
        <w:tc>
          <w:tcPr>
            <w:tcW w:w="192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Deutsche Bank Securities Inc.</w:t>
            </w:r>
          </w:p>
        </w:tc>
        <w:tc>
          <w:tcPr>
            <w:tcW w:w="14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900" w:type="dxa"/>
            <w:vAlign w:val="bottom"/>
          </w:tcPr>
          <w:p>
            <w:pPr>
              <w:spacing w:after="0"/>
              <w:rPr>
                <w:sz w:val="18"/>
                <w:szCs w:val="18"/>
                <w:color w:val="auto"/>
              </w:rPr>
            </w:pPr>
          </w:p>
        </w:tc>
      </w:tr>
      <w:tr>
        <w:trPr>
          <w:trHeight w:val="230"/>
        </w:trPr>
        <w:tc>
          <w:tcPr>
            <w:tcW w:w="1920" w:type="dxa"/>
            <w:vAlign w:val="bottom"/>
          </w:tcPr>
          <w:p>
            <w:pPr>
              <w:spacing w:after="0"/>
              <w:rPr>
                <w:sz w:val="20"/>
                <w:szCs w:val="20"/>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Morgan Stanley &amp; Co. LLC</w:t>
            </w:r>
          </w:p>
        </w:tc>
        <w:tc>
          <w:tcPr>
            <w:tcW w:w="1420" w:type="dxa"/>
            <w:vAlign w:val="bottom"/>
          </w:tcPr>
          <w:p>
            <w:pPr>
              <w:spacing w:after="0"/>
              <w:rPr>
                <w:sz w:val="20"/>
                <w:szCs w:val="20"/>
                <w:color w:val="auto"/>
              </w:rPr>
            </w:pPr>
          </w:p>
        </w:tc>
        <w:tc>
          <w:tcPr>
            <w:tcW w:w="2440" w:type="dxa"/>
            <w:vAlign w:val="bottom"/>
            <w:tcBorders>
              <w:bottom w:val="single" w:sz="8" w:color="auto"/>
            </w:tcBorders>
          </w:tcPr>
          <w:p>
            <w:pPr>
              <w:spacing w:after="0"/>
              <w:rPr>
                <w:sz w:val="20"/>
                <w:szCs w:val="20"/>
                <w:color w:val="auto"/>
              </w:rPr>
            </w:pPr>
          </w:p>
        </w:tc>
        <w:tc>
          <w:tcPr>
            <w:tcW w:w="1900" w:type="dxa"/>
            <w:vAlign w:val="bottom"/>
          </w:tcPr>
          <w:p>
            <w:pPr>
              <w:spacing w:after="0"/>
              <w:rPr>
                <w:sz w:val="20"/>
                <w:szCs w:val="20"/>
                <w:color w:val="auto"/>
              </w:rPr>
            </w:pPr>
          </w:p>
        </w:tc>
      </w:tr>
      <w:tr>
        <w:trPr>
          <w:trHeight w:val="224"/>
        </w:trPr>
        <w:tc>
          <w:tcPr>
            <w:tcW w:w="1920" w:type="dxa"/>
            <w:vAlign w:val="bottom"/>
          </w:tcPr>
          <w:p>
            <w:pPr>
              <w:spacing w:after="0"/>
              <w:rPr>
                <w:sz w:val="19"/>
                <w:szCs w:val="19"/>
                <w:color w:val="auto"/>
              </w:rPr>
            </w:pPr>
          </w:p>
        </w:tc>
        <w:tc>
          <w:tcPr>
            <w:tcW w:w="35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440" w:type="dxa"/>
            <w:vAlign w:val="bottom"/>
          </w:tcPr>
          <w:p>
            <w:pPr>
              <w:jc w:val="right"/>
              <w:ind w:right="1150"/>
              <w:spacing w:after="0"/>
              <w:rPr>
                <w:sz w:val="20"/>
                <w:szCs w:val="20"/>
                <w:color w:val="auto"/>
              </w:rPr>
            </w:pPr>
            <w:r>
              <w:rPr>
                <w:rFonts w:ascii="Arial" w:cs="Arial" w:eastAsia="Arial" w:hAnsi="Arial"/>
                <w:sz w:val="18"/>
                <w:szCs w:val="18"/>
                <w:color w:val="auto"/>
                <w:w w:val="87"/>
              </w:rPr>
              <w:t>Total 25,000,000</w:t>
            </w:r>
          </w:p>
        </w:tc>
        <w:tc>
          <w:tcPr>
            <w:tcW w:w="1900" w:type="dxa"/>
            <w:vAlign w:val="bottom"/>
          </w:tcPr>
          <w:p>
            <w:pPr>
              <w:spacing w:after="0"/>
              <w:rPr>
                <w:sz w:val="19"/>
                <w:szCs w:val="19"/>
                <w:color w:val="auto"/>
              </w:rPr>
            </w:pPr>
          </w:p>
        </w:tc>
      </w:tr>
      <w:tr>
        <w:trPr>
          <w:trHeight w:val="512"/>
        </w:trPr>
        <w:tc>
          <w:tcPr>
            <w:tcW w:w="1920" w:type="dxa"/>
            <w:vAlign w:val="bottom"/>
            <w:tcBorders>
              <w:bottom w:val="single" w:sz="8" w:color="auto"/>
            </w:tcBorders>
          </w:tcPr>
          <w:p>
            <w:pPr>
              <w:spacing w:after="0"/>
              <w:rPr>
                <w:sz w:val="24"/>
                <w:szCs w:val="24"/>
                <w:color w:val="auto"/>
              </w:rPr>
            </w:pPr>
          </w:p>
        </w:tc>
        <w:tc>
          <w:tcPr>
            <w:tcW w:w="356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80" w:right="339" w:bottom="1440" w:gutter="0" w:footer="0" w:header="0"/>
        </w:sectPr>
      </w:pPr>
    </w:p>
    <w:bookmarkStart w:id="236" w:name="page237"/>
    <w:bookmarkEnd w:id="236"/>
    <w:p>
      <w:pPr>
        <w:jc w:val="right"/>
        <w:spacing w:after="0"/>
        <w:rPr>
          <w:sz w:val="20"/>
          <w:szCs w:val="20"/>
          <w:color w:val="auto"/>
        </w:rPr>
      </w:pPr>
      <w:r>
        <w:rPr>
          <w:rFonts w:ascii="Arial" w:cs="Arial" w:eastAsia="Arial" w:hAnsi="Arial"/>
          <w:sz w:val="18"/>
          <w:szCs w:val="18"/>
          <w:b w:val="1"/>
          <w:bCs w:val="1"/>
          <w:color w:val="auto"/>
        </w:rPr>
        <w:t>Annex 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Pricing Information Provided Orally by Underwriters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initial public offering price per Unit for the Units is $10.00.</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number of Units purchased by the Underwriters is 25,000,000.</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Underwriters have an option to purchase an additional 3,750,000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349250</wp:posOffset>
            </wp:positionV>
            <wp:extent cx="713232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0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37" w:name="page238"/>
    <w:bookmarkEnd w:id="237"/>
    <w:p>
      <w:pPr>
        <w:jc w:val="right"/>
        <w:spacing w:after="0"/>
        <w:rPr>
          <w:sz w:val="20"/>
          <w:szCs w:val="20"/>
          <w:color w:val="auto"/>
        </w:rPr>
      </w:pPr>
      <w:r>
        <w:rPr>
          <w:rFonts w:ascii="Arial" w:cs="Arial" w:eastAsia="Arial" w:hAnsi="Arial"/>
          <w:sz w:val="18"/>
          <w:szCs w:val="18"/>
          <w:b w:val="1"/>
          <w:bCs w:val="1"/>
          <w:color w:val="auto"/>
        </w:rPr>
        <w:t>Annex B</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Written Testing-the-Waters Communications</w:t>
      </w:r>
    </w:p>
    <w:p>
      <w:pPr>
        <w:spacing w:after="0" w:line="225" w:lineRule="exact"/>
        <w:rPr>
          <w:sz w:val="20"/>
          <w:szCs w:val="20"/>
          <w:color w:val="auto"/>
        </w:rPr>
      </w:pPr>
    </w:p>
    <w:p>
      <w:pPr>
        <w:ind w:right="160"/>
        <w:spacing w:after="0" w:line="258" w:lineRule="auto"/>
        <w:rPr>
          <w:sz w:val="20"/>
          <w:szCs w:val="20"/>
          <w:color w:val="auto"/>
        </w:rPr>
      </w:pPr>
      <w:r>
        <w:rPr>
          <w:rFonts w:ascii="Arial" w:cs="Arial" w:eastAsia="Arial" w:hAnsi="Arial"/>
          <w:sz w:val="18"/>
          <w:szCs w:val="18"/>
          <w:color w:val="auto"/>
        </w:rPr>
        <w:t>Reference is made to the materials used in the testing the waters presentation made to potential investors by the Company, to the extent such materials are deemed to be a “written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communication” within the meaning of Rule 405 under the Securities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648970</wp:posOffset>
            </wp:positionV>
            <wp:extent cx="713232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0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38" w:name="page239"/>
    <w:bookmarkEnd w:id="238"/>
    <w:p>
      <w:pPr>
        <w:ind w:left="10400"/>
        <w:spacing w:after="0"/>
        <w:rPr>
          <w:sz w:val="20"/>
          <w:szCs w:val="20"/>
          <w:color w:val="auto"/>
        </w:rPr>
      </w:pPr>
      <w:r>
        <w:rPr>
          <w:rFonts w:ascii="Arial" w:cs="Arial" w:eastAsia="Arial" w:hAnsi="Arial"/>
          <w:sz w:val="16"/>
          <w:szCs w:val="16"/>
          <w:b w:val="1"/>
          <w:bCs w:val="1"/>
          <w:color w:val="auto"/>
        </w:rPr>
        <w:t>Exhibit 4.1</w:t>
      </w:r>
    </w:p>
    <w:p>
      <w:pPr>
        <w:sectPr>
          <w:pgSz w:w="11900" w:h="16838" w:orient="portrait"/>
          <w:cols w:equalWidth="0" w:num="1">
            <w:col w:w="11240"/>
          </w:cols>
          <w:pgMar w:left="320" w:top="364" w:right="339" w:bottom="1440" w:gutter="0" w:footer="0" w:header="0"/>
        </w:sect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NUMBER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UNITS</w:t>
      </w:r>
    </w:p>
    <w:p>
      <w:pPr>
        <w:spacing w:after="0" w:line="256" w:lineRule="exact"/>
        <w:rPr>
          <w:sz w:val="20"/>
          <w:szCs w:val="20"/>
          <w:color w:val="auto"/>
        </w:rPr>
      </w:pPr>
    </w:p>
    <w:p>
      <w:pPr>
        <w:sectPr>
          <w:pgSz w:w="11900" w:h="16838" w:orient="portrait"/>
          <w:cols w:equalWidth="0" w:num="2">
            <w:col w:w="9980" w:space="720"/>
            <w:col w:w="540"/>
          </w:cols>
          <w:pgMar w:left="320" w:top="364" w:right="339" w:bottom="1440" w:gutter="0" w:footer="0" w:header="0"/>
          <w:type w:val="continuous"/>
        </w:sectPr>
      </w:pPr>
    </w:p>
    <w:p>
      <w:pPr>
        <w:spacing w:after="0"/>
        <w:rPr>
          <w:sz w:val="20"/>
          <w:szCs w:val="20"/>
          <w:color w:val="auto"/>
        </w:rPr>
      </w:pPr>
      <w:r>
        <w:rPr>
          <w:rFonts w:ascii="Arial" w:cs="Arial" w:eastAsia="Arial" w:hAnsi="Arial"/>
          <w:sz w:val="18"/>
          <w:szCs w:val="18"/>
          <w:color w:val="auto"/>
        </w:rPr>
        <w:t>SEE REVERSE FOR CERTAIN DEFINITIONS</w:t>
      </w:r>
    </w:p>
    <w:p>
      <w:pPr>
        <w:spacing w:after="0" w:line="218" w:lineRule="exact"/>
        <w:rPr>
          <w:sz w:val="20"/>
          <w:szCs w:val="20"/>
          <w:color w:val="auto"/>
        </w:rPr>
      </w:pPr>
    </w:p>
    <w:p>
      <w:pPr>
        <w:ind w:left="10380"/>
        <w:spacing w:after="0"/>
        <w:rPr>
          <w:sz w:val="20"/>
          <w:szCs w:val="20"/>
          <w:color w:val="auto"/>
        </w:rPr>
      </w:pPr>
      <w:r>
        <w:rPr>
          <w:rFonts w:ascii="Arial" w:cs="Arial" w:eastAsia="Arial" w:hAnsi="Arial"/>
          <w:sz w:val="18"/>
          <w:szCs w:val="18"/>
          <w:b w:val="1"/>
          <w:bCs w:val="1"/>
          <w:color w:val="auto"/>
        </w:rPr>
        <w:t xml:space="preserve">CUSIP </w:t>
      </w:r>
      <w:r>
        <w:rPr>
          <w:rFonts w:ascii="Arial" w:cs="Arial" w:eastAsia="Arial" w:hAnsi="Arial"/>
          <w:sz w:val="21"/>
          <w:szCs w:val="21"/>
          <w:color w:val="auto"/>
        </w:rPr>
        <w:t>[●]</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FREEDOM ACQUISITION I CORP.</w:t>
      </w:r>
    </w:p>
    <w:p>
      <w:pPr>
        <w:sectPr>
          <w:pgSz w:w="11900" w:h="16838" w:orient="portrait"/>
          <w:cols w:equalWidth="0" w:num="1">
            <w:col w:w="11240"/>
          </w:cols>
          <w:pgMar w:left="320" w:top="364" w:right="339" w:bottom="1440" w:gutter="0" w:footer="0" w:header="0"/>
          <w:type w:val="continuous"/>
        </w:sectPr>
      </w:pPr>
    </w:p>
    <w:p>
      <w:pPr>
        <w:spacing w:after="0" w:line="225" w:lineRule="exact"/>
        <w:rPr>
          <w:sz w:val="20"/>
          <w:szCs w:val="20"/>
          <w:color w:val="auto"/>
        </w:rPr>
      </w:pPr>
    </w:p>
    <w:p>
      <w:pPr>
        <w:ind w:left="1220" w:right="800" w:hanging="465"/>
        <w:spacing w:after="0" w:line="312" w:lineRule="auto"/>
        <w:rPr>
          <w:sz w:val="20"/>
          <w:szCs w:val="20"/>
          <w:color w:val="auto"/>
        </w:rPr>
      </w:pPr>
      <w:r>
        <w:rPr>
          <w:rFonts w:ascii="Arial" w:cs="Arial" w:eastAsia="Arial" w:hAnsi="Arial"/>
          <w:sz w:val="17"/>
          <w:szCs w:val="17"/>
          <w:b w:val="1"/>
          <w:bCs w:val="1"/>
          <w:color w:val="auto"/>
        </w:rPr>
        <w:t>UNITS CONSISTING OF ONE CLASS A ORDINARY SHARE AND ONE-FOURTH OF ONE REDEEMABLE WARRANT, EACH WHOLE WARRANT ENTITLING THE HOLDER TO PURCHASE ONE CLASS A ORDINARY SHARE</w:t>
      </w:r>
    </w:p>
    <w:p>
      <w:pPr>
        <w:spacing w:after="0" w:line="144"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THIS CERTIFIES THAT is the owner of Units of Freedom Acquisition I Corp., a Cayman Islands exempted company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transferrable on the books of the Company in person or by duly authorized attorney upon surrender of this certificate properly endorsed.</w:t>
      </w:r>
    </w:p>
    <w:p>
      <w:pPr>
        <w:spacing w:after="0" w:line="146"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Each Unit (</w:t>
      </w:r>
      <w:r>
        <w:rPr>
          <w:rFonts w:ascii="Arial" w:cs="Arial" w:eastAsia="Arial" w:hAnsi="Arial"/>
          <w:sz w:val="16"/>
          <w:szCs w:val="16"/>
          <w:b w:val="1"/>
          <w:bCs w:val="1"/>
          <w:i w:val="1"/>
          <w:iCs w:val="1"/>
          <w:color w:val="auto"/>
        </w:rPr>
        <w:t>“Unit”</w:t>
      </w:r>
      <w:r>
        <w:rPr>
          <w:rFonts w:ascii="Arial" w:cs="Arial" w:eastAsia="Arial" w:hAnsi="Arial"/>
          <w:sz w:val="16"/>
          <w:szCs w:val="16"/>
          <w:color w:val="auto"/>
        </w:rPr>
        <w:t>) consists of one (1) Class A ordinary share, par value $0.0001 per share (</w:t>
      </w:r>
      <w:r>
        <w:rPr>
          <w:rFonts w:ascii="Arial" w:cs="Arial" w:eastAsia="Arial" w:hAnsi="Arial"/>
          <w:sz w:val="16"/>
          <w:szCs w:val="16"/>
          <w:b w:val="1"/>
          <w:bCs w:val="1"/>
          <w:i w:val="1"/>
          <w:iCs w:val="1"/>
          <w:color w:val="auto"/>
        </w:rPr>
        <w:t>“Ordinary Share”</w:t>
      </w:r>
      <w:r>
        <w:rPr>
          <w:rFonts w:ascii="Arial" w:cs="Arial" w:eastAsia="Arial" w:hAnsi="Arial"/>
          <w:sz w:val="16"/>
          <w:szCs w:val="16"/>
          <w:color w:val="auto"/>
        </w:rPr>
        <w:t xml:space="preserve">), of the Company and one-fourth of one redeemable warrant (each whole warrant, a </w:t>
      </w:r>
      <w:r>
        <w:rPr>
          <w:rFonts w:ascii="Arial" w:cs="Arial" w:eastAsia="Arial" w:hAnsi="Arial"/>
          <w:sz w:val="16"/>
          <w:szCs w:val="16"/>
          <w:b w:val="1"/>
          <w:bCs w:val="1"/>
          <w:i w:val="1"/>
          <w:iCs w:val="1"/>
          <w:color w:val="auto"/>
        </w:rPr>
        <w:t>“Warrant”</w:t>
      </w:r>
      <w:r>
        <w:rPr>
          <w:rFonts w:ascii="Arial" w:cs="Arial" w:eastAsia="Arial" w:hAnsi="Arial"/>
          <w:sz w:val="16"/>
          <w:szCs w:val="16"/>
          <w:color w:val="auto"/>
        </w:rPr>
        <w:t xml:space="preserve">). Each Warrant entitles the holder to purchase one Ordinary Share (subject to adjustment) for $11.50 per share (subject to adjustment). Each Warrant will become exercisable on the later of (i) thirty (30) days after the Company’s completion of a merger, share exchange, asset acquisition, share purchase, reorganization or other similar business combination with one or more businesses (each a </w:t>
      </w:r>
      <w:r>
        <w:rPr>
          <w:rFonts w:ascii="Arial" w:cs="Arial" w:eastAsia="Arial" w:hAnsi="Arial"/>
          <w:sz w:val="16"/>
          <w:szCs w:val="16"/>
          <w:b w:val="1"/>
          <w:bCs w:val="1"/>
          <w:i w:val="1"/>
          <w:iCs w:val="1"/>
          <w:color w:val="auto"/>
        </w:rPr>
        <w:t>“Business Combination”</w:t>
      </w:r>
      <w:r>
        <w:rPr>
          <w:rFonts w:ascii="Arial" w:cs="Arial" w:eastAsia="Arial" w:hAnsi="Arial"/>
          <w:sz w:val="16"/>
          <w:szCs w:val="16"/>
          <w:color w:val="auto"/>
        </w:rPr>
        <w:t>), and (ii) twelve (12) months from the closing of the Company’s initial public offering, and will expire unless exercised before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5:00 p.m., New York City Time, on the date that is five (5) years after the date on which the Company completes its initial Business Combination, or earlier upon redemption or liquidation (the </w:t>
      </w:r>
      <w:r>
        <w:rPr>
          <w:rFonts w:ascii="Arial" w:cs="Arial" w:eastAsia="Arial" w:hAnsi="Arial"/>
          <w:sz w:val="16"/>
          <w:szCs w:val="16"/>
          <w:b w:val="1"/>
          <w:bCs w:val="1"/>
          <w:i w:val="1"/>
          <w:iCs w:val="1"/>
          <w:color w:val="auto"/>
        </w:rPr>
        <w:t>“Expiration Date”</w:t>
      </w:r>
      <w:r>
        <w:rPr>
          <w:rFonts w:ascii="Arial" w:cs="Arial" w:eastAsia="Arial" w:hAnsi="Arial"/>
          <w:sz w:val="16"/>
          <w:szCs w:val="16"/>
          <w:color w:val="auto"/>
        </w:rPr>
        <w:t>). The Ordinary Shares and Warrants comprising the Units represented by this certificate are not</w:t>
      </w:r>
    </w:p>
    <w:p>
      <w:pPr>
        <w:spacing w:after="0" w:line="2"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transferable separately prior to , 2021, unless J.P. Morgan Securities LLC elects to allow separate trading earlier, subject to the Company’s filing of a Current Report on Form 8-K with the Securities and Exchange Commission containing an audited balance sheet reflecting the Company’s receipt of the gross proceeds of the Company’s initial public offering and issuing a press release announcing when separate trading will begin. No fractional Warrants</w:t>
      </w:r>
    </w:p>
    <w:p>
      <w:pPr>
        <w:spacing w:after="0" w:line="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will be issued upon separation of the Units. The terms of the Warrants are governed by a Warrant Agreement, dated as of , 2021 (the </w:t>
      </w:r>
      <w:r>
        <w:rPr>
          <w:rFonts w:ascii="Arial" w:cs="Arial" w:eastAsia="Arial" w:hAnsi="Arial"/>
          <w:sz w:val="18"/>
          <w:szCs w:val="18"/>
          <w:b w:val="1"/>
          <w:bCs w:val="1"/>
          <w:i w:val="1"/>
          <w:iCs w:val="1"/>
          <w:color w:val="auto"/>
        </w:rPr>
        <w:t>“Warrant</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between the Company and Continental Stock Transfer &amp; Trust Company, as Warrant Agent, and are subject to the terms and provisions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contained therein, all of which terms and provisions the holder of this certificate consents to by acceptance hereof. Copies of the Warrant Agreement are on file at the office of the Warrant Agent at 1 State Street, 30th Floor, New York, New York 10004, and are available to any Warrant holder on written request and without cost.</w:t>
      </w:r>
    </w:p>
    <w:p>
      <w:pPr>
        <w:spacing w:after="0" w:line="19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Upon consummation of the Business Combination, the Units represented by this certificate will automatically separate into Ordinary Shares and Warrants comprising such Units.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certificate is not valid unless countersigned by the Transfer Agent and registered by the Registrar of the Company.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certificate shall be governed by and construed in accordance with the internal laws of the State of New York.</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Witness the facsimile signature of a duly authorized signatory of the Company.</w:t>
      </w:r>
    </w:p>
    <w:p>
      <w:pPr>
        <w:spacing w:after="0" w:line="200" w:lineRule="exact"/>
        <w:rPr>
          <w:sz w:val="20"/>
          <w:szCs w:val="20"/>
          <w:color w:val="auto"/>
        </w:rPr>
      </w:pPr>
    </w:p>
    <w:p>
      <w:pPr>
        <w:spacing w:after="0" w:line="25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-130175</wp:posOffset>
            </wp:positionV>
            <wp:extent cx="356616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10">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Transfer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-130175</wp:posOffset>
            </wp:positionV>
            <wp:extent cx="356616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11">
                      <a:extLst>
                        <a:ext uri="{28A0092B-C50C-407E-A947-70E740481C1C}"/>
                      </a:extLst>
                    </a:blip>
                    <a:srcRect/>
                    <a:stretch>
                      <a:fillRect/>
                    </a:stretch>
                  </pic:blipFill>
                  <pic:spPr bwMode="auto">
                    <a:xfrm>
                      <a:off x="0" y="0"/>
                      <a:ext cx="356616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366395</wp:posOffset>
            </wp:positionV>
            <wp:extent cx="713232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239" w:name="page240"/>
    <w:bookmarkEnd w:id="239"/>
    <w:p>
      <w:pPr>
        <w:jc w:val="center"/>
        <w:ind w:right="-19"/>
        <w:spacing w:after="0"/>
        <w:rPr>
          <w:sz w:val="20"/>
          <w:szCs w:val="20"/>
          <w:color w:val="auto"/>
        </w:rPr>
      </w:pPr>
      <w:r>
        <w:rPr>
          <w:rFonts w:ascii="Arial" w:cs="Arial" w:eastAsia="Arial" w:hAnsi="Arial"/>
          <w:sz w:val="18"/>
          <w:szCs w:val="18"/>
          <w:b w:val="1"/>
          <w:bCs w:val="1"/>
          <w:color w:val="auto"/>
        </w:rPr>
        <w:t>Freedom Acquisition I Corp.</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will furnish without charge to each unitholder who so requests, a statement of the powers, designations, preferences and relative, participating, optional or other special rights of each class of equity or series thereof of the Company and the qualifications, limitations, or restrictions of such preferences and/or rights.</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abbreviations, when used in the inscription on the face of this certificate, shall be construed as though they were written out in full according to applicable laws or regulations: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TEN COM — as tenants in common</w:t>
            </w:r>
          </w:p>
        </w:tc>
        <w:tc>
          <w:tcPr>
            <w:tcW w:w="5520" w:type="dxa"/>
            <w:vAlign w:val="bottom"/>
            <w:gridSpan w:val="2"/>
          </w:tcPr>
          <w:p>
            <w:pPr>
              <w:ind w:left="500"/>
              <w:spacing w:after="0"/>
              <w:rPr>
                <w:sz w:val="20"/>
                <w:szCs w:val="20"/>
                <w:color w:val="auto"/>
              </w:rPr>
            </w:pPr>
            <w:r>
              <w:rPr>
                <w:rFonts w:ascii="Arial" w:cs="Arial" w:eastAsia="Arial" w:hAnsi="Arial"/>
                <w:sz w:val="18"/>
                <w:szCs w:val="18"/>
                <w:color w:val="auto"/>
                <w:w w:val="90"/>
              </w:rPr>
              <w:t>UNIF GIFT MIN ACT— ___________ Custodian ___________</w:t>
            </w:r>
          </w:p>
        </w:tc>
        <w:tc>
          <w:tcPr>
            <w:tcW w:w="0" w:type="dxa"/>
            <w:vAlign w:val="bottom"/>
          </w:tcPr>
          <w:p>
            <w:pPr>
              <w:spacing w:after="0"/>
              <w:rPr>
                <w:sz w:val="1"/>
                <w:szCs w:val="1"/>
                <w:color w:val="auto"/>
              </w:rPr>
            </w:pPr>
          </w:p>
        </w:tc>
      </w:tr>
      <w:tr>
        <w:trPr>
          <w:trHeight w:val="230"/>
        </w:trPr>
        <w:tc>
          <w:tcPr>
            <w:tcW w:w="4040" w:type="dxa"/>
            <w:vAlign w:val="bottom"/>
            <w:vMerge w:val="restart"/>
          </w:tcPr>
          <w:p>
            <w:pPr>
              <w:spacing w:after="0"/>
              <w:rPr>
                <w:sz w:val="20"/>
                <w:szCs w:val="20"/>
                <w:color w:val="auto"/>
              </w:rPr>
            </w:pPr>
            <w:r>
              <w:rPr>
                <w:rFonts w:ascii="Arial" w:cs="Arial" w:eastAsia="Arial" w:hAnsi="Arial"/>
                <w:sz w:val="18"/>
                <w:szCs w:val="18"/>
                <w:color w:val="auto"/>
              </w:rPr>
              <w:t>TEN ENT  — as tenants by the entireties</w:t>
            </w:r>
          </w:p>
        </w:tc>
        <w:tc>
          <w:tcPr>
            <w:tcW w:w="3720" w:type="dxa"/>
            <w:vAlign w:val="bottom"/>
          </w:tcPr>
          <w:p>
            <w:pPr>
              <w:ind w:left="2980"/>
              <w:spacing w:after="0"/>
              <w:rPr>
                <w:sz w:val="20"/>
                <w:szCs w:val="20"/>
                <w:color w:val="auto"/>
              </w:rPr>
            </w:pPr>
            <w:r>
              <w:rPr>
                <w:rFonts w:ascii="Arial" w:cs="Arial" w:eastAsia="Arial" w:hAnsi="Arial"/>
                <w:sz w:val="18"/>
                <w:szCs w:val="18"/>
                <w:color w:val="auto"/>
              </w:rPr>
              <w:t>(Cust)</w:t>
            </w:r>
          </w:p>
        </w:tc>
        <w:tc>
          <w:tcPr>
            <w:tcW w:w="1800" w:type="dxa"/>
            <w:vAlign w:val="bottom"/>
          </w:tcPr>
          <w:p>
            <w:pPr>
              <w:ind w:left="1120"/>
              <w:spacing w:after="0"/>
              <w:rPr>
                <w:sz w:val="20"/>
                <w:szCs w:val="20"/>
                <w:color w:val="auto"/>
              </w:rPr>
            </w:pPr>
            <w:r>
              <w:rPr>
                <w:rFonts w:ascii="Arial" w:cs="Arial" w:eastAsia="Arial" w:hAnsi="Arial"/>
                <w:sz w:val="18"/>
                <w:szCs w:val="18"/>
                <w:color w:val="auto"/>
              </w:rPr>
              <w:t>(Minor)</w:t>
            </w:r>
          </w:p>
        </w:tc>
        <w:tc>
          <w:tcPr>
            <w:tcW w:w="0" w:type="dxa"/>
            <w:vAlign w:val="bottom"/>
          </w:tcPr>
          <w:p>
            <w:pPr>
              <w:spacing w:after="0"/>
              <w:rPr>
                <w:sz w:val="1"/>
                <w:szCs w:val="1"/>
                <w:color w:val="auto"/>
              </w:rPr>
            </w:pPr>
          </w:p>
        </w:tc>
      </w:tr>
      <w:tr>
        <w:trPr>
          <w:trHeight w:val="216"/>
        </w:trPr>
        <w:tc>
          <w:tcPr>
            <w:tcW w:w="4040" w:type="dxa"/>
            <w:vAlign w:val="bottom"/>
            <w:vMerge w:val="continue"/>
          </w:tcPr>
          <w:p>
            <w:pPr>
              <w:spacing w:after="0"/>
              <w:rPr>
                <w:sz w:val="18"/>
                <w:szCs w:val="18"/>
                <w:color w:val="auto"/>
              </w:rPr>
            </w:pPr>
          </w:p>
        </w:tc>
        <w:tc>
          <w:tcPr>
            <w:tcW w:w="5520" w:type="dxa"/>
            <w:vAlign w:val="bottom"/>
            <w:gridSpan w:val="2"/>
            <w:vMerge w:val="restart"/>
          </w:tcPr>
          <w:p>
            <w:pPr>
              <w:ind w:left="2720"/>
              <w:spacing w:after="0"/>
              <w:rPr>
                <w:sz w:val="20"/>
                <w:szCs w:val="20"/>
                <w:color w:val="auto"/>
              </w:rPr>
            </w:pPr>
            <w:r>
              <w:rPr>
                <w:rFonts w:ascii="Arial" w:cs="Arial" w:eastAsia="Arial" w:hAnsi="Arial"/>
                <w:sz w:val="18"/>
                <w:szCs w:val="18"/>
                <w:color w:val="auto"/>
              </w:rPr>
              <w:t>Under Uniform Gifts to Minors Act</w:t>
            </w:r>
          </w:p>
        </w:tc>
        <w:tc>
          <w:tcPr>
            <w:tcW w:w="0" w:type="dxa"/>
            <w:vAlign w:val="bottom"/>
          </w:tcPr>
          <w:p>
            <w:pPr>
              <w:spacing w:after="0"/>
              <w:rPr>
                <w:sz w:val="1"/>
                <w:szCs w:val="1"/>
                <w:color w:val="auto"/>
              </w:rPr>
            </w:pPr>
          </w:p>
        </w:tc>
      </w:tr>
      <w:tr>
        <w:trPr>
          <w:trHeight w:val="202"/>
        </w:trPr>
        <w:tc>
          <w:tcPr>
            <w:tcW w:w="4040" w:type="dxa"/>
            <w:vAlign w:val="bottom"/>
          </w:tcPr>
          <w:p>
            <w:pPr>
              <w:spacing w:after="0"/>
              <w:rPr>
                <w:sz w:val="17"/>
                <w:szCs w:val="17"/>
                <w:color w:val="auto"/>
              </w:rPr>
            </w:pPr>
          </w:p>
        </w:tc>
        <w:tc>
          <w:tcPr>
            <w:tcW w:w="55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w w:val="92"/>
              </w:rPr>
              <w:t>JT TEN— as joint tenants with right of</w:t>
            </w:r>
          </w:p>
        </w:tc>
        <w:tc>
          <w:tcPr>
            <w:tcW w:w="5520" w:type="dxa"/>
            <w:vAlign w:val="bottom"/>
            <w:gridSpan w:val="2"/>
          </w:tcPr>
          <w:p>
            <w:pPr>
              <w:ind w:left="2720"/>
              <w:spacing w:after="0"/>
              <w:rPr>
                <w:sz w:val="20"/>
                <w:szCs w:val="20"/>
                <w:color w:val="auto"/>
              </w:rPr>
            </w:pPr>
            <w:r>
              <w:rPr>
                <w:rFonts w:ascii="Arial" w:cs="Arial" w:eastAsia="Arial" w:hAnsi="Arial"/>
                <w:sz w:val="18"/>
                <w:szCs w:val="18"/>
                <w:color w:val="auto"/>
                <w:w w:val="95"/>
              </w:rPr>
              <w:t>_____________________________</w:t>
            </w:r>
          </w:p>
        </w:tc>
        <w:tc>
          <w:tcPr>
            <w:tcW w:w="0" w:type="dxa"/>
            <w:vAlign w:val="bottom"/>
          </w:tcPr>
          <w:p>
            <w:pPr>
              <w:spacing w:after="0"/>
              <w:rPr>
                <w:sz w:val="1"/>
                <w:szCs w:val="1"/>
                <w:color w:val="auto"/>
              </w:rPr>
            </w:pPr>
          </w:p>
        </w:tc>
      </w:tr>
      <w:tr>
        <w:trPr>
          <w:trHeight w:val="216"/>
        </w:trPr>
        <w:tc>
          <w:tcPr>
            <w:tcW w:w="4040" w:type="dxa"/>
            <w:vAlign w:val="bottom"/>
          </w:tcPr>
          <w:p>
            <w:pPr>
              <w:ind w:left="1140"/>
              <w:spacing w:after="0"/>
              <w:rPr>
                <w:sz w:val="20"/>
                <w:szCs w:val="20"/>
                <w:color w:val="auto"/>
              </w:rPr>
            </w:pPr>
            <w:r>
              <w:rPr>
                <w:rFonts w:ascii="Arial" w:cs="Arial" w:eastAsia="Arial" w:hAnsi="Arial"/>
                <w:sz w:val="18"/>
                <w:szCs w:val="18"/>
                <w:color w:val="auto"/>
              </w:rPr>
              <w:t>survivorship and not as tenants in</w:t>
            </w:r>
          </w:p>
        </w:tc>
        <w:tc>
          <w:tcPr>
            <w:tcW w:w="3720" w:type="dxa"/>
            <w:vAlign w:val="bottom"/>
          </w:tcPr>
          <w:p>
            <w:pPr>
              <w:spacing w:after="0"/>
              <w:rPr>
                <w:sz w:val="18"/>
                <w:szCs w:val="18"/>
                <w:color w:val="auto"/>
              </w:rPr>
            </w:pPr>
          </w:p>
        </w:tc>
        <w:tc>
          <w:tcPr>
            <w:tcW w:w="1800" w:type="dxa"/>
            <w:vAlign w:val="bottom"/>
          </w:tcPr>
          <w:p>
            <w:pPr>
              <w:ind w:left="300"/>
              <w:spacing w:after="0"/>
              <w:rPr>
                <w:sz w:val="20"/>
                <w:szCs w:val="20"/>
                <w:color w:val="auto"/>
              </w:rPr>
            </w:pPr>
            <w:r>
              <w:rPr>
                <w:rFonts w:ascii="Arial" w:cs="Arial" w:eastAsia="Arial" w:hAnsi="Arial"/>
                <w:sz w:val="18"/>
                <w:szCs w:val="18"/>
                <w:color w:val="auto"/>
              </w:rPr>
              <w:t>(State)</w:t>
            </w:r>
          </w:p>
        </w:tc>
        <w:tc>
          <w:tcPr>
            <w:tcW w:w="0" w:type="dxa"/>
            <w:vAlign w:val="bottom"/>
          </w:tcPr>
          <w:p>
            <w:pPr>
              <w:spacing w:after="0"/>
              <w:rPr>
                <w:sz w:val="1"/>
                <w:szCs w:val="1"/>
                <w:color w:val="auto"/>
              </w:rPr>
            </w:pPr>
          </w:p>
        </w:tc>
      </w:tr>
      <w:tr>
        <w:trPr>
          <w:trHeight w:val="230"/>
        </w:trPr>
        <w:tc>
          <w:tcPr>
            <w:tcW w:w="4040" w:type="dxa"/>
            <w:vAlign w:val="bottom"/>
          </w:tcPr>
          <w:p>
            <w:pPr>
              <w:ind w:left="1140"/>
              <w:spacing w:after="0"/>
              <w:rPr>
                <w:sz w:val="20"/>
                <w:szCs w:val="20"/>
                <w:color w:val="auto"/>
              </w:rPr>
            </w:pPr>
            <w:r>
              <w:rPr>
                <w:rFonts w:ascii="Arial" w:cs="Arial" w:eastAsia="Arial" w:hAnsi="Arial"/>
                <w:sz w:val="18"/>
                <w:szCs w:val="18"/>
                <w:color w:val="auto"/>
              </w:rPr>
              <w:t>common</w:t>
            </w:r>
          </w:p>
        </w:tc>
        <w:tc>
          <w:tcPr>
            <w:tcW w:w="37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060"/>
        <w:spacing w:after="0"/>
        <w:rPr>
          <w:sz w:val="20"/>
          <w:szCs w:val="20"/>
          <w:color w:val="auto"/>
        </w:rPr>
      </w:pPr>
      <w:r>
        <w:rPr>
          <w:rFonts w:ascii="Arial" w:cs="Arial" w:eastAsia="Arial" w:hAnsi="Arial"/>
          <w:sz w:val="18"/>
          <w:szCs w:val="18"/>
          <w:color w:val="auto"/>
        </w:rPr>
        <w:t>Additional abbreviations may also be used though not in the above list.</w:t>
      </w:r>
    </w:p>
    <w:p>
      <w:pPr>
        <w:spacing w:after="0" w:line="225" w:lineRule="exact"/>
        <w:rPr>
          <w:sz w:val="20"/>
          <w:szCs w:val="20"/>
          <w:color w:val="auto"/>
        </w:rPr>
      </w:pPr>
    </w:p>
    <w:p>
      <w:pPr>
        <w:ind w:left="660"/>
        <w:spacing w:after="0"/>
        <w:tabs>
          <w:tab w:leader="none" w:pos="2660" w:val="left"/>
        </w:tabs>
        <w:rPr>
          <w:sz w:val="20"/>
          <w:szCs w:val="20"/>
          <w:color w:val="auto"/>
        </w:rPr>
      </w:pPr>
      <w:r>
        <w:rPr>
          <w:rFonts w:ascii="Arial" w:cs="Arial" w:eastAsia="Arial" w:hAnsi="Arial"/>
          <w:sz w:val="18"/>
          <w:szCs w:val="18"/>
          <w:i w:val="1"/>
          <w:iCs w:val="1"/>
          <w:color w:val="auto"/>
        </w:rPr>
        <w:t>For value received,</w:t>
      </w:r>
      <w:r>
        <w:rPr>
          <w:sz w:val="20"/>
          <w:szCs w:val="20"/>
          <w:color w:val="auto"/>
        </w:rPr>
        <w:tab/>
      </w:r>
      <w:r>
        <w:rPr>
          <w:rFonts w:ascii="Arial" w:cs="Arial" w:eastAsia="Arial" w:hAnsi="Arial"/>
          <w:sz w:val="16"/>
          <w:szCs w:val="16"/>
          <w:i w:val="1"/>
          <w:iCs w:val="1"/>
          <w:color w:val="auto"/>
        </w:rPr>
        <w:t>hereby sell, assign and transfer unto</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(PLEASE INSERT SOCIAL SECURITY OR OTHER IDENTIFYING NUMBER OF ASSIGNEE)</w:t>
      </w:r>
    </w:p>
    <w:p>
      <w:pPr>
        <w:spacing w:after="0" w:line="225"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(PLEASE PRINT OR TYPEWRITE NAME AND ADDRESS, INCLUDING ZIP CODE, OF ASSIGNEE)</w:t>
      </w:r>
    </w:p>
    <w:p>
      <w:pPr>
        <w:spacing w:after="0" w:line="225" w:lineRule="exact"/>
        <w:rPr>
          <w:sz w:val="20"/>
          <w:szCs w:val="20"/>
          <w:color w:val="auto"/>
        </w:rPr>
      </w:pPr>
    </w:p>
    <w:p>
      <w:pPr>
        <w:ind w:left="1780"/>
        <w:spacing w:after="0"/>
        <w:rPr>
          <w:sz w:val="20"/>
          <w:szCs w:val="20"/>
          <w:color w:val="auto"/>
        </w:rPr>
      </w:pPr>
      <w:r>
        <w:rPr>
          <w:rFonts w:ascii="Arial" w:cs="Arial" w:eastAsia="Arial" w:hAnsi="Arial"/>
          <w:sz w:val="18"/>
          <w:szCs w:val="18"/>
          <w:i w:val="1"/>
          <w:iCs w:val="1"/>
          <w:color w:val="auto"/>
        </w:rPr>
        <w:t>Units represented by the within certificate, and do hereby irrevocably constitute and appoint</w:t>
      </w:r>
    </w:p>
    <w:p>
      <w:pPr>
        <w:spacing w:after="0" w:line="225" w:lineRule="exact"/>
        <w:rPr>
          <w:sz w:val="20"/>
          <w:szCs w:val="20"/>
          <w:color w:val="auto"/>
        </w:rPr>
      </w:pPr>
    </w:p>
    <w:p>
      <w:pPr>
        <w:ind w:left="1340"/>
        <w:spacing w:after="0"/>
        <w:rPr>
          <w:sz w:val="20"/>
          <w:szCs w:val="20"/>
          <w:color w:val="auto"/>
        </w:rPr>
      </w:pPr>
      <w:r>
        <w:rPr>
          <w:rFonts w:ascii="Arial" w:cs="Arial" w:eastAsia="Arial" w:hAnsi="Arial"/>
          <w:sz w:val="18"/>
          <w:szCs w:val="18"/>
          <w:i w:val="1"/>
          <w:iCs w:val="1"/>
          <w:color w:val="auto"/>
        </w:rPr>
        <w:t>Attorney to transfer the said Units on the books of the within named Company with full power of substitution in the premises.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Dated</w:t>
      </w:r>
    </w:p>
    <w:p>
      <w:pPr>
        <w:sectPr>
          <w:pgSz w:w="11900" w:h="16838" w:orient="portrait"/>
          <w:cols w:equalWidth="0" w:num="1">
            <w:col w:w="11240"/>
          </w:cols>
          <w:pgMar w:left="320" w:top="580" w:right="339" w:bottom="1440" w:gutter="0" w:footer="0" w:header="0"/>
        </w:sectPr>
      </w:pPr>
    </w:p>
    <w:p>
      <w:pPr>
        <w:spacing w:after="0" w:line="200" w:lineRule="exact"/>
        <w:rPr>
          <w:sz w:val="20"/>
          <w:szCs w:val="20"/>
          <w:color w:val="auto"/>
        </w:rPr>
      </w:pPr>
    </w:p>
    <w:p>
      <w:pPr>
        <w:spacing w:after="0" w:line="23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Notice:</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Signature(s) Guaranteed:</w:t>
      </w:r>
    </w:p>
    <w:p>
      <w:pPr>
        <w:spacing w:after="0" w:line="200" w:lineRule="exact"/>
        <w:rPr>
          <w:sz w:val="20"/>
          <w:szCs w:val="20"/>
          <w:color w:val="auto"/>
        </w:rPr>
      </w:pPr>
    </w:p>
    <w:p>
      <w:pPr>
        <w:spacing w:after="0" w:line="259" w:lineRule="exact"/>
        <w:rPr>
          <w:sz w:val="20"/>
          <w:szCs w:val="20"/>
          <w:color w:val="auto"/>
        </w:rPr>
      </w:pPr>
    </w:p>
    <w:p>
      <w:pPr>
        <w:jc w:val="both"/>
        <w:ind w:right="680"/>
        <w:spacing w:after="0" w:line="253" w:lineRule="auto"/>
        <w:rPr>
          <w:sz w:val="20"/>
          <w:szCs w:val="20"/>
          <w:color w:val="auto"/>
        </w:rPr>
      </w:pPr>
      <w:r>
        <w:rPr>
          <w:rFonts w:ascii="Arial" w:cs="Arial" w:eastAsia="Arial" w:hAnsi="Arial"/>
          <w:sz w:val="18"/>
          <w:szCs w:val="18"/>
          <w:color w:val="auto"/>
        </w:rPr>
        <w:t>THE SIGNATURE(S) MUST BE GUARANTEED BY AN ELIGIBLE GUARANTOR INSTITUTION (BANKS, STOCKBROKERS, SAVINGS AND LOAN ASSOCIATIONS AND CREDIT UNIONS WITH MEMBERSHIP IN AN APPROVED SIGNATURE GUARANTEE MEDALLION PROGRAM, PURSUANT TO S.E.C. RULE 17Ad-15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-691515</wp:posOffset>
            </wp:positionV>
            <wp:extent cx="356616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13">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jc w:val="both"/>
        <w:ind w:right="680"/>
        <w:spacing w:after="0" w:line="260" w:lineRule="auto"/>
        <w:rPr>
          <w:sz w:val="20"/>
          <w:szCs w:val="20"/>
          <w:color w:val="auto"/>
        </w:rPr>
      </w:pPr>
      <w:r>
        <w:rPr>
          <w:rFonts w:ascii="Arial" w:cs="Arial" w:eastAsia="Arial" w:hAnsi="Arial"/>
          <w:sz w:val="18"/>
          <w:szCs w:val="18"/>
          <w:color w:val="auto"/>
        </w:rPr>
        <w:t>UNDER THE SECURITIES EXCHANGE ACT OF 1934, AS AMENDED (OR ANY SUCCESSOR RULE)).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323850</wp:posOffset>
            </wp:positionV>
            <wp:extent cx="713232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signature to this assignment must correspond with the name as written upon the face of the certificate in every particular, without alteration or enlargement or any change whatever.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-452755</wp:posOffset>
            </wp:positionV>
            <wp:extent cx="3060065"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15">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ectPr>
          <w:pgSz w:w="11900" w:h="16838" w:orient="portrait"/>
          <w:cols w:equalWidth="0" w:num="2">
            <w:col w:w="6300" w:space="120"/>
            <w:col w:w="4820"/>
          </w:cols>
          <w:pgMar w:left="320" w:top="580" w:right="339" w:bottom="1440" w:gutter="0" w:footer="0" w:header="0"/>
          <w:type w:val="continuous"/>
        </w:sectPr>
      </w:pPr>
    </w:p>
    <w:bookmarkStart w:id="240" w:name="page241"/>
    <w:bookmarkEnd w:id="240"/>
    <w:p>
      <w:pPr>
        <w:ind w:left="660"/>
        <w:spacing w:after="0"/>
        <w:rPr>
          <w:sz w:val="20"/>
          <w:szCs w:val="20"/>
          <w:color w:val="auto"/>
        </w:rPr>
      </w:pPr>
      <w:r>
        <w:rPr>
          <w:rFonts w:ascii="Arial" w:cs="Arial" w:eastAsia="Arial" w:hAnsi="Arial"/>
          <w:sz w:val="17"/>
          <w:szCs w:val="17"/>
          <w:color w:val="auto"/>
        </w:rPr>
        <w:t>As more fully described in, and subject to the terms and conditions described in, the Company’s final prospectus for its initial public offering</w:t>
      </w:r>
    </w:p>
    <w:p>
      <w:pPr>
        <w:spacing w:after="0" w:line="35"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dated the holder(s) of this certificate shall be entitled to receive a pro-rata portion of certain funds held in the trust account established in connection with the Company’s initial public offering in the event that (i) the Company redeems the Ordinary Shares sold in its initial public offering and liquidates because it does not consummate an initial Business Combination within the time period set forth in the Company’s Amended and Restated Memorandum and Articles of Association, as the same may be amended from time to time, or (ii) if the holder(s) properly redeem for cash his, her or its respective Ordinary Shares included in the Units represented by this certificate in connection with (x) a tender offer (or proxy solicitation, solely in the event the Company seeks shareholder approval of the proposed initial Business Combination) setting forth the details of a proposed initial Business Combination or</w:t>
      </w:r>
    </w:p>
    <w:p>
      <w:pPr>
        <w:spacing w:after="0" w:line="4" w:lineRule="exact"/>
        <w:rPr>
          <w:sz w:val="20"/>
          <w:szCs w:val="20"/>
          <w:color w:val="auto"/>
        </w:rPr>
      </w:pPr>
    </w:p>
    <w:p>
      <w:pPr>
        <w:jc w:val="both"/>
        <w:ind w:firstLine="8"/>
        <w:spacing w:after="0" w:line="252" w:lineRule="auto"/>
        <w:tabs>
          <w:tab w:leader="none" w:pos="258" w:val="left"/>
        </w:tabs>
        <w:numPr>
          <w:ilvl w:val="0"/>
          <w:numId w:val="147"/>
        </w:numPr>
        <w:rPr>
          <w:rFonts w:ascii="Arial" w:cs="Arial" w:eastAsia="Arial" w:hAnsi="Arial"/>
          <w:sz w:val="18"/>
          <w:szCs w:val="18"/>
          <w:color w:val="auto"/>
        </w:rPr>
      </w:pPr>
      <w:r>
        <w:rPr>
          <w:rFonts w:ascii="Arial" w:cs="Arial" w:eastAsia="Arial" w:hAnsi="Arial"/>
          <w:sz w:val="18"/>
          <w:szCs w:val="18"/>
          <w:color w:val="auto"/>
        </w:rPr>
        <w:t>a shareholder vote to amend the Company’s Amended and Restated Memorandum and Articles of Association (A) to modify the substance or timing of the Company’s obligation to allow redemption in connection with its initial business combination or to redeem 100% of the Ordinary Shares if it does not consummate an initial Business Combination within the time set forth in the Company’s Amended and Restated Memorandum and Articles of Association, as the same may be amended from time to time, or (B) with respect to any other material provisions relating to shareholders’ rights or pre-initial Business Combination activity, as the same may be amended from time to time. In no other circumstances shall the holder(s) have any right or interest of any kind in or to the trust account.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457835</wp:posOffset>
            </wp:positionV>
            <wp:extent cx="713232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41" w:name="page242"/>
    <w:bookmarkEnd w:id="241"/>
    <w:p>
      <w:pPr>
        <w:jc w:val="right"/>
        <w:spacing w:after="0"/>
        <w:rPr>
          <w:sz w:val="20"/>
          <w:szCs w:val="20"/>
          <w:color w:val="auto"/>
        </w:rPr>
      </w:pPr>
      <w:r>
        <w:rPr>
          <w:rFonts w:ascii="Arial" w:cs="Arial" w:eastAsia="Arial" w:hAnsi="Arial"/>
          <w:sz w:val="18"/>
          <w:szCs w:val="18"/>
          <w:b w:val="1"/>
          <w:bCs w:val="1"/>
          <w:color w:val="auto"/>
        </w:rPr>
        <w:t>Exhibit 4.4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WARRANT AGREEMENT</w:t>
      </w:r>
    </w:p>
    <w:p>
      <w:pPr>
        <w:spacing w:after="0" w:line="229"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THIS WARRANT AGREEMENT (this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dated as of [●], 2021, is by and between Freedom Acquisition I Corp., a Cayman Islands exempted company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and Continental Stock Transfer &amp; Trust Company, a New York corporation, as warrant agent (in such capacity, the “</w:t>
      </w:r>
      <w:r>
        <w:rPr>
          <w:rFonts w:ascii="Arial" w:cs="Arial" w:eastAsia="Arial" w:hAnsi="Arial"/>
          <w:sz w:val="18"/>
          <w:szCs w:val="18"/>
          <w:b w:val="1"/>
          <w:bCs w:val="1"/>
          <w:i w:val="1"/>
          <w:iCs w:val="1"/>
          <w:color w:val="auto"/>
        </w:rPr>
        <w:t>Warrant Agent</w:t>
      </w:r>
      <w:r>
        <w:rPr>
          <w:rFonts w:ascii="Arial" w:cs="Arial" w:eastAsia="Arial" w:hAnsi="Arial"/>
          <w:sz w:val="18"/>
          <w:szCs w:val="18"/>
          <w:color w:val="auto"/>
        </w:rPr>
        <w:t>,” and also referred to herein as the “</w:t>
      </w:r>
      <w:r>
        <w:rPr>
          <w:rFonts w:ascii="Arial" w:cs="Arial" w:eastAsia="Arial" w:hAnsi="Arial"/>
          <w:sz w:val="18"/>
          <w:szCs w:val="18"/>
          <w:b w:val="1"/>
          <w:bCs w:val="1"/>
          <w:i w:val="1"/>
          <w:iCs w:val="1"/>
          <w:color w:val="auto"/>
        </w:rPr>
        <w:t>Transfer Agent</w:t>
      </w:r>
      <w:r>
        <w:rPr>
          <w:rFonts w:ascii="Arial" w:cs="Arial" w:eastAsia="Arial" w:hAnsi="Arial"/>
          <w:sz w:val="18"/>
          <w:szCs w:val="18"/>
          <w:color w:val="auto"/>
        </w:rPr>
        <w:t>”).</w:t>
      </w:r>
    </w:p>
    <w:p>
      <w:pPr>
        <w:spacing w:after="0" w:line="184"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WHEREAS, the Company is engaged in an initial public offering (the “</w:t>
      </w:r>
      <w:r>
        <w:rPr>
          <w:rFonts w:ascii="Arial" w:cs="Arial" w:eastAsia="Arial" w:hAnsi="Arial"/>
          <w:sz w:val="16"/>
          <w:szCs w:val="16"/>
          <w:b w:val="1"/>
          <w:bCs w:val="1"/>
          <w:i w:val="1"/>
          <w:iCs w:val="1"/>
          <w:color w:val="auto"/>
        </w:rPr>
        <w:t>Offering</w:t>
      </w:r>
      <w:r>
        <w:rPr>
          <w:rFonts w:ascii="Arial" w:cs="Arial" w:eastAsia="Arial" w:hAnsi="Arial"/>
          <w:sz w:val="16"/>
          <w:szCs w:val="16"/>
          <w:color w:val="auto"/>
        </w:rPr>
        <w:t>”) of units of the Company’s equity securities, each such unit comprised of one Class A ordinary share of the Company, par value $0.0001 per share (“</w:t>
      </w:r>
      <w:r>
        <w:rPr>
          <w:rFonts w:ascii="Arial" w:cs="Arial" w:eastAsia="Arial" w:hAnsi="Arial"/>
          <w:sz w:val="16"/>
          <w:szCs w:val="16"/>
          <w:b w:val="1"/>
          <w:bCs w:val="1"/>
          <w:i w:val="1"/>
          <w:iCs w:val="1"/>
          <w:color w:val="auto"/>
        </w:rPr>
        <w:t>Ordinary Shares</w:t>
      </w:r>
      <w:r>
        <w:rPr>
          <w:rFonts w:ascii="Arial" w:cs="Arial" w:eastAsia="Arial" w:hAnsi="Arial"/>
          <w:sz w:val="16"/>
          <w:szCs w:val="16"/>
          <w:color w:val="auto"/>
        </w:rPr>
        <w:t>”) and one-fourth of a redeemable Public Warrant (as defined below) (the “</w:t>
      </w:r>
      <w:r>
        <w:rPr>
          <w:rFonts w:ascii="Arial" w:cs="Arial" w:eastAsia="Arial" w:hAnsi="Arial"/>
          <w:sz w:val="16"/>
          <w:szCs w:val="16"/>
          <w:b w:val="1"/>
          <w:bCs w:val="1"/>
          <w:i w:val="1"/>
          <w:iCs w:val="1"/>
          <w:color w:val="auto"/>
        </w:rPr>
        <w:t>Units</w:t>
      </w:r>
      <w:r>
        <w:rPr>
          <w:rFonts w:ascii="Arial" w:cs="Arial" w:eastAsia="Arial" w:hAnsi="Arial"/>
          <w:sz w:val="16"/>
          <w:szCs w:val="16"/>
          <w:color w:val="auto"/>
        </w:rPr>
        <w:t>”) and, in connection therewith, has determined to issue and deliver up to 6,250,000 warrants (or up to 7,187,500 warrants depending on the extent to which the Over-allotment Option (as defined below) is exercised) to public investors in the Offering (the “</w:t>
      </w:r>
      <w:r>
        <w:rPr>
          <w:rFonts w:ascii="Arial" w:cs="Arial" w:eastAsia="Arial" w:hAnsi="Arial"/>
          <w:sz w:val="16"/>
          <w:szCs w:val="16"/>
          <w:b w:val="1"/>
          <w:bCs w:val="1"/>
          <w:i w:val="1"/>
          <w:iCs w:val="1"/>
          <w:color w:val="auto"/>
        </w:rPr>
        <w:t>Public Warrants</w:t>
      </w:r>
      <w:r>
        <w:rPr>
          <w:rFonts w:ascii="Arial" w:cs="Arial" w:eastAsia="Arial" w:hAnsi="Arial"/>
          <w:sz w:val="16"/>
          <w:szCs w:val="16"/>
          <w:color w:val="auto"/>
        </w:rPr>
        <w:t>”);</w:t>
      </w:r>
    </w:p>
    <w:p>
      <w:pPr>
        <w:spacing w:after="0" w:line="15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WHEREAS, the Company entered into that certain Private Placement Warrants Purchase Agreement with Freedom Acquisition I LLC, a Cayman Islands limited liability company (the “</w:t>
      </w:r>
      <w:r>
        <w:rPr>
          <w:rFonts w:ascii="Arial" w:cs="Arial" w:eastAsia="Arial" w:hAnsi="Arial"/>
          <w:sz w:val="18"/>
          <w:szCs w:val="18"/>
          <w:b w:val="1"/>
          <w:bCs w:val="1"/>
          <w:i w:val="1"/>
          <w:iCs w:val="1"/>
          <w:color w:val="auto"/>
        </w:rPr>
        <w:t>Sponsor</w:t>
      </w:r>
      <w:r>
        <w:rPr>
          <w:rFonts w:ascii="Arial" w:cs="Arial" w:eastAsia="Arial" w:hAnsi="Arial"/>
          <w:sz w:val="18"/>
          <w:szCs w:val="18"/>
          <w:color w:val="auto"/>
        </w:rPr>
        <w:t xml:space="preserve">”), pursuant to which the Sponsor agreed to purchase an aggregate of 5,000,000 private placement warrants (or up to 5,500,000 private placement warrants depending on the extent to which the Over-allotment Option is exercised) simultaneously with the closing of the Offering (and the closing of the Over-allotment Option, if applicable), each bearing the legend set forth in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hereto (the “</w:t>
      </w:r>
      <w:r>
        <w:rPr>
          <w:rFonts w:ascii="Arial" w:cs="Arial" w:eastAsia="Arial" w:hAnsi="Arial"/>
          <w:sz w:val="18"/>
          <w:szCs w:val="18"/>
          <w:b w:val="1"/>
          <w:bCs w:val="1"/>
          <w:i w:val="1"/>
          <w:iCs w:val="1"/>
          <w:color w:val="auto"/>
        </w:rPr>
        <w:t>Private Placement</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Warrants</w:t>
      </w:r>
      <w:r>
        <w:rPr>
          <w:rFonts w:ascii="Arial" w:cs="Arial" w:eastAsia="Arial" w:hAnsi="Arial"/>
          <w:sz w:val="18"/>
          <w:szCs w:val="18"/>
          <w:color w:val="auto"/>
        </w:rPr>
        <w:t>”);</w:t>
      </w:r>
    </w:p>
    <w:p>
      <w:pPr>
        <w:spacing w:after="0" w:line="18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WHEREAS, in order to finance the Company’s transaction costs in connection with an intended initial Business Combination (as defined below), the Sponsor or an affiliate of the Sponsor or the Company’s officers and directors may, but are not obligated to, loan to the Company funds as the Company may require, of which up to $2,000,000 of such loans may be convertible into up to an additional 1,333,333 warrants at a price of $1.50 per warrant, which will be identical to the Private Placement Warrants (the “</w:t>
      </w:r>
      <w:r>
        <w:rPr>
          <w:rFonts w:ascii="Arial" w:cs="Arial" w:eastAsia="Arial" w:hAnsi="Arial"/>
          <w:sz w:val="18"/>
          <w:szCs w:val="18"/>
          <w:b w:val="1"/>
          <w:bCs w:val="1"/>
          <w:i w:val="1"/>
          <w:iCs w:val="1"/>
          <w:color w:val="auto"/>
        </w:rPr>
        <w:t>Working Capital Warrants</w:t>
      </w:r>
      <w:r>
        <w:rPr>
          <w:rFonts w:ascii="Arial" w:cs="Arial" w:eastAsia="Arial" w:hAnsi="Arial"/>
          <w:sz w:val="18"/>
          <w:szCs w:val="18"/>
          <w:color w:val="auto"/>
        </w:rPr>
        <w:t>,” and, together with the Private Placement Warrants and the Public Warrants, the “</w:t>
      </w:r>
      <w:r>
        <w:rPr>
          <w:rFonts w:ascii="Arial" w:cs="Arial" w:eastAsia="Arial" w:hAnsi="Arial"/>
          <w:sz w:val="18"/>
          <w:szCs w:val="18"/>
          <w:b w:val="1"/>
          <w:bCs w:val="1"/>
          <w:i w:val="1"/>
          <w:iCs w:val="1"/>
          <w:color w:val="auto"/>
        </w:rPr>
        <w:t>Warrants</w:t>
      </w:r>
      <w:r>
        <w:rPr>
          <w:rFonts w:ascii="Arial" w:cs="Arial" w:eastAsia="Arial" w:hAnsi="Arial"/>
          <w:sz w:val="18"/>
          <w:szCs w:val="18"/>
          <w:color w:val="auto"/>
        </w:rPr>
        <w:t>”);</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WHEREAS, each Warrant entitles the holder thereof to purchase one Ordinary Share at a price of $11.50 per share, subject to adjustment as described herein;</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WHEREAS, the Company has filed with the U.S. Securities and Exchange Commission (the “</w:t>
      </w:r>
      <w:r>
        <w:rPr>
          <w:rFonts w:ascii="Arial" w:cs="Arial" w:eastAsia="Arial" w:hAnsi="Arial"/>
          <w:sz w:val="18"/>
          <w:szCs w:val="18"/>
          <w:b w:val="1"/>
          <w:bCs w:val="1"/>
          <w:i w:val="1"/>
          <w:iCs w:val="1"/>
          <w:color w:val="auto"/>
        </w:rPr>
        <w:t>Commission</w:t>
      </w:r>
      <w:r>
        <w:rPr>
          <w:rFonts w:ascii="Arial" w:cs="Arial" w:eastAsia="Arial" w:hAnsi="Arial"/>
          <w:sz w:val="18"/>
          <w:szCs w:val="18"/>
          <w:color w:val="auto"/>
        </w:rPr>
        <w:t>”) a registration statement on Form S-1, File No. 333-[●] (the “</w:t>
      </w:r>
      <w:r>
        <w:rPr>
          <w:rFonts w:ascii="Arial" w:cs="Arial" w:eastAsia="Arial" w:hAnsi="Arial"/>
          <w:sz w:val="18"/>
          <w:szCs w:val="18"/>
          <w:b w:val="1"/>
          <w:bCs w:val="1"/>
          <w:i w:val="1"/>
          <w:iCs w:val="1"/>
          <w:color w:val="auto"/>
        </w:rPr>
        <w:t>Registration Statement</w:t>
      </w:r>
      <w:r>
        <w:rPr>
          <w:rFonts w:ascii="Arial" w:cs="Arial" w:eastAsia="Arial" w:hAnsi="Arial"/>
          <w:sz w:val="18"/>
          <w:szCs w:val="18"/>
          <w:color w:val="auto"/>
        </w:rPr>
        <w:t>”) and prospectus (the “</w:t>
      </w:r>
      <w:r>
        <w:rPr>
          <w:rFonts w:ascii="Arial" w:cs="Arial" w:eastAsia="Arial" w:hAnsi="Arial"/>
          <w:sz w:val="18"/>
          <w:szCs w:val="18"/>
          <w:b w:val="1"/>
          <w:bCs w:val="1"/>
          <w:i w:val="1"/>
          <w:iCs w:val="1"/>
          <w:color w:val="auto"/>
        </w:rPr>
        <w:t>Prospectus</w:t>
      </w:r>
      <w:r>
        <w:rPr>
          <w:rFonts w:ascii="Arial" w:cs="Arial" w:eastAsia="Arial" w:hAnsi="Arial"/>
          <w:sz w:val="18"/>
          <w:szCs w:val="18"/>
          <w:color w:val="auto"/>
        </w:rPr>
        <w:t>”) for the registration, under the Securities Act of 1933, as amended (the “</w:t>
      </w:r>
      <w:r>
        <w:rPr>
          <w:rFonts w:ascii="Arial" w:cs="Arial" w:eastAsia="Arial" w:hAnsi="Arial"/>
          <w:sz w:val="18"/>
          <w:szCs w:val="18"/>
          <w:b w:val="1"/>
          <w:bCs w:val="1"/>
          <w:i w:val="1"/>
          <w:iCs w:val="1"/>
          <w:color w:val="auto"/>
        </w:rPr>
        <w:t>Securities Act</w:t>
      </w:r>
      <w:r>
        <w:rPr>
          <w:rFonts w:ascii="Arial" w:cs="Arial" w:eastAsia="Arial" w:hAnsi="Arial"/>
          <w:sz w:val="18"/>
          <w:szCs w:val="18"/>
          <w:color w:val="auto"/>
        </w:rPr>
        <w:t>”), of the Units, the Public Warrants and the Ordinary Shares included in the Units;</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WHEREAS, the Company desires the Warrant Agent to act on behalf of the Company, and the Warrant Agent is willing to so act, in connection with the issuance, registration, transfer, exchange, redemption and exercise of the Warrants;</w:t>
      </w:r>
    </w:p>
    <w:p>
      <w:pPr>
        <w:spacing w:after="0" w:line="170"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WHEREAS, the Company desires to provide for the form and provisions of the Warrants, the terms upon which they shall be issued and exercised, and the respective rights, limitation of rights, and immunities of the Company, the Warrant Agent, and the holders of the Warrants; and</w:t>
      </w:r>
    </w:p>
    <w:p>
      <w:pPr>
        <w:spacing w:after="0" w:line="14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WHEREAS, all acts and things have been done and performed which are necessary to make the Warrants, when executed on behalf of the Company and countersigned by or on behalf of the Warrant Agent (if a physical certificate is issued), as provided herein, the valid, binding and legal obligations of the Company, and to authorize the execution and delivery of this Agreement.</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NOW, THEREFORE, in consideration of the mutual agreements herein contained, the parties hereto agree as follows:</w:t>
      </w:r>
    </w:p>
    <w:p>
      <w:pPr>
        <w:spacing w:after="0" w:line="225" w:lineRule="exact"/>
        <w:rPr>
          <w:sz w:val="20"/>
          <w:szCs w:val="20"/>
          <w:color w:val="auto"/>
        </w:rPr>
      </w:pPr>
    </w:p>
    <w:p>
      <w:pPr>
        <w:ind w:firstLine="656"/>
        <w:spacing w:after="0" w:line="342" w:lineRule="auto"/>
        <w:tabs>
          <w:tab w:leader="none" w:pos="841" w:val="left"/>
        </w:tabs>
        <w:numPr>
          <w:ilvl w:val="0"/>
          <w:numId w:val="148"/>
        </w:numPr>
        <w:rPr>
          <w:rFonts w:ascii="Arial" w:cs="Arial" w:eastAsia="Arial" w:hAnsi="Arial"/>
          <w:sz w:val="16"/>
          <w:szCs w:val="16"/>
          <w:color w:val="auto"/>
        </w:rPr>
      </w:pPr>
      <w:r>
        <w:rPr>
          <w:rFonts w:ascii="Arial" w:cs="Arial" w:eastAsia="Arial" w:hAnsi="Arial"/>
          <w:sz w:val="16"/>
          <w:szCs w:val="16"/>
          <w:u w:val="single" w:color="auto"/>
          <w:color w:val="auto"/>
        </w:rPr>
        <w:t>Appointment of Warrant Agent.</w:t>
      </w:r>
      <w:r>
        <w:rPr>
          <w:rFonts w:ascii="Arial" w:cs="Arial" w:eastAsia="Arial" w:hAnsi="Arial"/>
          <w:sz w:val="16"/>
          <w:szCs w:val="16"/>
          <w:color w:val="auto"/>
        </w:rPr>
        <w:t xml:space="preserve"> The Company hereby appoints the Warrant Agent to act as agent for the Company for the Warrants, and the Warrant Agent hereby accepts such appointment and agrees to perform the same in accordance with the terms and conditions set forth in this Agreement.</w:t>
      </w:r>
    </w:p>
    <w:p>
      <w:pPr>
        <w:spacing w:after="0" w:line="123" w:lineRule="exact"/>
        <w:rPr>
          <w:rFonts w:ascii="Arial" w:cs="Arial" w:eastAsia="Arial" w:hAnsi="Arial"/>
          <w:sz w:val="16"/>
          <w:szCs w:val="16"/>
          <w:color w:val="auto"/>
        </w:rPr>
      </w:pPr>
    </w:p>
    <w:p>
      <w:pPr>
        <w:ind w:left="840" w:hanging="184"/>
        <w:spacing w:after="0"/>
        <w:tabs>
          <w:tab w:leader="none" w:pos="840" w:val="left"/>
        </w:tabs>
        <w:numPr>
          <w:ilvl w:val="0"/>
          <w:numId w:val="148"/>
        </w:numPr>
        <w:rPr>
          <w:rFonts w:ascii="Arial" w:cs="Arial" w:eastAsia="Arial" w:hAnsi="Arial"/>
          <w:sz w:val="18"/>
          <w:szCs w:val="18"/>
          <w:color w:val="auto"/>
        </w:rPr>
      </w:pPr>
      <w:r>
        <w:rPr>
          <w:rFonts w:ascii="Arial" w:cs="Arial" w:eastAsia="Arial" w:hAnsi="Arial"/>
          <w:sz w:val="18"/>
          <w:szCs w:val="18"/>
          <w:u w:val="single" w:color="auto"/>
          <w:color w:val="auto"/>
        </w:rPr>
        <w:t>Warrants</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73" w:lineRule="auto"/>
        <w:rPr>
          <w:sz w:val="20"/>
          <w:szCs w:val="20"/>
          <w:color w:val="auto"/>
        </w:rPr>
      </w:pPr>
      <w:r>
        <w:rPr>
          <w:rFonts w:ascii="Arial" w:cs="Arial" w:eastAsia="Arial" w:hAnsi="Arial"/>
          <w:sz w:val="17"/>
          <w:szCs w:val="17"/>
          <w:color w:val="auto"/>
        </w:rPr>
        <w:t xml:space="preserve">2.1 </w:t>
      </w:r>
      <w:r>
        <w:rPr>
          <w:rFonts w:ascii="Arial" w:cs="Arial" w:eastAsia="Arial" w:hAnsi="Arial"/>
          <w:sz w:val="17"/>
          <w:szCs w:val="17"/>
          <w:u w:val="single" w:color="auto"/>
          <w:color w:val="auto"/>
        </w:rPr>
        <w:t>Form of Warrant.</w:t>
      </w:r>
      <w:r>
        <w:rPr>
          <w:rFonts w:ascii="Arial" w:cs="Arial" w:eastAsia="Arial" w:hAnsi="Arial"/>
          <w:sz w:val="17"/>
          <w:szCs w:val="17"/>
          <w:color w:val="auto"/>
        </w:rPr>
        <w:t xml:space="preserve"> Each Warrant shall initially be issued in registered form only, and, if a physical certificate is issued, shall be in substantially the form of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hereto, the provisions of which are incorporated herein and shall be signed by, or bear the facsimile signature of, the Chairman of the Board, President, Chief Executive Officer, Chief Financial Officer, Secretary or other principal officer of the Company. In the event the person whose facsimile signature has been placed upon any Warrant shall have ceased to serve in the capacity in which such person signed the Warrant before such Warrant is issued, it may be issued with the same effect as if he or she had not ceased to be such at the date of issuance. All of the Public Warrants shall initially be represented by one or more book-entry certificates (each, a “</w:t>
      </w:r>
      <w:r>
        <w:rPr>
          <w:rFonts w:ascii="Arial" w:cs="Arial" w:eastAsia="Arial" w:hAnsi="Arial"/>
          <w:sz w:val="17"/>
          <w:szCs w:val="17"/>
          <w:b w:val="1"/>
          <w:bCs w:val="1"/>
          <w:i w:val="1"/>
          <w:iCs w:val="1"/>
          <w:color w:val="auto"/>
        </w:rPr>
        <w:t>Book-Entry Warrant Certificate</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344805</wp:posOffset>
            </wp:positionV>
            <wp:extent cx="713232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2" w:name="page243"/>
    <w:bookmarkEnd w:id="242"/>
    <w:p>
      <w:pPr>
        <w:jc w:val="both"/>
        <w:ind w:firstLine="1296"/>
        <w:spacing w:after="0" w:line="277"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Effect of Countersignature.</w:t>
      </w:r>
      <w:r>
        <w:rPr>
          <w:rFonts w:ascii="Arial" w:cs="Arial" w:eastAsia="Arial" w:hAnsi="Arial"/>
          <w:sz w:val="18"/>
          <w:szCs w:val="18"/>
          <w:color w:val="auto"/>
        </w:rPr>
        <w:t xml:space="preserve"> If a physical certificate is issued, unless and until countersigned by the Warrant Agent pursuant to this Agreement, a Warrant certificate shall be invalid and of no effect and may not be exercised by the holder thereof.</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Registration</w:t>
      </w:r>
      <w:r>
        <w:rPr>
          <w:rFonts w:ascii="Arial" w:cs="Arial" w:eastAsia="Arial" w:hAnsi="Arial"/>
          <w:sz w:val="18"/>
          <w:szCs w:val="18"/>
          <w:color w:val="auto"/>
        </w:rPr>
        <w:t>.</w:t>
      </w:r>
    </w:p>
    <w:p>
      <w:pPr>
        <w:spacing w:after="0" w:line="225" w:lineRule="exact"/>
        <w:rPr>
          <w:sz w:val="20"/>
          <w:szCs w:val="20"/>
          <w:color w:val="auto"/>
        </w:rPr>
      </w:pPr>
    </w:p>
    <w:p>
      <w:pPr>
        <w:jc w:val="both"/>
        <w:ind w:firstLine="2009"/>
        <w:spacing w:after="0" w:line="254" w:lineRule="auto"/>
        <w:rPr>
          <w:sz w:val="20"/>
          <w:szCs w:val="20"/>
          <w:color w:val="auto"/>
        </w:rPr>
      </w:pPr>
      <w:r>
        <w:rPr>
          <w:rFonts w:ascii="Arial" w:cs="Arial" w:eastAsia="Arial" w:hAnsi="Arial"/>
          <w:sz w:val="18"/>
          <w:szCs w:val="18"/>
          <w:color w:val="auto"/>
        </w:rPr>
        <w:t xml:space="preserve">2.3.1 </w:t>
      </w:r>
      <w:r>
        <w:rPr>
          <w:rFonts w:ascii="Arial" w:cs="Arial" w:eastAsia="Arial" w:hAnsi="Arial"/>
          <w:sz w:val="18"/>
          <w:szCs w:val="18"/>
          <w:u w:val="single" w:color="auto"/>
          <w:color w:val="auto"/>
        </w:rPr>
        <w:t>Warrant Register.</w:t>
      </w:r>
      <w:r>
        <w:rPr>
          <w:rFonts w:ascii="Arial" w:cs="Arial" w:eastAsia="Arial" w:hAnsi="Arial"/>
          <w:sz w:val="18"/>
          <w:szCs w:val="18"/>
          <w:color w:val="auto"/>
        </w:rPr>
        <w:t xml:space="preserve"> The Warrant Agent shall maintain books (the “</w:t>
      </w:r>
      <w:r>
        <w:rPr>
          <w:rFonts w:ascii="Arial" w:cs="Arial" w:eastAsia="Arial" w:hAnsi="Arial"/>
          <w:sz w:val="18"/>
          <w:szCs w:val="18"/>
          <w:b w:val="1"/>
          <w:bCs w:val="1"/>
          <w:i w:val="1"/>
          <w:iCs w:val="1"/>
          <w:color w:val="auto"/>
        </w:rPr>
        <w:t>Warrant Register</w:t>
      </w:r>
      <w:r>
        <w:rPr>
          <w:rFonts w:ascii="Arial" w:cs="Arial" w:eastAsia="Arial" w:hAnsi="Arial"/>
          <w:sz w:val="18"/>
          <w:szCs w:val="18"/>
          <w:color w:val="auto"/>
        </w:rPr>
        <w:t>”) for the registration of original issuance and the registration of transfer of the Warrants. Upon the initial issuance of the Warrants, the Warrant Agent shall issue and register the Warrants in the names of the respective holders thereof in such denominations and otherwise in accordance with instructions delivered to the Warrant Agent by the Company. All of the Public Warrants shall initially be represented by one or more Book-Entry Warrant Certificates deposited with The Depository Trust Company (the “</w:t>
      </w:r>
      <w:r>
        <w:rPr>
          <w:rFonts w:ascii="Arial" w:cs="Arial" w:eastAsia="Arial" w:hAnsi="Arial"/>
          <w:sz w:val="18"/>
          <w:szCs w:val="18"/>
          <w:b w:val="1"/>
          <w:bCs w:val="1"/>
          <w:i w:val="1"/>
          <w:iCs w:val="1"/>
          <w:color w:val="auto"/>
        </w:rPr>
        <w:t>Depositary</w:t>
      </w:r>
      <w:r>
        <w:rPr>
          <w:rFonts w:ascii="Arial" w:cs="Arial" w:eastAsia="Arial" w:hAnsi="Arial"/>
          <w:sz w:val="18"/>
          <w:szCs w:val="18"/>
          <w:color w:val="auto"/>
        </w:rPr>
        <w:t>”) and registered in the name of Cede &amp; Co., as nominee of the Depositary. Ownership of beneficial interests in the Public Warrants shall be shown on, and the transfer of such ownership shall be effected through, records maintained by (i) the Depositary or its nominee for each Book-Entry Warrant Certificate, or (ii) institutions that have accounts with the Depositary (each such institution, with respect to a Warrant in its account, a “</w:t>
      </w:r>
      <w:r>
        <w:rPr>
          <w:rFonts w:ascii="Arial" w:cs="Arial" w:eastAsia="Arial" w:hAnsi="Arial"/>
          <w:sz w:val="18"/>
          <w:szCs w:val="18"/>
          <w:b w:val="1"/>
          <w:bCs w:val="1"/>
          <w:i w:val="1"/>
          <w:iCs w:val="1"/>
          <w:color w:val="auto"/>
        </w:rPr>
        <w:t>Participant</w:t>
      </w:r>
      <w:r>
        <w:rPr>
          <w:rFonts w:ascii="Arial" w:cs="Arial" w:eastAsia="Arial" w:hAnsi="Arial"/>
          <w:sz w:val="18"/>
          <w:szCs w:val="18"/>
          <w:color w:val="auto"/>
        </w:rPr>
        <w:t>”).</w:t>
      </w:r>
    </w:p>
    <w:p>
      <w:pPr>
        <w:spacing w:after="0" w:line="19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If the Depositary subsequently ceases to make its book-entry settlement system available for the Public Warrants, the Company may instruct the Warrant Agent regarding making other arrangements for book-entry settlement. In the event that the Public Warrants are not eligible for, or it is no longer necessary to have the Public Warrants available in, book-entry form, the Warrant Agent shall provide written instructions to the Depositary to deliver to the Warrant Agent for cancellation each Book-Entry Warrant Certificate, and the Company shall instruct the Warrant Agent to deliver to the Depositary definitive certificates in physical form evidencing such Warrants (“</w:t>
      </w:r>
      <w:r>
        <w:rPr>
          <w:rFonts w:ascii="Arial" w:cs="Arial" w:eastAsia="Arial" w:hAnsi="Arial"/>
          <w:sz w:val="17"/>
          <w:szCs w:val="17"/>
          <w:b w:val="1"/>
          <w:bCs w:val="1"/>
          <w:i w:val="1"/>
          <w:iCs w:val="1"/>
          <w:color w:val="auto"/>
        </w:rPr>
        <w:t>Definitive Warrant Certificate</w:t>
      </w:r>
      <w:r>
        <w:rPr>
          <w:rFonts w:ascii="Arial" w:cs="Arial" w:eastAsia="Arial" w:hAnsi="Arial"/>
          <w:sz w:val="17"/>
          <w:szCs w:val="17"/>
          <w:color w:val="auto"/>
        </w:rPr>
        <w:t xml:space="preserve">”). Such Definitive Warrant Certificate shall be in the form annexed hereto as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with appropriate insertions, modifications and omissions, as provided above.</w:t>
      </w:r>
    </w:p>
    <w:p>
      <w:pPr>
        <w:spacing w:after="0" w:line="178" w:lineRule="exact"/>
        <w:rPr>
          <w:sz w:val="20"/>
          <w:szCs w:val="20"/>
          <w:color w:val="auto"/>
        </w:rPr>
      </w:pPr>
    </w:p>
    <w:p>
      <w:pPr>
        <w:jc w:val="both"/>
        <w:ind w:firstLine="2009"/>
        <w:spacing w:after="0" w:line="257" w:lineRule="auto"/>
        <w:rPr>
          <w:sz w:val="20"/>
          <w:szCs w:val="20"/>
          <w:color w:val="auto"/>
        </w:rPr>
      </w:pPr>
      <w:r>
        <w:rPr>
          <w:rFonts w:ascii="Arial" w:cs="Arial" w:eastAsia="Arial" w:hAnsi="Arial"/>
          <w:sz w:val="18"/>
          <w:szCs w:val="18"/>
          <w:color w:val="auto"/>
        </w:rPr>
        <w:t xml:space="preserve">2.3.2 </w:t>
      </w:r>
      <w:r>
        <w:rPr>
          <w:rFonts w:ascii="Arial" w:cs="Arial" w:eastAsia="Arial" w:hAnsi="Arial"/>
          <w:sz w:val="18"/>
          <w:szCs w:val="18"/>
          <w:u w:val="single" w:color="auto"/>
          <w:color w:val="auto"/>
        </w:rPr>
        <w:t>Registered Holder.</w:t>
      </w:r>
      <w:r>
        <w:rPr>
          <w:rFonts w:ascii="Arial" w:cs="Arial" w:eastAsia="Arial" w:hAnsi="Arial"/>
          <w:sz w:val="18"/>
          <w:szCs w:val="18"/>
          <w:color w:val="auto"/>
        </w:rPr>
        <w:t xml:space="preserve"> Prior to due presentment for registration of transfer of any Warrant, the Company and the Warrant Agent may deem and treat the person in whose name such Warrant is registered in the Warrant Register (the “</w:t>
      </w:r>
      <w:r>
        <w:rPr>
          <w:rFonts w:ascii="Arial" w:cs="Arial" w:eastAsia="Arial" w:hAnsi="Arial"/>
          <w:sz w:val="18"/>
          <w:szCs w:val="18"/>
          <w:b w:val="1"/>
          <w:bCs w:val="1"/>
          <w:i w:val="1"/>
          <w:iCs w:val="1"/>
          <w:color w:val="auto"/>
        </w:rPr>
        <w:t>Registered Holder</w:t>
      </w:r>
      <w:r>
        <w:rPr>
          <w:rFonts w:ascii="Arial" w:cs="Arial" w:eastAsia="Arial" w:hAnsi="Arial"/>
          <w:sz w:val="18"/>
          <w:szCs w:val="18"/>
          <w:color w:val="auto"/>
        </w:rPr>
        <w:t>”) as the absolute owner of such Warrant and of each Warrant represented thereby (notwithstanding any notation of ownership or other writing on a Definitive Warrant Certificate made by anyone other than the Company or the Warrant Agent), for the purpose of any exercise thereof, and for all other purposes, and neither the Company nor the Warrant Agent shall be affected by any notice to the contrary.</w:t>
      </w:r>
    </w:p>
    <w:p>
      <w:pPr>
        <w:spacing w:after="0" w:line="191" w:lineRule="exact"/>
        <w:rPr>
          <w:sz w:val="20"/>
          <w:szCs w:val="20"/>
          <w:color w:val="auto"/>
        </w:rPr>
      </w:pPr>
    </w:p>
    <w:p>
      <w:pPr>
        <w:jc w:val="both"/>
        <w:ind w:firstLine="1296"/>
        <w:spacing w:after="0" w:line="261" w:lineRule="auto"/>
        <w:rPr>
          <w:sz w:val="20"/>
          <w:szCs w:val="20"/>
          <w:color w:val="auto"/>
        </w:rPr>
      </w:pPr>
      <w:r>
        <w:rPr>
          <w:rFonts w:ascii="Arial" w:cs="Arial" w:eastAsia="Arial" w:hAnsi="Arial"/>
          <w:sz w:val="17"/>
          <w:szCs w:val="17"/>
          <w:color w:val="auto"/>
        </w:rPr>
        <w:t xml:space="preserve">2.4 </w:t>
      </w:r>
      <w:r>
        <w:rPr>
          <w:rFonts w:ascii="Arial" w:cs="Arial" w:eastAsia="Arial" w:hAnsi="Arial"/>
          <w:sz w:val="17"/>
          <w:szCs w:val="17"/>
          <w:u w:val="single" w:color="auto"/>
          <w:color w:val="auto"/>
        </w:rPr>
        <w:t>Detachability of Warrants.</w:t>
      </w:r>
      <w:r>
        <w:rPr>
          <w:rFonts w:ascii="Arial" w:cs="Arial" w:eastAsia="Arial" w:hAnsi="Arial"/>
          <w:sz w:val="17"/>
          <w:szCs w:val="17"/>
          <w:color w:val="auto"/>
        </w:rPr>
        <w:t xml:space="preserve"> The Ordinary Shares and Public Warrants comprising the Units shall begin separate trading on the 52</w:t>
      </w:r>
      <w:r>
        <w:rPr>
          <w:rFonts w:ascii="Arial" w:cs="Arial" w:eastAsia="Arial" w:hAnsi="Arial"/>
          <w:sz w:val="28"/>
          <w:szCs w:val="28"/>
          <w:color w:val="auto"/>
          <w:vertAlign w:val="superscript"/>
        </w:rPr>
        <w:t>nd</w:t>
      </w:r>
      <w:r>
        <w:rPr>
          <w:rFonts w:ascii="Arial" w:cs="Arial" w:eastAsia="Arial" w:hAnsi="Arial"/>
          <w:sz w:val="17"/>
          <w:szCs w:val="17"/>
          <w:color w:val="auto"/>
        </w:rPr>
        <w:t xml:space="preserve"> day following the date of the Prospectus or, if such 52</w:t>
      </w:r>
      <w:r>
        <w:rPr>
          <w:rFonts w:ascii="Arial" w:cs="Arial" w:eastAsia="Arial" w:hAnsi="Arial"/>
          <w:sz w:val="28"/>
          <w:szCs w:val="28"/>
          <w:color w:val="auto"/>
          <w:vertAlign w:val="superscript"/>
        </w:rPr>
        <w:t>nd</w:t>
      </w:r>
      <w:r>
        <w:rPr>
          <w:rFonts w:ascii="Arial" w:cs="Arial" w:eastAsia="Arial" w:hAnsi="Arial"/>
          <w:sz w:val="17"/>
          <w:szCs w:val="17"/>
          <w:color w:val="auto"/>
        </w:rPr>
        <w:t xml:space="preserve"> day is not on a day, other than a Saturday, Sunday or federal holiday, on which banks in New York City are generally open for normal business (a “</w:t>
      </w:r>
      <w:r>
        <w:rPr>
          <w:rFonts w:ascii="Arial" w:cs="Arial" w:eastAsia="Arial" w:hAnsi="Arial"/>
          <w:sz w:val="17"/>
          <w:szCs w:val="17"/>
          <w:b w:val="1"/>
          <w:bCs w:val="1"/>
          <w:i w:val="1"/>
          <w:iCs w:val="1"/>
          <w:color w:val="auto"/>
        </w:rPr>
        <w:t>Business Day</w:t>
      </w:r>
      <w:r>
        <w:rPr>
          <w:rFonts w:ascii="Arial" w:cs="Arial" w:eastAsia="Arial" w:hAnsi="Arial"/>
          <w:sz w:val="17"/>
          <w:szCs w:val="17"/>
          <w:color w:val="auto"/>
        </w:rPr>
        <w:t>”), then on the immediately succeeding Business Day following such date, or earlier (the “</w:t>
      </w:r>
      <w:r>
        <w:rPr>
          <w:rFonts w:ascii="Arial" w:cs="Arial" w:eastAsia="Arial" w:hAnsi="Arial"/>
          <w:sz w:val="17"/>
          <w:szCs w:val="17"/>
          <w:b w:val="1"/>
          <w:bCs w:val="1"/>
          <w:i w:val="1"/>
          <w:iCs w:val="1"/>
          <w:color w:val="auto"/>
        </w:rPr>
        <w:t>Detachment Date</w:t>
      </w:r>
      <w:r>
        <w:rPr>
          <w:rFonts w:ascii="Arial" w:cs="Arial" w:eastAsia="Arial" w:hAnsi="Arial"/>
          <w:sz w:val="17"/>
          <w:szCs w:val="17"/>
          <w:color w:val="auto"/>
        </w:rPr>
        <w:t>”) with the consent of J.P. Morgan Securities LLC, as representative of the several underwriters, but in no event shall the Ordinary Shares and the Public Warrants comprising the Units be separately traded until (A) the Company has filed a current report on Form 8-K with the Commission containing an audited balance sheet reflecting the receipt by the Company of the gross proceeds of the Offering, including the proceeds received by the Company from the exercise by the underwriters of their right to purchase additional Units in the Offering (the “</w:t>
      </w:r>
      <w:r>
        <w:rPr>
          <w:rFonts w:ascii="Arial" w:cs="Arial" w:eastAsia="Arial" w:hAnsi="Arial"/>
          <w:sz w:val="17"/>
          <w:szCs w:val="17"/>
          <w:b w:val="1"/>
          <w:bCs w:val="1"/>
          <w:i w:val="1"/>
          <w:iCs w:val="1"/>
          <w:color w:val="auto"/>
        </w:rPr>
        <w:t>Over-allotment Option</w:t>
      </w:r>
      <w:r>
        <w:rPr>
          <w:rFonts w:ascii="Arial" w:cs="Arial" w:eastAsia="Arial" w:hAnsi="Arial"/>
          <w:sz w:val="17"/>
          <w:szCs w:val="17"/>
          <w:color w:val="auto"/>
        </w:rPr>
        <w:t>”), if the Over-allotment Option is exercised prior to the filing of the Form 8-K, and (B) the Company issues a press release and files with the Commission a current report on Form 8-K announcing when such separate trading shall begin.</w:t>
      </w:r>
    </w:p>
    <w:p>
      <w:pPr>
        <w:spacing w:after="0" w:line="187"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 xml:space="preserve">2.5 </w:t>
      </w:r>
      <w:r>
        <w:rPr>
          <w:rFonts w:ascii="Arial" w:cs="Arial" w:eastAsia="Arial" w:hAnsi="Arial"/>
          <w:sz w:val="18"/>
          <w:szCs w:val="18"/>
          <w:u w:val="single" w:color="auto"/>
          <w:color w:val="auto"/>
        </w:rPr>
        <w:t>No Fractional Warrants Other Than as Part of Units</w:t>
      </w:r>
      <w:r>
        <w:rPr>
          <w:rFonts w:ascii="Arial" w:cs="Arial" w:eastAsia="Arial" w:hAnsi="Arial"/>
          <w:sz w:val="18"/>
          <w:szCs w:val="18"/>
          <w:color w:val="auto"/>
        </w:rPr>
        <w:t>. The Company shall not issue fractional Warrants other than as part of the Units, each of which is comprised of one Ordinary Share and one-fourth of one Public Warrant. If, upon the detachment of Public Warrants from Units or otherwise, a holder of Warrants would be entitled to receive a fractional Warrant, the Company shall round down to the nearest whole number of Warrants to be issued to such holder.</w:t>
      </w:r>
    </w:p>
    <w:p>
      <w:pPr>
        <w:spacing w:after="0" w:line="29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243" w:name="page244"/>
    <w:bookmarkEnd w:id="243"/>
    <w:p>
      <w:pPr>
        <w:jc w:val="both"/>
        <w:ind w:firstLine="1296"/>
        <w:spacing w:after="0" w:line="289" w:lineRule="auto"/>
        <w:rPr>
          <w:sz w:val="20"/>
          <w:szCs w:val="20"/>
          <w:color w:val="auto"/>
        </w:rPr>
      </w:pPr>
      <w:r>
        <w:rPr>
          <w:rFonts w:ascii="Arial" w:cs="Arial" w:eastAsia="Arial" w:hAnsi="Arial"/>
          <w:sz w:val="16"/>
          <w:szCs w:val="16"/>
          <w:color w:val="auto"/>
        </w:rPr>
        <w:t xml:space="preserve">2.6 </w:t>
      </w:r>
      <w:r>
        <w:rPr>
          <w:rFonts w:ascii="Arial" w:cs="Arial" w:eastAsia="Arial" w:hAnsi="Arial"/>
          <w:sz w:val="16"/>
          <w:szCs w:val="16"/>
          <w:u w:val="single" w:color="auto"/>
          <w:color w:val="auto"/>
        </w:rPr>
        <w:t>Private Placement Warrants and Working Capital Warrants.</w:t>
      </w:r>
      <w:r>
        <w:rPr>
          <w:rFonts w:ascii="Arial" w:cs="Arial" w:eastAsia="Arial" w:hAnsi="Arial"/>
          <w:sz w:val="16"/>
          <w:szCs w:val="16"/>
          <w:color w:val="auto"/>
        </w:rPr>
        <w:t xml:space="preserve"> The Private Placement Warrants and the Working Capital Warrants shall be identical to the Public Warrants, except that so long as they are held by the Sponsor or any of its Permitted Transferees (as defined below), as applicable, the Private Placement Warrants and the Working Capital Warrants: (i) may be exercised for cash or on a “cashless basis,” pursuant to </w:t>
      </w:r>
      <w:r>
        <w:rPr>
          <w:rFonts w:ascii="Arial" w:cs="Arial" w:eastAsia="Arial" w:hAnsi="Arial"/>
          <w:sz w:val="16"/>
          <w:szCs w:val="16"/>
          <w:u w:val="single" w:color="auto"/>
          <w:color w:val="auto"/>
        </w:rPr>
        <w:t>subsection 3.3.1(c)</w:t>
      </w:r>
      <w:r>
        <w:rPr>
          <w:rFonts w:ascii="Arial" w:cs="Arial" w:eastAsia="Arial" w:hAnsi="Arial"/>
          <w:sz w:val="16"/>
          <w:szCs w:val="16"/>
          <w:color w:val="auto"/>
        </w:rPr>
        <w:t xml:space="preserve"> hereof, (ii) including the Ordinary Shares issuable upon exercise of the Private Placement Warrants and Working Capital Warrants, may not be transferred, assigned or sold until thirty (30) days after the completion by the Company of an initial Business Combination, (iii) shall not be redeemable by the Company pursuant to </w:t>
      </w:r>
      <w:r>
        <w:rPr>
          <w:rFonts w:ascii="Arial" w:cs="Arial" w:eastAsia="Arial" w:hAnsi="Arial"/>
          <w:sz w:val="16"/>
          <w:szCs w:val="16"/>
          <w:u w:val="single" w:color="auto"/>
          <w:color w:val="auto"/>
        </w:rPr>
        <w:t>Section 6.1</w:t>
      </w:r>
      <w:r>
        <w:rPr>
          <w:rFonts w:ascii="Arial" w:cs="Arial" w:eastAsia="Arial" w:hAnsi="Arial"/>
          <w:sz w:val="16"/>
          <w:szCs w:val="16"/>
          <w:color w:val="auto"/>
        </w:rPr>
        <w:t xml:space="preserve"> hereof and (iv) shall only be redeemable by the Company pursuant to </w:t>
      </w:r>
      <w:r>
        <w:rPr>
          <w:rFonts w:ascii="Arial" w:cs="Arial" w:eastAsia="Arial" w:hAnsi="Arial"/>
          <w:sz w:val="16"/>
          <w:szCs w:val="16"/>
          <w:u w:val="single" w:color="auto"/>
          <w:color w:val="auto"/>
        </w:rPr>
        <w:t>Section 6.2</w:t>
      </w:r>
      <w:r>
        <w:rPr>
          <w:rFonts w:ascii="Arial" w:cs="Arial" w:eastAsia="Arial" w:hAnsi="Arial"/>
          <w:sz w:val="16"/>
          <w:szCs w:val="16"/>
          <w:color w:val="auto"/>
        </w:rPr>
        <w:t xml:space="preserve"> if the Reference Value (as defined below) is less than $18.00 per share (subject to adjustment in compliance with Section 4 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the case of clause (ii), the Private Placement Warrants and the Working Capital Warrants and any Ordinary Shares held by the Sponsor or any of its Permitted Transferees, as applicable, and issued upon exercise of the Private Placement Warrants and the Working Capital Warrants may be transferred by the holders thereof:</w:t>
      </w:r>
    </w:p>
    <w:p>
      <w:pPr>
        <w:spacing w:after="0" w:line="166" w:lineRule="exact"/>
        <w:rPr>
          <w:sz w:val="20"/>
          <w:szCs w:val="20"/>
          <w:color w:val="auto"/>
        </w:rPr>
      </w:pPr>
    </w:p>
    <w:p>
      <w:pPr>
        <w:ind w:firstLine="1952"/>
        <w:spacing w:after="0" w:line="277" w:lineRule="auto"/>
        <w:tabs>
          <w:tab w:leader="none" w:pos="2208"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to the Company’s officers or directors, any affiliate or family member of any of the Company’s officers or directors, any affiliate of the Sponsor or to any member(s) of the Sponsor or any of their affiliates;</w:t>
      </w:r>
    </w:p>
    <w:p>
      <w:pPr>
        <w:spacing w:after="0" w:line="170" w:lineRule="exact"/>
        <w:rPr>
          <w:rFonts w:ascii="Arial" w:cs="Arial" w:eastAsia="Arial" w:hAnsi="Arial"/>
          <w:sz w:val="18"/>
          <w:szCs w:val="18"/>
          <w:color w:val="auto"/>
        </w:rPr>
      </w:pPr>
    </w:p>
    <w:p>
      <w:pPr>
        <w:ind w:firstLine="1952"/>
        <w:spacing w:after="0" w:line="277" w:lineRule="auto"/>
        <w:tabs>
          <w:tab w:leader="none" w:pos="2202" w:val="left"/>
        </w:tabs>
        <w:numPr>
          <w:ilvl w:val="0"/>
          <w:numId w:val="149"/>
        </w:numPr>
        <w:rPr>
          <w:rFonts w:ascii="Arial" w:cs="Arial" w:eastAsia="Arial" w:hAnsi="Arial"/>
          <w:sz w:val="18"/>
          <w:szCs w:val="18"/>
          <w:color w:val="auto"/>
        </w:rPr>
      </w:pPr>
      <w:r>
        <w:rPr>
          <w:rFonts w:ascii="Arial" w:cs="Arial" w:eastAsia="Arial" w:hAnsi="Arial"/>
          <w:sz w:val="18"/>
          <w:szCs w:val="18"/>
          <w:color w:val="auto"/>
        </w:rPr>
        <w:t>in the case of an individual, by gift to a member of such individual’s immediate family or to a trust, the beneficiary of which is a member of such individual’s immediate family, an affiliate of such individual or to a charitable organization;</w:t>
      </w:r>
    </w:p>
    <w:p>
      <w:pPr>
        <w:spacing w:after="0" w:line="170" w:lineRule="exact"/>
        <w:rPr>
          <w:rFonts w:ascii="Arial" w:cs="Arial" w:eastAsia="Arial" w:hAnsi="Arial"/>
          <w:sz w:val="18"/>
          <w:szCs w:val="18"/>
          <w:color w:val="auto"/>
        </w:rPr>
      </w:pPr>
    </w:p>
    <w:p>
      <w:pPr>
        <w:ind w:left="2200" w:hanging="248"/>
        <w:spacing w:after="0"/>
        <w:tabs>
          <w:tab w:leader="none" w:pos="220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in the case of an individual, by virtue of the laws of descent and distribution upon death of such person;</w:t>
      </w:r>
    </w:p>
    <w:p>
      <w:pPr>
        <w:spacing w:after="0" w:line="225" w:lineRule="exact"/>
        <w:rPr>
          <w:rFonts w:ascii="Arial" w:cs="Arial" w:eastAsia="Arial" w:hAnsi="Arial"/>
          <w:sz w:val="18"/>
          <w:szCs w:val="18"/>
          <w:color w:val="auto"/>
        </w:rPr>
      </w:pPr>
    </w:p>
    <w:p>
      <w:pPr>
        <w:ind w:left="2200" w:hanging="248"/>
        <w:spacing w:after="0"/>
        <w:tabs>
          <w:tab w:leader="none" w:pos="220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in the case of an individual, pursuant to a qualified domestic relations order;</w:t>
      </w:r>
    </w:p>
    <w:p>
      <w:pPr>
        <w:spacing w:after="0" w:line="225" w:lineRule="exact"/>
        <w:rPr>
          <w:rFonts w:ascii="Arial" w:cs="Arial" w:eastAsia="Arial" w:hAnsi="Arial"/>
          <w:sz w:val="18"/>
          <w:szCs w:val="18"/>
          <w:color w:val="auto"/>
        </w:rPr>
      </w:pPr>
    </w:p>
    <w:p>
      <w:pPr>
        <w:jc w:val="both"/>
        <w:ind w:firstLine="1952"/>
        <w:spacing w:after="0" w:line="263" w:lineRule="auto"/>
        <w:tabs>
          <w:tab w:leader="none" w:pos="2232" w:val="left"/>
        </w:tabs>
        <w:numPr>
          <w:ilvl w:val="0"/>
          <w:numId w:val="149"/>
        </w:numPr>
        <w:rPr>
          <w:rFonts w:ascii="Arial" w:cs="Arial" w:eastAsia="Arial" w:hAnsi="Arial"/>
          <w:sz w:val="18"/>
          <w:szCs w:val="18"/>
          <w:color w:val="auto"/>
        </w:rPr>
      </w:pPr>
      <w:r>
        <w:rPr>
          <w:rFonts w:ascii="Arial" w:cs="Arial" w:eastAsia="Arial" w:hAnsi="Arial"/>
          <w:sz w:val="18"/>
          <w:szCs w:val="18"/>
          <w:color w:val="auto"/>
        </w:rPr>
        <w:t>by private sales or transfers made in connection with any forward purchase agreement or similar arrangement or in connection with the consummation of an initial Business Combination at prices no greater than the price at which the Ordinary Shares or Warrants were originally purchased;</w:t>
      </w:r>
    </w:p>
    <w:p>
      <w:pPr>
        <w:spacing w:after="0" w:line="183" w:lineRule="exact"/>
        <w:rPr>
          <w:rFonts w:ascii="Arial" w:cs="Arial" w:eastAsia="Arial" w:hAnsi="Arial"/>
          <w:sz w:val="18"/>
          <w:szCs w:val="18"/>
          <w:color w:val="auto"/>
        </w:rPr>
      </w:pPr>
    </w:p>
    <w:p>
      <w:pPr>
        <w:ind w:left="2180" w:hanging="228"/>
        <w:spacing w:after="0"/>
        <w:tabs>
          <w:tab w:leader="none" w:pos="2180" w:val="left"/>
        </w:tabs>
        <w:numPr>
          <w:ilvl w:val="0"/>
          <w:numId w:val="149"/>
        </w:numPr>
        <w:rPr>
          <w:rFonts w:ascii="Arial" w:cs="Arial" w:eastAsia="Arial" w:hAnsi="Arial"/>
          <w:sz w:val="16"/>
          <w:szCs w:val="16"/>
          <w:color w:val="auto"/>
        </w:rPr>
      </w:pPr>
      <w:r>
        <w:rPr>
          <w:rFonts w:ascii="Arial" w:cs="Arial" w:eastAsia="Arial" w:hAnsi="Arial"/>
          <w:sz w:val="16"/>
          <w:szCs w:val="16"/>
          <w:color w:val="auto"/>
        </w:rPr>
        <w:t>by virtue of the laws of the Cayman Islands or the limited liability company agreement of the Sponsor upon dissolution of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Sponsor;</w:t>
      </w:r>
    </w:p>
    <w:p>
      <w:pPr>
        <w:spacing w:after="0" w:line="210" w:lineRule="exact"/>
        <w:rPr>
          <w:rFonts w:ascii="Arial" w:cs="Arial" w:eastAsia="Arial" w:hAnsi="Arial"/>
          <w:sz w:val="16"/>
          <w:szCs w:val="16"/>
          <w:color w:val="auto"/>
        </w:rPr>
      </w:pPr>
    </w:p>
    <w:p>
      <w:pPr>
        <w:ind w:left="2200" w:hanging="248"/>
        <w:spacing w:after="0"/>
        <w:tabs>
          <w:tab w:leader="none" w:pos="220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in the event of the Company’s liquidation prior to the consummation of a Business Combination; and</w:t>
      </w:r>
    </w:p>
    <w:p>
      <w:pPr>
        <w:spacing w:after="0" w:line="225" w:lineRule="exact"/>
        <w:rPr>
          <w:rFonts w:ascii="Arial" w:cs="Arial" w:eastAsia="Arial" w:hAnsi="Arial"/>
          <w:sz w:val="18"/>
          <w:szCs w:val="18"/>
          <w:color w:val="auto"/>
        </w:rPr>
      </w:pPr>
    </w:p>
    <w:p>
      <w:pPr>
        <w:jc w:val="both"/>
        <w:ind w:firstLine="1952"/>
        <w:spacing w:after="0" w:line="296" w:lineRule="auto"/>
        <w:tabs>
          <w:tab w:leader="none" w:pos="2203" w:val="left"/>
        </w:tabs>
        <w:numPr>
          <w:ilvl w:val="0"/>
          <w:numId w:val="149"/>
        </w:numPr>
        <w:rPr>
          <w:rFonts w:ascii="Arial" w:cs="Arial" w:eastAsia="Arial" w:hAnsi="Arial"/>
          <w:sz w:val="16"/>
          <w:szCs w:val="16"/>
          <w:color w:val="auto"/>
        </w:rPr>
      </w:pPr>
      <w:r>
        <w:rPr>
          <w:rFonts w:ascii="Arial" w:cs="Arial" w:eastAsia="Arial" w:hAnsi="Arial"/>
          <w:sz w:val="16"/>
          <w:szCs w:val="16"/>
          <w:color w:val="auto"/>
        </w:rPr>
        <w:t xml:space="preserve">in the event that, subsequent to the consummation of an initial Business Combination, the Company completes a liquidation, merger, share exchange or other similar transaction which results in all of its shareholders having the right to exchange their Ordinary Shares for cash, securities or other property; </w:t>
      </w:r>
      <w:r>
        <w:rPr>
          <w:rFonts w:ascii="Arial" w:cs="Arial" w:eastAsia="Arial" w:hAnsi="Arial"/>
          <w:sz w:val="16"/>
          <w:szCs w:val="16"/>
          <w:u w:val="single" w:color="auto"/>
          <w:color w:val="auto"/>
        </w:rPr>
        <w:t>provided, however,</w:t>
      </w:r>
      <w:r>
        <w:rPr>
          <w:rFonts w:ascii="Arial" w:cs="Arial" w:eastAsia="Arial" w:hAnsi="Arial"/>
          <w:sz w:val="16"/>
          <w:szCs w:val="16"/>
          <w:color w:val="auto"/>
        </w:rPr>
        <w:t xml:space="preserve"> that, in the case of clauses (a) through (f), these transferees (the “</w:t>
      </w:r>
      <w:r>
        <w:rPr>
          <w:rFonts w:ascii="Arial" w:cs="Arial" w:eastAsia="Arial" w:hAnsi="Arial"/>
          <w:sz w:val="16"/>
          <w:szCs w:val="16"/>
          <w:b w:val="1"/>
          <w:bCs w:val="1"/>
          <w:i w:val="1"/>
          <w:iCs w:val="1"/>
          <w:color w:val="auto"/>
        </w:rPr>
        <w:t>Permitted Transferees</w:t>
      </w:r>
      <w:r>
        <w:rPr>
          <w:rFonts w:ascii="Arial" w:cs="Arial" w:eastAsia="Arial" w:hAnsi="Arial"/>
          <w:sz w:val="16"/>
          <w:szCs w:val="16"/>
          <w:color w:val="auto"/>
        </w:rPr>
        <w:t>”) enter into a written agreement with the Company agreeing to be bound by the transfer restrictions in this Agreement and the other restrictions contained in the letter agreement, dated as of the date hereof, by and among the Company, the Sponsor and the Company’s officers and directors.</w:t>
      </w:r>
    </w:p>
    <w:p>
      <w:pPr>
        <w:spacing w:after="0" w:line="16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2.7 </w:t>
      </w:r>
      <w:r>
        <w:rPr>
          <w:rFonts w:ascii="Arial" w:cs="Arial" w:eastAsia="Arial" w:hAnsi="Arial"/>
          <w:sz w:val="18"/>
          <w:szCs w:val="18"/>
          <w:u w:val="single" w:color="auto"/>
          <w:color w:val="auto"/>
        </w:rPr>
        <w:t>Working Capital Warrants.</w:t>
      </w:r>
      <w:r>
        <w:rPr>
          <w:rFonts w:ascii="Arial" w:cs="Arial" w:eastAsia="Arial" w:hAnsi="Arial"/>
          <w:sz w:val="18"/>
          <w:szCs w:val="18"/>
          <w:color w:val="auto"/>
        </w:rPr>
        <w:t xml:space="preserve"> Each of the Working Capital Warrants shall be identical to the Private Placement Warrants.</w:t>
      </w:r>
    </w:p>
    <w:p>
      <w:pPr>
        <w:spacing w:after="0" w:line="225" w:lineRule="exact"/>
        <w:rPr>
          <w:sz w:val="20"/>
          <w:szCs w:val="20"/>
          <w:color w:val="auto"/>
        </w:rPr>
      </w:pPr>
    </w:p>
    <w:p>
      <w:pPr>
        <w:ind w:left="840" w:hanging="184"/>
        <w:spacing w:after="0"/>
        <w:tabs>
          <w:tab w:leader="none" w:pos="840" w:val="left"/>
        </w:tabs>
        <w:numPr>
          <w:ilvl w:val="0"/>
          <w:numId w:val="150"/>
        </w:numPr>
        <w:rPr>
          <w:rFonts w:ascii="Arial" w:cs="Arial" w:eastAsia="Arial" w:hAnsi="Arial"/>
          <w:sz w:val="18"/>
          <w:szCs w:val="18"/>
          <w:color w:val="auto"/>
        </w:rPr>
      </w:pPr>
      <w:r>
        <w:rPr>
          <w:rFonts w:ascii="Arial" w:cs="Arial" w:eastAsia="Arial" w:hAnsi="Arial"/>
          <w:sz w:val="18"/>
          <w:szCs w:val="18"/>
          <w:u w:val="single" w:color="auto"/>
          <w:color w:val="auto"/>
        </w:rPr>
        <w:t>Terms and Exercise of Warrants</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72" w:lineRule="auto"/>
        <w:rPr>
          <w:sz w:val="20"/>
          <w:szCs w:val="20"/>
          <w:color w:val="auto"/>
        </w:rPr>
      </w:pPr>
      <w:r>
        <w:rPr>
          <w:rFonts w:ascii="Arial" w:cs="Arial" w:eastAsia="Arial" w:hAnsi="Arial"/>
          <w:sz w:val="17"/>
          <w:szCs w:val="17"/>
          <w:color w:val="auto"/>
        </w:rPr>
        <w:t xml:space="preserve">3.1 </w:t>
      </w:r>
      <w:r>
        <w:rPr>
          <w:rFonts w:ascii="Arial" w:cs="Arial" w:eastAsia="Arial" w:hAnsi="Arial"/>
          <w:sz w:val="17"/>
          <w:szCs w:val="17"/>
          <w:u w:val="single" w:color="auto"/>
          <w:color w:val="auto"/>
        </w:rPr>
        <w:t>Warrant Price.</w:t>
      </w:r>
      <w:r>
        <w:rPr>
          <w:rFonts w:ascii="Arial" w:cs="Arial" w:eastAsia="Arial" w:hAnsi="Arial"/>
          <w:sz w:val="17"/>
          <w:szCs w:val="17"/>
          <w:color w:val="auto"/>
        </w:rPr>
        <w:t xml:space="preserve"> Each whole Warrant shall entitle the Registered Holder thereof, subject to the provisions of such Warrant and of this Agreement, to purchase from the Company the number of Ordinary Shares stated therein, at the price of $11.50 per share, subject to the adjustments provided in </w:t>
      </w:r>
      <w:r>
        <w:rPr>
          <w:rFonts w:ascii="Arial" w:cs="Arial" w:eastAsia="Arial" w:hAnsi="Arial"/>
          <w:sz w:val="17"/>
          <w:szCs w:val="17"/>
          <w:u w:val="single" w:color="auto"/>
          <w:color w:val="auto"/>
        </w:rPr>
        <w:t>Section 4</w:t>
      </w:r>
      <w:r>
        <w:rPr>
          <w:rFonts w:ascii="Arial" w:cs="Arial" w:eastAsia="Arial" w:hAnsi="Arial"/>
          <w:sz w:val="17"/>
          <w:szCs w:val="17"/>
          <w:color w:val="auto"/>
        </w:rPr>
        <w:t xml:space="preserve"> hereof and in the last sentence of this </w:t>
      </w:r>
      <w:r>
        <w:rPr>
          <w:rFonts w:ascii="Arial" w:cs="Arial" w:eastAsia="Arial" w:hAnsi="Arial"/>
          <w:sz w:val="17"/>
          <w:szCs w:val="17"/>
          <w:u w:val="single" w:color="auto"/>
          <w:color w:val="auto"/>
        </w:rPr>
        <w:t>Section 3.1.</w:t>
      </w:r>
      <w:r>
        <w:rPr>
          <w:rFonts w:ascii="Arial" w:cs="Arial" w:eastAsia="Arial" w:hAnsi="Arial"/>
          <w:sz w:val="17"/>
          <w:szCs w:val="17"/>
          <w:color w:val="auto"/>
        </w:rPr>
        <w:t xml:space="preserve"> The term “Warrant Price” as used in this Agreement shall mean the price per share at which the Ordinary Shares may be purchased at the time a Warrant is exercised. The Company in its sole discretion may lower the Warrant Price at any time prior to the Expiration Date (as defined below) for a period of not less than twenty (20) Business Days unless a longer period is required by stock exchange rules or applicable law, provided, that the Company shall provide at least three (3) days prior written notice of such reduction to Registered Holders of the Warrants and, provided further that any such reduction shall be identical among all of the Warrants.</w:t>
      </w:r>
    </w:p>
    <w:p>
      <w:pPr>
        <w:spacing w:after="0" w:line="28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244" w:name="page245"/>
    <w:bookmarkEnd w:id="244"/>
    <w:p>
      <w:pPr>
        <w:jc w:val="both"/>
        <w:ind w:firstLine="1296"/>
        <w:spacing w:after="0" w:line="286" w:lineRule="auto"/>
        <w:rPr>
          <w:sz w:val="20"/>
          <w:szCs w:val="20"/>
          <w:color w:val="auto"/>
        </w:rPr>
      </w:pPr>
      <w:r>
        <w:rPr>
          <w:rFonts w:ascii="Arial" w:cs="Arial" w:eastAsia="Arial" w:hAnsi="Arial"/>
          <w:sz w:val="16"/>
          <w:szCs w:val="16"/>
          <w:color w:val="auto"/>
        </w:rPr>
        <w:t xml:space="preserve">3.2 </w:t>
      </w:r>
      <w:r>
        <w:rPr>
          <w:rFonts w:ascii="Arial" w:cs="Arial" w:eastAsia="Arial" w:hAnsi="Arial"/>
          <w:sz w:val="16"/>
          <w:szCs w:val="16"/>
          <w:u w:val="single" w:color="auto"/>
          <w:color w:val="auto"/>
        </w:rPr>
        <w:t>Duration of Warrants.</w:t>
      </w:r>
      <w:r>
        <w:rPr>
          <w:rFonts w:ascii="Arial" w:cs="Arial" w:eastAsia="Arial" w:hAnsi="Arial"/>
          <w:sz w:val="16"/>
          <w:szCs w:val="16"/>
          <w:color w:val="auto"/>
        </w:rPr>
        <w:t xml:space="preserve"> A Warrant may be exercised only during the period (the “</w:t>
      </w:r>
      <w:r>
        <w:rPr>
          <w:rFonts w:ascii="Arial" w:cs="Arial" w:eastAsia="Arial" w:hAnsi="Arial"/>
          <w:sz w:val="16"/>
          <w:szCs w:val="16"/>
          <w:b w:val="1"/>
          <w:bCs w:val="1"/>
          <w:i w:val="1"/>
          <w:iCs w:val="1"/>
          <w:color w:val="auto"/>
        </w:rPr>
        <w:t>Exercise Period</w:t>
      </w:r>
      <w:r>
        <w:rPr>
          <w:rFonts w:ascii="Arial" w:cs="Arial" w:eastAsia="Arial" w:hAnsi="Arial"/>
          <w:sz w:val="16"/>
          <w:szCs w:val="16"/>
          <w:color w:val="auto"/>
        </w:rPr>
        <w:t>”) commencing on the later of: (i) the date that is thirty (30) days after the first date on which the Company completes a merger, share exchange, asset acquisition, share purchase, reorganization or similar business combination, involving the Company and one or more businesses (a “</w:t>
      </w:r>
      <w:r>
        <w:rPr>
          <w:rFonts w:ascii="Arial" w:cs="Arial" w:eastAsia="Arial" w:hAnsi="Arial"/>
          <w:sz w:val="16"/>
          <w:szCs w:val="16"/>
          <w:b w:val="1"/>
          <w:bCs w:val="1"/>
          <w:i w:val="1"/>
          <w:iCs w:val="1"/>
          <w:color w:val="auto"/>
        </w:rPr>
        <w:t>Business Combination</w:t>
      </w:r>
      <w:r>
        <w:rPr>
          <w:rFonts w:ascii="Arial" w:cs="Arial" w:eastAsia="Arial" w:hAnsi="Arial"/>
          <w:sz w:val="16"/>
          <w:szCs w:val="16"/>
          <w:color w:val="auto"/>
        </w:rPr>
        <w:t>”), and (ii) the date that is twelve (12) months from the date of the closing of the Offering, and terminating at the earliest to occur of: (x) at 5:00 p.m., New York City time on the date that is five</w:t>
      </w:r>
    </w:p>
    <w:p>
      <w:pPr>
        <w:spacing w:after="0" w:line="1" w:lineRule="exact"/>
        <w:rPr>
          <w:sz w:val="20"/>
          <w:szCs w:val="20"/>
          <w:color w:val="auto"/>
        </w:rPr>
      </w:pPr>
    </w:p>
    <w:p>
      <w:pPr>
        <w:jc w:val="both"/>
        <w:ind w:firstLine="8"/>
        <w:spacing w:after="0" w:line="266" w:lineRule="auto"/>
        <w:tabs>
          <w:tab w:leader="none" w:pos="274" w:val="left"/>
        </w:tabs>
        <w:numPr>
          <w:ilvl w:val="0"/>
          <w:numId w:val="151"/>
        </w:numPr>
        <w:rPr>
          <w:rFonts w:ascii="Arial" w:cs="Arial" w:eastAsia="Arial" w:hAnsi="Arial"/>
          <w:sz w:val="17"/>
          <w:szCs w:val="17"/>
          <w:color w:val="auto"/>
        </w:rPr>
      </w:pPr>
      <w:r>
        <w:rPr>
          <w:rFonts w:ascii="Arial" w:cs="Arial" w:eastAsia="Arial" w:hAnsi="Arial"/>
          <w:sz w:val="17"/>
          <w:szCs w:val="17"/>
          <w:color w:val="auto"/>
        </w:rPr>
        <w:t xml:space="preserve">years after the date on which the Company completes its initial Business Combination, (y) the liquidation of the Company, and (z) other than with respect to the Private Placement Warrants and the Working Capital Warrants then held by the Sponsor or its Permitted Transferee, as applicable, with respect to a redemption pursuant to </w:t>
      </w:r>
      <w:r>
        <w:rPr>
          <w:rFonts w:ascii="Arial" w:cs="Arial" w:eastAsia="Arial" w:hAnsi="Arial"/>
          <w:sz w:val="17"/>
          <w:szCs w:val="17"/>
          <w:u w:val="single" w:color="auto"/>
          <w:color w:val="auto"/>
        </w:rPr>
        <w:t>Section 6.1</w:t>
      </w:r>
      <w:r>
        <w:rPr>
          <w:rFonts w:ascii="Arial" w:cs="Arial" w:eastAsia="Arial" w:hAnsi="Arial"/>
          <w:sz w:val="17"/>
          <w:szCs w:val="17"/>
          <w:color w:val="auto"/>
        </w:rPr>
        <w:t xml:space="preserve"> hereof or, if the Reference Value equals or exceeds $18.00 per share (subject to adjustment in compliance with Section 4 hereof), </w:t>
      </w:r>
      <w:r>
        <w:rPr>
          <w:rFonts w:ascii="Arial" w:cs="Arial" w:eastAsia="Arial" w:hAnsi="Arial"/>
          <w:sz w:val="17"/>
          <w:szCs w:val="17"/>
          <w:u w:val="single" w:color="auto"/>
          <w:color w:val="auto"/>
        </w:rPr>
        <w:t>Section 6.2</w:t>
      </w:r>
      <w:r>
        <w:rPr>
          <w:rFonts w:ascii="Arial" w:cs="Arial" w:eastAsia="Arial" w:hAnsi="Arial"/>
          <w:sz w:val="17"/>
          <w:szCs w:val="17"/>
          <w:color w:val="auto"/>
        </w:rPr>
        <w:t xml:space="preserve"> hereof, at 5:00 p.m., New York City time on the Redemption Date (as defined below) as provided in </w:t>
      </w:r>
      <w:r>
        <w:rPr>
          <w:rFonts w:ascii="Arial" w:cs="Arial" w:eastAsia="Arial" w:hAnsi="Arial"/>
          <w:sz w:val="17"/>
          <w:szCs w:val="17"/>
          <w:u w:val="single" w:color="auto"/>
          <w:color w:val="auto"/>
        </w:rPr>
        <w:t>Section 6.3</w:t>
      </w:r>
      <w:r>
        <w:rPr>
          <w:rFonts w:ascii="Arial" w:cs="Arial" w:eastAsia="Arial" w:hAnsi="Arial"/>
          <w:sz w:val="17"/>
          <w:szCs w:val="17"/>
          <w:color w:val="auto"/>
        </w:rPr>
        <w:t xml:space="preserve"> hereof (the “</w:t>
      </w:r>
      <w:r>
        <w:rPr>
          <w:rFonts w:ascii="Arial" w:cs="Arial" w:eastAsia="Arial" w:hAnsi="Arial"/>
          <w:sz w:val="17"/>
          <w:szCs w:val="17"/>
          <w:b w:val="1"/>
          <w:bCs w:val="1"/>
          <w:i w:val="1"/>
          <w:iCs w:val="1"/>
          <w:color w:val="auto"/>
        </w:rPr>
        <w:t>Expiration Date</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the exercise of any Warrant shall be subject to the satisfaction of any applicable conditions, as set forth in </w:t>
      </w:r>
      <w:r>
        <w:rPr>
          <w:rFonts w:ascii="Arial" w:cs="Arial" w:eastAsia="Arial" w:hAnsi="Arial"/>
          <w:sz w:val="17"/>
          <w:szCs w:val="17"/>
          <w:u w:val="single" w:color="auto"/>
          <w:color w:val="auto"/>
        </w:rPr>
        <w:t>subsection 3.3.2</w:t>
      </w:r>
      <w:r>
        <w:rPr>
          <w:rFonts w:ascii="Arial" w:cs="Arial" w:eastAsia="Arial" w:hAnsi="Arial"/>
          <w:sz w:val="17"/>
          <w:szCs w:val="17"/>
          <w:color w:val="auto"/>
        </w:rPr>
        <w:t xml:space="preserve"> below, with respect to an effective registration statement or a valid exemption therefrom being available. Except with respect to the right to receive the Redemption Price (as defined below) (other than with respect to a Private Placement Warrant or a Working Capital Warrant then held by the Sponsor or its Permitted Transferee, as applicable, in connection with a redemption pursuant to Section 6.1 hereof or, if the Reference Value equals or exceeds $18.00 per share (subject to adjustment in compliance with Section 4 hereof), </w:t>
      </w:r>
      <w:r>
        <w:rPr>
          <w:rFonts w:ascii="Arial" w:cs="Arial" w:eastAsia="Arial" w:hAnsi="Arial"/>
          <w:sz w:val="17"/>
          <w:szCs w:val="17"/>
          <w:u w:val="single" w:color="auto"/>
          <w:color w:val="auto"/>
        </w:rPr>
        <w:t>Section 6.2</w:t>
      </w:r>
      <w:r>
        <w:rPr>
          <w:rFonts w:ascii="Arial" w:cs="Arial" w:eastAsia="Arial" w:hAnsi="Arial"/>
          <w:sz w:val="17"/>
          <w:szCs w:val="17"/>
          <w:color w:val="auto"/>
        </w:rPr>
        <w:t xml:space="preserve"> hereof) in the event of a redemption (as set forth in </w:t>
      </w:r>
      <w:r>
        <w:rPr>
          <w:rFonts w:ascii="Arial" w:cs="Arial" w:eastAsia="Arial" w:hAnsi="Arial"/>
          <w:sz w:val="17"/>
          <w:szCs w:val="17"/>
          <w:u w:val="single" w:color="auto"/>
          <w:color w:val="auto"/>
        </w:rPr>
        <w:t>Section 6</w:t>
      </w:r>
      <w:r>
        <w:rPr>
          <w:rFonts w:ascii="Arial" w:cs="Arial" w:eastAsia="Arial" w:hAnsi="Arial"/>
          <w:sz w:val="17"/>
          <w:szCs w:val="17"/>
          <w:color w:val="auto"/>
        </w:rPr>
        <w:t xml:space="preserve"> hereof), each outstanding Warrant (other than a Private Placement Warrant or a Working Capital Warrant then held by the Sponsor or its Permitted Transferees, as applicable, in the event of a redemption pursuant to </w:t>
      </w:r>
      <w:r>
        <w:rPr>
          <w:rFonts w:ascii="Arial" w:cs="Arial" w:eastAsia="Arial" w:hAnsi="Arial"/>
          <w:sz w:val="17"/>
          <w:szCs w:val="17"/>
          <w:u w:val="single" w:color="auto"/>
          <w:color w:val="auto"/>
        </w:rPr>
        <w:t>Section 6.1</w:t>
      </w:r>
      <w:r>
        <w:rPr>
          <w:rFonts w:ascii="Arial" w:cs="Arial" w:eastAsia="Arial" w:hAnsi="Arial"/>
          <w:sz w:val="17"/>
          <w:szCs w:val="17"/>
          <w:color w:val="auto"/>
        </w:rPr>
        <w:t xml:space="preserve"> hereof or, if the Reference Value equals or exceeds $18.00 per share (subject to adjustment in compliance with Section 4 hereof), </w:t>
      </w:r>
      <w:r>
        <w:rPr>
          <w:rFonts w:ascii="Arial" w:cs="Arial" w:eastAsia="Arial" w:hAnsi="Arial"/>
          <w:sz w:val="17"/>
          <w:szCs w:val="17"/>
          <w:u w:val="single" w:color="auto"/>
          <w:color w:val="auto"/>
        </w:rPr>
        <w:t>Section 6.2</w:t>
      </w:r>
      <w:r>
        <w:rPr>
          <w:rFonts w:ascii="Arial" w:cs="Arial" w:eastAsia="Arial" w:hAnsi="Arial"/>
          <w:sz w:val="17"/>
          <w:szCs w:val="17"/>
          <w:color w:val="auto"/>
        </w:rPr>
        <w:t xml:space="preserve"> hereof) not exercised on or before the Expiration Date shall become void, and all rights thereunder and all rights in respect thereof under this Agreement shall cease at 5:00 p.m. New York City time on the Expiration Date. The Company in its sole discretion may extend the duration of the Warrants by delaying the Expiration Date; </w:t>
      </w:r>
      <w:r>
        <w:rPr>
          <w:rFonts w:ascii="Arial" w:cs="Arial" w:eastAsia="Arial" w:hAnsi="Arial"/>
          <w:sz w:val="17"/>
          <w:szCs w:val="17"/>
          <w:u w:val="single" w:color="auto"/>
          <w:color w:val="auto"/>
        </w:rPr>
        <w:t>provided</w:t>
      </w:r>
      <w:r>
        <w:rPr>
          <w:rFonts w:ascii="Arial" w:cs="Arial" w:eastAsia="Arial" w:hAnsi="Arial"/>
          <w:sz w:val="17"/>
          <w:szCs w:val="17"/>
          <w:color w:val="auto"/>
        </w:rPr>
        <w:t>, that the Company shall provide at least twenty (20) days prior written notice of any such extension to Registered Holders of the Warrants and, provided further that any such extension shall be identical in duration among all the Warrants.</w:t>
      </w:r>
    </w:p>
    <w:p>
      <w:pPr>
        <w:spacing w:after="0" w:line="19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Exercise of Warrants</w:t>
      </w:r>
      <w:r>
        <w:rPr>
          <w:rFonts w:ascii="Arial" w:cs="Arial" w:eastAsia="Arial" w:hAnsi="Arial"/>
          <w:sz w:val="18"/>
          <w:szCs w:val="18"/>
          <w:color w:val="auto"/>
        </w:rPr>
        <w:t>.</w:t>
      </w:r>
    </w:p>
    <w:p>
      <w:pPr>
        <w:spacing w:after="0" w:line="225" w:lineRule="exact"/>
        <w:rPr>
          <w:sz w:val="20"/>
          <w:szCs w:val="20"/>
          <w:color w:val="auto"/>
        </w:rPr>
      </w:pPr>
    </w:p>
    <w:p>
      <w:pPr>
        <w:jc w:val="both"/>
        <w:ind w:firstLine="2009"/>
        <w:spacing w:after="0" w:line="253" w:lineRule="auto"/>
        <w:rPr>
          <w:sz w:val="20"/>
          <w:szCs w:val="20"/>
          <w:color w:val="auto"/>
        </w:rPr>
      </w:pPr>
      <w:r>
        <w:rPr>
          <w:rFonts w:ascii="Arial" w:cs="Arial" w:eastAsia="Arial" w:hAnsi="Arial"/>
          <w:sz w:val="18"/>
          <w:szCs w:val="18"/>
          <w:color w:val="auto"/>
        </w:rPr>
        <w:t xml:space="preserve">3.3.1 </w:t>
      </w:r>
      <w:r>
        <w:rPr>
          <w:rFonts w:ascii="Arial" w:cs="Arial" w:eastAsia="Arial" w:hAnsi="Arial"/>
          <w:sz w:val="18"/>
          <w:szCs w:val="18"/>
          <w:u w:val="single" w:color="auto"/>
          <w:color w:val="auto"/>
        </w:rPr>
        <w:t>Payment.</w:t>
      </w:r>
      <w:r>
        <w:rPr>
          <w:rFonts w:ascii="Arial" w:cs="Arial" w:eastAsia="Arial" w:hAnsi="Arial"/>
          <w:sz w:val="18"/>
          <w:szCs w:val="18"/>
          <w:color w:val="auto"/>
        </w:rPr>
        <w:t xml:space="preserve"> Subject to the provisions of the Warrant and this Agreement, a Warrant may be exercised by the Registered Holder thereof by delivering to the Warrant Agent at its corporate trust department (i) the Definitive Warrant Certificate evidencing the Warrants to be exercised, or, in the case of a Book-Entry Warrant Certificate, the Warrants to be exercised (the “</w:t>
      </w:r>
      <w:r>
        <w:rPr>
          <w:rFonts w:ascii="Arial" w:cs="Arial" w:eastAsia="Arial" w:hAnsi="Arial"/>
          <w:sz w:val="18"/>
          <w:szCs w:val="18"/>
          <w:b w:val="1"/>
          <w:bCs w:val="1"/>
          <w:i w:val="1"/>
          <w:iCs w:val="1"/>
          <w:color w:val="auto"/>
        </w:rPr>
        <w:t>Book-Entry Warrants</w:t>
      </w:r>
      <w:r>
        <w:rPr>
          <w:rFonts w:ascii="Arial" w:cs="Arial" w:eastAsia="Arial" w:hAnsi="Arial"/>
          <w:sz w:val="18"/>
          <w:szCs w:val="18"/>
          <w:color w:val="auto"/>
        </w:rPr>
        <w:t>”) on the records of the Depositary to an account of the Warrant Agent at the Depositary designated for such purposes in writing by the Warrant Agent to the Depositary from time to time, (ii) an election to purchase (“</w:t>
      </w:r>
      <w:r>
        <w:rPr>
          <w:rFonts w:ascii="Arial" w:cs="Arial" w:eastAsia="Arial" w:hAnsi="Arial"/>
          <w:sz w:val="18"/>
          <w:szCs w:val="18"/>
          <w:b w:val="1"/>
          <w:bCs w:val="1"/>
          <w:i w:val="1"/>
          <w:iCs w:val="1"/>
          <w:color w:val="auto"/>
        </w:rPr>
        <w:t>Election to Purchase</w:t>
      </w:r>
      <w:r>
        <w:rPr>
          <w:rFonts w:ascii="Arial" w:cs="Arial" w:eastAsia="Arial" w:hAnsi="Arial"/>
          <w:sz w:val="18"/>
          <w:szCs w:val="18"/>
          <w:color w:val="auto"/>
        </w:rPr>
        <w:t>”) Ordinary Shares pursuant to the exercise of a Warrant, properly completed and executed by the Registered Holder on the reverse of the Definitive Warrant Certificate or, in the case of a Book-Entry Warrant Certificate, properly delivered by the Participant in accordance with the Depositary’s procedures, and (iii) payment in full of the Warrant Price for each Ordinary Share as to which the Warrant is exercised and any and all applicable taxes due in connection with the exercise of the Warrant, the exchange of the Warrant for the Ordinary Shares and the issuance of such Ordinary Shares, as follows:</w:t>
      </w:r>
    </w:p>
    <w:p>
      <w:pPr>
        <w:spacing w:after="0" w:line="196" w:lineRule="exact"/>
        <w:rPr>
          <w:sz w:val="20"/>
          <w:szCs w:val="20"/>
          <w:color w:val="auto"/>
        </w:rPr>
      </w:pPr>
    </w:p>
    <w:p>
      <w:pPr>
        <w:ind w:firstLine="1952"/>
        <w:spacing w:after="0" w:line="277" w:lineRule="auto"/>
        <w:tabs>
          <w:tab w:leader="none" w:pos="2203" w:val="left"/>
        </w:tabs>
        <w:numPr>
          <w:ilvl w:val="0"/>
          <w:numId w:val="152"/>
        </w:numPr>
        <w:rPr>
          <w:rFonts w:ascii="Arial" w:cs="Arial" w:eastAsia="Arial" w:hAnsi="Arial"/>
          <w:sz w:val="18"/>
          <w:szCs w:val="18"/>
          <w:color w:val="auto"/>
        </w:rPr>
      </w:pPr>
      <w:r>
        <w:rPr>
          <w:rFonts w:ascii="Arial" w:cs="Arial" w:eastAsia="Arial" w:hAnsi="Arial"/>
          <w:sz w:val="18"/>
          <w:szCs w:val="18"/>
          <w:color w:val="auto"/>
        </w:rPr>
        <w:t>in lawful money of the United States, in good certified check or good bank draft payable to the Warrant Agent or by wire transfer of immediately available funds;</w:t>
      </w:r>
    </w:p>
    <w:p>
      <w:pPr>
        <w:spacing w:after="0" w:line="170" w:lineRule="exact"/>
        <w:rPr>
          <w:rFonts w:ascii="Arial" w:cs="Arial" w:eastAsia="Arial" w:hAnsi="Arial"/>
          <w:sz w:val="18"/>
          <w:szCs w:val="18"/>
          <w:color w:val="auto"/>
        </w:rPr>
      </w:pPr>
    </w:p>
    <w:p>
      <w:pPr>
        <w:ind w:left="2200" w:hanging="248"/>
        <w:spacing w:after="0"/>
        <w:tabs>
          <w:tab w:leader="none" w:pos="220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jc w:val="both"/>
        <w:ind w:firstLine="1952"/>
        <w:spacing w:after="0" w:line="271" w:lineRule="auto"/>
        <w:tabs>
          <w:tab w:leader="none" w:pos="2205" w:val="left"/>
        </w:tabs>
        <w:numPr>
          <w:ilvl w:val="0"/>
          <w:numId w:val="152"/>
        </w:numPr>
        <w:rPr>
          <w:rFonts w:ascii="Arial" w:cs="Arial" w:eastAsia="Arial" w:hAnsi="Arial"/>
          <w:sz w:val="17"/>
          <w:szCs w:val="17"/>
          <w:color w:val="auto"/>
        </w:rPr>
      </w:pPr>
      <w:r>
        <w:rPr>
          <w:rFonts w:ascii="Arial" w:cs="Arial" w:eastAsia="Arial" w:hAnsi="Arial"/>
          <w:sz w:val="17"/>
          <w:szCs w:val="17"/>
          <w:color w:val="auto"/>
        </w:rPr>
        <w:t xml:space="preserve">with respect to any Private Placement Warrant or Working Capital Warrant, so long as such Private Placement Warrant or Working Capital Warrant is held by the Sponsor or its Permitted Transferees, by surrendering the Warrants for that number of Ordinary Shares equal to (i) if in connection with the redemption of Private Placement Warrants or Working Capital Warrants pursuant to </w:t>
      </w:r>
      <w:r>
        <w:rPr>
          <w:rFonts w:ascii="Arial" w:cs="Arial" w:eastAsia="Arial" w:hAnsi="Arial"/>
          <w:sz w:val="17"/>
          <w:szCs w:val="17"/>
          <w:u w:val="single" w:color="auto"/>
          <w:color w:val="auto"/>
        </w:rPr>
        <w:t>Section 6.2</w:t>
      </w:r>
      <w:r>
        <w:rPr>
          <w:rFonts w:ascii="Arial" w:cs="Arial" w:eastAsia="Arial" w:hAnsi="Arial"/>
          <w:sz w:val="17"/>
          <w:szCs w:val="17"/>
          <w:color w:val="auto"/>
        </w:rPr>
        <w:t xml:space="preserve"> hereof, as provided in </w:t>
      </w:r>
      <w:r>
        <w:rPr>
          <w:rFonts w:ascii="Arial" w:cs="Arial" w:eastAsia="Arial" w:hAnsi="Arial"/>
          <w:sz w:val="17"/>
          <w:szCs w:val="17"/>
          <w:u w:val="single" w:color="auto"/>
          <w:color w:val="auto"/>
        </w:rPr>
        <w:t>Section 6.2</w:t>
      </w:r>
      <w:r>
        <w:rPr>
          <w:rFonts w:ascii="Arial" w:cs="Arial" w:eastAsia="Arial" w:hAnsi="Arial"/>
          <w:sz w:val="17"/>
          <w:szCs w:val="17"/>
          <w:color w:val="auto"/>
        </w:rPr>
        <w:t xml:space="preserve"> hereof with respect to a Make Whole Exercise and (ii) in all other scenarios the quotient obtained by dividing (x) the product of the number of Ordinary Shares underlying the Warrants, multiplied by the excess of the “Sponsor Exercise Fair Market Value,” as defined in this </w:t>
      </w:r>
      <w:r>
        <w:rPr>
          <w:rFonts w:ascii="Arial" w:cs="Arial" w:eastAsia="Arial" w:hAnsi="Arial"/>
          <w:sz w:val="17"/>
          <w:szCs w:val="17"/>
          <w:u w:val="single" w:color="auto"/>
          <w:color w:val="auto"/>
        </w:rPr>
        <w:t>subsection 3.3.1(c)</w:t>
      </w:r>
      <w:r>
        <w:rPr>
          <w:rFonts w:ascii="Arial" w:cs="Arial" w:eastAsia="Arial" w:hAnsi="Arial"/>
          <w:sz w:val="17"/>
          <w:szCs w:val="17"/>
          <w:color w:val="auto"/>
        </w:rPr>
        <w:t xml:space="preserve">, over the Warrant Price by (y) the Sponsor Exercise Fair Market Value. Solely for purposes of this </w:t>
      </w:r>
      <w:r>
        <w:rPr>
          <w:rFonts w:ascii="Arial" w:cs="Arial" w:eastAsia="Arial" w:hAnsi="Arial"/>
          <w:sz w:val="17"/>
          <w:szCs w:val="17"/>
          <w:u w:val="single" w:color="auto"/>
          <w:color w:val="auto"/>
        </w:rPr>
        <w:t>subsection 3.3.1(c)</w:t>
      </w:r>
      <w:r>
        <w:rPr>
          <w:rFonts w:ascii="Arial" w:cs="Arial" w:eastAsia="Arial" w:hAnsi="Arial"/>
          <w:sz w:val="17"/>
          <w:szCs w:val="17"/>
          <w:color w:val="auto"/>
        </w:rPr>
        <w:t>, the “Sponsor Exercise Fair Market Value” shall mean the average reported closing price of the Ordinary Shares for the ten (10) trading days ending on the third trading day prior to the date on which notice of exercise of the Warrant is sent to the Warrant Agent;</w:t>
      </w:r>
    </w:p>
    <w:p>
      <w:pPr>
        <w:spacing w:after="0" w:line="178" w:lineRule="exact"/>
        <w:rPr>
          <w:rFonts w:ascii="Arial" w:cs="Arial" w:eastAsia="Arial" w:hAnsi="Arial"/>
          <w:sz w:val="17"/>
          <w:szCs w:val="17"/>
          <w:color w:val="auto"/>
        </w:rPr>
      </w:pPr>
    </w:p>
    <w:p>
      <w:pPr>
        <w:ind w:left="2200" w:hanging="248"/>
        <w:spacing w:after="0"/>
        <w:tabs>
          <w:tab w:leader="none" w:pos="220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 xml:space="preserve">on a cashless basis, as provided in </w:t>
      </w:r>
      <w:r>
        <w:rPr>
          <w:rFonts w:ascii="Arial" w:cs="Arial" w:eastAsia="Arial" w:hAnsi="Arial"/>
          <w:sz w:val="18"/>
          <w:szCs w:val="18"/>
          <w:u w:val="single" w:color="auto"/>
          <w:color w:val="auto"/>
        </w:rPr>
        <w:t>Section 6.2</w:t>
      </w:r>
      <w:r>
        <w:rPr>
          <w:rFonts w:ascii="Arial" w:cs="Arial" w:eastAsia="Arial" w:hAnsi="Arial"/>
          <w:sz w:val="18"/>
          <w:szCs w:val="18"/>
          <w:color w:val="auto"/>
        </w:rPr>
        <w:t xml:space="preserve"> hereof with respect to a Make-Whole Exercise; or</w:t>
      </w:r>
    </w:p>
    <w:p>
      <w:pPr>
        <w:spacing w:after="0" w:line="225" w:lineRule="exact"/>
        <w:rPr>
          <w:rFonts w:ascii="Arial" w:cs="Arial" w:eastAsia="Arial" w:hAnsi="Arial"/>
          <w:sz w:val="18"/>
          <w:szCs w:val="18"/>
          <w:color w:val="auto"/>
        </w:rPr>
      </w:pPr>
    </w:p>
    <w:p>
      <w:pPr>
        <w:ind w:left="2200" w:hanging="248"/>
        <w:spacing w:after="0"/>
        <w:tabs>
          <w:tab w:leader="none" w:pos="220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 xml:space="preserve">on a cashless basis as provided in </w:t>
      </w:r>
      <w:r>
        <w:rPr>
          <w:rFonts w:ascii="Arial" w:cs="Arial" w:eastAsia="Arial" w:hAnsi="Arial"/>
          <w:sz w:val="18"/>
          <w:szCs w:val="18"/>
          <w:u w:val="single" w:color="auto"/>
          <w:color w:val="auto"/>
        </w:rPr>
        <w:t>Section 7.4</w:t>
      </w:r>
      <w:r>
        <w:rPr>
          <w:rFonts w:ascii="Arial" w:cs="Arial" w:eastAsia="Arial" w:hAnsi="Arial"/>
          <w:sz w:val="18"/>
          <w:szCs w:val="18"/>
          <w:color w:val="auto"/>
        </w:rPr>
        <w:t xml:space="preserve"> hereof.</w:t>
      </w:r>
    </w:p>
    <w:p>
      <w:pPr>
        <w:spacing w:after="0" w:line="33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245" w:name="page246"/>
    <w:bookmarkEnd w:id="245"/>
    <w:p>
      <w:pPr>
        <w:jc w:val="both"/>
        <w:ind w:firstLine="2009"/>
        <w:spacing w:after="0" w:line="285" w:lineRule="auto"/>
        <w:rPr>
          <w:sz w:val="20"/>
          <w:szCs w:val="20"/>
          <w:color w:val="auto"/>
        </w:rPr>
      </w:pPr>
      <w:r>
        <w:rPr>
          <w:rFonts w:ascii="Arial" w:cs="Arial" w:eastAsia="Arial" w:hAnsi="Arial"/>
          <w:sz w:val="16"/>
          <w:szCs w:val="16"/>
          <w:color w:val="auto"/>
        </w:rPr>
        <w:t xml:space="preserve">3.3.2 </w:t>
      </w:r>
      <w:r>
        <w:rPr>
          <w:rFonts w:ascii="Arial" w:cs="Arial" w:eastAsia="Arial" w:hAnsi="Arial"/>
          <w:sz w:val="16"/>
          <w:szCs w:val="16"/>
          <w:u w:val="single" w:color="auto"/>
          <w:color w:val="auto"/>
        </w:rPr>
        <w:t>Issuance of Ordinary Shares on Exercise</w:t>
      </w:r>
      <w:r>
        <w:rPr>
          <w:rFonts w:ascii="Arial" w:cs="Arial" w:eastAsia="Arial" w:hAnsi="Arial"/>
          <w:sz w:val="16"/>
          <w:szCs w:val="16"/>
          <w:color w:val="auto"/>
        </w:rPr>
        <w:t xml:space="preserve">. As soon as practicable after the exercise of any Warrant and the clearance of the funds in payment of the Warrant Price (if payment is pursuant to </w:t>
      </w:r>
      <w:r>
        <w:rPr>
          <w:rFonts w:ascii="Arial" w:cs="Arial" w:eastAsia="Arial" w:hAnsi="Arial"/>
          <w:sz w:val="16"/>
          <w:szCs w:val="16"/>
          <w:u w:val="single" w:color="auto"/>
          <w:color w:val="auto"/>
        </w:rPr>
        <w:t>subsection 3.3.1(a))</w:t>
      </w:r>
      <w:r>
        <w:rPr>
          <w:rFonts w:ascii="Arial" w:cs="Arial" w:eastAsia="Arial" w:hAnsi="Arial"/>
          <w:sz w:val="16"/>
          <w:szCs w:val="16"/>
          <w:color w:val="auto"/>
        </w:rPr>
        <w:t xml:space="preserve">, the Company shall issue to the Registered Holder of such Warrant a book-entry position or certificate, as applicable, for the number of Ordinary Shares to which he, she or it is entitled, registered in such name or names as may be directed by him, her or it, and if such Warrant shall not have been exercised in full, a new book-entry position or countersigned Warrant, as applicable, for the number of Ordinary Shares as to which such Warrant shall not have been exercised. If fewer than all the Warrants evidenced by a Book-Entry Warrant Certificate are exercised, a notation shall be made to the records maintained by the Depositary, its nominee for each Book-Entry Warrant Certificate, or a Participant, as appropriate, evidencing the balance of the Warrants remaining after such exercise. Notwithstanding the foregoing, the Company shall not be obligated to deliver any Ordinary Shares pursuant to the exercise of a Warrant and shall have no obligation to settle such Warrant exercise unless a registration statement under the Securities Act with respect to the Ordinary Shares underlying the Public Warrants is then effective and a prospectus relating thereto is current, subject to the Company’s satisfying its obligations under </w:t>
      </w:r>
      <w:r>
        <w:rPr>
          <w:rFonts w:ascii="Arial" w:cs="Arial" w:eastAsia="Arial" w:hAnsi="Arial"/>
          <w:sz w:val="16"/>
          <w:szCs w:val="16"/>
          <w:u w:val="single" w:color="auto"/>
          <w:color w:val="auto"/>
        </w:rPr>
        <w:t>Section 7.4</w:t>
      </w:r>
      <w:r>
        <w:rPr>
          <w:rFonts w:ascii="Arial" w:cs="Arial" w:eastAsia="Arial" w:hAnsi="Arial"/>
          <w:sz w:val="16"/>
          <w:szCs w:val="16"/>
          <w:color w:val="auto"/>
        </w:rPr>
        <w:t xml:space="preserve">. No Warrant shall be exercisable and the Company shall not be obligated to issue Ordinary Shares upon exercise of a Warrant unless the Ordinary Shares issuable upon such Warrant exercise have been registered, qualified or deemed to be exempt from registration or qualification under the securities laws of the state of residence of the Registered Holder of the Warrants. In no event will the Company be required to net cash settle the Warrant exercise. The Company may require holders of Public Warrants to settle the Warrant on a “cashless basis” pursuant to </w:t>
      </w:r>
      <w:r>
        <w:rPr>
          <w:rFonts w:ascii="Arial" w:cs="Arial" w:eastAsia="Arial" w:hAnsi="Arial"/>
          <w:sz w:val="16"/>
          <w:szCs w:val="16"/>
          <w:u w:val="single" w:color="auto"/>
          <w:color w:val="auto"/>
        </w:rPr>
        <w:t>Section 7.4</w:t>
      </w:r>
      <w:r>
        <w:rPr>
          <w:rFonts w:ascii="Arial" w:cs="Arial" w:eastAsia="Arial" w:hAnsi="Arial"/>
          <w:sz w:val="16"/>
          <w:szCs w:val="16"/>
          <w:color w:val="auto"/>
        </w:rPr>
        <w:t>. If, by reason of any exercise of Warrants on a “cashless basis,” the holder of any Warrant would be entitled, upon the exercise of such Warrant, to receive a fractional interest in an Ordinary Share, the Company shall round down to the nearest whole number, the number of Ordinary Shares to be issued to such holder.</w:t>
      </w:r>
    </w:p>
    <w:p>
      <w:pPr>
        <w:spacing w:after="0" w:line="176" w:lineRule="exact"/>
        <w:rPr>
          <w:sz w:val="20"/>
          <w:szCs w:val="20"/>
          <w:color w:val="auto"/>
        </w:rPr>
      </w:pPr>
    </w:p>
    <w:p>
      <w:pPr>
        <w:jc w:val="both"/>
        <w:ind w:firstLine="2009"/>
        <w:spacing w:after="0" w:line="277" w:lineRule="auto"/>
        <w:rPr>
          <w:sz w:val="20"/>
          <w:szCs w:val="20"/>
          <w:color w:val="auto"/>
        </w:rPr>
      </w:pPr>
      <w:r>
        <w:rPr>
          <w:rFonts w:ascii="Arial" w:cs="Arial" w:eastAsia="Arial" w:hAnsi="Arial"/>
          <w:sz w:val="18"/>
          <w:szCs w:val="18"/>
          <w:color w:val="auto"/>
        </w:rPr>
        <w:t xml:space="preserve">3.3.3 </w:t>
      </w:r>
      <w:r>
        <w:rPr>
          <w:rFonts w:ascii="Arial" w:cs="Arial" w:eastAsia="Arial" w:hAnsi="Arial"/>
          <w:sz w:val="18"/>
          <w:szCs w:val="18"/>
          <w:u w:val="single" w:color="auto"/>
          <w:color w:val="auto"/>
        </w:rPr>
        <w:t>Valid Issuance</w:t>
      </w:r>
      <w:r>
        <w:rPr>
          <w:rFonts w:ascii="Arial" w:cs="Arial" w:eastAsia="Arial" w:hAnsi="Arial"/>
          <w:sz w:val="18"/>
          <w:szCs w:val="18"/>
          <w:color w:val="auto"/>
        </w:rPr>
        <w:t>. All Ordinary Shares issued upon the proper exercise of a Warrant in conformity with this Agreement shall be validly issued, fully paid and non-assessable.</w:t>
      </w:r>
    </w:p>
    <w:p>
      <w:pPr>
        <w:spacing w:after="0" w:line="170" w:lineRule="exact"/>
        <w:rPr>
          <w:sz w:val="20"/>
          <w:szCs w:val="20"/>
          <w:color w:val="auto"/>
        </w:rPr>
      </w:pPr>
    </w:p>
    <w:p>
      <w:pPr>
        <w:jc w:val="both"/>
        <w:ind w:firstLine="2009"/>
        <w:spacing w:after="0" w:line="273" w:lineRule="auto"/>
        <w:rPr>
          <w:sz w:val="20"/>
          <w:szCs w:val="20"/>
          <w:color w:val="auto"/>
        </w:rPr>
      </w:pPr>
      <w:r>
        <w:rPr>
          <w:rFonts w:ascii="Arial" w:cs="Arial" w:eastAsia="Arial" w:hAnsi="Arial"/>
          <w:sz w:val="17"/>
          <w:szCs w:val="17"/>
          <w:color w:val="auto"/>
        </w:rPr>
        <w:t xml:space="preserve">3.3.4 </w:t>
      </w:r>
      <w:r>
        <w:rPr>
          <w:rFonts w:ascii="Arial" w:cs="Arial" w:eastAsia="Arial" w:hAnsi="Arial"/>
          <w:sz w:val="17"/>
          <w:szCs w:val="17"/>
          <w:u w:val="single" w:color="auto"/>
          <w:color w:val="auto"/>
        </w:rPr>
        <w:t>Date of Issuance.</w:t>
      </w:r>
      <w:r>
        <w:rPr>
          <w:rFonts w:ascii="Arial" w:cs="Arial" w:eastAsia="Arial" w:hAnsi="Arial"/>
          <w:sz w:val="17"/>
          <w:szCs w:val="17"/>
          <w:color w:val="auto"/>
        </w:rPr>
        <w:t xml:space="preserve"> Each person in whose name any book-entry position or certificate, as applicable, for Ordinary Shares is issued shall for all purposes be deemed to have become the holder of record of such Ordinary Shares on the date on which the Warrant, or book-entry position representing such Warrant, was surrendered and payment of the Warrant Price was made, irrespective of the date of delivery of such certificate in the case of a certificated Warrant, except that, if the date of such surrender and payment is a date when the share transfer books of the Company or book-entry system of the Warrant Agent are closed, such person shall be deemed to have become the holder of such Ordinary Shares at the close of business on the next succeeding date on which the share transfer books or book-entry system are open.</w:t>
      </w:r>
    </w:p>
    <w:p>
      <w:pPr>
        <w:spacing w:after="0" w:line="178" w:lineRule="exact"/>
        <w:rPr>
          <w:sz w:val="20"/>
          <w:szCs w:val="20"/>
          <w:color w:val="auto"/>
        </w:rPr>
      </w:pPr>
    </w:p>
    <w:p>
      <w:pPr>
        <w:jc w:val="both"/>
        <w:ind w:firstLine="2009"/>
        <w:spacing w:after="0" w:line="284" w:lineRule="auto"/>
        <w:rPr>
          <w:sz w:val="20"/>
          <w:szCs w:val="20"/>
          <w:color w:val="auto"/>
        </w:rPr>
      </w:pPr>
      <w:r>
        <w:rPr>
          <w:rFonts w:ascii="Arial" w:cs="Arial" w:eastAsia="Arial" w:hAnsi="Arial"/>
          <w:sz w:val="16"/>
          <w:szCs w:val="16"/>
          <w:color w:val="auto"/>
        </w:rPr>
        <w:t xml:space="preserve">3.3.5 </w:t>
      </w:r>
      <w:r>
        <w:rPr>
          <w:rFonts w:ascii="Arial" w:cs="Arial" w:eastAsia="Arial" w:hAnsi="Arial"/>
          <w:sz w:val="16"/>
          <w:szCs w:val="16"/>
          <w:u w:val="single" w:color="auto"/>
          <w:color w:val="auto"/>
        </w:rPr>
        <w:t>Maximum Percentage</w:t>
      </w:r>
      <w:r>
        <w:rPr>
          <w:rFonts w:ascii="Arial" w:cs="Arial" w:eastAsia="Arial" w:hAnsi="Arial"/>
          <w:sz w:val="16"/>
          <w:szCs w:val="16"/>
          <w:color w:val="auto"/>
        </w:rPr>
        <w:t xml:space="preserve">. A holder of a Warrant may notify the Company in writing in the event it elects to be subject to the provisions contained in this </w:t>
      </w:r>
      <w:r>
        <w:rPr>
          <w:rFonts w:ascii="Arial" w:cs="Arial" w:eastAsia="Arial" w:hAnsi="Arial"/>
          <w:sz w:val="16"/>
          <w:szCs w:val="16"/>
          <w:u w:val="single" w:color="auto"/>
          <w:color w:val="auto"/>
        </w:rPr>
        <w:t>subsection 3.3.5</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no holder of a Warrant shall be subject to this </w:t>
      </w:r>
      <w:r>
        <w:rPr>
          <w:rFonts w:ascii="Arial" w:cs="Arial" w:eastAsia="Arial" w:hAnsi="Arial"/>
          <w:sz w:val="16"/>
          <w:szCs w:val="16"/>
          <w:u w:val="single" w:color="auto"/>
          <w:color w:val="auto"/>
        </w:rPr>
        <w:t>subsection 3.3.5</w:t>
      </w:r>
      <w:r>
        <w:rPr>
          <w:rFonts w:ascii="Arial" w:cs="Arial" w:eastAsia="Arial" w:hAnsi="Arial"/>
          <w:sz w:val="16"/>
          <w:szCs w:val="16"/>
          <w:color w:val="auto"/>
        </w:rPr>
        <w:t xml:space="preserve"> unless he, she or it makes such election. If the election is made by a holder, the Warrant Agent shall not effect the exercise of the holder’s Warrant, and such holder shall not have the right to exercise such Warrant, to the extent that after giving effect to such exercise, such person (together with such person’s affiliates), to the Warrant Agent’s actual knowledge, would beneficially own in excess of 4.9% or 9.8% (or such other amount as a holder may specify) (the “</w:t>
      </w:r>
      <w:r>
        <w:rPr>
          <w:rFonts w:ascii="Arial" w:cs="Arial" w:eastAsia="Arial" w:hAnsi="Arial"/>
          <w:sz w:val="16"/>
          <w:szCs w:val="16"/>
          <w:b w:val="1"/>
          <w:bCs w:val="1"/>
          <w:i w:val="1"/>
          <w:iCs w:val="1"/>
          <w:color w:val="auto"/>
        </w:rPr>
        <w:t>Maximum Percentage</w:t>
      </w:r>
      <w:r>
        <w:rPr>
          <w:rFonts w:ascii="Arial" w:cs="Arial" w:eastAsia="Arial" w:hAnsi="Arial"/>
          <w:sz w:val="16"/>
          <w:szCs w:val="16"/>
          <w:color w:val="auto"/>
        </w:rPr>
        <w:t>”) of the Ordinary Shares outstanding immediately after giving effect to such exercise. For purposes of the foregoing sentence, the aggregate number of Ordinary Shares beneficially owned by such person and its affiliates shall include the number of Ordinary Shares issuable upon exercise of the Warrant with respect to which the determination of such sentence is being made, but shall exclude Ordinary Shares that would be issuable upon (x) exercise of the remaining, unexercised portion of the Warrant beneficially owned by such person and its affiliates and (y) exercise or conversion of the unexercised or unconverted portion of any other securities of the Company beneficially owned by such person and its affiliates (including, without limitation, any convertible notes or convertible preferred shares or warrants) subject to a limitation on conversion or exercise analogous to the limitation contained herein. Except as set forth in the preceding sentence, for purposes of this paragraph, beneficial ownership shall be calculated in accordance with Section 13(d) of the Securities Exchange Act of 1934, as amended (the “</w:t>
      </w:r>
      <w:r>
        <w:rPr>
          <w:rFonts w:ascii="Arial" w:cs="Arial" w:eastAsia="Arial" w:hAnsi="Arial"/>
          <w:sz w:val="16"/>
          <w:szCs w:val="16"/>
          <w:b w:val="1"/>
          <w:bCs w:val="1"/>
          <w:i w:val="1"/>
          <w:iCs w:val="1"/>
          <w:color w:val="auto"/>
        </w:rPr>
        <w:t>Exchange</w:t>
      </w:r>
      <w:r>
        <w:rPr>
          <w:rFonts w:ascii="Arial" w:cs="Arial" w:eastAsia="Arial" w:hAnsi="Arial"/>
          <w:sz w:val="16"/>
          <w:szCs w:val="16"/>
          <w:color w:val="auto"/>
        </w:rPr>
        <w:t xml:space="preserve"> </w:t>
      </w:r>
      <w:r>
        <w:rPr>
          <w:rFonts w:ascii="Arial" w:cs="Arial" w:eastAsia="Arial" w:hAnsi="Arial"/>
          <w:sz w:val="16"/>
          <w:szCs w:val="16"/>
          <w:b w:val="1"/>
          <w:bCs w:val="1"/>
          <w:color w:val="auto"/>
        </w:rPr>
        <w:t>Act</w:t>
      </w:r>
      <w:r>
        <w:rPr>
          <w:rFonts w:ascii="Arial" w:cs="Arial" w:eastAsia="Arial" w:hAnsi="Arial"/>
          <w:sz w:val="16"/>
          <w:szCs w:val="16"/>
          <w:color w:val="auto"/>
        </w:rPr>
        <w:t xml:space="preserve">”). For purposes of the Warrant, in determining the number of outstanding Ordinary Shares, the holder may rely on the number of outstanding Ordinary Shares as reflected in (1) the Company’s most recent annual report on Form 10-K, quarterly report on Form 10-Q, current report on Form 8-K or other public filing with the Commission as the case may be, (2) a more recent public announcement by the Company or (3) any other notice by the Company or the Transfer Agent setting forth the number of Ordinary Shares outstanding. For any reason at any time, upon the written request of the holder of the Warrant, the Company shall, within two (2) Business Days, confirm orally and in writing to such holder the number of Ordinary Shares then outstanding. In any case, the number of outstanding Ordinary Shares shall be determined after giving effect to the conversion or exercise of equity securities of the Company by the holder and its affiliates since the date as of which such number of outstanding Ordinary Shares was reported. By written notice to the Company, the holder of a Warrant may from time to time increase or decrease the Maximum Percentage applicable to such holder to any other percentage specified in such notice; </w:t>
      </w:r>
      <w:r>
        <w:rPr>
          <w:rFonts w:ascii="Arial" w:cs="Arial" w:eastAsia="Arial" w:hAnsi="Arial"/>
          <w:sz w:val="16"/>
          <w:szCs w:val="16"/>
          <w:u w:val="single" w:color="auto"/>
          <w:color w:val="auto"/>
        </w:rPr>
        <w:t>provided, however,</w:t>
      </w:r>
      <w:r>
        <w:rPr>
          <w:rFonts w:ascii="Arial" w:cs="Arial" w:eastAsia="Arial" w:hAnsi="Arial"/>
          <w:sz w:val="16"/>
          <w:szCs w:val="16"/>
          <w:color w:val="auto"/>
        </w:rPr>
        <w:t xml:space="preserve"> that any such increase shall not be effective until the sixty-first (61st) day after such notice is delivered to the Company.</w:t>
      </w:r>
    </w:p>
    <w:p>
      <w:pPr>
        <w:spacing w:after="0" w:line="200" w:lineRule="exact"/>
        <w:rPr>
          <w:sz w:val="20"/>
          <w:szCs w:val="20"/>
          <w:color w:val="auto"/>
        </w:rPr>
      </w:pPr>
    </w:p>
    <w:p>
      <w:pPr>
        <w:spacing w:after="0" w:line="30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246" w:name="page247"/>
    <w:bookmarkEnd w:id="246"/>
    <w:p>
      <w:pPr>
        <w:ind w:left="840" w:hanging="184"/>
        <w:spacing w:after="0"/>
        <w:tabs>
          <w:tab w:leader="none" w:pos="840" w:val="left"/>
        </w:tabs>
        <w:numPr>
          <w:ilvl w:val="0"/>
          <w:numId w:val="153"/>
        </w:numPr>
        <w:rPr>
          <w:rFonts w:ascii="Arial" w:cs="Arial" w:eastAsia="Arial" w:hAnsi="Arial"/>
          <w:sz w:val="18"/>
          <w:szCs w:val="18"/>
          <w:color w:val="auto"/>
        </w:rPr>
      </w:pPr>
      <w:r>
        <w:rPr>
          <w:rFonts w:ascii="Arial" w:cs="Arial" w:eastAsia="Arial" w:hAnsi="Arial"/>
          <w:sz w:val="18"/>
          <w:szCs w:val="18"/>
          <w:u w:val="single" w:color="auto"/>
          <w:color w:val="auto"/>
        </w:rPr>
        <w:t>Adjustments</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Share Capitalizations</w:t>
      </w:r>
      <w:r>
        <w:rPr>
          <w:rFonts w:ascii="Arial" w:cs="Arial" w:eastAsia="Arial" w:hAnsi="Arial"/>
          <w:sz w:val="18"/>
          <w:szCs w:val="18"/>
          <w:color w:val="auto"/>
        </w:rPr>
        <w:t>.</w:t>
      </w:r>
    </w:p>
    <w:p>
      <w:pPr>
        <w:spacing w:after="0" w:line="225" w:lineRule="exact"/>
        <w:rPr>
          <w:sz w:val="20"/>
          <w:szCs w:val="20"/>
          <w:color w:val="auto"/>
        </w:rPr>
      </w:pPr>
    </w:p>
    <w:p>
      <w:pPr>
        <w:jc w:val="both"/>
        <w:ind w:firstLine="2009"/>
        <w:spacing w:after="0" w:line="268" w:lineRule="auto"/>
        <w:rPr>
          <w:sz w:val="20"/>
          <w:szCs w:val="20"/>
          <w:color w:val="auto"/>
        </w:rPr>
      </w:pPr>
      <w:r>
        <w:rPr>
          <w:rFonts w:ascii="Arial" w:cs="Arial" w:eastAsia="Arial" w:hAnsi="Arial"/>
          <w:sz w:val="17"/>
          <w:szCs w:val="17"/>
          <w:color w:val="auto"/>
        </w:rPr>
        <w:t xml:space="preserve">4.1.1 </w:t>
      </w:r>
      <w:r>
        <w:rPr>
          <w:rFonts w:ascii="Arial" w:cs="Arial" w:eastAsia="Arial" w:hAnsi="Arial"/>
          <w:sz w:val="17"/>
          <w:szCs w:val="17"/>
          <w:u w:val="single" w:color="auto"/>
          <w:color w:val="auto"/>
        </w:rPr>
        <w:t>Split-Ups</w:t>
      </w:r>
      <w:r>
        <w:rPr>
          <w:rFonts w:ascii="Arial" w:cs="Arial" w:eastAsia="Arial" w:hAnsi="Arial"/>
          <w:sz w:val="17"/>
          <w:szCs w:val="17"/>
          <w:color w:val="auto"/>
        </w:rPr>
        <w:t xml:space="preserve">. If after the date hereof, and subject to the provisions of </w:t>
      </w:r>
      <w:r>
        <w:rPr>
          <w:rFonts w:ascii="Arial" w:cs="Arial" w:eastAsia="Arial" w:hAnsi="Arial"/>
          <w:sz w:val="17"/>
          <w:szCs w:val="17"/>
          <w:u w:val="single" w:color="auto"/>
          <w:color w:val="auto"/>
        </w:rPr>
        <w:t>Section 4.6</w:t>
      </w:r>
      <w:r>
        <w:rPr>
          <w:rFonts w:ascii="Arial" w:cs="Arial" w:eastAsia="Arial" w:hAnsi="Arial"/>
          <w:sz w:val="17"/>
          <w:szCs w:val="17"/>
          <w:color w:val="auto"/>
        </w:rPr>
        <w:t xml:space="preserve"> below, the number of outstanding Ordinary Shares is increased by a share capitalization payable in Ordinary Shares, or by a split-up of Ordinary Shares or other similar event, then, on the effective date of such share capitalization, split-up or similar event, the number of Ordinary Shares issuable on exercise of each Warrant shall be increased in proportion to such increase in the outstanding Ordinary Shares. A rights offering to holders of the Ordinary Shares entitling holders to purchase Ordinary Shares at a price less than the “Historical Fair Market Value” (as defined below) shall be deemed a share capitalization of a number of Ordinary Shares equal to the product of (i) the number of Ordinary Shares actually sold in such rights offering (or issuable under any other equity securities sold in such rights offering that are convertible into or exercisable for Ordinary Shares) and multiplied by (ii) one (1) minus the quotient of (x) the price per Ordinary Share paid in such rights offering divided by (y) the Historical Fair Market Value. For purposes of this </w:t>
      </w:r>
      <w:r>
        <w:rPr>
          <w:rFonts w:ascii="Arial" w:cs="Arial" w:eastAsia="Arial" w:hAnsi="Arial"/>
          <w:sz w:val="17"/>
          <w:szCs w:val="17"/>
          <w:u w:val="single" w:color="auto"/>
          <w:color w:val="auto"/>
        </w:rPr>
        <w:t>subsection 4.1.1</w:t>
      </w:r>
      <w:r>
        <w:rPr>
          <w:rFonts w:ascii="Arial" w:cs="Arial" w:eastAsia="Arial" w:hAnsi="Arial"/>
          <w:sz w:val="17"/>
          <w:szCs w:val="17"/>
          <w:color w:val="auto"/>
        </w:rPr>
        <w:t>, (i) if the rights offering is for securities convertible into or exercisable for Ordinary Shares, in determining the price payable for Ordinary Shares, there shall be taken into account any consideration received for such rights, as well as any additional amount payable upon exercise or conversion and (ii) “Historical Fair Market Value” means the volume weighted average price of the Ordinary Shares as reported during the ten (10) trading day period ending on the trading day prior to the first date on which the Ordinary Shares trade on the applicable exchange or in the applicable market, regular way, without the right to receive such rights. No Ordinary Shares shall be issued at less than their par value.</w:t>
      </w:r>
    </w:p>
    <w:p>
      <w:pPr>
        <w:spacing w:after="0" w:line="186" w:lineRule="exact"/>
        <w:rPr>
          <w:sz w:val="20"/>
          <w:szCs w:val="20"/>
          <w:color w:val="auto"/>
        </w:rPr>
      </w:pPr>
    </w:p>
    <w:p>
      <w:pPr>
        <w:jc w:val="both"/>
        <w:ind w:firstLine="2009"/>
        <w:spacing w:after="0" w:line="267" w:lineRule="auto"/>
        <w:rPr>
          <w:sz w:val="20"/>
          <w:szCs w:val="20"/>
          <w:color w:val="auto"/>
        </w:rPr>
      </w:pPr>
      <w:r>
        <w:rPr>
          <w:rFonts w:ascii="Arial" w:cs="Arial" w:eastAsia="Arial" w:hAnsi="Arial"/>
          <w:sz w:val="17"/>
          <w:szCs w:val="17"/>
          <w:color w:val="auto"/>
        </w:rPr>
        <w:t xml:space="preserve">4.1.2 </w:t>
      </w:r>
      <w:r>
        <w:rPr>
          <w:rFonts w:ascii="Arial" w:cs="Arial" w:eastAsia="Arial" w:hAnsi="Arial"/>
          <w:sz w:val="17"/>
          <w:szCs w:val="17"/>
          <w:u w:val="single" w:color="auto"/>
          <w:color w:val="auto"/>
        </w:rPr>
        <w:t>Extraordinary Dividends</w:t>
      </w:r>
      <w:r>
        <w:rPr>
          <w:rFonts w:ascii="Arial" w:cs="Arial" w:eastAsia="Arial" w:hAnsi="Arial"/>
          <w:sz w:val="17"/>
          <w:szCs w:val="17"/>
          <w:color w:val="auto"/>
        </w:rPr>
        <w:t xml:space="preserve">. If the Company, at any time while the Warrants are outstanding and unexpired, shall pay a dividend or make a distribution in cash, securities or other assets to the holders of Ordinary Shares on account of such Ordinary Shares (or other shares of the Company’s share capital into which the Warrants are convertible), other than (a) as described in </w:t>
      </w:r>
      <w:r>
        <w:rPr>
          <w:rFonts w:ascii="Arial" w:cs="Arial" w:eastAsia="Arial" w:hAnsi="Arial"/>
          <w:sz w:val="17"/>
          <w:szCs w:val="17"/>
          <w:u w:val="single" w:color="auto"/>
          <w:color w:val="auto"/>
        </w:rPr>
        <w:t>subsection 4.1.1</w:t>
      </w:r>
      <w:r>
        <w:rPr>
          <w:rFonts w:ascii="Arial" w:cs="Arial" w:eastAsia="Arial" w:hAnsi="Arial"/>
          <w:sz w:val="17"/>
          <w:szCs w:val="17"/>
          <w:color w:val="auto"/>
        </w:rPr>
        <w:t xml:space="preserve"> above, (b) Ordinary Cash Dividends (as defined below), (c) to satisfy the redemption rights of the holders of Ordinary Shares in connection with a proposed initial Business Combination, (d) to satisfy the redemption rights of the holders of Ordinary Shares in connection with a shareholder vote to amend the Company’s amended and restated memorandum and articles of association (as amended from time to time, the “</w:t>
      </w:r>
      <w:r>
        <w:rPr>
          <w:rFonts w:ascii="Arial" w:cs="Arial" w:eastAsia="Arial" w:hAnsi="Arial"/>
          <w:sz w:val="17"/>
          <w:szCs w:val="17"/>
          <w:b w:val="1"/>
          <w:bCs w:val="1"/>
          <w:i w:val="1"/>
          <w:iCs w:val="1"/>
          <w:color w:val="auto"/>
        </w:rPr>
        <w:t>Charter</w:t>
      </w:r>
      <w:r>
        <w:rPr>
          <w:rFonts w:ascii="Arial" w:cs="Arial" w:eastAsia="Arial" w:hAnsi="Arial"/>
          <w:sz w:val="17"/>
          <w:szCs w:val="17"/>
          <w:color w:val="auto"/>
        </w:rPr>
        <w:t>”) (A) to modify the substance or timing of the Company’s obligation to allow redemption in connection with its initial Business Combination or to redeem 100% of the Ordinary Shares included in the Units sold in the Offering (the “</w:t>
      </w:r>
      <w:r>
        <w:rPr>
          <w:rFonts w:ascii="Arial" w:cs="Arial" w:eastAsia="Arial" w:hAnsi="Arial"/>
          <w:sz w:val="17"/>
          <w:szCs w:val="17"/>
          <w:b w:val="1"/>
          <w:bCs w:val="1"/>
          <w:i w:val="1"/>
          <w:iCs w:val="1"/>
          <w:color w:val="auto"/>
        </w:rPr>
        <w:t>Public Shares</w:t>
      </w:r>
      <w:r>
        <w:rPr>
          <w:rFonts w:ascii="Arial" w:cs="Arial" w:eastAsia="Arial" w:hAnsi="Arial"/>
          <w:sz w:val="17"/>
          <w:szCs w:val="17"/>
          <w:color w:val="auto"/>
        </w:rPr>
        <w:t>”</w:t>
      </w:r>
      <w:r>
        <w:rPr>
          <w:rFonts w:ascii="Arial" w:cs="Arial" w:eastAsia="Arial" w:hAnsi="Arial"/>
          <w:sz w:val="17"/>
          <w:szCs w:val="17"/>
          <w:b w:val="1"/>
          <w:bCs w:val="1"/>
          <w:color w:val="auto"/>
        </w:rPr>
        <w:t>)</w:t>
      </w:r>
      <w:r>
        <w:rPr>
          <w:rFonts w:ascii="Arial" w:cs="Arial" w:eastAsia="Arial" w:hAnsi="Arial"/>
          <w:sz w:val="17"/>
          <w:szCs w:val="17"/>
          <w:color w:val="auto"/>
        </w:rPr>
        <w:t xml:space="preserve"> if the Company does not complete the Business Combination within the period set forth in the Charter or (B) with respect to any other material provisions relating to shareholders’ rights or pre-initial Business Combination activity or (e) in connection with the redemption of Public Shares upon the failure of the Company to complete its initial Business Combination and any subsequent distribution of its assets upon its liquidation (any such non-excluded event being referred to herein as an “</w:t>
      </w:r>
      <w:r>
        <w:rPr>
          <w:rFonts w:ascii="Arial" w:cs="Arial" w:eastAsia="Arial" w:hAnsi="Arial"/>
          <w:sz w:val="17"/>
          <w:szCs w:val="17"/>
          <w:b w:val="1"/>
          <w:bCs w:val="1"/>
          <w:i w:val="1"/>
          <w:iCs w:val="1"/>
          <w:color w:val="auto"/>
        </w:rPr>
        <w:t>Extraordinary Dividend</w:t>
      </w:r>
      <w:r>
        <w:rPr>
          <w:rFonts w:ascii="Arial" w:cs="Arial" w:eastAsia="Arial" w:hAnsi="Arial"/>
          <w:sz w:val="17"/>
          <w:szCs w:val="17"/>
          <w:color w:val="auto"/>
        </w:rPr>
        <w:t xml:space="preserve">”), then the Warrant Price shall be decreased, effective immediately after the effective date of such Extraordinary Dividend, by the amount of cash and/or the fair market value (as determined by the Board, in good faith) of any securities or other assets paid on each Ordinary Share in respect of such Extraordinary Dividend. For purposes of this </w:t>
      </w:r>
      <w:r>
        <w:rPr>
          <w:rFonts w:ascii="Arial" w:cs="Arial" w:eastAsia="Arial" w:hAnsi="Arial"/>
          <w:sz w:val="17"/>
          <w:szCs w:val="17"/>
          <w:u w:val="single" w:color="auto"/>
          <w:color w:val="auto"/>
        </w:rPr>
        <w:t>subsection 4.1.2</w:t>
      </w:r>
      <w:r>
        <w:rPr>
          <w:rFonts w:ascii="Arial" w:cs="Arial" w:eastAsia="Arial" w:hAnsi="Arial"/>
          <w:sz w:val="17"/>
          <w:szCs w:val="17"/>
          <w:color w:val="auto"/>
        </w:rPr>
        <w:t>, “</w:t>
      </w:r>
      <w:r>
        <w:rPr>
          <w:rFonts w:ascii="Arial" w:cs="Arial" w:eastAsia="Arial" w:hAnsi="Arial"/>
          <w:sz w:val="17"/>
          <w:szCs w:val="17"/>
          <w:b w:val="1"/>
          <w:bCs w:val="1"/>
          <w:i w:val="1"/>
          <w:iCs w:val="1"/>
          <w:color w:val="auto"/>
        </w:rPr>
        <w:t>Ordinary Cash</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Dividends</w:t>
      </w:r>
      <w:r>
        <w:rPr>
          <w:rFonts w:ascii="Arial" w:cs="Arial" w:eastAsia="Arial" w:hAnsi="Arial"/>
          <w:sz w:val="17"/>
          <w:szCs w:val="17"/>
          <w:color w:val="auto"/>
        </w:rPr>
        <w:t>” means any cash dividend or cash distribution which, when combined on a per share basis, with the per share amounts of all other cash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dividends and cash distributions paid on the Ordinary Shares during the 365-day period ending on the date of declaration of such dividend or distribution (as adjusted to appropriately reflect any of the events referred to in other subsections of this </w:t>
      </w:r>
      <w:r>
        <w:rPr>
          <w:rFonts w:ascii="Arial" w:cs="Arial" w:eastAsia="Arial" w:hAnsi="Arial"/>
          <w:sz w:val="17"/>
          <w:szCs w:val="17"/>
          <w:u w:val="single" w:color="auto"/>
          <w:color w:val="auto"/>
        </w:rPr>
        <w:t>Section 4</w:t>
      </w:r>
      <w:r>
        <w:rPr>
          <w:rFonts w:ascii="Arial" w:cs="Arial" w:eastAsia="Arial" w:hAnsi="Arial"/>
          <w:sz w:val="17"/>
          <w:szCs w:val="17"/>
          <w:color w:val="auto"/>
        </w:rPr>
        <w:t xml:space="preserve"> and excluding cash dividends or cash distributions that resulted in an adjustment to the Warrant Price or to the number of Ordinary Shares issuable on exercise of each Warrant) does not exceed $0.50 (being 5% of the offering price of the Units in the Offering) but only with respect to the amount of the aggregate cash dividends or cash distributions equal to or less than $0.50.</w:t>
      </w:r>
    </w:p>
    <w:p>
      <w:pPr>
        <w:spacing w:after="0" w:line="188"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Aggregation of Shares</w:t>
      </w:r>
      <w:r>
        <w:rPr>
          <w:rFonts w:ascii="Arial" w:cs="Arial" w:eastAsia="Arial" w:hAnsi="Arial"/>
          <w:sz w:val="18"/>
          <w:szCs w:val="18"/>
          <w:color w:val="auto"/>
        </w:rPr>
        <w:t xml:space="preserve">. If after the date hereof, and subject to the provisions of </w:t>
      </w:r>
      <w:r>
        <w:rPr>
          <w:rFonts w:ascii="Arial" w:cs="Arial" w:eastAsia="Arial" w:hAnsi="Arial"/>
          <w:sz w:val="18"/>
          <w:szCs w:val="18"/>
          <w:u w:val="single" w:color="auto"/>
          <w:color w:val="auto"/>
        </w:rPr>
        <w:t>Section 4.6</w:t>
      </w:r>
      <w:r>
        <w:rPr>
          <w:rFonts w:ascii="Arial" w:cs="Arial" w:eastAsia="Arial" w:hAnsi="Arial"/>
          <w:sz w:val="18"/>
          <w:szCs w:val="18"/>
          <w:color w:val="auto"/>
        </w:rPr>
        <w:t xml:space="preserve"> hereof, the number of outstanding Ordinary Shares is decreased by a consolidation, combination, reverse share split or reclassification of Ordinary Shares or other similar event, then, on the effective date of such consolidation, combination, reverse share split, reclassification or similar event, the number of Ordinary Shares issuable on exercise of each Warrant shall be decreased in proportion to such decrease in outstanding Ordinary Shares.</w:t>
      </w:r>
    </w:p>
    <w:p>
      <w:pPr>
        <w:spacing w:after="0" w:line="29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247" w:name="page248"/>
    <w:bookmarkEnd w:id="247"/>
    <w:p>
      <w:pPr>
        <w:ind w:left="1300"/>
        <w:spacing w:after="0"/>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Adjustments in Warrant Price</w:t>
      </w:r>
      <w:r>
        <w:rPr>
          <w:rFonts w:ascii="Arial" w:cs="Arial" w:eastAsia="Arial" w:hAnsi="Arial"/>
          <w:sz w:val="18"/>
          <w:szCs w:val="18"/>
          <w:color w:val="auto"/>
        </w:rPr>
        <w:t>.</w:t>
      </w:r>
    </w:p>
    <w:p>
      <w:pPr>
        <w:spacing w:after="0" w:line="225" w:lineRule="exact"/>
        <w:rPr>
          <w:sz w:val="20"/>
          <w:szCs w:val="20"/>
          <w:color w:val="auto"/>
        </w:rPr>
      </w:pPr>
    </w:p>
    <w:p>
      <w:pPr>
        <w:jc w:val="both"/>
        <w:ind w:firstLine="1944"/>
        <w:spacing w:after="0" w:line="301" w:lineRule="auto"/>
        <w:rPr>
          <w:sz w:val="20"/>
          <w:szCs w:val="20"/>
          <w:color w:val="auto"/>
        </w:rPr>
      </w:pPr>
      <w:r>
        <w:rPr>
          <w:rFonts w:ascii="Arial" w:cs="Arial" w:eastAsia="Arial" w:hAnsi="Arial"/>
          <w:sz w:val="16"/>
          <w:szCs w:val="16"/>
          <w:color w:val="auto"/>
        </w:rPr>
        <w:t xml:space="preserve">4.3.1 Whenever the number of Ordinary Shares purchasable upon the exercise of the Warrants is adjusted, as provided in </w:t>
      </w:r>
      <w:r>
        <w:rPr>
          <w:rFonts w:ascii="Arial" w:cs="Arial" w:eastAsia="Arial" w:hAnsi="Arial"/>
          <w:sz w:val="16"/>
          <w:szCs w:val="16"/>
          <w:u w:val="single" w:color="auto"/>
          <w:color w:val="auto"/>
        </w:rPr>
        <w:t>subsection 4.1.1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4.2</w:t>
      </w:r>
      <w:r>
        <w:rPr>
          <w:rFonts w:ascii="Arial" w:cs="Arial" w:eastAsia="Arial" w:hAnsi="Arial"/>
          <w:sz w:val="16"/>
          <w:szCs w:val="16"/>
          <w:color w:val="auto"/>
        </w:rPr>
        <w:t xml:space="preserve"> above, the Warrant Price shall be adjusted (to the nearest cent) by multiplying such Warrant Price immediately prior to such adjustment by a fraction (x) the numerator of which shall be the number of Ordinary Shares purchasable upon the exercise of the Warrants immediately prior to such adjustment, and (y) the denominator of which shall be the number of Ordinary Shares so purchasable immediately thereafter.</w:t>
      </w:r>
    </w:p>
    <w:p>
      <w:pPr>
        <w:spacing w:after="0" w:line="157" w:lineRule="exact"/>
        <w:rPr>
          <w:sz w:val="20"/>
          <w:szCs w:val="20"/>
          <w:color w:val="auto"/>
        </w:rPr>
      </w:pPr>
    </w:p>
    <w:p>
      <w:pPr>
        <w:jc w:val="both"/>
        <w:ind w:firstLine="1944"/>
        <w:spacing w:after="0" w:line="287" w:lineRule="auto"/>
        <w:rPr>
          <w:sz w:val="20"/>
          <w:szCs w:val="20"/>
          <w:color w:val="auto"/>
        </w:rPr>
      </w:pPr>
      <w:r>
        <w:rPr>
          <w:rFonts w:ascii="Arial" w:cs="Arial" w:eastAsia="Arial" w:hAnsi="Arial"/>
          <w:sz w:val="16"/>
          <w:szCs w:val="16"/>
          <w:color w:val="auto"/>
        </w:rPr>
        <w:t>4.3.2 If (x) the Company issues additional Ordinary Shares or equity-linked securities for capital raising purposes in connection with the closing of the initial Business Combination at an issue price or effective issue price of less than $9.20 per Ordinary Share (with such issue price or effective issue price to be determined in good faith by the Board and, in the case of any such issuance to the initial shareholders (as defined in the Prospectus) or their affiliates, without taking into account any Class B Ordinary Shares (as defined below) held by such shareholders or their affiliates, as applicable, prior to such issuance (the “</w:t>
      </w:r>
      <w:r>
        <w:rPr>
          <w:rFonts w:ascii="Arial" w:cs="Arial" w:eastAsia="Arial" w:hAnsi="Arial"/>
          <w:sz w:val="16"/>
          <w:szCs w:val="16"/>
          <w:b w:val="1"/>
          <w:bCs w:val="1"/>
          <w:i w:val="1"/>
          <w:iCs w:val="1"/>
          <w:color w:val="auto"/>
        </w:rPr>
        <w:t>Newly Issued Price</w:t>
      </w:r>
      <w:r>
        <w:rPr>
          <w:rFonts w:ascii="Arial" w:cs="Arial" w:eastAsia="Arial" w:hAnsi="Arial"/>
          <w:sz w:val="16"/>
          <w:szCs w:val="16"/>
          <w:color w:val="auto"/>
        </w:rPr>
        <w:t>”)), (y) the aggregate gross proceeds from such issuances represent more than 60% of the total equity proceeds, and interest thereon, available for funding the initial Business Combination on the date of the completion of the Company’s initial Business Combination (net of redemptions), and (z) the volume weighted average trading price of the Ordinary Shares during the 20 trading day period starting on the trading day prior to the day on which the Company consummates the Business Combination (such price, the “</w:t>
      </w:r>
      <w:r>
        <w:rPr>
          <w:rFonts w:ascii="Arial" w:cs="Arial" w:eastAsia="Arial" w:hAnsi="Arial"/>
          <w:sz w:val="16"/>
          <w:szCs w:val="16"/>
          <w:b w:val="1"/>
          <w:bCs w:val="1"/>
          <w:i w:val="1"/>
          <w:iCs w:val="1"/>
          <w:color w:val="auto"/>
        </w:rPr>
        <w:t>Market Value</w:t>
      </w:r>
      <w:r>
        <w:rPr>
          <w:rFonts w:ascii="Arial" w:cs="Arial" w:eastAsia="Arial" w:hAnsi="Arial"/>
          <w:sz w:val="16"/>
          <w:szCs w:val="16"/>
          <w:color w:val="auto"/>
        </w:rPr>
        <w:t xml:space="preserve">”) is below $9.20 per share, the Warrant Price shall be adjusted (to the nearest cent) to be equal to 115% of the higher of the Market Value and the Newly Issued Price, and the $10.00 and $18.00 per share redemption trigger prices described in </w:t>
      </w:r>
      <w:r>
        <w:rPr>
          <w:rFonts w:ascii="Arial" w:cs="Arial" w:eastAsia="Arial" w:hAnsi="Arial"/>
          <w:sz w:val="16"/>
          <w:szCs w:val="16"/>
          <w:u w:val="single" w:color="auto"/>
          <w:color w:val="auto"/>
        </w:rPr>
        <w:t>Section 6.2</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6.1</w:t>
      </w:r>
      <w:r>
        <w:rPr>
          <w:rFonts w:ascii="Arial" w:cs="Arial" w:eastAsia="Arial" w:hAnsi="Arial"/>
          <w:sz w:val="16"/>
          <w:szCs w:val="16"/>
          <w:color w:val="auto"/>
        </w:rPr>
        <w:t>, respectively, shall be adjusted (to the nearest cent) to be equal to 100% and 180%, respectively, of the higher of the Market Value and the Newly Issued Price.</w:t>
      </w:r>
    </w:p>
    <w:p>
      <w:pPr>
        <w:spacing w:after="0" w:line="172" w:lineRule="exact"/>
        <w:rPr>
          <w:sz w:val="20"/>
          <w:szCs w:val="20"/>
          <w:color w:val="auto"/>
        </w:rPr>
      </w:pPr>
    </w:p>
    <w:p>
      <w:pPr>
        <w:jc w:val="both"/>
        <w:ind w:firstLine="1296"/>
        <w:spacing w:after="0" w:line="284" w:lineRule="auto"/>
        <w:rPr>
          <w:sz w:val="20"/>
          <w:szCs w:val="20"/>
          <w:color w:val="auto"/>
        </w:rPr>
      </w:pPr>
      <w:r>
        <w:rPr>
          <w:rFonts w:ascii="Arial" w:cs="Arial" w:eastAsia="Arial" w:hAnsi="Arial"/>
          <w:sz w:val="16"/>
          <w:szCs w:val="16"/>
          <w:color w:val="auto"/>
        </w:rPr>
        <w:t xml:space="preserve">4.4 </w:t>
      </w:r>
      <w:r>
        <w:rPr>
          <w:rFonts w:ascii="Arial" w:cs="Arial" w:eastAsia="Arial" w:hAnsi="Arial"/>
          <w:sz w:val="16"/>
          <w:szCs w:val="16"/>
          <w:u w:val="single" w:color="auto"/>
          <w:color w:val="auto"/>
        </w:rPr>
        <w:t>Replacement of Securities upon Reorganization, etc</w:t>
      </w:r>
      <w:r>
        <w:rPr>
          <w:rFonts w:ascii="Arial" w:cs="Arial" w:eastAsia="Arial" w:hAnsi="Arial"/>
          <w:sz w:val="16"/>
          <w:szCs w:val="16"/>
          <w:color w:val="auto"/>
        </w:rPr>
        <w:t xml:space="preserve">. In case of any reclassification or reorganization of the outstanding Ordinary Shares (other than a change under </w:t>
      </w:r>
      <w:r>
        <w:rPr>
          <w:rFonts w:ascii="Arial" w:cs="Arial" w:eastAsia="Arial" w:hAnsi="Arial"/>
          <w:sz w:val="16"/>
          <w:szCs w:val="16"/>
          <w:u w:val="single" w:color="auto"/>
          <w:color w:val="auto"/>
        </w:rPr>
        <w:t>subsections 4.1.1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4.1.2</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4.2</w:t>
      </w:r>
      <w:r>
        <w:rPr>
          <w:rFonts w:ascii="Arial" w:cs="Arial" w:eastAsia="Arial" w:hAnsi="Arial"/>
          <w:sz w:val="16"/>
          <w:szCs w:val="16"/>
          <w:color w:val="auto"/>
        </w:rPr>
        <w:t xml:space="preserve"> hereof or that solely affects the par value of such Ordinary Shares), or in the case of any merger or consolidation of the Company with or into another entity or conversion of the Company as another entity (other than a consolidation or merger in which the Company is the continuing corporation and that does not result in any reclassification or reorganization of the outstanding Ordinary Shares), or in the case of any sale or conveyance to another entity of the assets or other property of the Company as an entirety or substantially as an entirety in connection with which the Company is dissolved, the holders of the Warrants shall thereafter have the right to purchase and receive, upon the basis and upon the terms and conditions specified in the Warrants and in lieu of the Ordinary Shares of the Company immediately theretofore purchasable and receivable upon the exercise of the rights represented thereby, the kind and amount of shares or other securities or property (including cash) receivable upon such reclassification, reorganization, merger or consolidation, or upon a dissolution following any such sale or transfer, that the holder of the Warrants would have received if such holder had exercised his, her or its Warrant(s) immediately prior to such event (the “</w:t>
      </w:r>
      <w:r>
        <w:rPr>
          <w:rFonts w:ascii="Arial" w:cs="Arial" w:eastAsia="Arial" w:hAnsi="Arial"/>
          <w:sz w:val="16"/>
          <w:szCs w:val="16"/>
          <w:b w:val="1"/>
          <w:bCs w:val="1"/>
          <w:i w:val="1"/>
          <w:iCs w:val="1"/>
          <w:color w:val="auto"/>
        </w:rPr>
        <w:t>Alternative Issuance</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(i) if the holders of the Ordinary Shares were entitled to exercise a right of election as to the kind or amount of securities, cash or other assets receivable upon such consolidation or merger, then the kind and amount of securities, cash or other assets constituting the Alternative Issuance for which each Warrant shall become exercisable shall be deemed to be the weighted average of the kind and amount received per share by the holders of the Ordinary Shares in such consolidation or merger that affirmatively make such election, and (ii) if a tender, exchange or redemption offer shall have been made to and accepted by the holders of the Ordinary Shares (other than a tender, exchange or redemption offer made by the Company in connection with redemption rights held by shareholders of the Company as provided for in the Charter or as a result of the redemption of Ordinary Shares by the Company if a proposed initial Business Combination is presented to the shareholders of the Company for approval) under circumstances in which, upon completion of such tender or exchange offer, the maker thereof, together with members of any group (within the meaning of Rule 13d-5(b)(1) under the Exchange Act (or any successor rule)) of which such maker is a part, and together with any affiliate or associate of such maker (within the meaning of Rule 12b-2 under the Exchange Act (or any successor rule)) and any members of any such group of which any such affiliate or associate is a part, own beneficially (within the meaning of Rule 13d-3 under the Exchange Act (or any successor rule)) more than 50% of the outstanding Ordinary Shares, the holder of a Warrant shall be entitled to receive as the Alternative Issuance, the highest amount of cash, securities or other property to which such holder would actually have been entitled as a shareholder if such Warrant holder had exercised the Warrant prior to the expiration of such tender or exchange offer, accepted such offer and all of the Ordinary Shares held by such holder had been purchased pursuant to such tender or exchange offer, subject to adjustments (from and after the consummation of such tender or exchange offer) as nearly equivalent as possible to the adjustments provided for in this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if less than 70% of the consideration receivable by the holders of the Ordinary Shares in the</w:t>
      </w:r>
    </w:p>
    <w:p>
      <w:pPr>
        <w:spacing w:after="0" w:line="27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248" w:name="page249"/>
    <w:bookmarkEnd w:id="248"/>
    <w:p>
      <w:pPr>
        <w:jc w:val="both"/>
        <w:spacing w:after="0" w:line="285" w:lineRule="auto"/>
        <w:rPr>
          <w:sz w:val="20"/>
          <w:szCs w:val="20"/>
          <w:color w:val="auto"/>
        </w:rPr>
      </w:pPr>
      <w:r>
        <w:rPr>
          <w:rFonts w:ascii="Arial" w:cs="Arial" w:eastAsia="Arial" w:hAnsi="Arial"/>
          <w:sz w:val="16"/>
          <w:szCs w:val="16"/>
          <w:color w:val="auto"/>
        </w:rPr>
        <w:t>applicable event is payable in the form of capital stock or shares in the successor entity that is listed for trading on a national securities exchange or is quoted in an established over-the-counter market, or is to be so listed for trading or quoted immediately following such event, and if the Registered Holder properly exercises the Warrant within thirty (30) days following the public disclosure of the consummation of such applicable event by the Company pursuant to a Current Report on Form 8-K filed with the Commission, the Warrant Price shall be reduced by an amount (in dollars) equal to the difference (but in no event less than zero) of (i) the Warrant Price in effect prior to such reduction minus (ii) (A) the Per Share Consideration (as defined below) minus</w:t>
      </w:r>
    </w:p>
    <w:p>
      <w:pPr>
        <w:spacing w:after="0" w:line="2" w:lineRule="exact"/>
        <w:rPr>
          <w:sz w:val="20"/>
          <w:szCs w:val="20"/>
          <w:color w:val="auto"/>
        </w:rPr>
      </w:pPr>
    </w:p>
    <w:p>
      <w:pPr>
        <w:jc w:val="both"/>
        <w:ind w:firstLine="8"/>
        <w:spacing w:after="0" w:line="267" w:lineRule="auto"/>
        <w:tabs>
          <w:tab w:leader="none" w:pos="307" w:val="left"/>
        </w:tabs>
        <w:numPr>
          <w:ilvl w:val="0"/>
          <w:numId w:val="154"/>
        </w:numPr>
        <w:rPr>
          <w:rFonts w:ascii="Arial" w:cs="Arial" w:eastAsia="Arial" w:hAnsi="Arial"/>
          <w:sz w:val="17"/>
          <w:szCs w:val="17"/>
          <w:color w:val="auto"/>
        </w:rPr>
      </w:pPr>
      <w:r>
        <w:rPr>
          <w:rFonts w:ascii="Arial" w:cs="Arial" w:eastAsia="Arial" w:hAnsi="Arial"/>
          <w:sz w:val="17"/>
          <w:szCs w:val="17"/>
          <w:color w:val="auto"/>
        </w:rPr>
        <w:t>the Black-Scholes Warrant Value (as defined below). The “</w:t>
      </w:r>
      <w:r>
        <w:rPr>
          <w:rFonts w:ascii="Arial" w:cs="Arial" w:eastAsia="Arial" w:hAnsi="Arial"/>
          <w:sz w:val="17"/>
          <w:szCs w:val="17"/>
          <w:b w:val="1"/>
          <w:bCs w:val="1"/>
          <w:i w:val="1"/>
          <w:iCs w:val="1"/>
          <w:color w:val="auto"/>
        </w:rPr>
        <w:t>Black-Scholes Warrant Value</w:t>
      </w:r>
      <w:r>
        <w:rPr>
          <w:rFonts w:ascii="Arial" w:cs="Arial" w:eastAsia="Arial" w:hAnsi="Arial"/>
          <w:sz w:val="17"/>
          <w:szCs w:val="17"/>
          <w:color w:val="auto"/>
        </w:rPr>
        <w:t>” means the value of a Warrant immediately prior to the consummation of the applicable event based on the Black-Scholes Warrant Model for a Capped American Call on Bloomberg Financial Markets (assuming zero dividends) (“</w:t>
      </w:r>
      <w:r>
        <w:rPr>
          <w:rFonts w:ascii="Arial" w:cs="Arial" w:eastAsia="Arial" w:hAnsi="Arial"/>
          <w:sz w:val="17"/>
          <w:szCs w:val="17"/>
          <w:b w:val="1"/>
          <w:bCs w:val="1"/>
          <w:i w:val="1"/>
          <w:iCs w:val="1"/>
          <w:color w:val="auto"/>
        </w:rPr>
        <w:t>Bloomberg</w:t>
      </w:r>
      <w:r>
        <w:rPr>
          <w:rFonts w:ascii="Arial" w:cs="Arial" w:eastAsia="Arial" w:hAnsi="Arial"/>
          <w:sz w:val="17"/>
          <w:szCs w:val="17"/>
          <w:color w:val="auto"/>
        </w:rPr>
        <w:t xml:space="preserve">”). For purposes of calculating such amount, (1) </w:t>
      </w:r>
      <w:r>
        <w:rPr>
          <w:rFonts w:ascii="Arial" w:cs="Arial" w:eastAsia="Arial" w:hAnsi="Arial"/>
          <w:sz w:val="17"/>
          <w:szCs w:val="17"/>
          <w:u w:val="single" w:color="auto"/>
          <w:color w:val="auto"/>
        </w:rPr>
        <w:t>Section 6</w:t>
      </w:r>
      <w:r>
        <w:rPr>
          <w:rFonts w:ascii="Arial" w:cs="Arial" w:eastAsia="Arial" w:hAnsi="Arial"/>
          <w:sz w:val="17"/>
          <w:szCs w:val="17"/>
          <w:color w:val="auto"/>
        </w:rPr>
        <w:t xml:space="preserve"> of this Agreement shall be taken into account, (2) the price of each Ordinary Share shall be the volume weighted average price of the Ordinary Shares as reported during the ten (10) trading day period ending on the trading day prior to the effective date of the applicable event, (3) the assumed volatility shall be the 90 day volatility obtained from the HVT function on Bloomberg determined as of the trading day immediately prior to the day of the announcement of the applicable event, and (4) the assumed risk-free interest rate shall correspond to the U.S. Treasury rate for a period equal to the remaining term of the Warrant. “</w:t>
      </w:r>
      <w:r>
        <w:rPr>
          <w:rFonts w:ascii="Arial" w:cs="Arial" w:eastAsia="Arial" w:hAnsi="Arial"/>
          <w:sz w:val="17"/>
          <w:szCs w:val="17"/>
          <w:b w:val="1"/>
          <w:bCs w:val="1"/>
          <w:i w:val="1"/>
          <w:iCs w:val="1"/>
          <w:color w:val="auto"/>
        </w:rPr>
        <w:t>Per Share Consideration</w:t>
      </w:r>
      <w:r>
        <w:rPr>
          <w:rFonts w:ascii="Arial" w:cs="Arial" w:eastAsia="Arial" w:hAnsi="Arial"/>
          <w:sz w:val="17"/>
          <w:szCs w:val="17"/>
          <w:color w:val="auto"/>
        </w:rPr>
        <w:t xml:space="preserve">” means (i) if the consideration paid to holders of the Ordinary Shares consists exclusively of cash, the amount of such cash per Ordinary Share, and (ii) in all other cases, the volume weighted average price of the Ordinary Shares during the ten (10) trading day period ending on the trading day prior to the effective date of the applicable event. If any reclassification or reorganization also results in a change in Ordinary Shares covered by </w:t>
      </w:r>
      <w:r>
        <w:rPr>
          <w:rFonts w:ascii="Arial" w:cs="Arial" w:eastAsia="Arial" w:hAnsi="Arial"/>
          <w:sz w:val="17"/>
          <w:szCs w:val="17"/>
          <w:u w:val="single" w:color="auto"/>
          <w:color w:val="auto"/>
        </w:rPr>
        <w:t>subsection 4.1.1,</w:t>
      </w:r>
      <w:r>
        <w:rPr>
          <w:rFonts w:ascii="Arial" w:cs="Arial" w:eastAsia="Arial" w:hAnsi="Arial"/>
          <w:sz w:val="17"/>
          <w:szCs w:val="17"/>
          <w:color w:val="auto"/>
        </w:rPr>
        <w:t xml:space="preserve"> then such adjustment shall be made pursuant to </w:t>
      </w:r>
      <w:r>
        <w:rPr>
          <w:rFonts w:ascii="Arial" w:cs="Arial" w:eastAsia="Arial" w:hAnsi="Arial"/>
          <w:sz w:val="17"/>
          <w:szCs w:val="17"/>
          <w:u w:val="single" w:color="auto"/>
          <w:color w:val="auto"/>
        </w:rPr>
        <w:t>subsection 4.1.1</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Sections 4.2</w:t>
      </w:r>
      <w:r>
        <w:rPr>
          <w:rFonts w:ascii="Arial" w:cs="Arial" w:eastAsia="Arial" w:hAnsi="Arial"/>
          <w:sz w:val="17"/>
          <w:szCs w:val="17"/>
          <w:color w:val="auto"/>
        </w:rPr>
        <w:t xml:space="preserve">, </w:t>
      </w:r>
      <w:r>
        <w:rPr>
          <w:rFonts w:ascii="Arial" w:cs="Arial" w:eastAsia="Arial" w:hAnsi="Arial"/>
          <w:sz w:val="17"/>
          <w:szCs w:val="17"/>
          <w:u w:val="single" w:color="auto"/>
          <w:color w:val="auto"/>
        </w:rPr>
        <w:t>4.3</w:t>
      </w:r>
      <w:r>
        <w:rPr>
          <w:rFonts w:ascii="Arial" w:cs="Arial" w:eastAsia="Arial" w:hAnsi="Arial"/>
          <w:sz w:val="17"/>
          <w:szCs w:val="17"/>
          <w:color w:val="auto"/>
        </w:rPr>
        <w:t xml:space="preserve"> and this </w:t>
      </w:r>
      <w:r>
        <w:rPr>
          <w:rFonts w:ascii="Arial" w:cs="Arial" w:eastAsia="Arial" w:hAnsi="Arial"/>
          <w:sz w:val="17"/>
          <w:szCs w:val="17"/>
          <w:u w:val="single" w:color="auto"/>
          <w:color w:val="auto"/>
        </w:rPr>
        <w:t>Section 4.4</w:t>
      </w:r>
      <w:r>
        <w:rPr>
          <w:rFonts w:ascii="Arial" w:cs="Arial" w:eastAsia="Arial" w:hAnsi="Arial"/>
          <w:sz w:val="17"/>
          <w:szCs w:val="17"/>
          <w:color w:val="auto"/>
        </w:rPr>
        <w:t xml:space="preserve">. The provisions of this </w:t>
      </w:r>
      <w:r>
        <w:rPr>
          <w:rFonts w:ascii="Arial" w:cs="Arial" w:eastAsia="Arial" w:hAnsi="Arial"/>
          <w:sz w:val="17"/>
          <w:szCs w:val="17"/>
          <w:u w:val="single" w:color="auto"/>
          <w:color w:val="auto"/>
        </w:rPr>
        <w:t>Section 4.4</w:t>
      </w:r>
      <w:r>
        <w:rPr>
          <w:rFonts w:ascii="Arial" w:cs="Arial" w:eastAsia="Arial" w:hAnsi="Arial"/>
          <w:sz w:val="17"/>
          <w:szCs w:val="17"/>
          <w:color w:val="auto"/>
        </w:rPr>
        <w:t xml:space="preserve"> shall similarly apply to successive reclassifications, reorganizations, mergers or consolidations, sales or other transfers. In no event will the Warrant Price be reduced to less than the par value per share issuable upon exercise of the Warrant.</w:t>
      </w:r>
    </w:p>
    <w:p>
      <w:pPr>
        <w:spacing w:after="0" w:line="183"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18"/>
          <w:szCs w:val="18"/>
          <w:color w:val="auto"/>
        </w:rPr>
        <w:t xml:space="preserve">4.5 </w:t>
      </w:r>
      <w:r>
        <w:rPr>
          <w:rFonts w:ascii="Arial" w:cs="Arial" w:eastAsia="Arial" w:hAnsi="Arial"/>
          <w:sz w:val="18"/>
          <w:szCs w:val="18"/>
          <w:u w:val="single" w:color="auto"/>
          <w:color w:val="auto"/>
        </w:rPr>
        <w:t>Notices of Changes in Warrant</w:t>
      </w:r>
      <w:r>
        <w:rPr>
          <w:rFonts w:ascii="Arial" w:cs="Arial" w:eastAsia="Arial" w:hAnsi="Arial"/>
          <w:sz w:val="18"/>
          <w:szCs w:val="18"/>
          <w:color w:val="auto"/>
        </w:rPr>
        <w:t xml:space="preserve">. Upon every adjustment of the Warrant Price or the number of Ordinary Shares issuable upon exercise of a Warrant, the Company shall give written notice thereof to the Warrant Agent, which notice shall state the Warrant Price resulting from such adjustment and the increase or decrease, if any, in the number of Ordinary Shares purchasable at such price upon the exercise of a Warrant, setting forth in reasonable detail the method of calculation and the facts upon which such calculation is based. Upon the occurrence of any event specified in </w:t>
      </w:r>
      <w:r>
        <w:rPr>
          <w:rFonts w:ascii="Arial" w:cs="Arial" w:eastAsia="Arial" w:hAnsi="Arial"/>
          <w:sz w:val="18"/>
          <w:szCs w:val="18"/>
          <w:u w:val="single" w:color="auto"/>
          <w:color w:val="auto"/>
        </w:rPr>
        <w:t>Sections 4.1</w:t>
      </w:r>
      <w:r>
        <w:rPr>
          <w:rFonts w:ascii="Arial" w:cs="Arial" w:eastAsia="Arial" w:hAnsi="Arial"/>
          <w:sz w:val="18"/>
          <w:szCs w:val="18"/>
          <w:color w:val="auto"/>
        </w:rPr>
        <w:t xml:space="preserve">, </w:t>
      </w:r>
      <w:r>
        <w:rPr>
          <w:rFonts w:ascii="Arial" w:cs="Arial" w:eastAsia="Arial" w:hAnsi="Arial"/>
          <w:sz w:val="18"/>
          <w:szCs w:val="18"/>
          <w:u w:val="single" w:color="auto"/>
          <w:color w:val="auto"/>
        </w:rPr>
        <w:t>4.2</w:t>
      </w:r>
      <w:r>
        <w:rPr>
          <w:rFonts w:ascii="Arial" w:cs="Arial" w:eastAsia="Arial" w:hAnsi="Arial"/>
          <w:sz w:val="18"/>
          <w:szCs w:val="18"/>
          <w:color w:val="auto"/>
        </w:rPr>
        <w:t xml:space="preserve">, </w:t>
      </w:r>
      <w:r>
        <w:rPr>
          <w:rFonts w:ascii="Arial" w:cs="Arial" w:eastAsia="Arial" w:hAnsi="Arial"/>
          <w:sz w:val="18"/>
          <w:szCs w:val="18"/>
          <w:u w:val="single" w:color="auto"/>
          <w:color w:val="auto"/>
        </w:rPr>
        <w:t>4.3</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4.4</w:t>
      </w:r>
      <w:r>
        <w:rPr>
          <w:rFonts w:ascii="Arial" w:cs="Arial" w:eastAsia="Arial" w:hAnsi="Arial"/>
          <w:sz w:val="18"/>
          <w:szCs w:val="18"/>
          <w:color w:val="auto"/>
        </w:rPr>
        <w:t>, the Company shall give written notice of the occurrence of such event to each holder of a Warrant, at the last address set forth for such holder in the Warrant Register, of the record date or the effective date of the event. Failure to give such notice, or any defect therein, shall not affect the legality or validity of such event.</w:t>
      </w:r>
    </w:p>
    <w:p>
      <w:pPr>
        <w:spacing w:after="0" w:line="195"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 xml:space="preserve">4.6 </w:t>
      </w:r>
      <w:r>
        <w:rPr>
          <w:rFonts w:ascii="Arial" w:cs="Arial" w:eastAsia="Arial" w:hAnsi="Arial"/>
          <w:sz w:val="18"/>
          <w:szCs w:val="18"/>
          <w:u w:val="single" w:color="auto"/>
          <w:color w:val="auto"/>
        </w:rPr>
        <w:t>No Fractional Shares</w:t>
      </w:r>
      <w:r>
        <w:rPr>
          <w:rFonts w:ascii="Arial" w:cs="Arial" w:eastAsia="Arial" w:hAnsi="Arial"/>
          <w:sz w:val="18"/>
          <w:szCs w:val="18"/>
          <w:color w:val="auto"/>
        </w:rPr>
        <w:t xml:space="preserve">. Notwithstanding any provision contained in this Agreement to the contrary, the Company shall not issue fractional Ordinary Shares upon the exercise of Warrants. If, by reason of any adjustment made pursuant to this </w:t>
      </w:r>
      <w:r>
        <w:rPr>
          <w:rFonts w:ascii="Arial" w:cs="Arial" w:eastAsia="Arial" w:hAnsi="Arial"/>
          <w:sz w:val="18"/>
          <w:szCs w:val="18"/>
          <w:u w:val="single" w:color="auto"/>
          <w:color w:val="auto"/>
        </w:rPr>
        <w:t>Section 4,</w:t>
      </w:r>
      <w:r>
        <w:rPr>
          <w:rFonts w:ascii="Arial" w:cs="Arial" w:eastAsia="Arial" w:hAnsi="Arial"/>
          <w:sz w:val="18"/>
          <w:szCs w:val="18"/>
          <w:color w:val="auto"/>
        </w:rPr>
        <w:t xml:space="preserve"> the holder of any Warrant would be entitled, upon the exercise of such Warrant, to receive a fractional interest in a share, the Company shall, upon such exercise, round down to the nearest whole number the number of Ordinary Shares to be issued to such holder.</w:t>
      </w:r>
    </w:p>
    <w:p>
      <w:pPr>
        <w:spacing w:after="0" w:line="187" w:lineRule="exact"/>
        <w:rPr>
          <w:sz w:val="20"/>
          <w:szCs w:val="20"/>
          <w:color w:val="auto"/>
        </w:rPr>
      </w:pPr>
    </w:p>
    <w:p>
      <w:pPr>
        <w:jc w:val="both"/>
        <w:ind w:firstLine="1296"/>
        <w:spacing w:after="0" w:line="275" w:lineRule="auto"/>
        <w:rPr>
          <w:sz w:val="20"/>
          <w:szCs w:val="20"/>
          <w:color w:val="auto"/>
        </w:rPr>
      </w:pPr>
      <w:r>
        <w:rPr>
          <w:rFonts w:ascii="Arial" w:cs="Arial" w:eastAsia="Arial" w:hAnsi="Arial"/>
          <w:sz w:val="17"/>
          <w:szCs w:val="17"/>
          <w:color w:val="auto"/>
        </w:rPr>
        <w:t xml:space="preserve">4.7 </w:t>
      </w:r>
      <w:r>
        <w:rPr>
          <w:rFonts w:ascii="Arial" w:cs="Arial" w:eastAsia="Arial" w:hAnsi="Arial"/>
          <w:sz w:val="17"/>
          <w:szCs w:val="17"/>
          <w:u w:val="single" w:color="auto"/>
          <w:color w:val="auto"/>
        </w:rPr>
        <w:t>Form of Warrant</w:t>
      </w:r>
      <w:r>
        <w:rPr>
          <w:rFonts w:ascii="Arial" w:cs="Arial" w:eastAsia="Arial" w:hAnsi="Arial"/>
          <w:sz w:val="17"/>
          <w:szCs w:val="17"/>
          <w:color w:val="auto"/>
        </w:rPr>
        <w:t xml:space="preserve">. The form of Warrant need not be changed because of any adjustment pursuant to this </w:t>
      </w:r>
      <w:r>
        <w:rPr>
          <w:rFonts w:ascii="Arial" w:cs="Arial" w:eastAsia="Arial" w:hAnsi="Arial"/>
          <w:sz w:val="17"/>
          <w:szCs w:val="17"/>
          <w:u w:val="single" w:color="auto"/>
          <w:color w:val="auto"/>
        </w:rPr>
        <w:t>Section 4,</w:t>
      </w:r>
      <w:r>
        <w:rPr>
          <w:rFonts w:ascii="Arial" w:cs="Arial" w:eastAsia="Arial" w:hAnsi="Arial"/>
          <w:sz w:val="17"/>
          <w:szCs w:val="17"/>
          <w:color w:val="auto"/>
        </w:rPr>
        <w:t xml:space="preserve"> and Warrants issued after such adjustment may state the same Warrant Price and the same number of Ordinary Shares as is stated in the Warrants initially issued pursuant to this Agreement; </w:t>
      </w:r>
      <w:r>
        <w:rPr>
          <w:rFonts w:ascii="Arial" w:cs="Arial" w:eastAsia="Arial" w:hAnsi="Arial"/>
          <w:sz w:val="17"/>
          <w:szCs w:val="17"/>
          <w:u w:val="single" w:color="auto"/>
          <w:color w:val="auto"/>
        </w:rPr>
        <w:t>provided, however,</w:t>
      </w:r>
      <w:r>
        <w:rPr>
          <w:rFonts w:ascii="Arial" w:cs="Arial" w:eastAsia="Arial" w:hAnsi="Arial"/>
          <w:sz w:val="17"/>
          <w:szCs w:val="17"/>
          <w:color w:val="auto"/>
        </w:rPr>
        <w:t xml:space="preserve"> that the Company may at any time in its sole discretion make any change in the form of Warrant that the Company may deem appropriate and that does not affect the substance thereof, and any Warrant thereafter issued or countersigned, whether in exchange or substitution for an outstanding Warrant or otherwise, may be in the form as so changed.</w:t>
      </w:r>
    </w:p>
    <w:p>
      <w:pPr>
        <w:spacing w:after="0" w:line="176"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18"/>
          <w:szCs w:val="18"/>
          <w:color w:val="auto"/>
        </w:rPr>
        <w:t xml:space="preserve">4.8 </w:t>
      </w:r>
      <w:r>
        <w:rPr>
          <w:rFonts w:ascii="Arial" w:cs="Arial" w:eastAsia="Arial" w:hAnsi="Arial"/>
          <w:sz w:val="18"/>
          <w:szCs w:val="18"/>
          <w:u w:val="single" w:color="auto"/>
          <w:color w:val="auto"/>
        </w:rPr>
        <w:t>Other Events.</w:t>
      </w:r>
      <w:r>
        <w:rPr>
          <w:rFonts w:ascii="Arial" w:cs="Arial" w:eastAsia="Arial" w:hAnsi="Arial"/>
          <w:sz w:val="18"/>
          <w:szCs w:val="18"/>
          <w:color w:val="auto"/>
        </w:rPr>
        <w:t xml:space="preserve"> In case any event shall occur affecting the Company as to which none of the provisions of preceding subsections of this </w:t>
      </w:r>
      <w:r>
        <w:rPr>
          <w:rFonts w:ascii="Arial" w:cs="Arial" w:eastAsia="Arial" w:hAnsi="Arial"/>
          <w:sz w:val="18"/>
          <w:szCs w:val="18"/>
          <w:u w:val="single" w:color="auto"/>
          <w:color w:val="auto"/>
        </w:rPr>
        <w:t>Section 4</w:t>
      </w:r>
      <w:r>
        <w:rPr>
          <w:rFonts w:ascii="Arial" w:cs="Arial" w:eastAsia="Arial" w:hAnsi="Arial"/>
          <w:sz w:val="18"/>
          <w:szCs w:val="18"/>
          <w:color w:val="auto"/>
        </w:rPr>
        <w:t xml:space="preserve"> are strictly applicable, but which would require an adjustment to the terms of the Warrants in order to (i) avoid an adverse impact on the Warrants and (ii) effectuate the intent and purpose of this </w:t>
      </w:r>
      <w:r>
        <w:rPr>
          <w:rFonts w:ascii="Arial" w:cs="Arial" w:eastAsia="Arial" w:hAnsi="Arial"/>
          <w:sz w:val="18"/>
          <w:szCs w:val="18"/>
          <w:u w:val="single" w:color="auto"/>
          <w:color w:val="auto"/>
        </w:rPr>
        <w:t>Section 4</w:t>
      </w:r>
      <w:r>
        <w:rPr>
          <w:rFonts w:ascii="Arial" w:cs="Arial" w:eastAsia="Arial" w:hAnsi="Arial"/>
          <w:sz w:val="18"/>
          <w:szCs w:val="18"/>
          <w:color w:val="auto"/>
        </w:rPr>
        <w:t xml:space="preserve">, then, in each such case, the Company shall appoint a firm of independent public accountants, investment banking or other appraisal firm of recognized national standing, which shall give its opinion as to whether or not any adjustment to the rights represented by the Warrants is necessary to effectuate the intent and purpose of this </w:t>
      </w:r>
      <w:r>
        <w:rPr>
          <w:rFonts w:ascii="Arial" w:cs="Arial" w:eastAsia="Arial" w:hAnsi="Arial"/>
          <w:sz w:val="18"/>
          <w:szCs w:val="18"/>
          <w:u w:val="single" w:color="auto"/>
          <w:color w:val="auto"/>
        </w:rPr>
        <w:t>Section 4</w:t>
      </w:r>
      <w:r>
        <w:rPr>
          <w:rFonts w:ascii="Arial" w:cs="Arial" w:eastAsia="Arial" w:hAnsi="Arial"/>
          <w:sz w:val="18"/>
          <w:szCs w:val="18"/>
          <w:color w:val="auto"/>
        </w:rPr>
        <w:t xml:space="preserve"> and, if they determine that an adjustment is necessary, the terms of such adjustment. The Company shall adjust the terms of the Warrants in a manner that is consistent with any adjustment recommended in such opinion.</w:t>
      </w:r>
    </w:p>
    <w:p>
      <w:pPr>
        <w:spacing w:after="0" w:line="19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 xml:space="preserve">4.9 </w:t>
      </w:r>
      <w:r>
        <w:rPr>
          <w:rFonts w:ascii="Arial" w:cs="Arial" w:eastAsia="Arial" w:hAnsi="Arial"/>
          <w:sz w:val="18"/>
          <w:szCs w:val="18"/>
          <w:u w:val="single" w:color="auto"/>
          <w:color w:val="auto"/>
        </w:rPr>
        <w:t>No Adjustment.</w:t>
      </w:r>
      <w:r>
        <w:rPr>
          <w:rFonts w:ascii="Arial" w:cs="Arial" w:eastAsia="Arial" w:hAnsi="Arial"/>
          <w:sz w:val="18"/>
          <w:szCs w:val="18"/>
          <w:color w:val="auto"/>
        </w:rPr>
        <w:t xml:space="preserve"> For the avoidance of doubt, no adjustment shall be made to the terms of the Warrants solely as a result of an adjustment to the conversion ratio of the Company’s Class B ordinary shares (the “</w:t>
      </w:r>
      <w:r>
        <w:rPr>
          <w:rFonts w:ascii="Arial" w:cs="Arial" w:eastAsia="Arial" w:hAnsi="Arial"/>
          <w:sz w:val="18"/>
          <w:szCs w:val="18"/>
          <w:b w:val="1"/>
          <w:bCs w:val="1"/>
          <w:i w:val="1"/>
          <w:iCs w:val="1"/>
          <w:color w:val="auto"/>
        </w:rPr>
        <w:t>Class B Ordinary Shares</w:t>
      </w:r>
      <w:r>
        <w:rPr>
          <w:rFonts w:ascii="Arial" w:cs="Arial" w:eastAsia="Arial" w:hAnsi="Arial"/>
          <w:sz w:val="18"/>
          <w:szCs w:val="18"/>
          <w:color w:val="auto"/>
        </w:rPr>
        <w:t>”) into Ordinary Shares or the conversion of the Class B Ordinary Shares into Ordinary Shares, in each case, pursuant to the Charter.</w:t>
      </w:r>
    </w:p>
    <w:p>
      <w:pPr>
        <w:spacing w:after="0" w:line="29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249" w:name="page250"/>
    <w:bookmarkEnd w:id="249"/>
    <w:p>
      <w:pPr>
        <w:ind w:left="840" w:hanging="184"/>
        <w:spacing w:after="0"/>
        <w:tabs>
          <w:tab w:leader="none" w:pos="840" w:val="left"/>
        </w:tabs>
        <w:numPr>
          <w:ilvl w:val="0"/>
          <w:numId w:val="155"/>
        </w:numPr>
        <w:rPr>
          <w:rFonts w:ascii="Arial" w:cs="Arial" w:eastAsia="Arial" w:hAnsi="Arial"/>
          <w:sz w:val="18"/>
          <w:szCs w:val="18"/>
          <w:color w:val="auto"/>
        </w:rPr>
      </w:pPr>
      <w:r>
        <w:rPr>
          <w:rFonts w:ascii="Arial" w:cs="Arial" w:eastAsia="Arial" w:hAnsi="Arial"/>
          <w:sz w:val="18"/>
          <w:szCs w:val="18"/>
          <w:u w:val="single" w:color="auto"/>
          <w:color w:val="auto"/>
        </w:rPr>
        <w:t>Transfer and Exchange of Warrants</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75" w:lineRule="auto"/>
        <w:rPr>
          <w:sz w:val="20"/>
          <w:szCs w:val="20"/>
          <w:color w:val="auto"/>
        </w:rPr>
      </w:pPr>
      <w:r>
        <w:rPr>
          <w:rFonts w:ascii="Arial" w:cs="Arial" w:eastAsia="Arial" w:hAnsi="Arial"/>
          <w:sz w:val="17"/>
          <w:szCs w:val="17"/>
          <w:color w:val="auto"/>
        </w:rPr>
        <w:t xml:space="preserve">5.1 </w:t>
      </w:r>
      <w:r>
        <w:rPr>
          <w:rFonts w:ascii="Arial" w:cs="Arial" w:eastAsia="Arial" w:hAnsi="Arial"/>
          <w:sz w:val="17"/>
          <w:szCs w:val="17"/>
          <w:u w:val="single" w:color="auto"/>
          <w:color w:val="auto"/>
        </w:rPr>
        <w:t>Registration of Transfer.</w:t>
      </w:r>
      <w:r>
        <w:rPr>
          <w:rFonts w:ascii="Arial" w:cs="Arial" w:eastAsia="Arial" w:hAnsi="Arial"/>
          <w:sz w:val="17"/>
          <w:szCs w:val="17"/>
          <w:color w:val="auto"/>
        </w:rPr>
        <w:t xml:space="preserve"> The Warrant Agent shall register the transfer, from time to time, of any outstanding Warrant upon the Warrant Register, upon surrender of such Warrant for transfer, in the case of a certificated Warrant, properly endorsed with signatures properly guaranteed and accompanied by appropriate instructions for transfer. Upon any such transfer, a new Warrant representing an equal aggregate number of Warrants shall be issued and the old Warrant shall be cancelled by the Warrant Agent. In the case of certificated Warrants, the Warrants so cancelled shall be delivered by the Warrant Agent to the Company from time to time upon request.</w:t>
      </w:r>
    </w:p>
    <w:p>
      <w:pPr>
        <w:spacing w:after="0" w:line="176"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Procedure for Surrender of Warrants.</w:t>
      </w:r>
      <w:r>
        <w:rPr>
          <w:rFonts w:ascii="Arial" w:cs="Arial" w:eastAsia="Arial" w:hAnsi="Arial"/>
          <w:sz w:val="18"/>
          <w:szCs w:val="18"/>
          <w:color w:val="auto"/>
        </w:rPr>
        <w:t xml:space="preserve"> Warrants may be surrendered to the Warrant Agent, together with a written request for exchange or transfer, and thereupon the Warrant Agent shall issue in exchange therefor one or more new Warrants as requested by the Registered Holder of the Warrants so surrendered, representing an equal aggregate number of Warrants; </w:t>
      </w:r>
      <w:r>
        <w:rPr>
          <w:rFonts w:ascii="Arial" w:cs="Arial" w:eastAsia="Arial" w:hAnsi="Arial"/>
          <w:sz w:val="18"/>
          <w:szCs w:val="18"/>
          <w:u w:val="single" w:color="auto"/>
          <w:color w:val="auto"/>
        </w:rPr>
        <w:t>provided, however,</w:t>
      </w:r>
      <w:r>
        <w:rPr>
          <w:rFonts w:ascii="Arial" w:cs="Arial" w:eastAsia="Arial" w:hAnsi="Arial"/>
          <w:sz w:val="18"/>
          <w:szCs w:val="18"/>
          <w:color w:val="auto"/>
        </w:rPr>
        <w:t xml:space="preserve"> that except as otherwise provided herein or in any Book-Entry Warrant Certificate or Definitive Warrant Certificate, each Book-Entry Warrant Certificate and Definitive Warrant Certificate may be transferred only in whole and only to the Depositary, to another nominee of the Depositary, to a successor depository, or to a nominee of a successor depository;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 however,</w:t>
      </w:r>
      <w:r>
        <w:rPr>
          <w:rFonts w:ascii="Arial" w:cs="Arial" w:eastAsia="Arial" w:hAnsi="Arial"/>
          <w:sz w:val="18"/>
          <w:szCs w:val="18"/>
          <w:color w:val="auto"/>
        </w:rPr>
        <w:t xml:space="preserve"> that in the event that a Warrant surrendered for transfer bears a restrictive legend (as in the case of the Private Placement Warrants and the Working Capital Warrants), the Warrant Agent shall not cancel such Warrant and issue new Warrants in exchange thereof until the Warrant Agent has received an opinion of counsel for the Company stating that such transfer may be made and indicating whether the new Warrants must also bear a restrictive legend.</w:t>
      </w:r>
    </w:p>
    <w:p>
      <w:pPr>
        <w:spacing w:after="0" w:line="196" w:lineRule="exact"/>
        <w:rPr>
          <w:sz w:val="20"/>
          <w:szCs w:val="20"/>
          <w:color w:val="auto"/>
        </w:rPr>
      </w:pPr>
    </w:p>
    <w:p>
      <w:pPr>
        <w:jc w:val="both"/>
        <w:ind w:right="20" w:firstLine="1296"/>
        <w:spacing w:after="0" w:line="277"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Fractional Warrants</w:t>
      </w:r>
      <w:r>
        <w:rPr>
          <w:rFonts w:ascii="Arial" w:cs="Arial" w:eastAsia="Arial" w:hAnsi="Arial"/>
          <w:sz w:val="18"/>
          <w:szCs w:val="18"/>
          <w:color w:val="auto"/>
        </w:rPr>
        <w:t>. The Warrant Agent shall not be required to effect any registration of transfer or exchange which shall result in the issuance of a warrant certificate or book-entry position for a fraction of a warrant, except as part of the Units.</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u w:val="single" w:color="auto"/>
          <w:color w:val="auto"/>
        </w:rPr>
        <w:t>Service Charges</w:t>
      </w:r>
      <w:r>
        <w:rPr>
          <w:rFonts w:ascii="Arial" w:cs="Arial" w:eastAsia="Arial" w:hAnsi="Arial"/>
          <w:sz w:val="18"/>
          <w:szCs w:val="18"/>
          <w:color w:val="auto"/>
        </w:rPr>
        <w:t>. No service charge shall be made for any exchange or registration of transfer of Warrants.</w:t>
      </w:r>
    </w:p>
    <w:p>
      <w:pPr>
        <w:spacing w:after="0" w:line="225"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7"/>
          <w:szCs w:val="17"/>
          <w:color w:val="auto"/>
        </w:rPr>
        <w:t xml:space="preserve">5.5 </w:t>
      </w:r>
      <w:r>
        <w:rPr>
          <w:rFonts w:ascii="Arial" w:cs="Arial" w:eastAsia="Arial" w:hAnsi="Arial"/>
          <w:sz w:val="17"/>
          <w:szCs w:val="17"/>
          <w:u w:val="single" w:color="auto"/>
          <w:color w:val="auto"/>
        </w:rPr>
        <w:t>Warrant Execution and Countersignature</w:t>
      </w:r>
      <w:r>
        <w:rPr>
          <w:rFonts w:ascii="Arial" w:cs="Arial" w:eastAsia="Arial" w:hAnsi="Arial"/>
          <w:sz w:val="17"/>
          <w:szCs w:val="17"/>
          <w:color w:val="auto"/>
        </w:rPr>
        <w:t xml:space="preserve">. The Warrant Agent is hereby authorized to countersign and to deliver, in accordance with the terms of this Agreement, the Warrants required to be issued pursuant to the provisions of this </w:t>
      </w:r>
      <w:r>
        <w:rPr>
          <w:rFonts w:ascii="Arial" w:cs="Arial" w:eastAsia="Arial" w:hAnsi="Arial"/>
          <w:sz w:val="17"/>
          <w:szCs w:val="17"/>
          <w:u w:val="single" w:color="auto"/>
          <w:color w:val="auto"/>
        </w:rPr>
        <w:t>Section 5,</w:t>
      </w:r>
      <w:r>
        <w:rPr>
          <w:rFonts w:ascii="Arial" w:cs="Arial" w:eastAsia="Arial" w:hAnsi="Arial"/>
          <w:sz w:val="17"/>
          <w:szCs w:val="17"/>
          <w:color w:val="auto"/>
        </w:rPr>
        <w:t xml:space="preserve"> and the Company, whenever required by the Warrant Agent, shall supply the Warrant Agent with Warrants duly executed on behalf of the Company for such purpose.</w:t>
      </w:r>
    </w:p>
    <w:p>
      <w:pPr>
        <w:spacing w:after="0" w:line="165" w:lineRule="exact"/>
        <w:rPr>
          <w:sz w:val="20"/>
          <w:szCs w:val="20"/>
          <w:color w:val="auto"/>
        </w:rPr>
      </w:pPr>
    </w:p>
    <w:p>
      <w:pPr>
        <w:jc w:val="both"/>
        <w:ind w:firstLine="1296"/>
        <w:spacing w:after="0" w:line="279" w:lineRule="auto"/>
        <w:rPr>
          <w:sz w:val="20"/>
          <w:szCs w:val="20"/>
          <w:color w:val="auto"/>
        </w:rPr>
      </w:pPr>
      <w:r>
        <w:rPr>
          <w:rFonts w:ascii="Arial" w:cs="Arial" w:eastAsia="Arial" w:hAnsi="Arial"/>
          <w:sz w:val="17"/>
          <w:szCs w:val="17"/>
          <w:color w:val="auto"/>
        </w:rPr>
        <w:t xml:space="preserve">5.6 </w:t>
      </w:r>
      <w:r>
        <w:rPr>
          <w:rFonts w:ascii="Arial" w:cs="Arial" w:eastAsia="Arial" w:hAnsi="Arial"/>
          <w:sz w:val="17"/>
          <w:szCs w:val="17"/>
          <w:u w:val="single" w:color="auto"/>
          <w:color w:val="auto"/>
        </w:rPr>
        <w:t>Transfer of Warrants</w:t>
      </w:r>
      <w:r>
        <w:rPr>
          <w:rFonts w:ascii="Arial" w:cs="Arial" w:eastAsia="Arial" w:hAnsi="Arial"/>
          <w:sz w:val="17"/>
          <w:szCs w:val="17"/>
          <w:color w:val="auto"/>
        </w:rPr>
        <w:t xml:space="preserve">. Prior to the Detachment Date, the Public Warrants may be transferred or exchanged only together with the Unit in which such Warrant is included, and only for the purpose of effecting, or in conjunction with, a transfer or exchange of such Unit. Furthermore, each transfer of a Unit on the register relating to such Units shall operate also to transfer the Warrants included in such Unit. Notwithstanding the foregoing, the provisions of this </w:t>
      </w:r>
      <w:r>
        <w:rPr>
          <w:rFonts w:ascii="Arial" w:cs="Arial" w:eastAsia="Arial" w:hAnsi="Arial"/>
          <w:sz w:val="17"/>
          <w:szCs w:val="17"/>
          <w:u w:val="single" w:color="auto"/>
          <w:color w:val="auto"/>
        </w:rPr>
        <w:t>Section 5.6</w:t>
      </w:r>
      <w:r>
        <w:rPr>
          <w:rFonts w:ascii="Arial" w:cs="Arial" w:eastAsia="Arial" w:hAnsi="Arial"/>
          <w:sz w:val="17"/>
          <w:szCs w:val="17"/>
          <w:color w:val="auto"/>
        </w:rPr>
        <w:t xml:space="preserve"> shall have no effect on any transfer of Warrants on and after the Detachment Date.</w:t>
      </w:r>
    </w:p>
    <w:p>
      <w:pPr>
        <w:spacing w:after="0" w:line="171" w:lineRule="exact"/>
        <w:rPr>
          <w:sz w:val="20"/>
          <w:szCs w:val="20"/>
          <w:color w:val="auto"/>
        </w:rPr>
      </w:pPr>
    </w:p>
    <w:p>
      <w:pPr>
        <w:ind w:left="840" w:hanging="184"/>
        <w:spacing w:after="0"/>
        <w:tabs>
          <w:tab w:leader="none" w:pos="840" w:val="left"/>
        </w:tabs>
        <w:numPr>
          <w:ilvl w:val="0"/>
          <w:numId w:val="156"/>
        </w:numPr>
        <w:rPr>
          <w:rFonts w:ascii="Arial" w:cs="Arial" w:eastAsia="Arial" w:hAnsi="Arial"/>
          <w:sz w:val="18"/>
          <w:szCs w:val="18"/>
          <w:color w:val="auto"/>
        </w:rPr>
      </w:pPr>
      <w:r>
        <w:rPr>
          <w:rFonts w:ascii="Arial" w:cs="Arial" w:eastAsia="Arial" w:hAnsi="Arial"/>
          <w:sz w:val="18"/>
          <w:szCs w:val="18"/>
          <w:u w:val="single" w:color="auto"/>
          <w:color w:val="auto"/>
        </w:rPr>
        <w:t>Redemption</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93" w:lineRule="auto"/>
        <w:rPr>
          <w:sz w:val="20"/>
          <w:szCs w:val="20"/>
          <w:color w:val="auto"/>
        </w:rPr>
      </w:pPr>
      <w:r>
        <w:rPr>
          <w:rFonts w:ascii="Arial" w:cs="Arial" w:eastAsia="Arial" w:hAnsi="Arial"/>
          <w:sz w:val="16"/>
          <w:szCs w:val="16"/>
          <w:color w:val="auto"/>
        </w:rPr>
        <w:t xml:space="preserve">6.1 </w:t>
      </w:r>
      <w:r>
        <w:rPr>
          <w:rFonts w:ascii="Arial" w:cs="Arial" w:eastAsia="Arial" w:hAnsi="Arial"/>
          <w:sz w:val="16"/>
          <w:szCs w:val="16"/>
          <w:u w:val="single" w:color="auto"/>
          <w:color w:val="auto"/>
        </w:rPr>
        <w:t>Redemption of Warrants When the Price per Ordinary Share Equals or Exceeds $18.00.</w:t>
      </w:r>
      <w:r>
        <w:rPr>
          <w:rFonts w:ascii="Arial" w:cs="Arial" w:eastAsia="Arial" w:hAnsi="Arial"/>
          <w:sz w:val="16"/>
          <w:szCs w:val="16"/>
          <w:color w:val="auto"/>
        </w:rPr>
        <w:t xml:space="preserve"> Subject to </w:t>
      </w:r>
      <w:r>
        <w:rPr>
          <w:rFonts w:ascii="Arial" w:cs="Arial" w:eastAsia="Arial" w:hAnsi="Arial"/>
          <w:sz w:val="16"/>
          <w:szCs w:val="16"/>
          <w:u w:val="single" w:color="auto"/>
          <w:color w:val="auto"/>
        </w:rPr>
        <w:t>Section 6.5</w:t>
      </w:r>
      <w:r>
        <w:rPr>
          <w:rFonts w:ascii="Arial" w:cs="Arial" w:eastAsia="Arial" w:hAnsi="Arial"/>
          <w:sz w:val="16"/>
          <w:szCs w:val="16"/>
          <w:color w:val="auto"/>
        </w:rPr>
        <w:t xml:space="preserve"> hereof, not less than all of the outstanding Warrants may be redeemed, at the option of the Company, at any time while they are exercisable and prior to their expiration, at the office of the Warrant Agent, upon notice to the Registered Holders of the Warrants, as described in </w:t>
      </w:r>
      <w:r>
        <w:rPr>
          <w:rFonts w:ascii="Arial" w:cs="Arial" w:eastAsia="Arial" w:hAnsi="Arial"/>
          <w:sz w:val="16"/>
          <w:szCs w:val="16"/>
          <w:u w:val="single" w:color="auto"/>
          <w:color w:val="auto"/>
        </w:rPr>
        <w:t>Section 6.3</w:t>
      </w:r>
      <w:r>
        <w:rPr>
          <w:rFonts w:ascii="Arial" w:cs="Arial" w:eastAsia="Arial" w:hAnsi="Arial"/>
          <w:sz w:val="16"/>
          <w:szCs w:val="16"/>
          <w:color w:val="auto"/>
        </w:rPr>
        <w:t xml:space="preserve"> below, at a Redemption Price of $0.01 per Warrant;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the Reference Value (as defined below) equals or exceeds $18.00 per share (subject to adjustment in compliance with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hereof), and (b) there is an effective registration statement covering the issuance of the Ordinary Shares issuable upon exercise of the Warrants, and a current prospectus relating thereto, available throughout the 30-day Redemption Period (as defined in </w:t>
      </w:r>
      <w:r>
        <w:rPr>
          <w:rFonts w:ascii="Arial" w:cs="Arial" w:eastAsia="Arial" w:hAnsi="Arial"/>
          <w:sz w:val="16"/>
          <w:szCs w:val="16"/>
          <w:u w:val="single" w:color="auto"/>
          <w:color w:val="auto"/>
        </w:rPr>
        <w:t>Section 6.3</w:t>
      </w:r>
      <w:r>
        <w:rPr>
          <w:rFonts w:ascii="Arial" w:cs="Arial" w:eastAsia="Arial" w:hAnsi="Arial"/>
          <w:sz w:val="16"/>
          <w:szCs w:val="16"/>
          <w:color w:val="auto"/>
        </w:rPr>
        <w:t xml:space="preserve"> below).</w:t>
      </w:r>
    </w:p>
    <w:p>
      <w:pPr>
        <w:spacing w:after="0" w:line="164" w:lineRule="exact"/>
        <w:rPr>
          <w:sz w:val="20"/>
          <w:szCs w:val="20"/>
          <w:color w:val="auto"/>
        </w:rPr>
      </w:pPr>
    </w:p>
    <w:p>
      <w:pPr>
        <w:ind w:right="20" w:firstLine="1296"/>
        <w:spacing w:after="0" w:line="286" w:lineRule="auto"/>
        <w:rPr>
          <w:sz w:val="20"/>
          <w:szCs w:val="20"/>
          <w:color w:val="auto"/>
        </w:rPr>
      </w:pPr>
      <w:r>
        <w:rPr>
          <w:rFonts w:ascii="Arial" w:cs="Arial" w:eastAsia="Arial" w:hAnsi="Arial"/>
          <w:sz w:val="16"/>
          <w:szCs w:val="16"/>
          <w:color w:val="auto"/>
        </w:rPr>
        <w:t xml:space="preserve">6.2 </w:t>
      </w:r>
      <w:r>
        <w:rPr>
          <w:rFonts w:ascii="Arial" w:cs="Arial" w:eastAsia="Arial" w:hAnsi="Arial"/>
          <w:sz w:val="16"/>
          <w:szCs w:val="16"/>
          <w:u w:val="single" w:color="auto"/>
          <w:color w:val="auto"/>
        </w:rPr>
        <w:t>Redemption of Warrants When the Price per Ordinary Share Equals or Exceeds $10.00</w:t>
      </w:r>
      <w:r>
        <w:rPr>
          <w:rFonts w:ascii="Arial" w:cs="Arial" w:eastAsia="Arial" w:hAnsi="Arial"/>
          <w:sz w:val="16"/>
          <w:szCs w:val="16"/>
          <w:color w:val="auto"/>
        </w:rPr>
        <w:t xml:space="preserve">. Subject to </w:t>
      </w:r>
      <w:r>
        <w:rPr>
          <w:rFonts w:ascii="Arial" w:cs="Arial" w:eastAsia="Arial" w:hAnsi="Arial"/>
          <w:sz w:val="16"/>
          <w:szCs w:val="16"/>
          <w:u w:val="single" w:color="auto"/>
          <w:color w:val="auto"/>
        </w:rPr>
        <w:t>Section 6.5</w:t>
      </w:r>
      <w:r>
        <w:rPr>
          <w:rFonts w:ascii="Arial" w:cs="Arial" w:eastAsia="Arial" w:hAnsi="Arial"/>
          <w:sz w:val="16"/>
          <w:szCs w:val="16"/>
          <w:color w:val="auto"/>
        </w:rPr>
        <w:t xml:space="preserve"> hereof, not less than all of the outstanding Warrants may be redeemed, at the option of the Company, at any time while they are exercisable and prior to their expiration, at the office of the Warrant Agent, upon notice to the Registered Holders of the Warrants, as described in </w:t>
      </w:r>
      <w:r>
        <w:rPr>
          <w:rFonts w:ascii="Arial" w:cs="Arial" w:eastAsia="Arial" w:hAnsi="Arial"/>
          <w:sz w:val="16"/>
          <w:szCs w:val="16"/>
          <w:u w:val="single" w:color="auto"/>
          <w:color w:val="auto"/>
        </w:rPr>
        <w:t>Section 6.3</w:t>
      </w:r>
      <w:r>
        <w:rPr>
          <w:rFonts w:ascii="Arial" w:cs="Arial" w:eastAsia="Arial" w:hAnsi="Arial"/>
          <w:sz w:val="16"/>
          <w:szCs w:val="16"/>
          <w:color w:val="auto"/>
        </w:rPr>
        <w:t xml:space="preserve"> below, at a Redemption Price of $0.10 per Warrant,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the Reference Value equals or exceeds $10.00 per share (subject to adjustment in compliance with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hereof) and (ii) if the Reference Value is less than $18.00 per share (subject to adjustment in compliance with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hereof), the Private Placement Warrants and Working Capital Warrants are also concurrently called for redemption on the same terms as the outstanding Public Warrants. During the 30-day Redemption Period in connection with a redemption pursuant to this Section 6.2, Registered Holders of the Warrants may elect to exercise their Warrants on a “cashless basis” pursuant to </w:t>
      </w:r>
      <w:r>
        <w:rPr>
          <w:rFonts w:ascii="Arial" w:cs="Arial" w:eastAsia="Arial" w:hAnsi="Arial"/>
          <w:sz w:val="16"/>
          <w:szCs w:val="16"/>
          <w:u w:val="single" w:color="auto"/>
          <w:color w:val="auto"/>
        </w:rPr>
        <w:t>subsection 3.3.1</w:t>
      </w:r>
      <w:r>
        <w:rPr>
          <w:rFonts w:ascii="Arial" w:cs="Arial" w:eastAsia="Arial" w:hAnsi="Arial"/>
          <w:sz w:val="16"/>
          <w:szCs w:val="16"/>
          <w:color w:val="auto"/>
        </w:rPr>
        <w:t xml:space="preserve"> and receive a number of Ordinary Shares determined by reference to the table below, based on the Redemption Date (calculated for purposes of the table as the period to expiration of the Warrants) and the “Redemption Fair Market Value” (as such term is defined in this </w:t>
      </w:r>
      <w:r>
        <w:rPr>
          <w:rFonts w:ascii="Arial" w:cs="Arial" w:eastAsia="Arial" w:hAnsi="Arial"/>
          <w:sz w:val="16"/>
          <w:szCs w:val="16"/>
          <w:u w:val="single" w:color="auto"/>
          <w:color w:val="auto"/>
        </w:rPr>
        <w:t>Section 6.2</w:t>
      </w:r>
      <w:r>
        <w:rPr>
          <w:rFonts w:ascii="Arial" w:cs="Arial" w:eastAsia="Arial" w:hAnsi="Arial"/>
          <w:sz w:val="16"/>
          <w:szCs w:val="16"/>
          <w:color w:val="auto"/>
        </w:rPr>
        <w:t>) (a “</w:t>
      </w:r>
      <w:r>
        <w:rPr>
          <w:rFonts w:ascii="Arial" w:cs="Arial" w:eastAsia="Arial" w:hAnsi="Arial"/>
          <w:sz w:val="16"/>
          <w:szCs w:val="16"/>
          <w:b w:val="1"/>
          <w:bCs w:val="1"/>
          <w:i w:val="1"/>
          <w:iCs w:val="1"/>
          <w:color w:val="auto"/>
        </w:rPr>
        <w:t>Make-Whole Exercise</w:t>
      </w:r>
      <w:r>
        <w:rPr>
          <w:rFonts w:ascii="Arial" w:cs="Arial" w:eastAsia="Arial" w:hAnsi="Arial"/>
          <w:sz w:val="16"/>
          <w:szCs w:val="16"/>
          <w:color w:val="auto"/>
        </w:rPr>
        <w:t>”)</w:t>
      </w:r>
      <w:r>
        <w:rPr>
          <w:rFonts w:ascii="Arial" w:cs="Arial" w:eastAsia="Arial" w:hAnsi="Arial"/>
          <w:sz w:val="16"/>
          <w:szCs w:val="16"/>
          <w:i w:val="1"/>
          <w:iCs w:val="1"/>
          <w:color w:val="auto"/>
        </w:rPr>
        <w:t>.</w:t>
      </w:r>
      <w:r>
        <w:rPr>
          <w:rFonts w:ascii="Arial" w:cs="Arial" w:eastAsia="Arial" w:hAnsi="Arial"/>
          <w:sz w:val="16"/>
          <w:szCs w:val="16"/>
          <w:color w:val="auto"/>
        </w:rPr>
        <w:t xml:space="preserve"> Solely for purposes of this </w:t>
      </w:r>
      <w:r>
        <w:rPr>
          <w:rFonts w:ascii="Arial" w:cs="Arial" w:eastAsia="Arial" w:hAnsi="Arial"/>
          <w:sz w:val="16"/>
          <w:szCs w:val="16"/>
          <w:u w:val="single" w:color="auto"/>
          <w:color w:val="auto"/>
        </w:rPr>
        <w:t>Section 6.2</w:t>
      </w:r>
      <w:r>
        <w:rPr>
          <w:rFonts w:ascii="Arial" w:cs="Arial" w:eastAsia="Arial" w:hAnsi="Arial"/>
          <w:sz w:val="16"/>
          <w:szCs w:val="16"/>
          <w:color w:val="auto"/>
        </w:rPr>
        <w:t xml:space="preserve">, the “Redemption Fair Market Value” shall mean the volume weighted average price of the Ordinary Shares for the ten (10) trading days immediately following the date on which notice of redemption pursuant to this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6.2</w:t>
      </w:r>
      <w:r>
        <w:rPr>
          <w:rFonts w:ascii="Arial" w:cs="Arial" w:eastAsia="Arial" w:hAnsi="Arial"/>
          <w:sz w:val="16"/>
          <w:szCs w:val="16"/>
          <w:color w:val="auto"/>
        </w:rPr>
        <w:t xml:space="preserve"> is sent to the Registered Holders. In connection with any redemption pursuant to this </w:t>
      </w:r>
      <w:r>
        <w:rPr>
          <w:rFonts w:ascii="Arial" w:cs="Arial" w:eastAsia="Arial" w:hAnsi="Arial"/>
          <w:sz w:val="16"/>
          <w:szCs w:val="16"/>
          <w:u w:val="single" w:color="auto"/>
          <w:color w:val="auto"/>
        </w:rPr>
        <w:t>Section 6.2</w:t>
      </w:r>
      <w:r>
        <w:rPr>
          <w:rFonts w:ascii="Arial" w:cs="Arial" w:eastAsia="Arial" w:hAnsi="Arial"/>
          <w:sz w:val="16"/>
          <w:szCs w:val="16"/>
          <w:color w:val="auto"/>
        </w:rPr>
        <w:t>, the Company shall provide the Registered Holders with the Redemption Fair Market Value no later than one (1) Business Day after the ten (10) trading day period described above ends.</w:t>
      </w:r>
    </w:p>
    <w:p>
      <w:pPr>
        <w:spacing w:after="0" w:line="28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250" w:name="page251"/>
    <w:bookmarkEnd w:id="250"/>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153275" cy="298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26">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60" w:type="dxa"/>
            <w:vAlign w:val="bottom"/>
            <w:gridSpan w:val="2"/>
          </w:tcPr>
          <w:p>
            <w:pPr>
              <w:spacing w:after="0"/>
              <w:rPr>
                <w:sz w:val="20"/>
                <w:szCs w:val="20"/>
                <w:color w:val="auto"/>
              </w:rPr>
            </w:pPr>
            <w:r>
              <w:rPr>
                <w:rFonts w:ascii="Arial" w:cs="Arial" w:eastAsia="Arial" w:hAnsi="Arial"/>
                <w:sz w:val="18"/>
                <w:szCs w:val="18"/>
                <w:b w:val="1"/>
                <w:bCs w:val="1"/>
                <w:color w:val="auto"/>
              </w:rPr>
              <w:t>Redemption Date</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560" w:type="dxa"/>
            <w:vAlign w:val="bottom"/>
            <w:gridSpan w:val="11"/>
          </w:tcPr>
          <w:p>
            <w:pPr>
              <w:spacing w:after="0"/>
              <w:rPr>
                <w:sz w:val="20"/>
                <w:szCs w:val="20"/>
                <w:color w:val="auto"/>
              </w:rPr>
            </w:pPr>
            <w:r>
              <w:rPr>
                <w:rFonts w:ascii="Arial" w:cs="Arial" w:eastAsia="Arial" w:hAnsi="Arial"/>
                <w:sz w:val="18"/>
                <w:szCs w:val="18"/>
                <w:b w:val="1"/>
                <w:bCs w:val="1"/>
                <w:color w:val="auto"/>
                <w:w w:val="92"/>
              </w:rPr>
              <w:t>Redemption Fair Market Value of Class A ordinary shares</w:t>
            </w: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3040" w:type="dxa"/>
            <w:vAlign w:val="bottom"/>
            <w:tcBorders>
              <w:top w:val="single" w:sz="8" w:color="auto"/>
            </w:tcBorders>
          </w:tcPr>
          <w:p>
            <w:pPr>
              <w:spacing w:after="0" w:line="191" w:lineRule="exact"/>
              <w:rPr>
                <w:sz w:val="20"/>
                <w:szCs w:val="20"/>
                <w:color w:val="auto"/>
              </w:rPr>
            </w:pPr>
            <w:r>
              <w:rPr>
                <w:rFonts w:ascii="Arial" w:cs="Arial" w:eastAsia="Arial" w:hAnsi="Arial"/>
                <w:sz w:val="18"/>
                <w:szCs w:val="18"/>
                <w:b w:val="1"/>
                <w:bCs w:val="1"/>
                <w:color w:val="auto"/>
              </w:rPr>
              <w:t>(period to</w:t>
            </w:r>
          </w:p>
        </w:tc>
        <w:tc>
          <w:tcPr>
            <w:tcW w:w="1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3160" w:type="dxa"/>
            <w:vAlign w:val="bottom"/>
            <w:gridSpan w:val="2"/>
          </w:tcPr>
          <w:p>
            <w:pPr>
              <w:spacing w:after="0"/>
              <w:rPr>
                <w:sz w:val="20"/>
                <w:szCs w:val="20"/>
                <w:color w:val="auto"/>
              </w:rPr>
            </w:pPr>
            <w:r>
              <w:rPr>
                <w:rFonts w:ascii="Arial" w:cs="Arial" w:eastAsia="Arial" w:hAnsi="Arial"/>
                <w:sz w:val="18"/>
                <w:szCs w:val="18"/>
                <w:b w:val="1"/>
                <w:bCs w:val="1"/>
                <w:color w:val="auto"/>
              </w:rPr>
              <w:t>expiration</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4"/>
        </w:trPr>
        <w:tc>
          <w:tcPr>
            <w:tcW w:w="3160" w:type="dxa"/>
            <w:vAlign w:val="bottom"/>
            <w:gridSpan w:val="2"/>
          </w:tcPr>
          <w:p>
            <w:pPr>
              <w:spacing w:after="0" w:line="194" w:lineRule="exact"/>
              <w:rPr>
                <w:sz w:val="20"/>
                <w:szCs w:val="20"/>
                <w:color w:val="auto"/>
              </w:rPr>
            </w:pPr>
            <w:r>
              <w:rPr>
                <w:rFonts w:ascii="Arial" w:cs="Arial" w:eastAsia="Arial" w:hAnsi="Arial"/>
                <w:sz w:val="18"/>
                <w:szCs w:val="18"/>
                <w:b w:val="1"/>
                <w:bCs w:val="1"/>
                <w:color w:val="auto"/>
              </w:rPr>
              <w:t>of warrants)</w:t>
            </w:r>
          </w:p>
        </w:tc>
        <w:tc>
          <w:tcPr>
            <w:tcW w:w="800" w:type="dxa"/>
            <w:vAlign w:val="bottom"/>
            <w:gridSpan w:val="3"/>
          </w:tcPr>
          <w:p>
            <w:pPr>
              <w:jc w:val="right"/>
              <w:ind w:right="50"/>
              <w:spacing w:after="0" w:line="194" w:lineRule="exact"/>
              <w:rPr>
                <w:sz w:val="20"/>
                <w:szCs w:val="20"/>
                <w:color w:val="auto"/>
              </w:rPr>
            </w:pPr>
            <w:r>
              <w:rPr>
                <w:rFonts w:ascii="Arial" w:cs="Arial" w:eastAsia="Arial" w:hAnsi="Arial"/>
                <w:sz w:val="18"/>
                <w:szCs w:val="18"/>
                <w:b w:val="1"/>
                <w:bCs w:val="1"/>
                <w:color w:val="auto"/>
              </w:rPr>
              <w:t>&lt;10.00</w:t>
            </w:r>
          </w:p>
        </w:tc>
        <w:tc>
          <w:tcPr>
            <w:tcW w:w="120" w:type="dxa"/>
            <w:vAlign w:val="bottom"/>
          </w:tcPr>
          <w:p>
            <w:pPr>
              <w:spacing w:after="0"/>
              <w:rPr>
                <w:sz w:val="16"/>
                <w:szCs w:val="16"/>
                <w:color w:val="auto"/>
              </w:rPr>
            </w:pPr>
          </w:p>
        </w:tc>
        <w:tc>
          <w:tcPr>
            <w:tcW w:w="800" w:type="dxa"/>
            <w:vAlign w:val="bottom"/>
          </w:tcPr>
          <w:p>
            <w:pPr>
              <w:jc w:val="right"/>
              <w:ind w:right="110"/>
              <w:spacing w:after="0" w:line="194" w:lineRule="exact"/>
              <w:rPr>
                <w:sz w:val="20"/>
                <w:szCs w:val="20"/>
                <w:color w:val="auto"/>
              </w:rPr>
            </w:pPr>
            <w:r>
              <w:rPr>
                <w:rFonts w:ascii="Arial" w:cs="Arial" w:eastAsia="Arial" w:hAnsi="Arial"/>
                <w:sz w:val="18"/>
                <w:szCs w:val="18"/>
                <w:b w:val="1"/>
                <w:bCs w:val="1"/>
                <w:color w:val="auto"/>
              </w:rPr>
              <w:t>11.00</w:t>
            </w:r>
          </w:p>
        </w:tc>
        <w:tc>
          <w:tcPr>
            <w:tcW w:w="20" w:type="dxa"/>
            <w:vAlign w:val="bottom"/>
          </w:tcPr>
          <w:p>
            <w:pPr>
              <w:spacing w:after="0"/>
              <w:rPr>
                <w:sz w:val="16"/>
                <w:szCs w:val="16"/>
                <w:color w:val="auto"/>
              </w:rPr>
            </w:pPr>
          </w:p>
        </w:tc>
        <w:tc>
          <w:tcPr>
            <w:tcW w:w="880" w:type="dxa"/>
            <w:vAlign w:val="bottom"/>
            <w:gridSpan w:val="2"/>
          </w:tcPr>
          <w:p>
            <w:pPr>
              <w:jc w:val="right"/>
              <w:ind w:right="90"/>
              <w:spacing w:after="0" w:line="194" w:lineRule="exact"/>
              <w:rPr>
                <w:sz w:val="20"/>
                <w:szCs w:val="20"/>
                <w:color w:val="auto"/>
              </w:rPr>
            </w:pPr>
            <w:r>
              <w:rPr>
                <w:rFonts w:ascii="Arial" w:cs="Arial" w:eastAsia="Arial" w:hAnsi="Arial"/>
                <w:sz w:val="18"/>
                <w:szCs w:val="18"/>
                <w:b w:val="1"/>
                <w:bCs w:val="1"/>
                <w:color w:val="auto"/>
              </w:rPr>
              <w:t>12.00</w:t>
            </w:r>
          </w:p>
        </w:tc>
        <w:tc>
          <w:tcPr>
            <w:tcW w:w="120" w:type="dxa"/>
            <w:vAlign w:val="bottom"/>
          </w:tcPr>
          <w:p>
            <w:pPr>
              <w:spacing w:after="0"/>
              <w:rPr>
                <w:sz w:val="16"/>
                <w:szCs w:val="16"/>
                <w:color w:val="auto"/>
              </w:rPr>
            </w:pPr>
          </w:p>
        </w:tc>
        <w:tc>
          <w:tcPr>
            <w:tcW w:w="780" w:type="dxa"/>
            <w:vAlign w:val="bottom"/>
          </w:tcPr>
          <w:p>
            <w:pPr>
              <w:jc w:val="right"/>
              <w:ind w:right="110"/>
              <w:spacing w:after="0" w:line="194" w:lineRule="exact"/>
              <w:rPr>
                <w:sz w:val="20"/>
                <w:szCs w:val="20"/>
                <w:color w:val="auto"/>
              </w:rPr>
            </w:pPr>
            <w:r>
              <w:rPr>
                <w:rFonts w:ascii="Arial" w:cs="Arial" w:eastAsia="Arial" w:hAnsi="Arial"/>
                <w:sz w:val="18"/>
                <w:szCs w:val="18"/>
                <w:b w:val="1"/>
                <w:bCs w:val="1"/>
                <w:color w:val="auto"/>
              </w:rPr>
              <w:t>13.00</w:t>
            </w:r>
          </w:p>
        </w:tc>
        <w:tc>
          <w:tcPr>
            <w:tcW w:w="100" w:type="dxa"/>
            <w:vAlign w:val="bottom"/>
          </w:tcPr>
          <w:p>
            <w:pPr>
              <w:spacing w:after="0"/>
              <w:rPr>
                <w:sz w:val="16"/>
                <w:szCs w:val="16"/>
                <w:color w:val="auto"/>
              </w:rPr>
            </w:pPr>
          </w:p>
        </w:tc>
        <w:tc>
          <w:tcPr>
            <w:tcW w:w="780" w:type="dxa"/>
            <w:vAlign w:val="bottom"/>
          </w:tcPr>
          <w:p>
            <w:pPr>
              <w:ind w:left="200"/>
              <w:spacing w:after="0" w:line="194" w:lineRule="exact"/>
              <w:rPr>
                <w:sz w:val="20"/>
                <w:szCs w:val="20"/>
                <w:color w:val="auto"/>
              </w:rPr>
            </w:pPr>
            <w:r>
              <w:rPr>
                <w:rFonts w:ascii="Arial" w:cs="Arial" w:eastAsia="Arial" w:hAnsi="Arial"/>
                <w:sz w:val="18"/>
                <w:szCs w:val="18"/>
                <w:b w:val="1"/>
                <w:bCs w:val="1"/>
                <w:color w:val="auto"/>
              </w:rPr>
              <w:t>14.00</w:t>
            </w:r>
          </w:p>
        </w:tc>
        <w:tc>
          <w:tcPr>
            <w:tcW w:w="120" w:type="dxa"/>
            <w:vAlign w:val="bottom"/>
          </w:tcPr>
          <w:p>
            <w:pPr>
              <w:spacing w:after="0"/>
              <w:rPr>
                <w:sz w:val="16"/>
                <w:szCs w:val="16"/>
                <w:color w:val="auto"/>
              </w:rPr>
            </w:pPr>
          </w:p>
        </w:tc>
        <w:tc>
          <w:tcPr>
            <w:tcW w:w="780" w:type="dxa"/>
            <w:vAlign w:val="bottom"/>
          </w:tcPr>
          <w:p>
            <w:pPr>
              <w:jc w:val="right"/>
              <w:ind w:right="110"/>
              <w:spacing w:after="0" w:line="194" w:lineRule="exact"/>
              <w:rPr>
                <w:sz w:val="20"/>
                <w:szCs w:val="20"/>
                <w:color w:val="auto"/>
              </w:rPr>
            </w:pPr>
            <w:r>
              <w:rPr>
                <w:rFonts w:ascii="Arial" w:cs="Arial" w:eastAsia="Arial" w:hAnsi="Arial"/>
                <w:sz w:val="18"/>
                <w:szCs w:val="18"/>
                <w:b w:val="1"/>
                <w:bCs w:val="1"/>
                <w:color w:val="auto"/>
              </w:rPr>
              <w:t>15.00</w:t>
            </w:r>
          </w:p>
        </w:tc>
        <w:tc>
          <w:tcPr>
            <w:tcW w:w="100" w:type="dxa"/>
            <w:vAlign w:val="bottom"/>
          </w:tcPr>
          <w:p>
            <w:pPr>
              <w:spacing w:after="0"/>
              <w:rPr>
                <w:sz w:val="16"/>
                <w:szCs w:val="16"/>
                <w:color w:val="auto"/>
              </w:rPr>
            </w:pPr>
          </w:p>
        </w:tc>
        <w:tc>
          <w:tcPr>
            <w:tcW w:w="780" w:type="dxa"/>
            <w:vAlign w:val="bottom"/>
          </w:tcPr>
          <w:p>
            <w:pPr>
              <w:ind w:left="200"/>
              <w:spacing w:after="0" w:line="194" w:lineRule="exact"/>
              <w:rPr>
                <w:sz w:val="20"/>
                <w:szCs w:val="20"/>
                <w:color w:val="auto"/>
              </w:rPr>
            </w:pPr>
            <w:r>
              <w:rPr>
                <w:rFonts w:ascii="Arial" w:cs="Arial" w:eastAsia="Arial" w:hAnsi="Arial"/>
                <w:sz w:val="18"/>
                <w:szCs w:val="18"/>
                <w:b w:val="1"/>
                <w:bCs w:val="1"/>
                <w:color w:val="auto"/>
              </w:rPr>
              <w:t>16.00</w:t>
            </w:r>
          </w:p>
        </w:tc>
        <w:tc>
          <w:tcPr>
            <w:tcW w:w="120" w:type="dxa"/>
            <w:vAlign w:val="bottom"/>
          </w:tcPr>
          <w:p>
            <w:pPr>
              <w:spacing w:after="0"/>
              <w:rPr>
                <w:sz w:val="16"/>
                <w:szCs w:val="16"/>
                <w:color w:val="auto"/>
              </w:rPr>
            </w:pPr>
          </w:p>
        </w:tc>
        <w:tc>
          <w:tcPr>
            <w:tcW w:w="780" w:type="dxa"/>
            <w:vAlign w:val="bottom"/>
          </w:tcPr>
          <w:p>
            <w:pPr>
              <w:jc w:val="right"/>
              <w:ind w:right="90"/>
              <w:spacing w:after="0" w:line="194" w:lineRule="exact"/>
              <w:rPr>
                <w:sz w:val="20"/>
                <w:szCs w:val="20"/>
                <w:color w:val="auto"/>
              </w:rPr>
            </w:pPr>
            <w:r>
              <w:rPr>
                <w:rFonts w:ascii="Arial" w:cs="Arial" w:eastAsia="Arial" w:hAnsi="Arial"/>
                <w:sz w:val="18"/>
                <w:szCs w:val="18"/>
                <w:b w:val="1"/>
                <w:bCs w:val="1"/>
                <w:color w:val="auto"/>
              </w:rPr>
              <w:t>17.00</w:t>
            </w:r>
          </w:p>
        </w:tc>
        <w:tc>
          <w:tcPr>
            <w:tcW w:w="100" w:type="dxa"/>
            <w:vAlign w:val="bottom"/>
          </w:tcPr>
          <w:p>
            <w:pPr>
              <w:spacing w:after="0"/>
              <w:rPr>
                <w:sz w:val="16"/>
                <w:szCs w:val="16"/>
                <w:color w:val="auto"/>
              </w:rPr>
            </w:pPr>
          </w:p>
        </w:tc>
        <w:tc>
          <w:tcPr>
            <w:tcW w:w="800" w:type="dxa"/>
            <w:vAlign w:val="bottom"/>
            <w:gridSpan w:val="3"/>
          </w:tcPr>
          <w:p>
            <w:pPr>
              <w:jc w:val="right"/>
              <w:ind w:right="140"/>
              <w:spacing w:after="0" w:line="194" w:lineRule="exact"/>
              <w:rPr>
                <w:sz w:val="20"/>
                <w:szCs w:val="20"/>
                <w:color w:val="auto"/>
              </w:rPr>
            </w:pPr>
            <w:r>
              <w:rPr>
                <w:rFonts w:ascii="Arial" w:cs="Arial" w:eastAsia="Arial" w:hAnsi="Arial"/>
                <w:sz w:val="18"/>
                <w:szCs w:val="18"/>
                <w:b w:val="1"/>
                <w:bCs w:val="1"/>
                <w:color w:val="auto"/>
              </w:rPr>
              <w:t>&gt;18.00</w:t>
            </w:r>
          </w:p>
        </w:tc>
        <w:tc>
          <w:tcPr>
            <w:tcW w:w="100" w:type="dxa"/>
            <w:vAlign w:val="bottom"/>
          </w:tcPr>
          <w:p>
            <w:pPr>
              <w:spacing w:after="0"/>
              <w:rPr>
                <w:sz w:val="16"/>
                <w:szCs w:val="16"/>
                <w:color w:val="auto"/>
              </w:rPr>
            </w:pPr>
          </w:p>
        </w:tc>
      </w:tr>
      <w:tr>
        <w:trPr>
          <w:trHeight w:val="20"/>
        </w:trPr>
        <w:tc>
          <w:tcPr>
            <w:tcW w:w="3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r>
      <w:tr>
        <w:trPr>
          <w:trHeight w:val="210"/>
        </w:trPr>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60 months</w:t>
            </w:r>
          </w:p>
        </w:tc>
        <w:tc>
          <w:tcPr>
            <w:tcW w:w="1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0.261</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0.281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0.297</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0.311</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ind w:left="380"/>
              <w:spacing w:after="0"/>
              <w:rPr>
                <w:sz w:val="20"/>
                <w:szCs w:val="20"/>
                <w:color w:val="auto"/>
              </w:rPr>
            </w:pPr>
            <w:r>
              <w:rPr>
                <w:rFonts w:ascii="Arial" w:cs="Arial" w:eastAsia="Arial" w:hAnsi="Arial"/>
                <w:sz w:val="18"/>
                <w:szCs w:val="18"/>
                <w:color w:val="auto"/>
                <w:w w:val="84"/>
              </w:rPr>
              <w:t>0.324</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0.337</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ind w:left="380"/>
              <w:spacing w:after="0"/>
              <w:rPr>
                <w:sz w:val="20"/>
                <w:szCs w:val="20"/>
                <w:color w:val="auto"/>
              </w:rPr>
            </w:pPr>
            <w:r>
              <w:rPr>
                <w:rFonts w:ascii="Arial" w:cs="Arial" w:eastAsia="Arial" w:hAnsi="Arial"/>
                <w:sz w:val="18"/>
                <w:szCs w:val="18"/>
                <w:color w:val="auto"/>
                <w:w w:val="84"/>
              </w:rPr>
              <w:t>0.348</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0.358</w:t>
            </w: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0.361</w:t>
            </w:r>
          </w:p>
        </w:tc>
        <w:tc>
          <w:tcPr>
            <w:tcW w:w="100" w:type="dxa"/>
            <w:vAlign w:val="bottom"/>
            <w:shd w:val="clear" w:color="auto" w:fill="CCEEFF"/>
          </w:tcPr>
          <w:p>
            <w:pPr>
              <w:spacing w:after="0"/>
              <w:rPr>
                <w:sz w:val="18"/>
                <w:szCs w:val="18"/>
                <w:color w:val="auto"/>
              </w:rPr>
            </w:pPr>
          </w:p>
        </w:tc>
      </w:tr>
      <w:tr>
        <w:trPr>
          <w:trHeight w:val="216"/>
        </w:trPr>
        <w:tc>
          <w:tcPr>
            <w:tcW w:w="3160" w:type="dxa"/>
            <w:vAlign w:val="bottom"/>
            <w:gridSpan w:val="2"/>
          </w:tcPr>
          <w:p>
            <w:pPr>
              <w:spacing w:after="0"/>
              <w:rPr>
                <w:sz w:val="20"/>
                <w:szCs w:val="20"/>
                <w:color w:val="auto"/>
              </w:rPr>
            </w:pPr>
            <w:r>
              <w:rPr>
                <w:rFonts w:ascii="Arial" w:cs="Arial" w:eastAsia="Arial" w:hAnsi="Arial"/>
                <w:sz w:val="18"/>
                <w:szCs w:val="18"/>
                <w:color w:val="auto"/>
              </w:rPr>
              <w:t>57 months</w:t>
            </w:r>
          </w:p>
        </w:tc>
        <w:tc>
          <w:tcPr>
            <w:tcW w:w="920" w:type="dxa"/>
            <w:vAlign w:val="bottom"/>
            <w:gridSpan w:val="4"/>
          </w:tcPr>
          <w:p>
            <w:pPr>
              <w:jc w:val="right"/>
              <w:ind w:right="120"/>
              <w:spacing w:after="0"/>
              <w:rPr>
                <w:sz w:val="20"/>
                <w:szCs w:val="20"/>
                <w:color w:val="auto"/>
              </w:rPr>
            </w:pPr>
            <w:r>
              <w:rPr>
                <w:rFonts w:ascii="Arial" w:cs="Arial" w:eastAsia="Arial" w:hAnsi="Arial"/>
                <w:sz w:val="18"/>
                <w:szCs w:val="18"/>
                <w:color w:val="auto"/>
              </w:rPr>
              <w:t>0.257</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0.277</w:t>
            </w:r>
          </w:p>
        </w:tc>
        <w:tc>
          <w:tcPr>
            <w:tcW w:w="1000" w:type="dxa"/>
            <w:vAlign w:val="bottom"/>
            <w:gridSpan w:val="3"/>
          </w:tcPr>
          <w:p>
            <w:pPr>
              <w:jc w:val="right"/>
              <w:ind w:right="120"/>
              <w:spacing w:after="0"/>
              <w:rPr>
                <w:sz w:val="20"/>
                <w:szCs w:val="20"/>
                <w:color w:val="auto"/>
              </w:rPr>
            </w:pPr>
            <w:r>
              <w:rPr>
                <w:rFonts w:ascii="Arial" w:cs="Arial" w:eastAsia="Arial" w:hAnsi="Arial"/>
                <w:sz w:val="18"/>
                <w:szCs w:val="18"/>
                <w:color w:val="auto"/>
              </w:rPr>
              <w:t>0.294</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0.310</w:t>
            </w:r>
          </w:p>
        </w:tc>
        <w:tc>
          <w:tcPr>
            <w:tcW w:w="900" w:type="dxa"/>
            <w:vAlign w:val="bottom"/>
            <w:gridSpan w:val="2"/>
          </w:tcPr>
          <w:p>
            <w:pPr>
              <w:ind w:left="380"/>
              <w:spacing w:after="0"/>
              <w:rPr>
                <w:sz w:val="20"/>
                <w:szCs w:val="20"/>
                <w:color w:val="auto"/>
              </w:rPr>
            </w:pPr>
            <w:r>
              <w:rPr>
                <w:rFonts w:ascii="Arial" w:cs="Arial" w:eastAsia="Arial" w:hAnsi="Arial"/>
                <w:sz w:val="18"/>
                <w:szCs w:val="18"/>
                <w:color w:val="auto"/>
              </w:rPr>
              <w:t>0.324</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0.337</w:t>
            </w:r>
          </w:p>
        </w:tc>
        <w:tc>
          <w:tcPr>
            <w:tcW w:w="900" w:type="dxa"/>
            <w:vAlign w:val="bottom"/>
            <w:gridSpan w:val="2"/>
          </w:tcPr>
          <w:p>
            <w:pPr>
              <w:ind w:left="380"/>
              <w:spacing w:after="0"/>
              <w:rPr>
                <w:sz w:val="20"/>
                <w:szCs w:val="20"/>
                <w:color w:val="auto"/>
              </w:rPr>
            </w:pPr>
            <w:r>
              <w:rPr>
                <w:rFonts w:ascii="Arial" w:cs="Arial" w:eastAsia="Arial" w:hAnsi="Arial"/>
                <w:sz w:val="18"/>
                <w:szCs w:val="18"/>
                <w:color w:val="auto"/>
              </w:rPr>
              <w:t>0.348</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0.358</w:t>
            </w:r>
          </w:p>
        </w:tc>
        <w:tc>
          <w:tcPr>
            <w:tcW w:w="900" w:type="dxa"/>
            <w:vAlign w:val="bottom"/>
            <w:gridSpan w:val="4"/>
          </w:tcPr>
          <w:p>
            <w:pPr>
              <w:jc w:val="right"/>
              <w:ind w:right="100"/>
              <w:spacing w:after="0"/>
              <w:rPr>
                <w:sz w:val="20"/>
                <w:szCs w:val="20"/>
                <w:color w:val="auto"/>
              </w:rPr>
            </w:pPr>
            <w:r>
              <w:rPr>
                <w:rFonts w:ascii="Arial" w:cs="Arial" w:eastAsia="Arial" w:hAnsi="Arial"/>
                <w:sz w:val="18"/>
                <w:szCs w:val="18"/>
                <w:color w:val="auto"/>
              </w:rPr>
              <w:t>0.361</w:t>
            </w:r>
          </w:p>
        </w:tc>
      </w:tr>
      <w:tr>
        <w:trPr>
          <w:trHeight w:val="216"/>
        </w:trPr>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54 months</w:t>
            </w:r>
          </w:p>
        </w:tc>
        <w:tc>
          <w:tcPr>
            <w:tcW w:w="92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0.252</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0.272</w:t>
            </w:r>
          </w:p>
        </w:tc>
        <w:tc>
          <w:tcPr>
            <w:tcW w:w="10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0.291</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0.307</w:t>
            </w:r>
          </w:p>
        </w:tc>
        <w:tc>
          <w:tcPr>
            <w:tcW w:w="9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0.322</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0.335</w:t>
            </w:r>
          </w:p>
        </w:tc>
        <w:tc>
          <w:tcPr>
            <w:tcW w:w="9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0.347</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0.357</w:t>
            </w:r>
          </w:p>
        </w:tc>
        <w:tc>
          <w:tcPr>
            <w:tcW w:w="9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0.361</w:t>
            </w:r>
          </w:p>
        </w:tc>
      </w:tr>
      <w:tr>
        <w:trPr>
          <w:trHeight w:val="216"/>
        </w:trPr>
        <w:tc>
          <w:tcPr>
            <w:tcW w:w="3160" w:type="dxa"/>
            <w:vAlign w:val="bottom"/>
            <w:gridSpan w:val="2"/>
          </w:tcPr>
          <w:p>
            <w:pPr>
              <w:spacing w:after="0"/>
              <w:rPr>
                <w:sz w:val="20"/>
                <w:szCs w:val="20"/>
                <w:color w:val="auto"/>
              </w:rPr>
            </w:pPr>
            <w:r>
              <w:rPr>
                <w:rFonts w:ascii="Arial" w:cs="Arial" w:eastAsia="Arial" w:hAnsi="Arial"/>
                <w:sz w:val="18"/>
                <w:szCs w:val="18"/>
                <w:color w:val="auto"/>
              </w:rPr>
              <w:t>51 months</w:t>
            </w:r>
          </w:p>
        </w:tc>
        <w:tc>
          <w:tcPr>
            <w:tcW w:w="920" w:type="dxa"/>
            <w:vAlign w:val="bottom"/>
            <w:gridSpan w:val="4"/>
          </w:tcPr>
          <w:p>
            <w:pPr>
              <w:jc w:val="right"/>
              <w:ind w:right="120"/>
              <w:spacing w:after="0"/>
              <w:rPr>
                <w:sz w:val="20"/>
                <w:szCs w:val="20"/>
                <w:color w:val="auto"/>
              </w:rPr>
            </w:pPr>
            <w:r>
              <w:rPr>
                <w:rFonts w:ascii="Arial" w:cs="Arial" w:eastAsia="Arial" w:hAnsi="Arial"/>
                <w:sz w:val="18"/>
                <w:szCs w:val="18"/>
                <w:color w:val="auto"/>
              </w:rPr>
              <w:t>0.246</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0.268</w:t>
            </w:r>
          </w:p>
        </w:tc>
        <w:tc>
          <w:tcPr>
            <w:tcW w:w="1000" w:type="dxa"/>
            <w:vAlign w:val="bottom"/>
            <w:gridSpan w:val="3"/>
          </w:tcPr>
          <w:p>
            <w:pPr>
              <w:jc w:val="right"/>
              <w:ind w:right="120"/>
              <w:spacing w:after="0"/>
              <w:rPr>
                <w:sz w:val="20"/>
                <w:szCs w:val="20"/>
                <w:color w:val="auto"/>
              </w:rPr>
            </w:pPr>
            <w:r>
              <w:rPr>
                <w:rFonts w:ascii="Arial" w:cs="Arial" w:eastAsia="Arial" w:hAnsi="Arial"/>
                <w:sz w:val="18"/>
                <w:szCs w:val="18"/>
                <w:color w:val="auto"/>
              </w:rPr>
              <w:t>0.287</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0.304</w:t>
            </w:r>
          </w:p>
        </w:tc>
        <w:tc>
          <w:tcPr>
            <w:tcW w:w="900" w:type="dxa"/>
            <w:vAlign w:val="bottom"/>
            <w:gridSpan w:val="2"/>
          </w:tcPr>
          <w:p>
            <w:pPr>
              <w:ind w:left="380"/>
              <w:spacing w:after="0"/>
              <w:rPr>
                <w:sz w:val="20"/>
                <w:szCs w:val="20"/>
                <w:color w:val="auto"/>
              </w:rPr>
            </w:pPr>
            <w:r>
              <w:rPr>
                <w:rFonts w:ascii="Arial" w:cs="Arial" w:eastAsia="Arial" w:hAnsi="Arial"/>
                <w:sz w:val="18"/>
                <w:szCs w:val="18"/>
                <w:color w:val="auto"/>
              </w:rPr>
              <w:t>0.320</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0.333</w:t>
            </w:r>
          </w:p>
        </w:tc>
        <w:tc>
          <w:tcPr>
            <w:tcW w:w="900" w:type="dxa"/>
            <w:vAlign w:val="bottom"/>
            <w:gridSpan w:val="2"/>
          </w:tcPr>
          <w:p>
            <w:pPr>
              <w:ind w:left="380"/>
              <w:spacing w:after="0"/>
              <w:rPr>
                <w:sz w:val="20"/>
                <w:szCs w:val="20"/>
                <w:color w:val="auto"/>
              </w:rPr>
            </w:pPr>
            <w:r>
              <w:rPr>
                <w:rFonts w:ascii="Arial" w:cs="Arial" w:eastAsia="Arial" w:hAnsi="Arial"/>
                <w:sz w:val="18"/>
                <w:szCs w:val="18"/>
                <w:color w:val="auto"/>
              </w:rPr>
              <w:t>0.346</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0.357</w:t>
            </w:r>
          </w:p>
        </w:tc>
        <w:tc>
          <w:tcPr>
            <w:tcW w:w="900" w:type="dxa"/>
            <w:vAlign w:val="bottom"/>
            <w:gridSpan w:val="4"/>
          </w:tcPr>
          <w:p>
            <w:pPr>
              <w:jc w:val="right"/>
              <w:ind w:right="100"/>
              <w:spacing w:after="0"/>
              <w:rPr>
                <w:sz w:val="20"/>
                <w:szCs w:val="20"/>
                <w:color w:val="auto"/>
              </w:rPr>
            </w:pPr>
            <w:r>
              <w:rPr>
                <w:rFonts w:ascii="Arial" w:cs="Arial" w:eastAsia="Arial" w:hAnsi="Arial"/>
                <w:sz w:val="18"/>
                <w:szCs w:val="18"/>
                <w:color w:val="auto"/>
              </w:rPr>
              <w:t>0.361</w:t>
            </w:r>
          </w:p>
        </w:tc>
      </w:tr>
      <w:tr>
        <w:trPr>
          <w:trHeight w:val="216"/>
        </w:trPr>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48 months</w:t>
            </w:r>
          </w:p>
        </w:tc>
        <w:tc>
          <w:tcPr>
            <w:tcW w:w="92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0.241</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0.263</w:t>
            </w:r>
          </w:p>
        </w:tc>
        <w:tc>
          <w:tcPr>
            <w:tcW w:w="10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0.283</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0.301</w:t>
            </w:r>
          </w:p>
        </w:tc>
        <w:tc>
          <w:tcPr>
            <w:tcW w:w="9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0.317</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0.332</w:t>
            </w:r>
          </w:p>
        </w:tc>
        <w:tc>
          <w:tcPr>
            <w:tcW w:w="9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0.344</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0.356</w:t>
            </w:r>
          </w:p>
        </w:tc>
        <w:tc>
          <w:tcPr>
            <w:tcW w:w="9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0.361</w:t>
            </w:r>
          </w:p>
        </w:tc>
      </w:tr>
      <w:tr>
        <w:trPr>
          <w:trHeight w:val="216"/>
        </w:trPr>
        <w:tc>
          <w:tcPr>
            <w:tcW w:w="3160" w:type="dxa"/>
            <w:vAlign w:val="bottom"/>
            <w:gridSpan w:val="2"/>
          </w:tcPr>
          <w:p>
            <w:pPr>
              <w:spacing w:after="0"/>
              <w:rPr>
                <w:sz w:val="20"/>
                <w:szCs w:val="20"/>
                <w:color w:val="auto"/>
              </w:rPr>
            </w:pPr>
            <w:r>
              <w:rPr>
                <w:rFonts w:ascii="Arial" w:cs="Arial" w:eastAsia="Arial" w:hAnsi="Arial"/>
                <w:sz w:val="18"/>
                <w:szCs w:val="18"/>
                <w:color w:val="auto"/>
              </w:rPr>
              <w:t>45 months</w:t>
            </w:r>
          </w:p>
        </w:tc>
        <w:tc>
          <w:tcPr>
            <w:tcW w:w="920" w:type="dxa"/>
            <w:vAlign w:val="bottom"/>
            <w:gridSpan w:val="4"/>
          </w:tcPr>
          <w:p>
            <w:pPr>
              <w:jc w:val="right"/>
              <w:ind w:right="120"/>
              <w:spacing w:after="0"/>
              <w:rPr>
                <w:sz w:val="20"/>
                <w:szCs w:val="20"/>
                <w:color w:val="auto"/>
              </w:rPr>
            </w:pPr>
            <w:r>
              <w:rPr>
                <w:rFonts w:ascii="Arial" w:cs="Arial" w:eastAsia="Arial" w:hAnsi="Arial"/>
                <w:sz w:val="18"/>
                <w:szCs w:val="18"/>
                <w:color w:val="auto"/>
              </w:rPr>
              <w:t>0.235</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0.258</w:t>
            </w:r>
          </w:p>
        </w:tc>
        <w:tc>
          <w:tcPr>
            <w:tcW w:w="1000" w:type="dxa"/>
            <w:vAlign w:val="bottom"/>
            <w:gridSpan w:val="3"/>
          </w:tcPr>
          <w:p>
            <w:pPr>
              <w:jc w:val="right"/>
              <w:ind w:right="120"/>
              <w:spacing w:after="0"/>
              <w:rPr>
                <w:sz w:val="20"/>
                <w:szCs w:val="20"/>
                <w:color w:val="auto"/>
              </w:rPr>
            </w:pPr>
            <w:r>
              <w:rPr>
                <w:rFonts w:ascii="Arial" w:cs="Arial" w:eastAsia="Arial" w:hAnsi="Arial"/>
                <w:sz w:val="18"/>
                <w:szCs w:val="18"/>
                <w:color w:val="auto"/>
              </w:rPr>
              <w:t>0.279</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0.298</w:t>
            </w:r>
          </w:p>
        </w:tc>
        <w:tc>
          <w:tcPr>
            <w:tcW w:w="900" w:type="dxa"/>
            <w:vAlign w:val="bottom"/>
            <w:gridSpan w:val="2"/>
          </w:tcPr>
          <w:p>
            <w:pPr>
              <w:ind w:left="380"/>
              <w:spacing w:after="0"/>
              <w:rPr>
                <w:sz w:val="20"/>
                <w:szCs w:val="20"/>
                <w:color w:val="auto"/>
              </w:rPr>
            </w:pPr>
            <w:r>
              <w:rPr>
                <w:rFonts w:ascii="Arial" w:cs="Arial" w:eastAsia="Arial" w:hAnsi="Arial"/>
                <w:sz w:val="18"/>
                <w:szCs w:val="18"/>
                <w:color w:val="auto"/>
              </w:rPr>
              <w:t>0.315</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0.330</w:t>
            </w:r>
          </w:p>
        </w:tc>
        <w:tc>
          <w:tcPr>
            <w:tcW w:w="900" w:type="dxa"/>
            <w:vAlign w:val="bottom"/>
            <w:gridSpan w:val="2"/>
          </w:tcPr>
          <w:p>
            <w:pPr>
              <w:ind w:left="380"/>
              <w:spacing w:after="0"/>
              <w:rPr>
                <w:sz w:val="20"/>
                <w:szCs w:val="20"/>
                <w:color w:val="auto"/>
              </w:rPr>
            </w:pPr>
            <w:r>
              <w:rPr>
                <w:rFonts w:ascii="Arial" w:cs="Arial" w:eastAsia="Arial" w:hAnsi="Arial"/>
                <w:sz w:val="18"/>
                <w:szCs w:val="18"/>
                <w:color w:val="auto"/>
              </w:rPr>
              <w:t>0.343</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0.356</w:t>
            </w:r>
          </w:p>
        </w:tc>
        <w:tc>
          <w:tcPr>
            <w:tcW w:w="900" w:type="dxa"/>
            <w:vAlign w:val="bottom"/>
            <w:gridSpan w:val="4"/>
          </w:tcPr>
          <w:p>
            <w:pPr>
              <w:jc w:val="right"/>
              <w:ind w:right="100"/>
              <w:spacing w:after="0"/>
              <w:rPr>
                <w:sz w:val="20"/>
                <w:szCs w:val="20"/>
                <w:color w:val="auto"/>
              </w:rPr>
            </w:pPr>
            <w:r>
              <w:rPr>
                <w:rFonts w:ascii="Arial" w:cs="Arial" w:eastAsia="Arial" w:hAnsi="Arial"/>
                <w:sz w:val="18"/>
                <w:szCs w:val="18"/>
                <w:color w:val="auto"/>
              </w:rPr>
              <w:t>0.361</w:t>
            </w:r>
          </w:p>
        </w:tc>
      </w:tr>
      <w:tr>
        <w:trPr>
          <w:trHeight w:val="216"/>
        </w:trPr>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42 months</w:t>
            </w:r>
          </w:p>
        </w:tc>
        <w:tc>
          <w:tcPr>
            <w:tcW w:w="92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0.228</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0.252</w:t>
            </w:r>
          </w:p>
        </w:tc>
        <w:tc>
          <w:tcPr>
            <w:tcW w:w="10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0.274</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0.294</w:t>
            </w:r>
          </w:p>
        </w:tc>
        <w:tc>
          <w:tcPr>
            <w:tcW w:w="9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0.312</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0.328</w:t>
            </w:r>
          </w:p>
        </w:tc>
        <w:tc>
          <w:tcPr>
            <w:tcW w:w="9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0.342</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0.355</w:t>
            </w:r>
          </w:p>
        </w:tc>
        <w:tc>
          <w:tcPr>
            <w:tcW w:w="9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0.361</w:t>
            </w:r>
          </w:p>
        </w:tc>
      </w:tr>
      <w:tr>
        <w:trPr>
          <w:trHeight w:val="216"/>
        </w:trPr>
        <w:tc>
          <w:tcPr>
            <w:tcW w:w="3160" w:type="dxa"/>
            <w:vAlign w:val="bottom"/>
            <w:gridSpan w:val="2"/>
          </w:tcPr>
          <w:p>
            <w:pPr>
              <w:spacing w:after="0"/>
              <w:rPr>
                <w:sz w:val="20"/>
                <w:szCs w:val="20"/>
                <w:color w:val="auto"/>
              </w:rPr>
            </w:pPr>
            <w:r>
              <w:rPr>
                <w:rFonts w:ascii="Arial" w:cs="Arial" w:eastAsia="Arial" w:hAnsi="Arial"/>
                <w:sz w:val="18"/>
                <w:szCs w:val="18"/>
                <w:color w:val="auto"/>
              </w:rPr>
              <w:t>39 months</w:t>
            </w:r>
          </w:p>
        </w:tc>
        <w:tc>
          <w:tcPr>
            <w:tcW w:w="920" w:type="dxa"/>
            <w:vAlign w:val="bottom"/>
            <w:gridSpan w:val="4"/>
          </w:tcPr>
          <w:p>
            <w:pPr>
              <w:jc w:val="right"/>
              <w:ind w:right="120"/>
              <w:spacing w:after="0"/>
              <w:rPr>
                <w:sz w:val="20"/>
                <w:szCs w:val="20"/>
                <w:color w:val="auto"/>
              </w:rPr>
            </w:pPr>
            <w:r>
              <w:rPr>
                <w:rFonts w:ascii="Arial" w:cs="Arial" w:eastAsia="Arial" w:hAnsi="Arial"/>
                <w:sz w:val="18"/>
                <w:szCs w:val="18"/>
                <w:color w:val="auto"/>
              </w:rPr>
              <w:t>0.221</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0.246</w:t>
            </w:r>
          </w:p>
        </w:tc>
        <w:tc>
          <w:tcPr>
            <w:tcW w:w="1000" w:type="dxa"/>
            <w:vAlign w:val="bottom"/>
            <w:gridSpan w:val="3"/>
          </w:tcPr>
          <w:p>
            <w:pPr>
              <w:jc w:val="right"/>
              <w:ind w:right="120"/>
              <w:spacing w:after="0"/>
              <w:rPr>
                <w:sz w:val="20"/>
                <w:szCs w:val="20"/>
                <w:color w:val="auto"/>
              </w:rPr>
            </w:pPr>
            <w:r>
              <w:rPr>
                <w:rFonts w:ascii="Arial" w:cs="Arial" w:eastAsia="Arial" w:hAnsi="Arial"/>
                <w:sz w:val="18"/>
                <w:szCs w:val="18"/>
                <w:color w:val="auto"/>
              </w:rPr>
              <w:t>0.269</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0.290</w:t>
            </w:r>
          </w:p>
        </w:tc>
        <w:tc>
          <w:tcPr>
            <w:tcW w:w="900" w:type="dxa"/>
            <w:vAlign w:val="bottom"/>
            <w:gridSpan w:val="2"/>
          </w:tcPr>
          <w:p>
            <w:pPr>
              <w:ind w:left="380"/>
              <w:spacing w:after="0"/>
              <w:rPr>
                <w:sz w:val="20"/>
                <w:szCs w:val="20"/>
                <w:color w:val="auto"/>
              </w:rPr>
            </w:pPr>
            <w:r>
              <w:rPr>
                <w:rFonts w:ascii="Arial" w:cs="Arial" w:eastAsia="Arial" w:hAnsi="Arial"/>
                <w:sz w:val="18"/>
                <w:szCs w:val="18"/>
                <w:color w:val="auto"/>
              </w:rPr>
              <w:t>0.309</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0.325</w:t>
            </w:r>
          </w:p>
        </w:tc>
        <w:tc>
          <w:tcPr>
            <w:tcW w:w="900" w:type="dxa"/>
            <w:vAlign w:val="bottom"/>
            <w:gridSpan w:val="2"/>
          </w:tcPr>
          <w:p>
            <w:pPr>
              <w:ind w:left="380"/>
              <w:spacing w:after="0"/>
              <w:rPr>
                <w:sz w:val="20"/>
                <w:szCs w:val="20"/>
                <w:color w:val="auto"/>
              </w:rPr>
            </w:pPr>
            <w:r>
              <w:rPr>
                <w:rFonts w:ascii="Arial" w:cs="Arial" w:eastAsia="Arial" w:hAnsi="Arial"/>
                <w:sz w:val="18"/>
                <w:szCs w:val="18"/>
                <w:color w:val="auto"/>
              </w:rPr>
              <w:t>0.340</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0.354</w:t>
            </w:r>
          </w:p>
        </w:tc>
        <w:tc>
          <w:tcPr>
            <w:tcW w:w="900" w:type="dxa"/>
            <w:vAlign w:val="bottom"/>
            <w:gridSpan w:val="4"/>
          </w:tcPr>
          <w:p>
            <w:pPr>
              <w:jc w:val="right"/>
              <w:ind w:right="100"/>
              <w:spacing w:after="0"/>
              <w:rPr>
                <w:sz w:val="20"/>
                <w:szCs w:val="20"/>
                <w:color w:val="auto"/>
              </w:rPr>
            </w:pPr>
            <w:r>
              <w:rPr>
                <w:rFonts w:ascii="Arial" w:cs="Arial" w:eastAsia="Arial" w:hAnsi="Arial"/>
                <w:sz w:val="18"/>
                <w:szCs w:val="18"/>
                <w:color w:val="auto"/>
              </w:rPr>
              <w:t>0.361</w:t>
            </w:r>
          </w:p>
        </w:tc>
      </w:tr>
      <w:tr>
        <w:trPr>
          <w:trHeight w:val="216"/>
        </w:trPr>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36 months</w:t>
            </w:r>
          </w:p>
        </w:tc>
        <w:tc>
          <w:tcPr>
            <w:tcW w:w="92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0.213</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0.239</w:t>
            </w:r>
          </w:p>
        </w:tc>
        <w:tc>
          <w:tcPr>
            <w:tcW w:w="10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0.263</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0.285</w:t>
            </w:r>
          </w:p>
        </w:tc>
        <w:tc>
          <w:tcPr>
            <w:tcW w:w="9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0.305</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0.323</w:t>
            </w:r>
          </w:p>
        </w:tc>
        <w:tc>
          <w:tcPr>
            <w:tcW w:w="9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0.339</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0.353</w:t>
            </w:r>
          </w:p>
        </w:tc>
        <w:tc>
          <w:tcPr>
            <w:tcW w:w="9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0.361</w:t>
            </w:r>
          </w:p>
        </w:tc>
      </w:tr>
      <w:tr>
        <w:trPr>
          <w:trHeight w:val="216"/>
        </w:trPr>
        <w:tc>
          <w:tcPr>
            <w:tcW w:w="3160" w:type="dxa"/>
            <w:vAlign w:val="bottom"/>
            <w:gridSpan w:val="2"/>
          </w:tcPr>
          <w:p>
            <w:pPr>
              <w:spacing w:after="0"/>
              <w:rPr>
                <w:sz w:val="20"/>
                <w:szCs w:val="20"/>
                <w:color w:val="auto"/>
              </w:rPr>
            </w:pPr>
            <w:r>
              <w:rPr>
                <w:rFonts w:ascii="Arial" w:cs="Arial" w:eastAsia="Arial" w:hAnsi="Arial"/>
                <w:sz w:val="18"/>
                <w:szCs w:val="18"/>
                <w:color w:val="auto"/>
              </w:rPr>
              <w:t>33 months</w:t>
            </w:r>
          </w:p>
        </w:tc>
        <w:tc>
          <w:tcPr>
            <w:tcW w:w="920" w:type="dxa"/>
            <w:vAlign w:val="bottom"/>
            <w:gridSpan w:val="4"/>
          </w:tcPr>
          <w:p>
            <w:pPr>
              <w:jc w:val="right"/>
              <w:ind w:right="120"/>
              <w:spacing w:after="0"/>
              <w:rPr>
                <w:sz w:val="20"/>
                <w:szCs w:val="20"/>
                <w:color w:val="auto"/>
              </w:rPr>
            </w:pPr>
            <w:r>
              <w:rPr>
                <w:rFonts w:ascii="Arial" w:cs="Arial" w:eastAsia="Arial" w:hAnsi="Arial"/>
                <w:sz w:val="18"/>
                <w:szCs w:val="18"/>
                <w:color w:val="auto"/>
              </w:rPr>
              <w:t>0.205</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0.232</w:t>
            </w:r>
          </w:p>
        </w:tc>
        <w:tc>
          <w:tcPr>
            <w:tcW w:w="1000" w:type="dxa"/>
            <w:vAlign w:val="bottom"/>
            <w:gridSpan w:val="3"/>
          </w:tcPr>
          <w:p>
            <w:pPr>
              <w:jc w:val="right"/>
              <w:ind w:right="120"/>
              <w:spacing w:after="0"/>
              <w:rPr>
                <w:sz w:val="20"/>
                <w:szCs w:val="20"/>
                <w:color w:val="auto"/>
              </w:rPr>
            </w:pPr>
            <w:r>
              <w:rPr>
                <w:rFonts w:ascii="Arial" w:cs="Arial" w:eastAsia="Arial" w:hAnsi="Arial"/>
                <w:sz w:val="18"/>
                <w:szCs w:val="18"/>
                <w:color w:val="auto"/>
              </w:rPr>
              <w:t>0.257</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0.280</w:t>
            </w:r>
          </w:p>
        </w:tc>
        <w:tc>
          <w:tcPr>
            <w:tcW w:w="900" w:type="dxa"/>
            <w:vAlign w:val="bottom"/>
            <w:gridSpan w:val="2"/>
          </w:tcPr>
          <w:p>
            <w:pPr>
              <w:ind w:left="380"/>
              <w:spacing w:after="0"/>
              <w:rPr>
                <w:sz w:val="20"/>
                <w:szCs w:val="20"/>
                <w:color w:val="auto"/>
              </w:rPr>
            </w:pPr>
            <w:r>
              <w:rPr>
                <w:rFonts w:ascii="Arial" w:cs="Arial" w:eastAsia="Arial" w:hAnsi="Arial"/>
                <w:sz w:val="18"/>
                <w:szCs w:val="18"/>
                <w:color w:val="auto"/>
              </w:rPr>
              <w:t>0.301</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0.320</w:t>
            </w:r>
          </w:p>
        </w:tc>
        <w:tc>
          <w:tcPr>
            <w:tcW w:w="900" w:type="dxa"/>
            <w:vAlign w:val="bottom"/>
            <w:gridSpan w:val="2"/>
          </w:tcPr>
          <w:p>
            <w:pPr>
              <w:ind w:left="380"/>
              <w:spacing w:after="0"/>
              <w:rPr>
                <w:sz w:val="20"/>
                <w:szCs w:val="20"/>
                <w:color w:val="auto"/>
              </w:rPr>
            </w:pPr>
            <w:r>
              <w:rPr>
                <w:rFonts w:ascii="Arial" w:cs="Arial" w:eastAsia="Arial" w:hAnsi="Arial"/>
                <w:sz w:val="18"/>
                <w:szCs w:val="18"/>
                <w:color w:val="auto"/>
              </w:rPr>
              <w:t>0.337</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0.352</w:t>
            </w:r>
          </w:p>
        </w:tc>
        <w:tc>
          <w:tcPr>
            <w:tcW w:w="900" w:type="dxa"/>
            <w:vAlign w:val="bottom"/>
            <w:gridSpan w:val="4"/>
          </w:tcPr>
          <w:p>
            <w:pPr>
              <w:jc w:val="right"/>
              <w:ind w:right="100"/>
              <w:spacing w:after="0"/>
              <w:rPr>
                <w:sz w:val="20"/>
                <w:szCs w:val="20"/>
                <w:color w:val="auto"/>
              </w:rPr>
            </w:pPr>
            <w:r>
              <w:rPr>
                <w:rFonts w:ascii="Arial" w:cs="Arial" w:eastAsia="Arial" w:hAnsi="Arial"/>
                <w:sz w:val="18"/>
                <w:szCs w:val="18"/>
                <w:color w:val="auto"/>
              </w:rPr>
              <w:t>0.361</w:t>
            </w:r>
          </w:p>
        </w:tc>
      </w:tr>
      <w:tr>
        <w:trPr>
          <w:trHeight w:val="216"/>
        </w:trPr>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30 months</w:t>
            </w:r>
          </w:p>
        </w:tc>
        <w:tc>
          <w:tcPr>
            <w:tcW w:w="92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0.196</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0.224</w:t>
            </w:r>
          </w:p>
        </w:tc>
        <w:tc>
          <w:tcPr>
            <w:tcW w:w="10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0.250</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0.274</w:t>
            </w:r>
          </w:p>
        </w:tc>
        <w:tc>
          <w:tcPr>
            <w:tcW w:w="9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0.297</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0.316</w:t>
            </w:r>
          </w:p>
        </w:tc>
        <w:tc>
          <w:tcPr>
            <w:tcW w:w="9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0.335</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0.351</w:t>
            </w:r>
          </w:p>
        </w:tc>
        <w:tc>
          <w:tcPr>
            <w:tcW w:w="9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0.361</w:t>
            </w:r>
          </w:p>
        </w:tc>
      </w:tr>
      <w:tr>
        <w:trPr>
          <w:trHeight w:val="216"/>
        </w:trPr>
        <w:tc>
          <w:tcPr>
            <w:tcW w:w="3160" w:type="dxa"/>
            <w:vAlign w:val="bottom"/>
            <w:gridSpan w:val="2"/>
          </w:tcPr>
          <w:p>
            <w:pPr>
              <w:spacing w:after="0"/>
              <w:rPr>
                <w:sz w:val="20"/>
                <w:szCs w:val="20"/>
                <w:color w:val="auto"/>
              </w:rPr>
            </w:pPr>
            <w:r>
              <w:rPr>
                <w:rFonts w:ascii="Arial" w:cs="Arial" w:eastAsia="Arial" w:hAnsi="Arial"/>
                <w:sz w:val="18"/>
                <w:szCs w:val="18"/>
                <w:color w:val="auto"/>
              </w:rPr>
              <w:t>27 months</w:t>
            </w:r>
          </w:p>
        </w:tc>
        <w:tc>
          <w:tcPr>
            <w:tcW w:w="920" w:type="dxa"/>
            <w:vAlign w:val="bottom"/>
            <w:gridSpan w:val="4"/>
          </w:tcPr>
          <w:p>
            <w:pPr>
              <w:jc w:val="right"/>
              <w:ind w:right="120"/>
              <w:spacing w:after="0"/>
              <w:rPr>
                <w:sz w:val="20"/>
                <w:szCs w:val="20"/>
                <w:color w:val="auto"/>
              </w:rPr>
            </w:pPr>
            <w:r>
              <w:rPr>
                <w:rFonts w:ascii="Arial" w:cs="Arial" w:eastAsia="Arial" w:hAnsi="Arial"/>
                <w:sz w:val="18"/>
                <w:szCs w:val="18"/>
                <w:color w:val="auto"/>
              </w:rPr>
              <w:t>0.185</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0.214</w:t>
            </w:r>
          </w:p>
        </w:tc>
        <w:tc>
          <w:tcPr>
            <w:tcW w:w="1000" w:type="dxa"/>
            <w:vAlign w:val="bottom"/>
            <w:gridSpan w:val="3"/>
          </w:tcPr>
          <w:p>
            <w:pPr>
              <w:jc w:val="right"/>
              <w:ind w:right="120"/>
              <w:spacing w:after="0"/>
              <w:rPr>
                <w:sz w:val="20"/>
                <w:szCs w:val="20"/>
                <w:color w:val="auto"/>
              </w:rPr>
            </w:pPr>
            <w:r>
              <w:rPr>
                <w:rFonts w:ascii="Arial" w:cs="Arial" w:eastAsia="Arial" w:hAnsi="Arial"/>
                <w:sz w:val="18"/>
                <w:szCs w:val="18"/>
                <w:color w:val="auto"/>
              </w:rPr>
              <w:t>0.242</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0.268</w:t>
            </w:r>
          </w:p>
        </w:tc>
        <w:tc>
          <w:tcPr>
            <w:tcW w:w="900" w:type="dxa"/>
            <w:vAlign w:val="bottom"/>
            <w:gridSpan w:val="2"/>
          </w:tcPr>
          <w:p>
            <w:pPr>
              <w:ind w:left="380"/>
              <w:spacing w:after="0"/>
              <w:rPr>
                <w:sz w:val="20"/>
                <w:szCs w:val="20"/>
                <w:color w:val="auto"/>
              </w:rPr>
            </w:pPr>
            <w:r>
              <w:rPr>
                <w:rFonts w:ascii="Arial" w:cs="Arial" w:eastAsia="Arial" w:hAnsi="Arial"/>
                <w:sz w:val="18"/>
                <w:szCs w:val="18"/>
                <w:color w:val="auto"/>
              </w:rPr>
              <w:t>0.291</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0.313</w:t>
            </w:r>
          </w:p>
        </w:tc>
        <w:tc>
          <w:tcPr>
            <w:tcW w:w="900" w:type="dxa"/>
            <w:vAlign w:val="bottom"/>
            <w:gridSpan w:val="2"/>
          </w:tcPr>
          <w:p>
            <w:pPr>
              <w:ind w:left="380"/>
              <w:spacing w:after="0"/>
              <w:rPr>
                <w:sz w:val="20"/>
                <w:szCs w:val="20"/>
                <w:color w:val="auto"/>
              </w:rPr>
            </w:pPr>
            <w:r>
              <w:rPr>
                <w:rFonts w:ascii="Arial" w:cs="Arial" w:eastAsia="Arial" w:hAnsi="Arial"/>
                <w:sz w:val="18"/>
                <w:szCs w:val="18"/>
                <w:color w:val="auto"/>
              </w:rPr>
              <w:t>0.332</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0.350</w:t>
            </w:r>
          </w:p>
        </w:tc>
        <w:tc>
          <w:tcPr>
            <w:tcW w:w="900" w:type="dxa"/>
            <w:vAlign w:val="bottom"/>
            <w:gridSpan w:val="4"/>
          </w:tcPr>
          <w:p>
            <w:pPr>
              <w:jc w:val="right"/>
              <w:ind w:right="100"/>
              <w:spacing w:after="0"/>
              <w:rPr>
                <w:sz w:val="20"/>
                <w:szCs w:val="20"/>
                <w:color w:val="auto"/>
              </w:rPr>
            </w:pPr>
            <w:r>
              <w:rPr>
                <w:rFonts w:ascii="Arial" w:cs="Arial" w:eastAsia="Arial" w:hAnsi="Arial"/>
                <w:sz w:val="18"/>
                <w:szCs w:val="18"/>
                <w:color w:val="auto"/>
              </w:rPr>
              <w:t>0.361</w:t>
            </w:r>
          </w:p>
        </w:tc>
      </w:tr>
      <w:tr>
        <w:trPr>
          <w:trHeight w:val="216"/>
        </w:trPr>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24 months</w:t>
            </w:r>
          </w:p>
        </w:tc>
        <w:tc>
          <w:tcPr>
            <w:tcW w:w="92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0.173</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0.204</w:t>
            </w:r>
          </w:p>
        </w:tc>
        <w:tc>
          <w:tcPr>
            <w:tcW w:w="10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0.233</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0.260</w:t>
            </w:r>
          </w:p>
        </w:tc>
        <w:tc>
          <w:tcPr>
            <w:tcW w:w="9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0.285</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0.308</w:t>
            </w:r>
          </w:p>
        </w:tc>
        <w:tc>
          <w:tcPr>
            <w:tcW w:w="9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0.329</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0.348</w:t>
            </w:r>
          </w:p>
        </w:tc>
        <w:tc>
          <w:tcPr>
            <w:tcW w:w="9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0.361</w:t>
            </w:r>
          </w:p>
        </w:tc>
      </w:tr>
      <w:tr>
        <w:trPr>
          <w:trHeight w:val="216"/>
        </w:trPr>
        <w:tc>
          <w:tcPr>
            <w:tcW w:w="3160" w:type="dxa"/>
            <w:vAlign w:val="bottom"/>
            <w:gridSpan w:val="2"/>
          </w:tcPr>
          <w:p>
            <w:pPr>
              <w:spacing w:after="0"/>
              <w:rPr>
                <w:sz w:val="20"/>
                <w:szCs w:val="20"/>
                <w:color w:val="auto"/>
              </w:rPr>
            </w:pPr>
            <w:r>
              <w:rPr>
                <w:rFonts w:ascii="Arial" w:cs="Arial" w:eastAsia="Arial" w:hAnsi="Arial"/>
                <w:sz w:val="18"/>
                <w:szCs w:val="18"/>
                <w:color w:val="auto"/>
              </w:rPr>
              <w:t>21 months</w:t>
            </w:r>
          </w:p>
        </w:tc>
        <w:tc>
          <w:tcPr>
            <w:tcW w:w="920" w:type="dxa"/>
            <w:vAlign w:val="bottom"/>
            <w:gridSpan w:val="4"/>
          </w:tcPr>
          <w:p>
            <w:pPr>
              <w:jc w:val="right"/>
              <w:ind w:right="120"/>
              <w:spacing w:after="0"/>
              <w:rPr>
                <w:sz w:val="20"/>
                <w:szCs w:val="20"/>
                <w:color w:val="auto"/>
              </w:rPr>
            </w:pPr>
            <w:r>
              <w:rPr>
                <w:rFonts w:ascii="Arial" w:cs="Arial" w:eastAsia="Arial" w:hAnsi="Arial"/>
                <w:sz w:val="18"/>
                <w:szCs w:val="18"/>
                <w:color w:val="auto"/>
              </w:rPr>
              <w:t>0.161</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0.193</w:t>
            </w:r>
          </w:p>
        </w:tc>
        <w:tc>
          <w:tcPr>
            <w:tcW w:w="1000" w:type="dxa"/>
            <w:vAlign w:val="bottom"/>
            <w:gridSpan w:val="3"/>
          </w:tcPr>
          <w:p>
            <w:pPr>
              <w:jc w:val="right"/>
              <w:ind w:right="120"/>
              <w:spacing w:after="0"/>
              <w:rPr>
                <w:sz w:val="20"/>
                <w:szCs w:val="20"/>
                <w:color w:val="auto"/>
              </w:rPr>
            </w:pPr>
            <w:r>
              <w:rPr>
                <w:rFonts w:ascii="Arial" w:cs="Arial" w:eastAsia="Arial" w:hAnsi="Arial"/>
                <w:sz w:val="18"/>
                <w:szCs w:val="18"/>
                <w:color w:val="auto"/>
              </w:rPr>
              <w:t>0.223</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0.252</w:t>
            </w:r>
          </w:p>
        </w:tc>
        <w:tc>
          <w:tcPr>
            <w:tcW w:w="900" w:type="dxa"/>
            <w:vAlign w:val="bottom"/>
            <w:gridSpan w:val="2"/>
          </w:tcPr>
          <w:p>
            <w:pPr>
              <w:ind w:left="380"/>
              <w:spacing w:after="0"/>
              <w:rPr>
                <w:sz w:val="20"/>
                <w:szCs w:val="20"/>
                <w:color w:val="auto"/>
              </w:rPr>
            </w:pPr>
            <w:r>
              <w:rPr>
                <w:rFonts w:ascii="Arial" w:cs="Arial" w:eastAsia="Arial" w:hAnsi="Arial"/>
                <w:sz w:val="18"/>
                <w:szCs w:val="18"/>
                <w:color w:val="auto"/>
              </w:rPr>
              <w:t>0.279</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0.304</w:t>
            </w:r>
          </w:p>
        </w:tc>
        <w:tc>
          <w:tcPr>
            <w:tcW w:w="900" w:type="dxa"/>
            <w:vAlign w:val="bottom"/>
            <w:gridSpan w:val="2"/>
          </w:tcPr>
          <w:p>
            <w:pPr>
              <w:ind w:left="380"/>
              <w:spacing w:after="0"/>
              <w:rPr>
                <w:sz w:val="20"/>
                <w:szCs w:val="20"/>
                <w:color w:val="auto"/>
              </w:rPr>
            </w:pPr>
            <w:r>
              <w:rPr>
                <w:rFonts w:ascii="Arial" w:cs="Arial" w:eastAsia="Arial" w:hAnsi="Arial"/>
                <w:sz w:val="18"/>
                <w:szCs w:val="18"/>
                <w:color w:val="auto"/>
              </w:rPr>
              <w:t>0.326</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0.347</w:t>
            </w:r>
          </w:p>
        </w:tc>
        <w:tc>
          <w:tcPr>
            <w:tcW w:w="900" w:type="dxa"/>
            <w:vAlign w:val="bottom"/>
            <w:gridSpan w:val="4"/>
          </w:tcPr>
          <w:p>
            <w:pPr>
              <w:jc w:val="right"/>
              <w:ind w:right="100"/>
              <w:spacing w:after="0"/>
              <w:rPr>
                <w:sz w:val="20"/>
                <w:szCs w:val="20"/>
                <w:color w:val="auto"/>
              </w:rPr>
            </w:pPr>
            <w:r>
              <w:rPr>
                <w:rFonts w:ascii="Arial" w:cs="Arial" w:eastAsia="Arial" w:hAnsi="Arial"/>
                <w:sz w:val="18"/>
                <w:szCs w:val="18"/>
                <w:color w:val="auto"/>
              </w:rPr>
              <w:t>0.361</w:t>
            </w:r>
          </w:p>
        </w:tc>
      </w:tr>
      <w:tr>
        <w:trPr>
          <w:trHeight w:val="216"/>
        </w:trPr>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18 months</w:t>
            </w:r>
          </w:p>
        </w:tc>
        <w:tc>
          <w:tcPr>
            <w:tcW w:w="92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0.146</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0.179</w:t>
            </w:r>
          </w:p>
        </w:tc>
        <w:tc>
          <w:tcPr>
            <w:tcW w:w="10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0.211</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0.242</w:t>
            </w:r>
          </w:p>
        </w:tc>
        <w:tc>
          <w:tcPr>
            <w:tcW w:w="9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0.271</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0.298</w:t>
            </w:r>
          </w:p>
        </w:tc>
        <w:tc>
          <w:tcPr>
            <w:tcW w:w="9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0.322</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0.345</w:t>
            </w:r>
          </w:p>
        </w:tc>
        <w:tc>
          <w:tcPr>
            <w:tcW w:w="9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0.361</w:t>
            </w:r>
          </w:p>
        </w:tc>
      </w:tr>
      <w:tr>
        <w:trPr>
          <w:trHeight w:val="216"/>
        </w:trPr>
        <w:tc>
          <w:tcPr>
            <w:tcW w:w="3160" w:type="dxa"/>
            <w:vAlign w:val="bottom"/>
            <w:gridSpan w:val="2"/>
          </w:tcPr>
          <w:p>
            <w:pPr>
              <w:spacing w:after="0"/>
              <w:rPr>
                <w:sz w:val="20"/>
                <w:szCs w:val="20"/>
                <w:color w:val="auto"/>
              </w:rPr>
            </w:pPr>
            <w:r>
              <w:rPr>
                <w:rFonts w:ascii="Arial" w:cs="Arial" w:eastAsia="Arial" w:hAnsi="Arial"/>
                <w:sz w:val="18"/>
                <w:szCs w:val="18"/>
                <w:color w:val="auto"/>
              </w:rPr>
              <w:t>15 months</w:t>
            </w:r>
          </w:p>
        </w:tc>
        <w:tc>
          <w:tcPr>
            <w:tcW w:w="920" w:type="dxa"/>
            <w:vAlign w:val="bottom"/>
            <w:gridSpan w:val="4"/>
          </w:tcPr>
          <w:p>
            <w:pPr>
              <w:jc w:val="right"/>
              <w:ind w:right="120"/>
              <w:spacing w:after="0"/>
              <w:rPr>
                <w:sz w:val="20"/>
                <w:szCs w:val="20"/>
                <w:color w:val="auto"/>
              </w:rPr>
            </w:pPr>
            <w:r>
              <w:rPr>
                <w:rFonts w:ascii="Arial" w:cs="Arial" w:eastAsia="Arial" w:hAnsi="Arial"/>
                <w:sz w:val="18"/>
                <w:szCs w:val="18"/>
                <w:color w:val="auto"/>
              </w:rPr>
              <w:t>0.130</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0.164</w:t>
            </w:r>
          </w:p>
        </w:tc>
        <w:tc>
          <w:tcPr>
            <w:tcW w:w="1000" w:type="dxa"/>
            <w:vAlign w:val="bottom"/>
            <w:gridSpan w:val="3"/>
          </w:tcPr>
          <w:p>
            <w:pPr>
              <w:jc w:val="right"/>
              <w:ind w:right="120"/>
              <w:spacing w:after="0"/>
              <w:rPr>
                <w:sz w:val="20"/>
                <w:szCs w:val="20"/>
                <w:color w:val="auto"/>
              </w:rPr>
            </w:pPr>
            <w:r>
              <w:rPr>
                <w:rFonts w:ascii="Arial" w:cs="Arial" w:eastAsia="Arial" w:hAnsi="Arial"/>
                <w:sz w:val="18"/>
                <w:szCs w:val="18"/>
                <w:color w:val="auto"/>
              </w:rPr>
              <w:t>0.197</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0.230</w:t>
            </w:r>
          </w:p>
        </w:tc>
        <w:tc>
          <w:tcPr>
            <w:tcW w:w="900" w:type="dxa"/>
            <w:vAlign w:val="bottom"/>
            <w:gridSpan w:val="2"/>
          </w:tcPr>
          <w:p>
            <w:pPr>
              <w:ind w:left="380"/>
              <w:spacing w:after="0"/>
              <w:rPr>
                <w:sz w:val="20"/>
                <w:szCs w:val="20"/>
                <w:color w:val="auto"/>
              </w:rPr>
            </w:pPr>
            <w:r>
              <w:rPr>
                <w:rFonts w:ascii="Arial" w:cs="Arial" w:eastAsia="Arial" w:hAnsi="Arial"/>
                <w:sz w:val="18"/>
                <w:szCs w:val="18"/>
                <w:color w:val="auto"/>
              </w:rPr>
              <w:t>0.262</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0.291</w:t>
            </w:r>
          </w:p>
        </w:tc>
        <w:tc>
          <w:tcPr>
            <w:tcW w:w="900" w:type="dxa"/>
            <w:vAlign w:val="bottom"/>
            <w:gridSpan w:val="2"/>
          </w:tcPr>
          <w:p>
            <w:pPr>
              <w:ind w:left="380"/>
              <w:spacing w:after="0"/>
              <w:rPr>
                <w:sz w:val="20"/>
                <w:szCs w:val="20"/>
                <w:color w:val="auto"/>
              </w:rPr>
            </w:pPr>
            <w:r>
              <w:rPr>
                <w:rFonts w:ascii="Arial" w:cs="Arial" w:eastAsia="Arial" w:hAnsi="Arial"/>
                <w:sz w:val="18"/>
                <w:szCs w:val="18"/>
                <w:color w:val="auto"/>
              </w:rPr>
              <w:t>0.317</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0.342</w:t>
            </w:r>
          </w:p>
        </w:tc>
        <w:tc>
          <w:tcPr>
            <w:tcW w:w="900" w:type="dxa"/>
            <w:vAlign w:val="bottom"/>
            <w:gridSpan w:val="4"/>
          </w:tcPr>
          <w:p>
            <w:pPr>
              <w:jc w:val="right"/>
              <w:ind w:right="100"/>
              <w:spacing w:after="0"/>
              <w:rPr>
                <w:sz w:val="20"/>
                <w:szCs w:val="20"/>
                <w:color w:val="auto"/>
              </w:rPr>
            </w:pPr>
            <w:r>
              <w:rPr>
                <w:rFonts w:ascii="Arial" w:cs="Arial" w:eastAsia="Arial" w:hAnsi="Arial"/>
                <w:sz w:val="18"/>
                <w:szCs w:val="18"/>
                <w:color w:val="auto"/>
              </w:rPr>
              <w:t>0.361</w:t>
            </w:r>
          </w:p>
        </w:tc>
      </w:tr>
      <w:tr>
        <w:trPr>
          <w:trHeight w:val="216"/>
        </w:trPr>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12 months</w:t>
            </w:r>
          </w:p>
        </w:tc>
        <w:tc>
          <w:tcPr>
            <w:tcW w:w="92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0.111</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0.146</w:t>
            </w:r>
          </w:p>
        </w:tc>
        <w:tc>
          <w:tcPr>
            <w:tcW w:w="10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0.181</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0.216</w:t>
            </w:r>
          </w:p>
        </w:tc>
        <w:tc>
          <w:tcPr>
            <w:tcW w:w="9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0.250</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0.282</w:t>
            </w:r>
          </w:p>
        </w:tc>
        <w:tc>
          <w:tcPr>
            <w:tcW w:w="9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0.312</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0.339</w:t>
            </w:r>
          </w:p>
        </w:tc>
        <w:tc>
          <w:tcPr>
            <w:tcW w:w="9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0.361</w:t>
            </w:r>
          </w:p>
        </w:tc>
      </w:tr>
      <w:tr>
        <w:trPr>
          <w:trHeight w:val="216"/>
        </w:trPr>
        <w:tc>
          <w:tcPr>
            <w:tcW w:w="3160" w:type="dxa"/>
            <w:vAlign w:val="bottom"/>
            <w:gridSpan w:val="2"/>
          </w:tcPr>
          <w:p>
            <w:pPr>
              <w:spacing w:after="0"/>
              <w:rPr>
                <w:sz w:val="20"/>
                <w:szCs w:val="20"/>
                <w:color w:val="auto"/>
              </w:rPr>
            </w:pPr>
            <w:r>
              <w:rPr>
                <w:rFonts w:ascii="Arial" w:cs="Arial" w:eastAsia="Arial" w:hAnsi="Arial"/>
                <w:sz w:val="18"/>
                <w:szCs w:val="18"/>
                <w:color w:val="auto"/>
              </w:rPr>
              <w:t>9 months</w:t>
            </w:r>
          </w:p>
        </w:tc>
        <w:tc>
          <w:tcPr>
            <w:tcW w:w="920" w:type="dxa"/>
            <w:vAlign w:val="bottom"/>
            <w:gridSpan w:val="4"/>
          </w:tcPr>
          <w:p>
            <w:pPr>
              <w:jc w:val="right"/>
              <w:ind w:right="120"/>
              <w:spacing w:after="0"/>
              <w:rPr>
                <w:sz w:val="20"/>
                <w:szCs w:val="20"/>
                <w:color w:val="auto"/>
              </w:rPr>
            </w:pPr>
            <w:r>
              <w:rPr>
                <w:rFonts w:ascii="Arial" w:cs="Arial" w:eastAsia="Arial" w:hAnsi="Arial"/>
                <w:sz w:val="18"/>
                <w:szCs w:val="18"/>
                <w:color w:val="auto"/>
              </w:rPr>
              <w:t>0.090</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0.125</w:t>
            </w:r>
          </w:p>
        </w:tc>
        <w:tc>
          <w:tcPr>
            <w:tcW w:w="1000" w:type="dxa"/>
            <w:vAlign w:val="bottom"/>
            <w:gridSpan w:val="3"/>
          </w:tcPr>
          <w:p>
            <w:pPr>
              <w:jc w:val="right"/>
              <w:ind w:right="120"/>
              <w:spacing w:after="0"/>
              <w:rPr>
                <w:sz w:val="20"/>
                <w:szCs w:val="20"/>
                <w:color w:val="auto"/>
              </w:rPr>
            </w:pPr>
            <w:r>
              <w:rPr>
                <w:rFonts w:ascii="Arial" w:cs="Arial" w:eastAsia="Arial" w:hAnsi="Arial"/>
                <w:sz w:val="18"/>
                <w:szCs w:val="18"/>
                <w:color w:val="auto"/>
              </w:rPr>
              <w:t>0.162</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0.199</w:t>
            </w:r>
          </w:p>
        </w:tc>
        <w:tc>
          <w:tcPr>
            <w:tcW w:w="900" w:type="dxa"/>
            <w:vAlign w:val="bottom"/>
            <w:gridSpan w:val="2"/>
          </w:tcPr>
          <w:p>
            <w:pPr>
              <w:ind w:left="380"/>
              <w:spacing w:after="0"/>
              <w:rPr>
                <w:sz w:val="20"/>
                <w:szCs w:val="20"/>
                <w:color w:val="auto"/>
              </w:rPr>
            </w:pPr>
            <w:r>
              <w:rPr>
                <w:rFonts w:ascii="Arial" w:cs="Arial" w:eastAsia="Arial" w:hAnsi="Arial"/>
                <w:sz w:val="18"/>
                <w:szCs w:val="18"/>
                <w:color w:val="auto"/>
              </w:rPr>
              <w:t>0.237</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0.272</w:t>
            </w:r>
          </w:p>
        </w:tc>
        <w:tc>
          <w:tcPr>
            <w:tcW w:w="900" w:type="dxa"/>
            <w:vAlign w:val="bottom"/>
            <w:gridSpan w:val="2"/>
          </w:tcPr>
          <w:p>
            <w:pPr>
              <w:ind w:left="380"/>
              <w:spacing w:after="0"/>
              <w:rPr>
                <w:sz w:val="20"/>
                <w:szCs w:val="20"/>
                <w:color w:val="auto"/>
              </w:rPr>
            </w:pPr>
            <w:r>
              <w:rPr>
                <w:rFonts w:ascii="Arial" w:cs="Arial" w:eastAsia="Arial" w:hAnsi="Arial"/>
                <w:sz w:val="18"/>
                <w:szCs w:val="18"/>
                <w:color w:val="auto"/>
              </w:rPr>
              <w:t>0.305</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0.336</w:t>
            </w:r>
          </w:p>
        </w:tc>
        <w:tc>
          <w:tcPr>
            <w:tcW w:w="900" w:type="dxa"/>
            <w:vAlign w:val="bottom"/>
            <w:gridSpan w:val="4"/>
          </w:tcPr>
          <w:p>
            <w:pPr>
              <w:jc w:val="right"/>
              <w:ind w:right="100"/>
              <w:spacing w:after="0"/>
              <w:rPr>
                <w:sz w:val="20"/>
                <w:szCs w:val="20"/>
                <w:color w:val="auto"/>
              </w:rPr>
            </w:pPr>
            <w:r>
              <w:rPr>
                <w:rFonts w:ascii="Arial" w:cs="Arial" w:eastAsia="Arial" w:hAnsi="Arial"/>
                <w:sz w:val="18"/>
                <w:szCs w:val="18"/>
                <w:color w:val="auto"/>
              </w:rPr>
              <w:t>0.361</w:t>
            </w:r>
          </w:p>
        </w:tc>
      </w:tr>
      <w:tr>
        <w:trPr>
          <w:trHeight w:val="216"/>
        </w:trPr>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6 months</w:t>
            </w:r>
          </w:p>
        </w:tc>
        <w:tc>
          <w:tcPr>
            <w:tcW w:w="92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0.065</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0.099</w:t>
            </w:r>
          </w:p>
        </w:tc>
        <w:tc>
          <w:tcPr>
            <w:tcW w:w="10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0.137</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0.178</w:t>
            </w:r>
          </w:p>
        </w:tc>
        <w:tc>
          <w:tcPr>
            <w:tcW w:w="9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0.219</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0.259</w:t>
            </w:r>
          </w:p>
        </w:tc>
        <w:tc>
          <w:tcPr>
            <w:tcW w:w="9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0.296</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0.331</w:t>
            </w:r>
          </w:p>
        </w:tc>
        <w:tc>
          <w:tcPr>
            <w:tcW w:w="9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0.361</w:t>
            </w:r>
          </w:p>
        </w:tc>
      </w:tr>
      <w:tr>
        <w:trPr>
          <w:trHeight w:val="216"/>
        </w:trPr>
        <w:tc>
          <w:tcPr>
            <w:tcW w:w="3160" w:type="dxa"/>
            <w:vAlign w:val="bottom"/>
            <w:gridSpan w:val="2"/>
          </w:tcPr>
          <w:p>
            <w:pPr>
              <w:spacing w:after="0"/>
              <w:rPr>
                <w:sz w:val="20"/>
                <w:szCs w:val="20"/>
                <w:color w:val="auto"/>
              </w:rPr>
            </w:pPr>
            <w:r>
              <w:rPr>
                <w:rFonts w:ascii="Arial" w:cs="Arial" w:eastAsia="Arial" w:hAnsi="Arial"/>
                <w:sz w:val="18"/>
                <w:szCs w:val="18"/>
                <w:color w:val="auto"/>
              </w:rPr>
              <w:t>3 months</w:t>
            </w:r>
          </w:p>
        </w:tc>
        <w:tc>
          <w:tcPr>
            <w:tcW w:w="920" w:type="dxa"/>
            <w:vAlign w:val="bottom"/>
            <w:gridSpan w:val="4"/>
          </w:tcPr>
          <w:p>
            <w:pPr>
              <w:jc w:val="right"/>
              <w:ind w:right="120"/>
              <w:spacing w:after="0"/>
              <w:rPr>
                <w:sz w:val="20"/>
                <w:szCs w:val="20"/>
                <w:color w:val="auto"/>
              </w:rPr>
            </w:pPr>
            <w:r>
              <w:rPr>
                <w:rFonts w:ascii="Arial" w:cs="Arial" w:eastAsia="Arial" w:hAnsi="Arial"/>
                <w:sz w:val="18"/>
                <w:szCs w:val="18"/>
                <w:color w:val="auto"/>
              </w:rPr>
              <w:t>0.034</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0.065</w:t>
            </w:r>
          </w:p>
        </w:tc>
        <w:tc>
          <w:tcPr>
            <w:tcW w:w="1000" w:type="dxa"/>
            <w:vAlign w:val="bottom"/>
            <w:gridSpan w:val="3"/>
          </w:tcPr>
          <w:p>
            <w:pPr>
              <w:jc w:val="right"/>
              <w:ind w:right="120"/>
              <w:spacing w:after="0"/>
              <w:rPr>
                <w:sz w:val="20"/>
                <w:szCs w:val="20"/>
                <w:color w:val="auto"/>
              </w:rPr>
            </w:pPr>
            <w:r>
              <w:rPr>
                <w:rFonts w:ascii="Arial" w:cs="Arial" w:eastAsia="Arial" w:hAnsi="Arial"/>
                <w:sz w:val="18"/>
                <w:szCs w:val="18"/>
                <w:color w:val="auto"/>
              </w:rPr>
              <w:t>0.104</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0.150</w:t>
            </w:r>
          </w:p>
        </w:tc>
        <w:tc>
          <w:tcPr>
            <w:tcW w:w="900" w:type="dxa"/>
            <w:vAlign w:val="bottom"/>
            <w:gridSpan w:val="2"/>
          </w:tcPr>
          <w:p>
            <w:pPr>
              <w:ind w:left="380"/>
              <w:spacing w:after="0"/>
              <w:rPr>
                <w:sz w:val="20"/>
                <w:szCs w:val="20"/>
                <w:color w:val="auto"/>
              </w:rPr>
            </w:pPr>
            <w:r>
              <w:rPr>
                <w:rFonts w:ascii="Arial" w:cs="Arial" w:eastAsia="Arial" w:hAnsi="Arial"/>
                <w:sz w:val="18"/>
                <w:szCs w:val="18"/>
                <w:color w:val="auto"/>
              </w:rPr>
              <w:t>0.197</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0.243</w:t>
            </w:r>
          </w:p>
        </w:tc>
        <w:tc>
          <w:tcPr>
            <w:tcW w:w="900" w:type="dxa"/>
            <w:vAlign w:val="bottom"/>
            <w:gridSpan w:val="2"/>
          </w:tcPr>
          <w:p>
            <w:pPr>
              <w:ind w:left="380"/>
              <w:spacing w:after="0"/>
              <w:rPr>
                <w:sz w:val="20"/>
                <w:szCs w:val="20"/>
                <w:color w:val="auto"/>
              </w:rPr>
            </w:pPr>
            <w:r>
              <w:rPr>
                <w:rFonts w:ascii="Arial" w:cs="Arial" w:eastAsia="Arial" w:hAnsi="Arial"/>
                <w:sz w:val="18"/>
                <w:szCs w:val="18"/>
                <w:color w:val="auto"/>
              </w:rPr>
              <w:t>0.286</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0.326</w:t>
            </w:r>
          </w:p>
        </w:tc>
        <w:tc>
          <w:tcPr>
            <w:tcW w:w="900" w:type="dxa"/>
            <w:vAlign w:val="bottom"/>
            <w:gridSpan w:val="4"/>
          </w:tcPr>
          <w:p>
            <w:pPr>
              <w:jc w:val="right"/>
              <w:ind w:right="100"/>
              <w:spacing w:after="0"/>
              <w:rPr>
                <w:sz w:val="20"/>
                <w:szCs w:val="20"/>
                <w:color w:val="auto"/>
              </w:rPr>
            </w:pPr>
            <w:r>
              <w:rPr>
                <w:rFonts w:ascii="Arial" w:cs="Arial" w:eastAsia="Arial" w:hAnsi="Arial"/>
                <w:sz w:val="18"/>
                <w:szCs w:val="18"/>
                <w:color w:val="auto"/>
              </w:rPr>
              <w:t>0.361</w:t>
            </w:r>
          </w:p>
        </w:tc>
      </w:tr>
      <w:tr>
        <w:trPr>
          <w:trHeight w:val="216"/>
        </w:trPr>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0 months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0.042</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0.115</w:t>
            </w:r>
          </w:p>
        </w:tc>
        <w:tc>
          <w:tcPr>
            <w:tcW w:w="9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0.179</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0.233</w:t>
            </w:r>
          </w:p>
        </w:tc>
        <w:tc>
          <w:tcPr>
            <w:tcW w:w="9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0.281</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0.323</w:t>
            </w:r>
          </w:p>
        </w:tc>
        <w:tc>
          <w:tcPr>
            <w:tcW w:w="9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0.361</w:t>
            </w:r>
          </w:p>
        </w:tc>
      </w:tr>
    </w:tbl>
    <w:p>
      <w:pPr>
        <w:spacing w:after="0" w:line="202"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The exact Redemption Fair Market Value and Redemption Date may not be set forth in the table above, in which case, if the Redemption Fair Market Value is between two values in the table or the Redemption Date is between two redemption dates in the table, the number of Ordinary Shares to be issued for each Warrant exercised in a Make-Whole Exercise will be determined by a straight-line interpolation between the number of shares set forth for the higher and lower Redemption Fair Market Values and the earlier and later redemption dates, as applicable, based on a 365- or 366-day year, as applicable.</w:t>
      </w:r>
    </w:p>
    <w:p>
      <w:pPr>
        <w:spacing w:after="0" w:line="18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The share prices set forth in the column headings of the table above shall be adjusted as of any date on which the number of shares issuable upon exercise of a Warrant or the Warrant Price is adjusted pursuant to </w:t>
      </w:r>
      <w:r>
        <w:rPr>
          <w:rFonts w:ascii="Arial" w:cs="Arial" w:eastAsia="Arial" w:hAnsi="Arial"/>
          <w:sz w:val="17"/>
          <w:szCs w:val="17"/>
          <w:u w:val="single" w:color="auto"/>
          <w:color w:val="auto"/>
        </w:rPr>
        <w:t>Section 4</w:t>
      </w:r>
      <w:r>
        <w:rPr>
          <w:rFonts w:ascii="Arial" w:cs="Arial" w:eastAsia="Arial" w:hAnsi="Arial"/>
          <w:sz w:val="17"/>
          <w:szCs w:val="17"/>
          <w:color w:val="auto"/>
        </w:rPr>
        <w:t xml:space="preserve"> hereof. In the event of a Warrant Price adjustment pursuant to </w:t>
      </w:r>
      <w:r>
        <w:rPr>
          <w:rFonts w:ascii="Arial" w:cs="Arial" w:eastAsia="Arial" w:hAnsi="Arial"/>
          <w:sz w:val="17"/>
          <w:szCs w:val="17"/>
          <w:u w:val="single" w:color="auto"/>
          <w:color w:val="auto"/>
        </w:rPr>
        <w:t>Section 4.3</w:t>
      </w:r>
      <w:r>
        <w:rPr>
          <w:rFonts w:ascii="Arial" w:cs="Arial" w:eastAsia="Arial" w:hAnsi="Arial"/>
          <w:sz w:val="17"/>
          <w:szCs w:val="17"/>
          <w:color w:val="auto"/>
        </w:rPr>
        <w:t xml:space="preserve">, the adjusted share prices in the column headings shall equal the share prices immediately prior to such adjustment, multiplied by a fraction, the numerator of which is the Warrant Price after such adjustment and the denominator of which is the Warrant Price immediately prior to such adjustment. In such an event, the number of shares in the table above shall be adjusted by multiplying such share amounts by a fraction, the numerator of which is the number of shares deliverable upon exercise of a Warrant immediately prior to such adjustment and the denominator of which is the number of shares deliverable upon exercise of a Warrant as so adjusted. If the Warrant Price is adjusted pursuant to </w:t>
      </w:r>
      <w:r>
        <w:rPr>
          <w:rFonts w:ascii="Arial" w:cs="Arial" w:eastAsia="Arial" w:hAnsi="Arial"/>
          <w:sz w:val="17"/>
          <w:szCs w:val="17"/>
          <w:u w:val="single" w:color="auto"/>
          <w:color w:val="auto"/>
        </w:rPr>
        <w:t>Section 4.3.2</w:t>
      </w:r>
      <w:r>
        <w:rPr>
          <w:rFonts w:ascii="Arial" w:cs="Arial" w:eastAsia="Arial" w:hAnsi="Arial"/>
          <w:sz w:val="17"/>
          <w:szCs w:val="17"/>
          <w:color w:val="auto"/>
        </w:rPr>
        <w:t>, the adjusted share prices set forth in the column headings of the table above shall be multiplied by a fraction, the numerator of which is the higher of the Market Value and the Newly Issued Price and the denominator of which is $10.00. In no event will the number of shares issued in connection with a Make-Whole Exercise exceed 0.361 Ordinary Shares per Warrant (subject to adjustment).</w:t>
      </w:r>
    </w:p>
    <w:p>
      <w:pPr>
        <w:spacing w:after="0" w:line="29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251" w:name="page252"/>
    <w:bookmarkEnd w:id="251"/>
    <w:p>
      <w:pPr>
        <w:ind w:left="1300"/>
        <w:spacing w:after="0"/>
        <w:rPr>
          <w:sz w:val="20"/>
          <w:szCs w:val="20"/>
          <w:color w:val="auto"/>
        </w:rPr>
      </w:pPr>
      <w:r>
        <w:rPr>
          <w:rFonts w:ascii="Arial" w:cs="Arial" w:eastAsia="Arial" w:hAnsi="Arial"/>
          <w:sz w:val="16"/>
          <w:szCs w:val="16"/>
          <w:color w:val="auto"/>
        </w:rPr>
        <w:t xml:space="preserve">6.3 </w:t>
      </w:r>
      <w:r>
        <w:rPr>
          <w:rFonts w:ascii="Arial" w:cs="Arial" w:eastAsia="Arial" w:hAnsi="Arial"/>
          <w:sz w:val="16"/>
          <w:szCs w:val="16"/>
          <w:u w:val="single" w:color="auto"/>
          <w:color w:val="auto"/>
        </w:rPr>
        <w:t>Date Fixed for, and Notice of, Redemption; Redemption Price; Reference Value</w:t>
      </w:r>
      <w:r>
        <w:rPr>
          <w:rFonts w:ascii="Arial" w:cs="Arial" w:eastAsia="Arial" w:hAnsi="Arial"/>
          <w:sz w:val="16"/>
          <w:szCs w:val="16"/>
          <w:color w:val="auto"/>
        </w:rPr>
        <w:t>. In the event that the Company elects to redeem the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Warrants pursuant to </w:t>
      </w:r>
      <w:r>
        <w:rPr>
          <w:rFonts w:ascii="Arial" w:cs="Arial" w:eastAsia="Arial" w:hAnsi="Arial"/>
          <w:sz w:val="16"/>
          <w:szCs w:val="16"/>
          <w:u w:val="single" w:color="auto"/>
          <w:color w:val="auto"/>
        </w:rPr>
        <w:t>Sections 6.1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6.2</w:t>
      </w:r>
      <w:r>
        <w:rPr>
          <w:rFonts w:ascii="Arial" w:cs="Arial" w:eastAsia="Arial" w:hAnsi="Arial"/>
          <w:sz w:val="16"/>
          <w:szCs w:val="16"/>
          <w:color w:val="auto"/>
        </w:rPr>
        <w:t>, the Company shall fix a date for the redemption (the “</w:t>
      </w:r>
      <w:r>
        <w:rPr>
          <w:rFonts w:ascii="Arial" w:cs="Arial" w:eastAsia="Arial" w:hAnsi="Arial"/>
          <w:sz w:val="16"/>
          <w:szCs w:val="16"/>
          <w:b w:val="1"/>
          <w:bCs w:val="1"/>
          <w:i w:val="1"/>
          <w:iCs w:val="1"/>
          <w:color w:val="auto"/>
        </w:rPr>
        <w:t>Redemption Date</w:t>
      </w:r>
      <w:r>
        <w:rPr>
          <w:rFonts w:ascii="Arial" w:cs="Arial" w:eastAsia="Arial" w:hAnsi="Arial"/>
          <w:sz w:val="16"/>
          <w:szCs w:val="16"/>
          <w:color w:val="auto"/>
        </w:rPr>
        <w:t>”)</w:t>
      </w:r>
      <w:r>
        <w:rPr>
          <w:rFonts w:ascii="Arial" w:cs="Arial" w:eastAsia="Arial" w:hAnsi="Arial"/>
          <w:sz w:val="16"/>
          <w:szCs w:val="16"/>
          <w:i w:val="1"/>
          <w:iCs w:val="1"/>
          <w:color w:val="auto"/>
        </w:rPr>
        <w:t>.</w:t>
      </w:r>
      <w:r>
        <w:rPr>
          <w:rFonts w:ascii="Arial" w:cs="Arial" w:eastAsia="Arial" w:hAnsi="Arial"/>
          <w:sz w:val="16"/>
          <w:szCs w:val="16"/>
          <w:color w:val="auto"/>
        </w:rPr>
        <w:t xml:space="preserve"> Notice of redemption shall be mailed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by first class mail, postage prepaid, by the Company not less than thirty (30) days prior to the Redemption Date (such period, the “</w:t>
      </w:r>
      <w:r>
        <w:rPr>
          <w:rFonts w:ascii="Arial" w:cs="Arial" w:eastAsia="Arial" w:hAnsi="Arial"/>
          <w:sz w:val="16"/>
          <w:szCs w:val="16"/>
          <w:b w:val="1"/>
          <w:bCs w:val="1"/>
          <w:i w:val="1"/>
          <w:iCs w:val="1"/>
          <w:color w:val="auto"/>
        </w:rPr>
        <w:t>30-day Redemption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Period</w:t>
      </w:r>
      <w:r>
        <w:rPr>
          <w:rFonts w:ascii="Arial" w:cs="Arial" w:eastAsia="Arial" w:hAnsi="Arial"/>
          <w:sz w:val="16"/>
          <w:szCs w:val="16"/>
          <w:color w:val="auto"/>
        </w:rPr>
        <w:t>”) to the Registered Holders of the Warrants to be redeemed at their last addresses as they shall appear on the registration books. Any notice mailed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 the manner herein provided shall be conclusively presumed to have been duly given whether or not the Registered Holder received such notice. As used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 this Agreement, (a) “</w:t>
      </w:r>
      <w:r>
        <w:rPr>
          <w:rFonts w:ascii="Arial" w:cs="Arial" w:eastAsia="Arial" w:hAnsi="Arial"/>
          <w:sz w:val="16"/>
          <w:szCs w:val="16"/>
          <w:b w:val="1"/>
          <w:bCs w:val="1"/>
          <w:i w:val="1"/>
          <w:iCs w:val="1"/>
          <w:color w:val="auto"/>
        </w:rPr>
        <w:t>Redemption Price</w:t>
      </w:r>
      <w:r>
        <w:rPr>
          <w:rFonts w:ascii="Arial" w:cs="Arial" w:eastAsia="Arial" w:hAnsi="Arial"/>
          <w:sz w:val="16"/>
          <w:szCs w:val="16"/>
          <w:color w:val="auto"/>
        </w:rPr>
        <w:t xml:space="preserve">” shall mean the price per Warrant at which any Warrants are redeemed pursuant to </w:t>
      </w:r>
      <w:r>
        <w:rPr>
          <w:rFonts w:ascii="Arial" w:cs="Arial" w:eastAsia="Arial" w:hAnsi="Arial"/>
          <w:sz w:val="16"/>
          <w:szCs w:val="16"/>
          <w:u w:val="single" w:color="auto"/>
          <w:color w:val="auto"/>
        </w:rPr>
        <w:t>Sections 6.1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6.2</w:t>
      </w:r>
      <w:r>
        <w:rPr>
          <w:rFonts w:ascii="Arial" w:cs="Arial" w:eastAsia="Arial" w:hAnsi="Arial"/>
          <w:sz w:val="16"/>
          <w:szCs w:val="16"/>
          <w:color w:val="auto"/>
        </w:rPr>
        <w:t xml:space="preserve"> and (b)</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Reference Value</w:t>
      </w:r>
      <w:r>
        <w:rPr>
          <w:rFonts w:ascii="Arial" w:cs="Arial" w:eastAsia="Arial" w:hAnsi="Arial"/>
          <w:sz w:val="16"/>
          <w:szCs w:val="16"/>
          <w:color w:val="auto"/>
        </w:rPr>
        <w:t>” shall mean the last reported sales price of the Ordinary Shares for any twenty (20) trading days within the thirty (30) trading-day period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ending on the third trading day prior to the date on which notice of the redemption is given.</w:t>
      </w:r>
    </w:p>
    <w:p>
      <w:pPr>
        <w:spacing w:after="0" w:line="211"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u w:val="single" w:color="auto"/>
          <w:color w:val="auto"/>
        </w:rPr>
        <w:t>Exercise After Notice of Redemption</w:t>
      </w:r>
      <w:r>
        <w:rPr>
          <w:rFonts w:ascii="Arial" w:cs="Arial" w:eastAsia="Arial" w:hAnsi="Arial"/>
          <w:sz w:val="18"/>
          <w:szCs w:val="18"/>
          <w:color w:val="auto"/>
        </w:rPr>
        <w:t xml:space="preserve">. The Warrants may be exercised, for cash (or on a “cashless basis” in accordance with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6.2</w:t>
      </w:r>
      <w:r>
        <w:rPr>
          <w:rFonts w:ascii="Arial" w:cs="Arial" w:eastAsia="Arial" w:hAnsi="Arial"/>
          <w:sz w:val="18"/>
          <w:szCs w:val="18"/>
          <w:color w:val="auto"/>
        </w:rPr>
        <w:t xml:space="preserve"> of this Agreement) at any time after notice of redemption shall have been given by the Company pursuant to </w:t>
      </w:r>
      <w:r>
        <w:rPr>
          <w:rFonts w:ascii="Arial" w:cs="Arial" w:eastAsia="Arial" w:hAnsi="Arial"/>
          <w:sz w:val="18"/>
          <w:szCs w:val="18"/>
          <w:u w:val="single" w:color="auto"/>
          <w:color w:val="auto"/>
        </w:rPr>
        <w:t>Section 6.3</w:t>
      </w:r>
      <w:r>
        <w:rPr>
          <w:rFonts w:ascii="Arial" w:cs="Arial" w:eastAsia="Arial" w:hAnsi="Arial"/>
          <w:sz w:val="18"/>
          <w:szCs w:val="18"/>
          <w:color w:val="auto"/>
        </w:rPr>
        <w:t xml:space="preserve"> hereof and prior to the Redemption Date. On and after the Redemption Date, the record holder of the Warrants shall have no further rights except to receive, upon surrender of the Warrants, the Redemption Price.</w:t>
      </w:r>
    </w:p>
    <w:p>
      <w:pPr>
        <w:spacing w:after="0" w:line="187"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17"/>
          <w:szCs w:val="17"/>
          <w:color w:val="auto"/>
        </w:rPr>
        <w:t xml:space="preserve">6.5 </w:t>
      </w:r>
      <w:r>
        <w:rPr>
          <w:rFonts w:ascii="Arial" w:cs="Arial" w:eastAsia="Arial" w:hAnsi="Arial"/>
          <w:sz w:val="17"/>
          <w:szCs w:val="17"/>
          <w:u w:val="single" w:color="auto"/>
          <w:color w:val="auto"/>
        </w:rPr>
        <w:t>Exclusion of Private Placement Warrants and Working Capital Warrants</w:t>
      </w:r>
      <w:r>
        <w:rPr>
          <w:rFonts w:ascii="Arial" w:cs="Arial" w:eastAsia="Arial" w:hAnsi="Arial"/>
          <w:sz w:val="17"/>
          <w:szCs w:val="17"/>
          <w:color w:val="auto"/>
        </w:rPr>
        <w:t xml:space="preserve">. The Company agrees that (a) the redemption rights provided in </w:t>
      </w:r>
      <w:r>
        <w:rPr>
          <w:rFonts w:ascii="Arial" w:cs="Arial" w:eastAsia="Arial" w:hAnsi="Arial"/>
          <w:sz w:val="17"/>
          <w:szCs w:val="17"/>
          <w:u w:val="single" w:color="auto"/>
          <w:color w:val="auto"/>
        </w:rPr>
        <w:t>Section 6.1</w:t>
      </w:r>
      <w:r>
        <w:rPr>
          <w:rFonts w:ascii="Arial" w:cs="Arial" w:eastAsia="Arial" w:hAnsi="Arial"/>
          <w:sz w:val="17"/>
          <w:szCs w:val="17"/>
          <w:color w:val="auto"/>
        </w:rPr>
        <w:t xml:space="preserve"> hereof shall not apply to the Private Placement Warrants or the Working Capital Warrants if at the time of the redemption such Private Placement Warrants or Working Capital Warrants continue to be held by the Sponsor or any of its Permitted Transferees, as applicable and (b) if the Reference Value equals or exceeds $18.00 per share (subject to adjustment in compliance with Section 4 hereof), the redemption rights provided in Section 6.2 hereof shall not apply to the Private Placement Warrants or Working Capital Warrants if at the time of the redemption such Private Placement Warrants or Working Capital Warrants continue to be held by the Sponsor or any of its Permitted Transferees, as applicable. However, once such Private Placement Warrants or Working Capital Warrants are transferred (other than to Permitted Transferees under </w:t>
      </w:r>
      <w:r>
        <w:rPr>
          <w:rFonts w:ascii="Arial" w:cs="Arial" w:eastAsia="Arial" w:hAnsi="Arial"/>
          <w:sz w:val="17"/>
          <w:szCs w:val="17"/>
          <w:u w:val="single" w:color="auto"/>
          <w:color w:val="auto"/>
        </w:rPr>
        <w:t>Section 2.6),</w:t>
      </w:r>
      <w:r>
        <w:rPr>
          <w:rFonts w:ascii="Arial" w:cs="Arial" w:eastAsia="Arial" w:hAnsi="Arial"/>
          <w:sz w:val="17"/>
          <w:szCs w:val="17"/>
          <w:color w:val="auto"/>
        </w:rPr>
        <w:t xml:space="preserve"> the Company may redeem the Private Placement Warrants and the Working Capital Warrants pursuant to </w:t>
      </w:r>
      <w:r>
        <w:rPr>
          <w:rFonts w:ascii="Arial" w:cs="Arial" w:eastAsia="Arial" w:hAnsi="Arial"/>
          <w:sz w:val="17"/>
          <w:szCs w:val="17"/>
          <w:u w:val="single" w:color="auto"/>
          <w:color w:val="auto"/>
        </w:rPr>
        <w:t>Section 6.1</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6.2</w:t>
      </w:r>
      <w:r>
        <w:rPr>
          <w:rFonts w:ascii="Arial" w:cs="Arial" w:eastAsia="Arial" w:hAnsi="Arial"/>
          <w:sz w:val="17"/>
          <w:szCs w:val="17"/>
          <w:color w:val="auto"/>
        </w:rPr>
        <w:t xml:space="preserve"> hereof, provided that the criteria for redemption are met, including the opportunity of the holder of such Private Placement Warrants or Working Capital Warrants to exercise the Private Placement Warrants and the Working Capital Warrants prior to redemption pursuant to </w:t>
      </w:r>
      <w:r>
        <w:rPr>
          <w:rFonts w:ascii="Arial" w:cs="Arial" w:eastAsia="Arial" w:hAnsi="Arial"/>
          <w:sz w:val="17"/>
          <w:szCs w:val="17"/>
          <w:u w:val="single" w:color="auto"/>
          <w:color w:val="auto"/>
        </w:rPr>
        <w:t>Section 6.4.</w:t>
      </w:r>
      <w:r>
        <w:rPr>
          <w:rFonts w:ascii="Arial" w:cs="Arial" w:eastAsia="Arial" w:hAnsi="Arial"/>
          <w:sz w:val="17"/>
          <w:szCs w:val="17"/>
          <w:color w:val="auto"/>
        </w:rPr>
        <w:t xml:space="preserve"> Private Placement Warrants and Working Capital Warrants that are transferred to persons other than Permitted Transferees shall upon such transfer cease to be Private Placement Warrants or Working Capital Warrants and shall become Public Warrants under this Agreement.</w:t>
      </w:r>
    </w:p>
    <w:p>
      <w:pPr>
        <w:spacing w:after="0" w:line="179" w:lineRule="exact"/>
        <w:rPr>
          <w:sz w:val="20"/>
          <w:szCs w:val="20"/>
          <w:color w:val="auto"/>
        </w:rPr>
      </w:pPr>
    </w:p>
    <w:p>
      <w:pPr>
        <w:ind w:left="840" w:hanging="184"/>
        <w:spacing w:after="0"/>
        <w:tabs>
          <w:tab w:leader="none" w:pos="840" w:val="left"/>
        </w:tabs>
        <w:numPr>
          <w:ilvl w:val="0"/>
          <w:numId w:val="157"/>
        </w:numPr>
        <w:rPr>
          <w:rFonts w:ascii="Arial" w:cs="Arial" w:eastAsia="Arial" w:hAnsi="Arial"/>
          <w:sz w:val="18"/>
          <w:szCs w:val="18"/>
          <w:color w:val="auto"/>
        </w:rPr>
      </w:pPr>
      <w:r>
        <w:rPr>
          <w:rFonts w:ascii="Arial" w:cs="Arial" w:eastAsia="Arial" w:hAnsi="Arial"/>
          <w:sz w:val="18"/>
          <w:szCs w:val="18"/>
          <w:u w:val="single" w:color="auto"/>
          <w:color w:val="auto"/>
        </w:rPr>
        <w:t>Other Provisions Relating to Rights of Holders of Warrants</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7"/>
          <w:szCs w:val="17"/>
          <w:color w:val="auto"/>
        </w:rPr>
        <w:t xml:space="preserve">7.1 </w:t>
      </w:r>
      <w:r>
        <w:rPr>
          <w:rFonts w:ascii="Arial" w:cs="Arial" w:eastAsia="Arial" w:hAnsi="Arial"/>
          <w:sz w:val="17"/>
          <w:szCs w:val="17"/>
          <w:u w:val="single" w:color="auto"/>
          <w:color w:val="auto"/>
        </w:rPr>
        <w:t>No Rights as Shareholder</w:t>
      </w:r>
      <w:r>
        <w:rPr>
          <w:rFonts w:ascii="Arial" w:cs="Arial" w:eastAsia="Arial" w:hAnsi="Arial"/>
          <w:sz w:val="17"/>
          <w:szCs w:val="17"/>
          <w:color w:val="auto"/>
        </w:rPr>
        <w:t>. A Warrant does not entitle the Registered Holder thereof to any of the rights of a shareholder of the Company, including, without limitation, the right to receive dividends, or other distributions, exercise any preemptive rights to vote or to consent or to receive notice as shareholders in respect of the general meeting or the appointment of directors of the Company or any other matter.</w:t>
      </w:r>
    </w:p>
    <w:p>
      <w:pPr>
        <w:spacing w:after="0" w:line="165"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Lost, Stolen, Mutilated, or Destroyed Warrants</w:t>
      </w:r>
      <w:r>
        <w:rPr>
          <w:rFonts w:ascii="Arial" w:cs="Arial" w:eastAsia="Arial" w:hAnsi="Arial"/>
          <w:sz w:val="18"/>
          <w:szCs w:val="18"/>
          <w:color w:val="auto"/>
        </w:rPr>
        <w:t>. If any Warrant is lost, stolen, mutilated, or destroyed, the Company and the Warrant Agent may on such terms as to indemnity or otherwise as they may in their discretion impose (which shall, in the case of a mutilated Warrant, include the surrender thereof), issue a new Warrant of like denomination, tenor, and date as the Warrant so lost, stolen, mutilated, or destroyed. Any such new Warrant shall constitute a substitute contractual obligation of the Company, whether or not the allegedly lost, stolen, mutilated, or destroyed Warrant shall be at any time enforceable by anyone.</w:t>
      </w:r>
    </w:p>
    <w:p>
      <w:pPr>
        <w:spacing w:after="0" w:line="188" w:lineRule="exact"/>
        <w:rPr>
          <w:sz w:val="20"/>
          <w:szCs w:val="20"/>
          <w:color w:val="auto"/>
        </w:rPr>
      </w:pPr>
    </w:p>
    <w:p>
      <w:pPr>
        <w:jc w:val="both"/>
        <w:ind w:right="20" w:firstLine="1296"/>
        <w:spacing w:after="0" w:line="308" w:lineRule="auto"/>
        <w:rPr>
          <w:sz w:val="20"/>
          <w:szCs w:val="20"/>
          <w:color w:val="auto"/>
        </w:rPr>
      </w:pPr>
      <w:r>
        <w:rPr>
          <w:rFonts w:ascii="Arial" w:cs="Arial" w:eastAsia="Arial" w:hAnsi="Arial"/>
          <w:sz w:val="17"/>
          <w:szCs w:val="17"/>
          <w:color w:val="auto"/>
        </w:rPr>
        <w:t xml:space="preserve">7.3 </w:t>
      </w:r>
      <w:r>
        <w:rPr>
          <w:rFonts w:ascii="Arial" w:cs="Arial" w:eastAsia="Arial" w:hAnsi="Arial"/>
          <w:sz w:val="17"/>
          <w:szCs w:val="17"/>
          <w:u w:val="single" w:color="auto"/>
          <w:color w:val="auto"/>
        </w:rPr>
        <w:t>Reservation of Ordinary Shares</w:t>
      </w:r>
      <w:r>
        <w:rPr>
          <w:rFonts w:ascii="Arial" w:cs="Arial" w:eastAsia="Arial" w:hAnsi="Arial"/>
          <w:sz w:val="17"/>
          <w:szCs w:val="17"/>
          <w:color w:val="auto"/>
        </w:rPr>
        <w:t>. The Company shall at all times reserve and keep available a number of its authorized but unissued Ordinary Shares that shall be sufficient to permit the exercise in full of all outstanding Warrants issued pursuant to this Agreement.</w:t>
      </w:r>
    </w:p>
    <w:p>
      <w:pPr>
        <w:spacing w:after="0" w:line="25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252" w:name="page253"/>
    <w:bookmarkEnd w:id="252"/>
    <w:p>
      <w:pPr>
        <w:ind w:left="1300"/>
        <w:spacing w:after="0"/>
        <w:rPr>
          <w:sz w:val="20"/>
          <w:szCs w:val="20"/>
          <w:color w:val="auto"/>
        </w:rPr>
      </w:pPr>
      <w:r>
        <w:rPr>
          <w:rFonts w:ascii="Arial" w:cs="Arial" w:eastAsia="Arial" w:hAnsi="Arial"/>
          <w:sz w:val="18"/>
          <w:szCs w:val="18"/>
          <w:color w:val="auto"/>
        </w:rPr>
        <w:t xml:space="preserve">7.4 </w:t>
      </w:r>
      <w:r>
        <w:rPr>
          <w:rFonts w:ascii="Arial" w:cs="Arial" w:eastAsia="Arial" w:hAnsi="Arial"/>
          <w:sz w:val="18"/>
          <w:szCs w:val="18"/>
          <w:u w:val="single" w:color="auto"/>
          <w:color w:val="auto"/>
        </w:rPr>
        <w:t>Registration of Ordinary Shares; Cashless Exercise at Company’s Option</w:t>
      </w:r>
      <w:r>
        <w:rPr>
          <w:rFonts w:ascii="Arial" w:cs="Arial" w:eastAsia="Arial" w:hAnsi="Arial"/>
          <w:sz w:val="18"/>
          <w:szCs w:val="18"/>
          <w:color w:val="auto"/>
        </w:rPr>
        <w:t>.</w:t>
      </w:r>
    </w:p>
    <w:p>
      <w:pPr>
        <w:spacing w:after="0" w:line="225" w:lineRule="exact"/>
        <w:rPr>
          <w:sz w:val="20"/>
          <w:szCs w:val="20"/>
          <w:color w:val="auto"/>
        </w:rPr>
      </w:pPr>
    </w:p>
    <w:p>
      <w:pPr>
        <w:ind w:left="2020"/>
        <w:spacing w:after="0"/>
        <w:rPr>
          <w:sz w:val="20"/>
          <w:szCs w:val="20"/>
          <w:color w:val="auto"/>
        </w:rPr>
      </w:pPr>
      <w:r>
        <w:rPr>
          <w:rFonts w:ascii="Arial" w:cs="Arial" w:eastAsia="Arial" w:hAnsi="Arial"/>
          <w:sz w:val="16"/>
          <w:szCs w:val="16"/>
          <w:color w:val="auto"/>
        </w:rPr>
        <w:t xml:space="preserve">7.4.1 </w:t>
      </w:r>
      <w:r>
        <w:rPr>
          <w:rFonts w:ascii="Arial" w:cs="Arial" w:eastAsia="Arial" w:hAnsi="Arial"/>
          <w:sz w:val="16"/>
          <w:szCs w:val="16"/>
          <w:u w:val="single" w:color="auto"/>
          <w:color w:val="auto"/>
        </w:rPr>
        <w:t>Registration of the Ordinary Shares</w:t>
      </w:r>
      <w:r>
        <w:rPr>
          <w:rFonts w:ascii="Arial" w:cs="Arial" w:eastAsia="Arial" w:hAnsi="Arial"/>
          <w:sz w:val="16"/>
          <w:szCs w:val="16"/>
          <w:color w:val="auto"/>
        </w:rPr>
        <w:t>. The Company agrees that as soon as practicable, but in no event later than fifteen</w:t>
      </w:r>
    </w:p>
    <w:p>
      <w:pPr>
        <w:spacing w:after="0" w:line="46" w:lineRule="exact"/>
        <w:rPr>
          <w:sz w:val="20"/>
          <w:szCs w:val="20"/>
          <w:color w:val="auto"/>
        </w:rPr>
      </w:pPr>
    </w:p>
    <w:p>
      <w:pPr>
        <w:jc w:val="both"/>
        <w:ind w:firstLine="8"/>
        <w:spacing w:after="0" w:line="281" w:lineRule="auto"/>
        <w:tabs>
          <w:tab w:leader="none" w:pos="365" w:val="left"/>
        </w:tabs>
        <w:numPr>
          <w:ilvl w:val="0"/>
          <w:numId w:val="158"/>
        </w:numPr>
        <w:rPr>
          <w:rFonts w:ascii="Arial" w:cs="Arial" w:eastAsia="Arial" w:hAnsi="Arial"/>
          <w:sz w:val="16"/>
          <w:szCs w:val="16"/>
          <w:color w:val="auto"/>
        </w:rPr>
      </w:pPr>
      <w:r>
        <w:rPr>
          <w:rFonts w:ascii="Arial" w:cs="Arial" w:eastAsia="Arial" w:hAnsi="Arial"/>
          <w:sz w:val="16"/>
          <w:szCs w:val="16"/>
          <w:color w:val="auto"/>
        </w:rPr>
        <w:t xml:space="preserve">Business Days after the closing of its initial Business Combination, it shall use its commercially reasonable efforts to file with the Commission a registration statement registering, under the Securities Act, the issuance of the Ordinary Shares issuable upon exercise of the Warrants. The Company shall use its commercially reasonable efforts to cause the same to become effective within 60 Business Days after the closing of its Business Combination and to maintain the effectiveness of such registration statement, and a current prospectus relating thereto, until the expiration or redemption of the Warrants in accordance with the provisions of this Agreement. If any such registration statement has not been declared effective by the 60th Business Day following the closing of the Business Combination, holders of the Warrants shall have the right, during the period beginning on the 61st Business Day after the closing of the Business Combination and ending upon such registration statement being declared effective by the Commission, and during any other period when the Company shall fail to have maintained an effective registration statement covering the issuance of the Ordinary Shares issuable upon exercise of the Warrants, to exercise such Warrants on a “cashless basis,” pursuant to </w:t>
      </w:r>
      <w:r>
        <w:rPr>
          <w:rFonts w:ascii="Arial" w:cs="Arial" w:eastAsia="Arial" w:hAnsi="Arial"/>
          <w:sz w:val="16"/>
          <w:szCs w:val="16"/>
          <w:u w:val="single" w:color="auto"/>
          <w:color w:val="auto"/>
        </w:rPr>
        <w:t>subsection 3.3.1</w:t>
      </w:r>
      <w:r>
        <w:rPr>
          <w:rFonts w:ascii="Arial" w:cs="Arial" w:eastAsia="Arial" w:hAnsi="Arial"/>
          <w:sz w:val="16"/>
          <w:szCs w:val="16"/>
          <w:color w:val="auto"/>
        </w:rPr>
        <w:t>, by exchanging the Warrants (in accordance with Section 3(a)(9) of the Securities Act (or any successor rule) or another exemption) for that number of Ordinary Shares equal to the lesser of (A) quotient obtained by dividing</w:t>
      </w:r>
    </w:p>
    <w:p>
      <w:pPr>
        <w:spacing w:after="0" w:line="5" w:lineRule="exact"/>
        <w:rPr>
          <w:rFonts w:ascii="Arial" w:cs="Arial" w:eastAsia="Arial" w:hAnsi="Arial"/>
          <w:sz w:val="16"/>
          <w:szCs w:val="16"/>
          <w:color w:val="auto"/>
        </w:rPr>
      </w:pPr>
    </w:p>
    <w:p>
      <w:pPr>
        <w:jc w:val="both"/>
        <w:spacing w:after="0" w:line="267" w:lineRule="auto"/>
        <w:rPr>
          <w:rFonts w:ascii="Arial" w:cs="Arial" w:eastAsia="Arial" w:hAnsi="Arial"/>
          <w:sz w:val="16"/>
          <w:szCs w:val="16"/>
          <w:color w:val="auto"/>
        </w:rPr>
      </w:pPr>
      <w:r>
        <w:rPr>
          <w:rFonts w:ascii="Arial" w:cs="Arial" w:eastAsia="Arial" w:hAnsi="Arial"/>
          <w:sz w:val="17"/>
          <w:szCs w:val="17"/>
          <w:color w:val="auto"/>
        </w:rPr>
        <w:t xml:space="preserve">(x) the product of the number of Ordinary Shares underlying the Warrants, multiplied by the excess of the “Fair Market Value” (as defined below) over the Warrant Price by (y) the Fair Market Value and (B) 0.361. Solely for purposes of this </w:t>
      </w:r>
      <w:r>
        <w:rPr>
          <w:rFonts w:ascii="Arial" w:cs="Arial" w:eastAsia="Arial" w:hAnsi="Arial"/>
          <w:sz w:val="17"/>
          <w:szCs w:val="17"/>
          <w:u w:val="single" w:color="auto"/>
          <w:color w:val="auto"/>
        </w:rPr>
        <w:t>subsection 7.4.1</w:t>
      </w:r>
      <w:r>
        <w:rPr>
          <w:rFonts w:ascii="Arial" w:cs="Arial" w:eastAsia="Arial" w:hAnsi="Arial"/>
          <w:sz w:val="17"/>
          <w:szCs w:val="17"/>
          <w:color w:val="auto"/>
        </w:rPr>
        <w:t xml:space="preserve">, “Fair Market Value” shall mean the volume weighted average price of the Ordinary Shares for the ten (10) trading day period ending on the trading day prior to the date that notice of exercise is received by the Warrant Agent from the holder of such Warrants or its securities broker or intermediary. The date that notice of cashless exercise is received by the Warrant Agent shall be conclusively determined by the Warrant Agent. In connection with the “cashless exercise” of a Public Warrant, the Company shall, upon request, provide the Warrant Agent with an opinion of counsel for the Company (which shall be an outside law firm with securities law experience) stating that (i) the exercise of the Warrants on a cashless basis in accordance with this </w:t>
      </w:r>
      <w:r>
        <w:rPr>
          <w:rFonts w:ascii="Arial" w:cs="Arial" w:eastAsia="Arial" w:hAnsi="Arial"/>
          <w:sz w:val="17"/>
          <w:szCs w:val="17"/>
          <w:u w:val="single" w:color="auto"/>
          <w:color w:val="auto"/>
        </w:rPr>
        <w:t>subsection 7.4.1</w:t>
      </w:r>
      <w:r>
        <w:rPr>
          <w:rFonts w:ascii="Arial" w:cs="Arial" w:eastAsia="Arial" w:hAnsi="Arial"/>
          <w:sz w:val="17"/>
          <w:szCs w:val="17"/>
          <w:color w:val="auto"/>
        </w:rPr>
        <w:t xml:space="preserve"> is not required to be registered under the Securities Act and (ii) the Ordinary Shares issued upon such exercise shall be freely tradable under United States federal securities laws by anyone who is not an affiliate (as such term is defined in Rule 144 under the Securities Act (or any successor rule)) of the Company and, accordingly, shall not be required to bear a restrictive legend. Except as provided in </w:t>
      </w:r>
      <w:r>
        <w:rPr>
          <w:rFonts w:ascii="Arial" w:cs="Arial" w:eastAsia="Arial" w:hAnsi="Arial"/>
          <w:sz w:val="17"/>
          <w:szCs w:val="17"/>
          <w:u w:val="single" w:color="auto"/>
          <w:color w:val="auto"/>
        </w:rPr>
        <w:t>subsection 7.4.2</w:t>
      </w:r>
      <w:r>
        <w:rPr>
          <w:rFonts w:ascii="Arial" w:cs="Arial" w:eastAsia="Arial" w:hAnsi="Arial"/>
          <w:sz w:val="17"/>
          <w:szCs w:val="17"/>
          <w:color w:val="auto"/>
        </w:rPr>
        <w:t xml:space="preserve">, for the avoidance of any doubt, unless and until all of the Warrants have been exercised or have expired, the Company shall continue to be obligated to comply with its registration obligations under the first three sentences of this </w:t>
      </w:r>
      <w:r>
        <w:rPr>
          <w:rFonts w:ascii="Arial" w:cs="Arial" w:eastAsia="Arial" w:hAnsi="Arial"/>
          <w:sz w:val="17"/>
          <w:szCs w:val="17"/>
          <w:u w:val="single" w:color="auto"/>
          <w:color w:val="auto"/>
        </w:rPr>
        <w:t>subsection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7.4.1.</w:t>
      </w:r>
    </w:p>
    <w:p>
      <w:pPr>
        <w:spacing w:after="0" w:line="184" w:lineRule="exact"/>
        <w:rPr>
          <w:sz w:val="20"/>
          <w:szCs w:val="20"/>
          <w:color w:val="auto"/>
        </w:rPr>
      </w:pPr>
    </w:p>
    <w:p>
      <w:pPr>
        <w:jc w:val="both"/>
        <w:ind w:firstLine="2009"/>
        <w:spacing w:after="0" w:line="290" w:lineRule="auto"/>
        <w:rPr>
          <w:sz w:val="20"/>
          <w:szCs w:val="20"/>
          <w:color w:val="auto"/>
        </w:rPr>
      </w:pPr>
      <w:r>
        <w:rPr>
          <w:rFonts w:ascii="Arial" w:cs="Arial" w:eastAsia="Arial" w:hAnsi="Arial"/>
          <w:sz w:val="16"/>
          <w:szCs w:val="16"/>
          <w:color w:val="auto"/>
        </w:rPr>
        <w:t xml:space="preserve">7.4.2 </w:t>
      </w:r>
      <w:r>
        <w:rPr>
          <w:rFonts w:ascii="Arial" w:cs="Arial" w:eastAsia="Arial" w:hAnsi="Arial"/>
          <w:sz w:val="16"/>
          <w:szCs w:val="16"/>
          <w:u w:val="single" w:color="auto"/>
          <w:color w:val="auto"/>
        </w:rPr>
        <w:t>Cashless Exercise at Company’s Option</w:t>
      </w:r>
      <w:r>
        <w:rPr>
          <w:rFonts w:ascii="Arial" w:cs="Arial" w:eastAsia="Arial" w:hAnsi="Arial"/>
          <w:sz w:val="16"/>
          <w:szCs w:val="16"/>
          <w:color w:val="auto"/>
        </w:rPr>
        <w:t xml:space="preserve">. If the Ordinary Shares are at the time of any exercise of a Warrant not listed on a national securities exchange such that they satisfy the definition of “covered securities” under Section 18(b)(1) of the Securities Act (or any successor rule), the Company may, at its option, require holders of Public Warrants who exercise Public Warrants to exercise such Public Warrants on a “cashless basis” in accordance with Section 3(a)(9) of the Securities Act (or any successor rule) as described in </w:t>
      </w:r>
      <w:r>
        <w:rPr>
          <w:rFonts w:ascii="Arial" w:cs="Arial" w:eastAsia="Arial" w:hAnsi="Arial"/>
          <w:sz w:val="16"/>
          <w:szCs w:val="16"/>
          <w:u w:val="single" w:color="auto"/>
          <w:color w:val="auto"/>
        </w:rPr>
        <w:t>subsection 7.4.1</w:t>
      </w:r>
      <w:r>
        <w:rPr>
          <w:rFonts w:ascii="Arial" w:cs="Arial" w:eastAsia="Arial" w:hAnsi="Arial"/>
          <w:sz w:val="16"/>
          <w:szCs w:val="16"/>
          <w:color w:val="auto"/>
        </w:rPr>
        <w:t xml:space="preserve"> and (i) in the event the Company so elects, the Company shall not be required to file or maintain in effect a registration statement for the registration, under the Securities Act, of the Ordinary Shares issuable upon exercise of the Warrants, notwithstanding anything in this Agreement to the contrary or (ii) if the Company does not so elect, the Company agrees to use its commercially reasonable efforts to register or qualify for sale the Ordinary Shares issuable upon exercise of the Public Warrants under the blue sky laws of the state of residence of the exercising Public Warrant holder to the extent an exemption is not available.</w:t>
      </w:r>
    </w:p>
    <w:p>
      <w:pPr>
        <w:spacing w:after="0" w:line="165" w:lineRule="exact"/>
        <w:rPr>
          <w:sz w:val="20"/>
          <w:szCs w:val="20"/>
          <w:color w:val="auto"/>
        </w:rPr>
      </w:pPr>
    </w:p>
    <w:p>
      <w:pPr>
        <w:ind w:left="840" w:hanging="184"/>
        <w:spacing w:after="0"/>
        <w:tabs>
          <w:tab w:leader="none" w:pos="840" w:val="left"/>
        </w:tabs>
        <w:numPr>
          <w:ilvl w:val="0"/>
          <w:numId w:val="159"/>
        </w:numPr>
        <w:rPr>
          <w:rFonts w:ascii="Arial" w:cs="Arial" w:eastAsia="Arial" w:hAnsi="Arial"/>
          <w:sz w:val="18"/>
          <w:szCs w:val="18"/>
          <w:color w:val="auto"/>
        </w:rPr>
      </w:pPr>
      <w:r>
        <w:rPr>
          <w:rFonts w:ascii="Arial" w:cs="Arial" w:eastAsia="Arial" w:hAnsi="Arial"/>
          <w:sz w:val="18"/>
          <w:szCs w:val="18"/>
          <w:u w:val="single" w:color="auto"/>
          <w:color w:val="auto"/>
        </w:rPr>
        <w:t>Concerning the Warrant Agent and Other Matters</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u w:val="single" w:color="auto"/>
          <w:color w:val="auto"/>
        </w:rPr>
        <w:t>Payment of Taxes</w:t>
      </w:r>
      <w:r>
        <w:rPr>
          <w:rFonts w:ascii="Arial" w:cs="Arial" w:eastAsia="Arial" w:hAnsi="Arial"/>
          <w:sz w:val="18"/>
          <w:szCs w:val="18"/>
          <w:color w:val="auto"/>
        </w:rPr>
        <w:t>. The Company shall from time to time promptly pay all taxes and charges that may be imposed upon the Company or the Warrant Agent in respect of the issuance or delivery of Ordinary Shares upon the exercise of the Warrants, but the Company shall not be obligated to pay any transfer taxes in respect of the Warrants or such Ordinary Shares.</w:t>
      </w:r>
    </w:p>
    <w:p>
      <w:pPr>
        <w:spacing w:after="0" w:line="18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u w:val="single" w:color="auto"/>
          <w:color w:val="auto"/>
        </w:rPr>
        <w:t>Resignation, Consolidation, or Merger of Warrant Agent</w:t>
      </w:r>
      <w:r>
        <w:rPr>
          <w:rFonts w:ascii="Arial" w:cs="Arial" w:eastAsia="Arial" w:hAnsi="Arial"/>
          <w:sz w:val="18"/>
          <w:szCs w:val="18"/>
          <w:color w:val="auto"/>
        </w:rPr>
        <w:t>.</w:t>
      </w:r>
    </w:p>
    <w:p>
      <w:pPr>
        <w:spacing w:after="0" w:line="33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253" w:name="page254"/>
    <w:bookmarkEnd w:id="253"/>
    <w:p>
      <w:pPr>
        <w:jc w:val="both"/>
        <w:ind w:firstLine="2009"/>
        <w:spacing w:after="0" w:line="286" w:lineRule="auto"/>
        <w:rPr>
          <w:sz w:val="20"/>
          <w:szCs w:val="20"/>
          <w:color w:val="auto"/>
        </w:rPr>
      </w:pPr>
      <w:r>
        <w:rPr>
          <w:rFonts w:ascii="Arial" w:cs="Arial" w:eastAsia="Arial" w:hAnsi="Arial"/>
          <w:sz w:val="16"/>
          <w:szCs w:val="16"/>
          <w:color w:val="auto"/>
        </w:rPr>
        <w:t xml:space="preserve">8.2.1 </w:t>
      </w:r>
      <w:r>
        <w:rPr>
          <w:rFonts w:ascii="Arial" w:cs="Arial" w:eastAsia="Arial" w:hAnsi="Arial"/>
          <w:sz w:val="16"/>
          <w:szCs w:val="16"/>
          <w:u w:val="single" w:color="auto"/>
          <w:color w:val="auto"/>
        </w:rPr>
        <w:t>Appointment of Successor Warrant Agent.</w:t>
      </w:r>
      <w:r>
        <w:rPr>
          <w:rFonts w:ascii="Arial" w:cs="Arial" w:eastAsia="Arial" w:hAnsi="Arial"/>
          <w:sz w:val="16"/>
          <w:szCs w:val="16"/>
          <w:color w:val="auto"/>
        </w:rPr>
        <w:t xml:space="preserve"> The Warrant Agent, or any successor to it hereafter appointed, may resign its duties and be discharged from all further duties and liabilities hereunder after giving sixty (60) days’ notice in writing to the Company. If the office of the Warrant Agent becomes vacant by resignation or incapacity to act or otherwise, the Company shall appoint in writing a successor Warrant Agent in place of the Warrant Agent. If the Company shall fail to make such appointment within a period of thirty (30) days after it has been notified in writing of such resignation or incapacity by the Warrant Agent or by the holder of a Warrant (who shall, with such notice, submit his, her or its Warrant for inspection by the Company), then the holder of any Warrant may apply to the Supreme Court of the State of New York for the County of New York for the appointment of a successor Warrant Agent at the Company’s cost. Any successor Warrant Agent, whether appointed by the Company or by such court, shall be a corporation organized and existing under the laws of the State of New York, in good standing and having its principal office in the Borough of Manhattan, City and State of New York, and authorized under such laws to exercise corporate trust powers and subject to supervision or examination by federal or state authority. After appointment, any successor Warrant Agent shall be vested with all the authority, powers, rights, immunities, duties, and obligations of its predecessor Warrant Agent with like effect as if originally named as Warrant Agent hereunder, without any further act or deed; but if for any reason it becomes necessary or appropriate, the predecessor Warrant Agent shall execute and deliver, at the expense of the Company, an instrument transferring to such successor Warrant Agent all the authority, powers, and rights of such predecessor Warrant Agent hereunder; and upon request of any successor Warrant Agent the Company shall make, execute, acknowledge, and deliver any and all instruments in writing for more fully and effectually vesting in and confirming to such successor Warrant Agent all such authority, powers, rights, immunities, duties, and obligations.</w:t>
      </w:r>
    </w:p>
    <w:p>
      <w:pPr>
        <w:spacing w:after="0" w:line="167" w:lineRule="exact"/>
        <w:rPr>
          <w:sz w:val="20"/>
          <w:szCs w:val="20"/>
          <w:color w:val="auto"/>
        </w:rPr>
      </w:pPr>
    </w:p>
    <w:p>
      <w:pPr>
        <w:jc w:val="both"/>
        <w:ind w:firstLine="2009"/>
        <w:spacing w:after="0" w:line="342" w:lineRule="auto"/>
        <w:rPr>
          <w:sz w:val="20"/>
          <w:szCs w:val="20"/>
          <w:color w:val="auto"/>
        </w:rPr>
      </w:pPr>
      <w:r>
        <w:rPr>
          <w:rFonts w:ascii="Arial" w:cs="Arial" w:eastAsia="Arial" w:hAnsi="Arial"/>
          <w:sz w:val="16"/>
          <w:szCs w:val="16"/>
          <w:color w:val="auto"/>
        </w:rPr>
        <w:t xml:space="preserve">8.2.2 </w:t>
      </w:r>
      <w:r>
        <w:rPr>
          <w:rFonts w:ascii="Arial" w:cs="Arial" w:eastAsia="Arial" w:hAnsi="Arial"/>
          <w:sz w:val="16"/>
          <w:szCs w:val="16"/>
          <w:u w:val="single" w:color="auto"/>
          <w:color w:val="auto"/>
        </w:rPr>
        <w:t>Notice of Successor Warrant Agent.</w:t>
      </w:r>
      <w:r>
        <w:rPr>
          <w:rFonts w:ascii="Arial" w:cs="Arial" w:eastAsia="Arial" w:hAnsi="Arial"/>
          <w:sz w:val="16"/>
          <w:szCs w:val="16"/>
          <w:color w:val="auto"/>
        </w:rPr>
        <w:t xml:space="preserve"> In the event a successor Warrant Agent shall be appointed, the Company shall give notice thereof to the predecessor Warrant Agent and the Transfer Agent for the Ordinary Shares not later than the effective date of any such appointment.</w:t>
      </w:r>
    </w:p>
    <w:p>
      <w:pPr>
        <w:spacing w:after="0" w:line="124" w:lineRule="exact"/>
        <w:rPr>
          <w:sz w:val="20"/>
          <w:szCs w:val="20"/>
          <w:color w:val="auto"/>
        </w:rPr>
      </w:pPr>
    </w:p>
    <w:p>
      <w:pPr>
        <w:jc w:val="both"/>
        <w:ind w:firstLine="2009"/>
        <w:spacing w:after="0" w:line="263" w:lineRule="auto"/>
        <w:rPr>
          <w:sz w:val="20"/>
          <w:szCs w:val="20"/>
          <w:color w:val="auto"/>
        </w:rPr>
      </w:pPr>
      <w:r>
        <w:rPr>
          <w:rFonts w:ascii="Arial" w:cs="Arial" w:eastAsia="Arial" w:hAnsi="Arial"/>
          <w:sz w:val="18"/>
          <w:szCs w:val="18"/>
          <w:color w:val="auto"/>
        </w:rPr>
        <w:t xml:space="preserve">8.2.3 </w:t>
      </w:r>
      <w:r>
        <w:rPr>
          <w:rFonts w:ascii="Arial" w:cs="Arial" w:eastAsia="Arial" w:hAnsi="Arial"/>
          <w:sz w:val="18"/>
          <w:szCs w:val="18"/>
          <w:u w:val="single" w:color="auto"/>
          <w:color w:val="auto"/>
        </w:rPr>
        <w:t>Merger or Consolidation of Warrant Agent.</w:t>
      </w:r>
      <w:r>
        <w:rPr>
          <w:rFonts w:ascii="Arial" w:cs="Arial" w:eastAsia="Arial" w:hAnsi="Arial"/>
          <w:sz w:val="18"/>
          <w:szCs w:val="18"/>
          <w:color w:val="auto"/>
        </w:rPr>
        <w:t xml:space="preserve"> Any corporation into which the Warrant Agent may be merged or with which it may be consolidated or any corporation resulting from any merger or consolidation to which the Warrant Agent shall be a party shall be the successor Warrant Agent under this Agreement without any further act.</w:t>
      </w:r>
    </w:p>
    <w:p>
      <w:pPr>
        <w:spacing w:after="0" w:line="18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8.3 </w:t>
      </w:r>
      <w:r>
        <w:rPr>
          <w:rFonts w:ascii="Arial" w:cs="Arial" w:eastAsia="Arial" w:hAnsi="Arial"/>
          <w:sz w:val="18"/>
          <w:szCs w:val="18"/>
          <w:u w:val="single" w:color="auto"/>
          <w:color w:val="auto"/>
        </w:rPr>
        <w:t>Fees and Expenses of Warrant Agent</w:t>
      </w:r>
      <w:r>
        <w:rPr>
          <w:rFonts w:ascii="Arial" w:cs="Arial" w:eastAsia="Arial" w:hAnsi="Arial"/>
          <w:sz w:val="18"/>
          <w:szCs w:val="18"/>
          <w:color w:val="auto"/>
        </w:rPr>
        <w:t>.</w:t>
      </w:r>
    </w:p>
    <w:p>
      <w:pPr>
        <w:spacing w:after="0" w:line="225" w:lineRule="exact"/>
        <w:rPr>
          <w:sz w:val="20"/>
          <w:szCs w:val="20"/>
          <w:color w:val="auto"/>
        </w:rPr>
      </w:pPr>
    </w:p>
    <w:p>
      <w:pPr>
        <w:jc w:val="both"/>
        <w:ind w:firstLine="2009"/>
        <w:spacing w:after="0" w:line="263" w:lineRule="auto"/>
        <w:rPr>
          <w:sz w:val="20"/>
          <w:szCs w:val="20"/>
          <w:color w:val="auto"/>
        </w:rPr>
      </w:pPr>
      <w:r>
        <w:rPr>
          <w:rFonts w:ascii="Arial" w:cs="Arial" w:eastAsia="Arial" w:hAnsi="Arial"/>
          <w:sz w:val="18"/>
          <w:szCs w:val="18"/>
          <w:color w:val="auto"/>
        </w:rPr>
        <w:t xml:space="preserve">8.3.1 </w:t>
      </w:r>
      <w:r>
        <w:rPr>
          <w:rFonts w:ascii="Arial" w:cs="Arial" w:eastAsia="Arial" w:hAnsi="Arial"/>
          <w:sz w:val="18"/>
          <w:szCs w:val="18"/>
          <w:u w:val="single" w:color="auto"/>
          <w:color w:val="auto"/>
        </w:rPr>
        <w:t>Remuneration.</w:t>
      </w:r>
      <w:r>
        <w:rPr>
          <w:rFonts w:ascii="Arial" w:cs="Arial" w:eastAsia="Arial" w:hAnsi="Arial"/>
          <w:sz w:val="18"/>
          <w:szCs w:val="18"/>
          <w:color w:val="auto"/>
        </w:rPr>
        <w:t xml:space="preserve"> The Company agrees to pay the Warrant Agent reasonable remuneration for its services as such Warrant Agent hereunder and shall, pursuant to its obligations under this Agreement, reimburse the Warrant Agent upon demand for all expenditures that the Warrant Agent may reasonably incur in the execution of its duties hereunder.</w:t>
      </w:r>
    </w:p>
    <w:p>
      <w:pPr>
        <w:spacing w:after="0" w:line="184" w:lineRule="exact"/>
        <w:rPr>
          <w:sz w:val="20"/>
          <w:szCs w:val="20"/>
          <w:color w:val="auto"/>
        </w:rPr>
      </w:pPr>
    </w:p>
    <w:p>
      <w:pPr>
        <w:jc w:val="both"/>
        <w:ind w:firstLine="2009"/>
        <w:spacing w:after="0" w:line="263" w:lineRule="auto"/>
        <w:rPr>
          <w:sz w:val="20"/>
          <w:szCs w:val="20"/>
          <w:color w:val="auto"/>
        </w:rPr>
      </w:pPr>
      <w:r>
        <w:rPr>
          <w:rFonts w:ascii="Arial" w:cs="Arial" w:eastAsia="Arial" w:hAnsi="Arial"/>
          <w:sz w:val="18"/>
          <w:szCs w:val="18"/>
          <w:color w:val="auto"/>
        </w:rPr>
        <w:t xml:space="preserve">8.3.2 </w:t>
      </w:r>
      <w:r>
        <w:rPr>
          <w:rFonts w:ascii="Arial" w:cs="Arial" w:eastAsia="Arial" w:hAnsi="Arial"/>
          <w:sz w:val="18"/>
          <w:szCs w:val="18"/>
          <w:u w:val="single" w:color="auto"/>
          <w:color w:val="auto"/>
        </w:rPr>
        <w:t>Further Assurances.</w:t>
      </w:r>
      <w:r>
        <w:rPr>
          <w:rFonts w:ascii="Arial" w:cs="Arial" w:eastAsia="Arial" w:hAnsi="Arial"/>
          <w:sz w:val="18"/>
          <w:szCs w:val="18"/>
          <w:color w:val="auto"/>
        </w:rPr>
        <w:t xml:space="preserve"> The Company agrees to perform, execute, acknowledge, and deliver or cause to be performed, executed, acknowledged, and delivered all such further and other acts, instruments, and assurances as may reasonably be required by the Warrant Agent for the carrying out or performing of the provisions of this Agreement.</w:t>
      </w:r>
    </w:p>
    <w:p>
      <w:pPr>
        <w:spacing w:after="0" w:line="18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8.4 </w:t>
      </w:r>
      <w:r>
        <w:rPr>
          <w:rFonts w:ascii="Arial" w:cs="Arial" w:eastAsia="Arial" w:hAnsi="Arial"/>
          <w:sz w:val="18"/>
          <w:szCs w:val="18"/>
          <w:u w:val="single" w:color="auto"/>
          <w:color w:val="auto"/>
        </w:rPr>
        <w:t>Liability of Warrant Agent</w:t>
      </w:r>
      <w:r>
        <w:rPr>
          <w:rFonts w:ascii="Arial" w:cs="Arial" w:eastAsia="Arial" w:hAnsi="Arial"/>
          <w:sz w:val="18"/>
          <w:szCs w:val="18"/>
          <w:color w:val="auto"/>
        </w:rPr>
        <w:t>.</w:t>
      </w:r>
    </w:p>
    <w:p>
      <w:pPr>
        <w:spacing w:after="0" w:line="225" w:lineRule="exact"/>
        <w:rPr>
          <w:sz w:val="20"/>
          <w:szCs w:val="20"/>
          <w:color w:val="auto"/>
        </w:rPr>
      </w:pPr>
    </w:p>
    <w:p>
      <w:pPr>
        <w:jc w:val="both"/>
        <w:ind w:firstLine="2009"/>
        <w:spacing w:after="0" w:line="255" w:lineRule="auto"/>
        <w:rPr>
          <w:sz w:val="20"/>
          <w:szCs w:val="20"/>
          <w:color w:val="auto"/>
        </w:rPr>
      </w:pPr>
      <w:r>
        <w:rPr>
          <w:rFonts w:ascii="Arial" w:cs="Arial" w:eastAsia="Arial" w:hAnsi="Arial"/>
          <w:sz w:val="18"/>
          <w:szCs w:val="18"/>
          <w:color w:val="auto"/>
        </w:rPr>
        <w:t xml:space="preserve">8.4.1 </w:t>
      </w:r>
      <w:r>
        <w:rPr>
          <w:rFonts w:ascii="Arial" w:cs="Arial" w:eastAsia="Arial" w:hAnsi="Arial"/>
          <w:sz w:val="18"/>
          <w:szCs w:val="18"/>
          <w:u w:val="single" w:color="auto"/>
          <w:color w:val="auto"/>
        </w:rPr>
        <w:t>Reliance on Company Statement.</w:t>
      </w:r>
      <w:r>
        <w:rPr>
          <w:rFonts w:ascii="Arial" w:cs="Arial" w:eastAsia="Arial" w:hAnsi="Arial"/>
          <w:sz w:val="18"/>
          <w:szCs w:val="18"/>
          <w:color w:val="auto"/>
        </w:rPr>
        <w:t xml:space="preserve"> Whenever in the performance of its duties under this Agreement, the Warrant Agent shall deem it necessary or desirable that any fact or matter be proved or established by the Company prior to taking or suffering any action hereunder, such fact or matter (unless other evidence in respect thereof be herein specifically prescribed) may be deemed to be conclusively proved and established by a statement signed by the Chief Executive Officer, Chief Financial Officer, President, Executive Vice President, Vice President, Secretary or Chairman of the Board of the Company and delivered to the Warrant Agent. The Warrant Agent may rely upon such statement for any action taken or suffered in good faith by it pursuant to the provisions of this Agreement.</w:t>
      </w:r>
    </w:p>
    <w:p>
      <w:pPr>
        <w:spacing w:after="0" w:line="192" w:lineRule="exact"/>
        <w:rPr>
          <w:sz w:val="20"/>
          <w:szCs w:val="20"/>
          <w:color w:val="auto"/>
        </w:rPr>
      </w:pPr>
    </w:p>
    <w:p>
      <w:pPr>
        <w:jc w:val="both"/>
        <w:ind w:firstLine="2009"/>
        <w:spacing w:after="0" w:line="259" w:lineRule="auto"/>
        <w:rPr>
          <w:sz w:val="20"/>
          <w:szCs w:val="20"/>
          <w:color w:val="auto"/>
        </w:rPr>
      </w:pPr>
      <w:r>
        <w:rPr>
          <w:rFonts w:ascii="Arial" w:cs="Arial" w:eastAsia="Arial" w:hAnsi="Arial"/>
          <w:sz w:val="18"/>
          <w:szCs w:val="18"/>
          <w:color w:val="auto"/>
        </w:rPr>
        <w:t xml:space="preserve">8.4.2 </w:t>
      </w:r>
      <w:r>
        <w:rPr>
          <w:rFonts w:ascii="Arial" w:cs="Arial" w:eastAsia="Arial" w:hAnsi="Arial"/>
          <w:sz w:val="18"/>
          <w:szCs w:val="18"/>
          <w:u w:val="single" w:color="auto"/>
          <w:color w:val="auto"/>
        </w:rPr>
        <w:t>Indemnity.</w:t>
      </w:r>
      <w:r>
        <w:rPr>
          <w:rFonts w:ascii="Arial" w:cs="Arial" w:eastAsia="Arial" w:hAnsi="Arial"/>
          <w:sz w:val="18"/>
          <w:szCs w:val="18"/>
          <w:color w:val="auto"/>
        </w:rPr>
        <w:t xml:space="preserve"> The Warrant Agent shall be liable hereunder only for its own gross negligence, willful misconduct or bad faith. The Company agrees to indemnify the Warrant Agent and save it harmless against any and all liabilities, including judgments, costs and reasonable counsel fees, for anything done or omitted by the Warrant Agent in the execution of this Agreement, except as a result of the Warrant Agent’s gross negligence, willful misconduct or bad faith.</w:t>
      </w:r>
    </w:p>
    <w:p>
      <w:pPr>
        <w:spacing w:after="0" w:line="187" w:lineRule="exact"/>
        <w:rPr>
          <w:sz w:val="20"/>
          <w:szCs w:val="20"/>
          <w:color w:val="auto"/>
        </w:rPr>
      </w:pPr>
    </w:p>
    <w:p>
      <w:pPr>
        <w:jc w:val="both"/>
        <w:ind w:firstLine="2009"/>
        <w:spacing w:after="0" w:line="254" w:lineRule="auto"/>
        <w:rPr>
          <w:sz w:val="20"/>
          <w:szCs w:val="20"/>
          <w:color w:val="auto"/>
        </w:rPr>
      </w:pPr>
      <w:r>
        <w:rPr>
          <w:rFonts w:ascii="Arial" w:cs="Arial" w:eastAsia="Arial" w:hAnsi="Arial"/>
          <w:sz w:val="18"/>
          <w:szCs w:val="18"/>
          <w:color w:val="auto"/>
        </w:rPr>
        <w:t xml:space="preserve">8.4.3 </w:t>
      </w:r>
      <w:r>
        <w:rPr>
          <w:rFonts w:ascii="Arial" w:cs="Arial" w:eastAsia="Arial" w:hAnsi="Arial"/>
          <w:sz w:val="18"/>
          <w:szCs w:val="18"/>
          <w:u w:val="single" w:color="auto"/>
          <w:color w:val="auto"/>
        </w:rPr>
        <w:t>Exclusions.</w:t>
      </w:r>
      <w:r>
        <w:rPr>
          <w:rFonts w:ascii="Arial" w:cs="Arial" w:eastAsia="Arial" w:hAnsi="Arial"/>
          <w:sz w:val="18"/>
          <w:szCs w:val="18"/>
          <w:color w:val="auto"/>
        </w:rPr>
        <w:t xml:space="preserve"> The Warrant Agent shall have no responsibility with respect to the validity of this Agreement or with respect to the validity or execution of any Warrant (except its countersignature thereof). The Warrant Agent shall not be responsible for any breach by the Company of any covenant or condition contained in this Agreement or in any Warrant. The Warrant Agent shall not be responsible to make any adjustments required under the provisions of </w:t>
      </w:r>
      <w:r>
        <w:rPr>
          <w:rFonts w:ascii="Arial" w:cs="Arial" w:eastAsia="Arial" w:hAnsi="Arial"/>
          <w:sz w:val="18"/>
          <w:szCs w:val="18"/>
          <w:u w:val="single" w:color="auto"/>
          <w:color w:val="auto"/>
        </w:rPr>
        <w:t>Section 4</w:t>
      </w:r>
      <w:r>
        <w:rPr>
          <w:rFonts w:ascii="Arial" w:cs="Arial" w:eastAsia="Arial" w:hAnsi="Arial"/>
          <w:sz w:val="18"/>
          <w:szCs w:val="18"/>
          <w:color w:val="auto"/>
        </w:rPr>
        <w:t xml:space="preserve"> hereof or responsible for the manner, method, or amount of any such adjustment or the ascertaining of the existence of facts that would require any such adjustment; nor shall it by any act hereunder be deemed to make any representation or warranty as to the authorization or reservation of any Ordinary Shares to be issued pursuant to this Agreement or any Warrant or as to whether any Ordinary Shares shall, when issued, be valid and fully paid and non-assessable.</w:t>
      </w:r>
    </w:p>
    <w:p>
      <w:pPr>
        <w:spacing w:after="0" w:line="30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254" w:name="page255"/>
    <w:bookmarkEnd w:id="254"/>
    <w:p>
      <w:pPr>
        <w:jc w:val="both"/>
        <w:ind w:firstLine="1296"/>
        <w:spacing w:after="0" w:line="259" w:lineRule="auto"/>
        <w:rPr>
          <w:sz w:val="20"/>
          <w:szCs w:val="20"/>
          <w:color w:val="auto"/>
        </w:rPr>
      </w:pPr>
      <w:r>
        <w:rPr>
          <w:rFonts w:ascii="Arial" w:cs="Arial" w:eastAsia="Arial" w:hAnsi="Arial"/>
          <w:sz w:val="18"/>
          <w:szCs w:val="18"/>
          <w:color w:val="auto"/>
        </w:rPr>
        <w:t xml:space="preserve">8.5 </w:t>
      </w:r>
      <w:r>
        <w:rPr>
          <w:rFonts w:ascii="Arial" w:cs="Arial" w:eastAsia="Arial" w:hAnsi="Arial"/>
          <w:sz w:val="18"/>
          <w:szCs w:val="18"/>
          <w:u w:val="single" w:color="auto"/>
          <w:color w:val="auto"/>
        </w:rPr>
        <w:t>Acceptance of Agency.</w:t>
      </w:r>
      <w:r>
        <w:rPr>
          <w:rFonts w:ascii="Arial" w:cs="Arial" w:eastAsia="Arial" w:hAnsi="Arial"/>
          <w:sz w:val="18"/>
          <w:szCs w:val="18"/>
          <w:color w:val="auto"/>
        </w:rPr>
        <w:t xml:space="preserve"> The Warrant Agent hereby accepts the agency established by this Agreement and agrees to perform the same upon the terms and conditions herein set forth and among other things, shall account promptly to the Company with respect to Warrants exercised and concurrently account for, and pay to the Company, all monies received by the Warrant Agent for the purchase of Ordinary Shares through the exercise of the Warrants.</w:t>
      </w:r>
    </w:p>
    <w:p>
      <w:pPr>
        <w:spacing w:after="0" w:line="187"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 xml:space="preserve">8.6 </w:t>
      </w:r>
      <w:r>
        <w:rPr>
          <w:rFonts w:ascii="Arial" w:cs="Arial" w:eastAsia="Arial" w:hAnsi="Arial"/>
          <w:sz w:val="18"/>
          <w:szCs w:val="18"/>
          <w:u w:val="single" w:color="auto"/>
          <w:color w:val="auto"/>
        </w:rPr>
        <w:t>Waiver.</w:t>
      </w:r>
      <w:r>
        <w:rPr>
          <w:rFonts w:ascii="Arial" w:cs="Arial" w:eastAsia="Arial" w:hAnsi="Arial"/>
          <w:sz w:val="18"/>
          <w:szCs w:val="18"/>
          <w:color w:val="auto"/>
        </w:rPr>
        <w:t xml:space="preserve"> The Warrant Agent has no right of set-off or any other right, title, interest or claim of any kind (“</w:t>
      </w:r>
      <w:r>
        <w:rPr>
          <w:rFonts w:ascii="Arial" w:cs="Arial" w:eastAsia="Arial" w:hAnsi="Arial"/>
          <w:sz w:val="18"/>
          <w:szCs w:val="18"/>
          <w:b w:val="1"/>
          <w:bCs w:val="1"/>
          <w:i w:val="1"/>
          <w:iCs w:val="1"/>
          <w:color w:val="auto"/>
        </w:rPr>
        <w:t>Claim</w:t>
      </w:r>
      <w:r>
        <w:rPr>
          <w:rFonts w:ascii="Arial" w:cs="Arial" w:eastAsia="Arial" w:hAnsi="Arial"/>
          <w:sz w:val="18"/>
          <w:szCs w:val="18"/>
          <w:color w:val="auto"/>
        </w:rPr>
        <w:t>”) in, or to any distribution of, the Trust Account (as defined in that certain Investment Management Trust Agreement, dated as of the date hereof, by and between the Company and the Warrant Agent as trustee thereunder) and hereby agrees not to seek recourse, reimbursement, payment or satisfaction for any Claim against the Trust Account for any reason whatsoever. The Warrant Agent hereby waives any and all Claims against the Trust Account and any and all rights to seek access to the Trust Account.</w:t>
      </w:r>
    </w:p>
    <w:p>
      <w:pPr>
        <w:spacing w:after="0" w:line="188" w:lineRule="exact"/>
        <w:rPr>
          <w:sz w:val="20"/>
          <w:szCs w:val="20"/>
          <w:color w:val="auto"/>
        </w:rPr>
      </w:pPr>
    </w:p>
    <w:p>
      <w:pPr>
        <w:ind w:left="840" w:hanging="184"/>
        <w:spacing w:after="0"/>
        <w:tabs>
          <w:tab w:leader="none" w:pos="840" w:val="left"/>
        </w:tabs>
        <w:numPr>
          <w:ilvl w:val="0"/>
          <w:numId w:val="160"/>
        </w:numPr>
        <w:rPr>
          <w:rFonts w:ascii="Arial" w:cs="Arial" w:eastAsia="Arial" w:hAnsi="Arial"/>
          <w:sz w:val="18"/>
          <w:szCs w:val="18"/>
          <w:color w:val="auto"/>
        </w:rPr>
      </w:pPr>
      <w:r>
        <w:rPr>
          <w:rFonts w:ascii="Arial" w:cs="Arial" w:eastAsia="Arial" w:hAnsi="Arial"/>
          <w:sz w:val="18"/>
          <w:szCs w:val="18"/>
          <w:u w:val="single" w:color="auto"/>
          <w:color w:val="auto"/>
        </w:rPr>
        <w:t>Miscellaneous Provisions</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 xml:space="preserve">9.1 </w:t>
      </w:r>
      <w:r>
        <w:rPr>
          <w:rFonts w:ascii="Arial" w:cs="Arial" w:eastAsia="Arial" w:hAnsi="Arial"/>
          <w:sz w:val="18"/>
          <w:szCs w:val="18"/>
          <w:u w:val="single" w:color="auto"/>
          <w:color w:val="auto"/>
        </w:rPr>
        <w:t>Successors.</w:t>
      </w:r>
      <w:r>
        <w:rPr>
          <w:rFonts w:ascii="Arial" w:cs="Arial" w:eastAsia="Arial" w:hAnsi="Arial"/>
          <w:sz w:val="18"/>
          <w:szCs w:val="18"/>
          <w:color w:val="auto"/>
        </w:rPr>
        <w:t xml:space="preserve"> All the covenants and provisions of this Agreement by or for the benefit of the Company or the Warrant Agent shall bind and inure to the benefit of their respective successors and assigns.</w:t>
      </w:r>
    </w:p>
    <w:p>
      <w:pPr>
        <w:spacing w:after="0" w:line="170"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 xml:space="preserve">9.2 </w:t>
      </w:r>
      <w:r>
        <w:rPr>
          <w:rFonts w:ascii="Arial" w:cs="Arial" w:eastAsia="Arial" w:hAnsi="Arial"/>
          <w:sz w:val="18"/>
          <w:szCs w:val="18"/>
          <w:u w:val="single" w:color="auto"/>
          <w:color w:val="auto"/>
        </w:rPr>
        <w:t>Notices.</w:t>
      </w:r>
      <w:r>
        <w:rPr>
          <w:rFonts w:ascii="Arial" w:cs="Arial" w:eastAsia="Arial" w:hAnsi="Arial"/>
          <w:sz w:val="18"/>
          <w:szCs w:val="18"/>
          <w:color w:val="auto"/>
        </w:rPr>
        <w:t xml:space="preserve"> Any notice, statement or demand authorized by this Agreement to be given or made by the Warrant Agent or by the holder of any Warrant to or on the Company shall be sufficiently given when so delivered if by hand or overnight delivery or if sent by certified mail or private courier service within five (5) days after deposit of such notice, postage prepaid, addressed (until another address is filed in writing by the Company with the Warrant Agent), as follows:</w:t>
      </w:r>
    </w:p>
    <w:p>
      <w:pPr>
        <w:spacing w:after="0" w:line="12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14 Wall Street, 20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w:t>
      </w:r>
    </w:p>
    <w:p>
      <w:pPr>
        <w:ind w:left="980"/>
        <w:spacing w:after="0"/>
        <w:rPr>
          <w:sz w:val="20"/>
          <w:szCs w:val="20"/>
          <w:color w:val="auto"/>
        </w:rPr>
      </w:pPr>
      <w:r>
        <w:rPr>
          <w:rFonts w:ascii="Arial" w:cs="Arial" w:eastAsia="Arial" w:hAnsi="Arial"/>
          <w:sz w:val="18"/>
          <w:szCs w:val="18"/>
          <w:color w:val="auto"/>
        </w:rPr>
        <w:t>New York, NY 10005</w:t>
      </w:r>
    </w:p>
    <w:p>
      <w:pPr>
        <w:spacing w:after="0" w:line="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Attention: Adam Gishen</w:t>
      </w:r>
    </w:p>
    <w:p>
      <w:pPr>
        <w:spacing w:after="0" w:line="21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Any notice, statement or demand authorized by this Agreement to be given or made by the holder of any Warrant or by the Company to or on the Warrant Agent shall be sufficiently given when so delivered if by hand or overnight delivery or if sent by certified mail or private courier service within five (5) days after deposit of such notice, postage prepaid, addressed (until another address is filed in writing by the Warrant Agent with the Company), as follows:</w:t>
      </w:r>
    </w:p>
    <w:p>
      <w:pPr>
        <w:spacing w:after="0" w:line="14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Continental Stock Transfer &amp; Trust Company</w:t>
      </w:r>
    </w:p>
    <w:p>
      <w:pPr>
        <w:ind w:left="980"/>
        <w:spacing w:after="0" w:line="202" w:lineRule="auto"/>
        <w:rPr>
          <w:sz w:val="20"/>
          <w:szCs w:val="20"/>
          <w:color w:val="auto"/>
        </w:rPr>
      </w:pPr>
      <w:r>
        <w:rPr>
          <w:rFonts w:ascii="Arial" w:cs="Arial" w:eastAsia="Arial" w:hAnsi="Arial"/>
          <w:sz w:val="18"/>
          <w:szCs w:val="18"/>
          <w:color w:val="auto"/>
        </w:rPr>
        <w:t>1 State Street, 30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New York, NY 10004</w:t>
      </w:r>
    </w:p>
    <w:p>
      <w:pPr>
        <w:spacing w:after="0" w:line="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Attention: Compliance Department</w:t>
      </w:r>
    </w:p>
    <w:p>
      <w:pPr>
        <w:spacing w:after="0" w:line="211" w:lineRule="exact"/>
        <w:rPr>
          <w:sz w:val="20"/>
          <w:szCs w:val="20"/>
          <w:color w:val="auto"/>
        </w:rPr>
      </w:pPr>
    </w:p>
    <w:p>
      <w:pPr>
        <w:ind w:left="100"/>
        <w:spacing w:after="0"/>
        <w:rPr>
          <w:sz w:val="20"/>
          <w:szCs w:val="20"/>
          <w:color w:val="auto"/>
        </w:rPr>
      </w:pPr>
      <w:r>
        <w:rPr>
          <w:rFonts w:ascii="Arial" w:cs="Arial" w:eastAsia="Arial" w:hAnsi="Arial"/>
          <w:sz w:val="18"/>
          <w:szCs w:val="18"/>
          <w:color w:val="auto"/>
        </w:rPr>
        <w:t>in each case, with a copy to:</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Davis Polk &amp; Wardwell LLP</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450 Lexington Avenue</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New York, NY 10017</w:t>
      </w:r>
    </w:p>
    <w:p>
      <w:pPr>
        <w:spacing w:after="0" w:line="9" w:lineRule="exact"/>
        <w:rPr>
          <w:sz w:val="20"/>
          <w:szCs w:val="20"/>
          <w:color w:val="auto"/>
        </w:rPr>
      </w:pPr>
    </w:p>
    <w:p>
      <w:pPr>
        <w:jc w:val="center"/>
        <w:ind w:right="6840"/>
        <w:spacing w:after="0"/>
        <w:rPr>
          <w:sz w:val="20"/>
          <w:szCs w:val="20"/>
          <w:color w:val="auto"/>
        </w:rPr>
      </w:pPr>
      <w:r>
        <w:rPr>
          <w:rFonts w:ascii="Arial" w:cs="Arial" w:eastAsia="Arial" w:hAnsi="Arial"/>
          <w:sz w:val="18"/>
          <w:szCs w:val="18"/>
          <w:color w:val="auto"/>
        </w:rPr>
        <w:t>Attn: Deanna L. Kirkpatrick, Esq.</w:t>
      </w:r>
    </w:p>
    <w:p>
      <w:pPr>
        <w:spacing w:after="0" w:line="9" w:lineRule="exact"/>
        <w:rPr>
          <w:sz w:val="20"/>
          <w:szCs w:val="20"/>
          <w:color w:val="auto"/>
        </w:rPr>
      </w:pPr>
    </w:p>
    <w:p>
      <w:pPr>
        <w:jc w:val="center"/>
        <w:ind w:right="6860"/>
        <w:spacing w:after="0"/>
        <w:rPr>
          <w:sz w:val="20"/>
          <w:szCs w:val="20"/>
          <w:color w:val="auto"/>
        </w:rPr>
      </w:pPr>
      <w:r>
        <w:rPr>
          <w:rFonts w:ascii="Arial" w:cs="Arial" w:eastAsia="Arial" w:hAnsi="Arial"/>
          <w:sz w:val="18"/>
          <w:szCs w:val="18"/>
          <w:color w:val="auto"/>
        </w:rPr>
        <w:t>Pedro J. Bermeo, Esq.</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Email: deanna.kirkpatrick@davispolk.com</w:t>
      </w:r>
    </w:p>
    <w:p>
      <w:pPr>
        <w:spacing w:after="0" w:line="9"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pedro.bermeo@davispolk.com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21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J.P. Morgan Securities LLC</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383 Madison Avenue</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New York, New York 10179</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Attn: Equity Syndicate Desk</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Fax: (212) 622-8358</w:t>
      </w:r>
    </w:p>
    <w:p>
      <w:pPr>
        <w:spacing w:after="0" w:line="31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255" w:name="page256"/>
    <w:bookmarkEnd w:id="255"/>
    <w:p>
      <w:pPr>
        <w:jc w:val="both"/>
        <w:ind w:firstLine="1296"/>
        <w:spacing w:after="0" w:line="286" w:lineRule="auto"/>
        <w:rPr>
          <w:sz w:val="20"/>
          <w:szCs w:val="20"/>
          <w:color w:val="auto"/>
        </w:rPr>
      </w:pPr>
      <w:r>
        <w:rPr>
          <w:rFonts w:ascii="Arial" w:cs="Arial" w:eastAsia="Arial" w:hAnsi="Arial"/>
          <w:sz w:val="16"/>
          <w:szCs w:val="16"/>
          <w:color w:val="auto"/>
        </w:rPr>
        <w:t xml:space="preserve">9.3 </w:t>
      </w:r>
      <w:r>
        <w:rPr>
          <w:rFonts w:ascii="Arial" w:cs="Arial" w:eastAsia="Arial" w:hAnsi="Arial"/>
          <w:sz w:val="16"/>
          <w:szCs w:val="16"/>
          <w:u w:val="single" w:color="auto"/>
          <w:color w:val="auto"/>
        </w:rPr>
        <w:t>Applicable Law and Exclusive Forum</w:t>
      </w:r>
      <w:r>
        <w:rPr>
          <w:rFonts w:ascii="Arial" w:cs="Arial" w:eastAsia="Arial" w:hAnsi="Arial"/>
          <w:sz w:val="16"/>
          <w:szCs w:val="16"/>
          <w:color w:val="auto"/>
        </w:rPr>
        <w:t>. The validity, interpretation, and performance of this Agreement and of the Warrants shall be governed in all respects by the laws of the State of New York, without giving effect to conflicts of law principles that would result in the application of the substantive laws of another jurisdiction. The Company hereby agrees that any action, proceeding or claim against it arising out of or relating in any way to this Agreement shall be brought and enforced in the courts of the State of New York or the United States District Court for the Southern District of New York, and irrevocably submits to such jurisdiction, which jurisdiction shall be the exclusive forum for any such action, proceeding or claim. The Company hereby waives any objection to such exclusive jurisdiction and that such courts represent an inconvenient forum. Notwithstanding the foregoing, the provisions of this paragraph will not apply to suits brought to enforce any liability or duty created by the Exchange Act or any other claim for which the federal district courts of the United States of America are the sole and exclusive forum. Any person or entity purchasing or otherwise acquiring any interest in any Warrants shall be deemed to have notice of and to have consented to the forum provisions in this Agreement. If any action, the subject matter of which is within the scope of the forum provisions of this Agreement, is filed in a court other than a court of the State of New York or the United States District Court for the Southern District of New York (a “</w:t>
      </w:r>
      <w:r>
        <w:rPr>
          <w:rFonts w:ascii="Arial" w:cs="Arial" w:eastAsia="Arial" w:hAnsi="Arial"/>
          <w:sz w:val="16"/>
          <w:szCs w:val="16"/>
          <w:b w:val="1"/>
          <w:bCs w:val="1"/>
          <w:color w:val="auto"/>
        </w:rPr>
        <w:t>foreign action</w:t>
      </w:r>
      <w:r>
        <w:rPr>
          <w:rFonts w:ascii="Arial" w:cs="Arial" w:eastAsia="Arial" w:hAnsi="Arial"/>
          <w:sz w:val="16"/>
          <w:szCs w:val="16"/>
          <w:color w:val="auto"/>
        </w:rPr>
        <w:t>”) in the name of any holder of the Warrants, such holder shall be deemed to have consented to: (x) the personal jurisdiction of the state and federal courts located in the State of New York in connection with any action brought in any such court to enforce the forum provisions (an “</w:t>
      </w:r>
      <w:r>
        <w:rPr>
          <w:rFonts w:ascii="Arial" w:cs="Arial" w:eastAsia="Arial" w:hAnsi="Arial"/>
          <w:sz w:val="16"/>
          <w:szCs w:val="16"/>
          <w:b w:val="1"/>
          <w:bCs w:val="1"/>
          <w:color w:val="auto"/>
        </w:rPr>
        <w:t>enforcement action</w:t>
      </w:r>
      <w:r>
        <w:rPr>
          <w:rFonts w:ascii="Arial" w:cs="Arial" w:eastAsia="Arial" w:hAnsi="Arial"/>
          <w:sz w:val="16"/>
          <w:szCs w:val="16"/>
          <w:color w:val="auto"/>
        </w:rPr>
        <w:t>”), and (y) having service of process made upon such warrant holder in any such enforcement action by service upon such warrant holder’s counsel in the foreign action as agent for such warrant holder.</w:t>
      </w:r>
    </w:p>
    <w:p>
      <w:pPr>
        <w:spacing w:after="0" w:line="171" w:lineRule="exact"/>
        <w:rPr>
          <w:sz w:val="20"/>
          <w:szCs w:val="20"/>
          <w:color w:val="auto"/>
        </w:rPr>
      </w:pPr>
    </w:p>
    <w:p>
      <w:pPr>
        <w:jc w:val="both"/>
        <w:ind w:firstLine="1296"/>
        <w:spacing w:after="0" w:line="301" w:lineRule="auto"/>
        <w:rPr>
          <w:sz w:val="20"/>
          <w:szCs w:val="20"/>
          <w:color w:val="auto"/>
        </w:rPr>
      </w:pPr>
      <w:r>
        <w:rPr>
          <w:rFonts w:ascii="Arial" w:cs="Arial" w:eastAsia="Arial" w:hAnsi="Arial"/>
          <w:sz w:val="16"/>
          <w:szCs w:val="16"/>
          <w:color w:val="auto"/>
        </w:rPr>
        <w:t xml:space="preserve">9.4 </w:t>
      </w:r>
      <w:r>
        <w:rPr>
          <w:rFonts w:ascii="Arial" w:cs="Arial" w:eastAsia="Arial" w:hAnsi="Arial"/>
          <w:sz w:val="16"/>
          <w:szCs w:val="16"/>
          <w:u w:val="single" w:color="auto"/>
          <w:color w:val="auto"/>
        </w:rPr>
        <w:t>Persons Having Rights under this Agreement.</w:t>
      </w:r>
      <w:r>
        <w:rPr>
          <w:rFonts w:ascii="Arial" w:cs="Arial" w:eastAsia="Arial" w:hAnsi="Arial"/>
          <w:sz w:val="16"/>
          <w:szCs w:val="16"/>
          <w:color w:val="auto"/>
        </w:rPr>
        <w:t xml:space="preserve"> Nothing in this Agreement shall be construed to confer upon, or give to, any person or corporation other than the parties hereto and the Registered Holders of the Warrants any right, remedy, or claim under or by reason of this Agreement or of any covenant, condition, stipulation, promise, or agreement hereof. All covenants, conditions, stipulations, promises, and agreements contained in this Agreement shall be for the sole and exclusive benefit of the parties hereto and their successors and assigns and of the Registered Holders of the Warrants.</w:t>
      </w:r>
    </w:p>
    <w:p>
      <w:pPr>
        <w:spacing w:after="0" w:line="157"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 xml:space="preserve">9.5 </w:t>
      </w:r>
      <w:r>
        <w:rPr>
          <w:rFonts w:ascii="Arial" w:cs="Arial" w:eastAsia="Arial" w:hAnsi="Arial"/>
          <w:sz w:val="18"/>
          <w:szCs w:val="18"/>
          <w:u w:val="single" w:color="auto"/>
          <w:color w:val="auto"/>
        </w:rPr>
        <w:t>Examination of the Warrant Agreement.</w:t>
      </w:r>
      <w:r>
        <w:rPr>
          <w:rFonts w:ascii="Arial" w:cs="Arial" w:eastAsia="Arial" w:hAnsi="Arial"/>
          <w:sz w:val="18"/>
          <w:szCs w:val="18"/>
          <w:color w:val="auto"/>
        </w:rPr>
        <w:t xml:space="preserve"> A copy of this Agreement shall be available at all reasonable times at the office of the Warrant Agent in the Borough of Manhattan, City and State of New York, for inspection by the Registered Holder of any Warrant. The Warrant Agent may require any such holder to submit such holder’s Warrant for inspection by the Warrant Agent.</w:t>
      </w:r>
    </w:p>
    <w:p>
      <w:pPr>
        <w:spacing w:after="0" w:line="184" w:lineRule="exact"/>
        <w:rPr>
          <w:sz w:val="20"/>
          <w:szCs w:val="20"/>
          <w:color w:val="auto"/>
        </w:rPr>
      </w:pPr>
    </w:p>
    <w:p>
      <w:pPr>
        <w:jc w:val="both"/>
        <w:ind w:firstLine="1296"/>
        <w:spacing w:after="0" w:line="308" w:lineRule="auto"/>
        <w:rPr>
          <w:sz w:val="20"/>
          <w:szCs w:val="20"/>
          <w:color w:val="auto"/>
        </w:rPr>
      </w:pPr>
      <w:r>
        <w:rPr>
          <w:rFonts w:ascii="Arial" w:cs="Arial" w:eastAsia="Arial" w:hAnsi="Arial"/>
          <w:sz w:val="17"/>
          <w:szCs w:val="17"/>
          <w:color w:val="auto"/>
        </w:rPr>
        <w:t xml:space="preserve">9.6 </w:t>
      </w:r>
      <w:r>
        <w:rPr>
          <w:rFonts w:ascii="Arial" w:cs="Arial" w:eastAsia="Arial" w:hAnsi="Arial"/>
          <w:sz w:val="17"/>
          <w:szCs w:val="17"/>
          <w:u w:val="single" w:color="auto"/>
          <w:color w:val="auto"/>
        </w:rPr>
        <w:t>Counterparts.</w:t>
      </w:r>
      <w:r>
        <w:rPr>
          <w:rFonts w:ascii="Arial" w:cs="Arial" w:eastAsia="Arial" w:hAnsi="Arial"/>
          <w:sz w:val="17"/>
          <w:szCs w:val="17"/>
          <w:color w:val="auto"/>
        </w:rPr>
        <w:t xml:space="preserve"> This Agreement may be executed in any number of original or facsimile counterparts and each of such counterparts shall for all purposes be deemed to be an original, and all such counterparts shall together constitute but one and the same instrument.</w:t>
      </w:r>
    </w:p>
    <w:p>
      <w:pPr>
        <w:spacing w:after="0" w:line="146"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 xml:space="preserve">9.7 </w:t>
      </w:r>
      <w:r>
        <w:rPr>
          <w:rFonts w:ascii="Arial" w:cs="Arial" w:eastAsia="Arial" w:hAnsi="Arial"/>
          <w:sz w:val="18"/>
          <w:szCs w:val="18"/>
          <w:u w:val="single" w:color="auto"/>
          <w:color w:val="auto"/>
        </w:rPr>
        <w:t>Effect of Headings.</w:t>
      </w:r>
      <w:r>
        <w:rPr>
          <w:rFonts w:ascii="Arial" w:cs="Arial" w:eastAsia="Arial" w:hAnsi="Arial"/>
          <w:sz w:val="18"/>
          <w:szCs w:val="18"/>
          <w:color w:val="auto"/>
        </w:rPr>
        <w:t xml:space="preserve"> The section headings herein are for convenience only and are not part of this Agreement and shall not affect the interpretation thereof.</w:t>
      </w:r>
    </w:p>
    <w:p>
      <w:pPr>
        <w:spacing w:after="0" w:line="170"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17"/>
          <w:szCs w:val="17"/>
          <w:color w:val="auto"/>
        </w:rPr>
        <w:t xml:space="preserve">9.8 </w:t>
      </w:r>
      <w:r>
        <w:rPr>
          <w:rFonts w:ascii="Arial" w:cs="Arial" w:eastAsia="Arial" w:hAnsi="Arial"/>
          <w:sz w:val="17"/>
          <w:szCs w:val="17"/>
          <w:u w:val="single" w:color="auto"/>
          <w:color w:val="auto"/>
        </w:rPr>
        <w:t>Amendments.</w:t>
      </w:r>
      <w:r>
        <w:rPr>
          <w:rFonts w:ascii="Arial" w:cs="Arial" w:eastAsia="Arial" w:hAnsi="Arial"/>
          <w:sz w:val="17"/>
          <w:szCs w:val="17"/>
          <w:color w:val="auto"/>
        </w:rPr>
        <w:t xml:space="preserve"> This Agreement may be amended by the parties hereto without the consent of any Registered Holder (i) for the purpose of curing any ambiguity, or curing, correcting or supplementing any defective provision contained herein or adding or changing any other provisions with respect to matters or questions arising under this Agreement as the parties may deem necessary or desirable and that the parties deem shall not adversely affect the interest of the Registered Holders, and (ii) to provide for the delivery of an Alternative Issuance pursuant to Section 4.4. All other modifications or amendments, including any modification or amendment to increase the Warrant Price or shorten the Exercise Period shall require the vote or written consent of the Registered Holders of 65% of the number of the then outstanding Public Warrants and, solely with respect to any amendment to the terms of the Private Placement Warrants or Working Capital Warrants or any provision of this Agreement with respect to the Private Placement Warrants or Working Capital Warrants, 65% of the number of then outstanding Private Placement Warrants and Working Capital Warrants. Notwithstanding the foregoing, the Company may lower the Warrant Price or extend the duration of the Exercise Period pursuant to </w:t>
      </w:r>
      <w:r>
        <w:rPr>
          <w:rFonts w:ascii="Arial" w:cs="Arial" w:eastAsia="Arial" w:hAnsi="Arial"/>
          <w:sz w:val="17"/>
          <w:szCs w:val="17"/>
          <w:u w:val="single" w:color="auto"/>
          <w:color w:val="auto"/>
        </w:rPr>
        <w:t>Sections 3.1</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3.2,</w:t>
      </w:r>
      <w:r>
        <w:rPr>
          <w:rFonts w:ascii="Arial" w:cs="Arial" w:eastAsia="Arial" w:hAnsi="Arial"/>
          <w:sz w:val="17"/>
          <w:szCs w:val="17"/>
          <w:color w:val="auto"/>
        </w:rPr>
        <w:t xml:space="preserve"> respectively, without the consent of the Registered Holders.</w:t>
      </w:r>
    </w:p>
    <w:p>
      <w:pPr>
        <w:spacing w:after="0" w:line="185"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 xml:space="preserve">9.9 </w:t>
      </w:r>
      <w:r>
        <w:rPr>
          <w:rFonts w:ascii="Arial" w:cs="Arial" w:eastAsia="Arial" w:hAnsi="Arial"/>
          <w:sz w:val="18"/>
          <w:szCs w:val="18"/>
          <w:u w:val="single" w:color="auto"/>
          <w:color w:val="auto"/>
        </w:rPr>
        <w:t>Severability.</w:t>
      </w:r>
      <w:r>
        <w:rPr>
          <w:rFonts w:ascii="Arial" w:cs="Arial" w:eastAsia="Arial" w:hAnsi="Arial"/>
          <w:sz w:val="18"/>
          <w:szCs w:val="18"/>
          <w:color w:val="auto"/>
        </w:rPr>
        <w:t xml:space="preserve"> This Agreement shall be deemed severable, and the invalidity or unenforceability of any term or provision hereof shall not affect the validity or enforceability of this Agreement or of any other term or provision hereof. Furthermore, in lieu of any such invalid or unenforceable term or provision, the parties hereto intend that there shall be added as a part of this Agreement a provision as similar in terms to such invalid or unenforceable provision as may be possible and be valid and enforceable.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33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256" w:name="page257"/>
    <w:bookmarkEnd w:id="256"/>
    <w:p>
      <w:pPr>
        <w:spacing w:after="0"/>
        <w:rPr>
          <w:sz w:val="20"/>
          <w:szCs w:val="20"/>
          <w:color w:val="auto"/>
        </w:rPr>
      </w:pPr>
      <w:r>
        <w:rPr>
          <w:rFonts w:ascii="Arial" w:cs="Arial" w:eastAsia="Arial" w:hAnsi="Arial"/>
          <w:sz w:val="16"/>
          <w:szCs w:val="16"/>
          <w:color w:val="auto"/>
        </w:rPr>
        <w:t>IN WITNESS WHEREOF, the parties hereto have caused this Agreement to be duly executed as of the date first above written.</w:t>
      </w:r>
    </w:p>
    <w:p>
      <w:pPr>
        <w:spacing w:after="0" w:line="244" w:lineRule="exact"/>
        <w:rPr>
          <w:sz w:val="20"/>
          <w:szCs w:val="20"/>
          <w:color w:val="auto"/>
        </w:rPr>
      </w:pPr>
    </w:p>
    <w:p>
      <w:pPr>
        <w:ind w:left="5420"/>
        <w:spacing w:after="0"/>
        <w:rPr>
          <w:sz w:val="20"/>
          <w:szCs w:val="20"/>
          <w:color w:val="auto"/>
        </w:rPr>
      </w:pPr>
      <w:r>
        <w:rPr>
          <w:rFonts w:ascii="Arial" w:cs="Arial" w:eastAsia="Arial" w:hAnsi="Arial"/>
          <w:sz w:val="18"/>
          <w:szCs w:val="18"/>
          <w:b w:val="1"/>
          <w:bCs w:val="1"/>
          <w:color w:val="auto"/>
        </w:rPr>
        <w:t>FREEDOM ACQUISITION I CORP.</w:t>
      </w:r>
    </w:p>
    <w:p>
      <w:pPr>
        <w:spacing w:after="0" w:line="229"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3872230</wp:posOffset>
            </wp:positionH>
            <wp:positionV relativeFrom="paragraph">
              <wp:posOffset>14605</wp:posOffset>
            </wp:positionV>
            <wp:extent cx="2846070"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33">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3"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63" w:lineRule="exact"/>
        <w:rPr>
          <w:sz w:val="20"/>
          <w:szCs w:val="20"/>
          <w:color w:val="auto"/>
        </w:rPr>
      </w:pPr>
    </w:p>
    <w:p>
      <w:pPr>
        <w:ind w:left="5420"/>
        <w:spacing w:after="0"/>
        <w:rPr>
          <w:sz w:val="20"/>
          <w:szCs w:val="20"/>
          <w:color w:val="auto"/>
        </w:rPr>
      </w:pPr>
      <w:r>
        <w:rPr>
          <w:rFonts w:ascii="Arial" w:cs="Arial" w:eastAsia="Arial" w:hAnsi="Arial"/>
          <w:sz w:val="18"/>
          <w:szCs w:val="18"/>
          <w:b w:val="1"/>
          <w:bCs w:val="1"/>
          <w:color w:val="auto"/>
        </w:rPr>
        <w:t>CONTINENTAL STOCK TRANSFER &amp;</w:t>
      </w:r>
    </w:p>
    <w:p>
      <w:pPr>
        <w:spacing w:after="0" w:line="27" w:lineRule="exact"/>
        <w:rPr>
          <w:sz w:val="20"/>
          <w:szCs w:val="20"/>
          <w:color w:val="auto"/>
        </w:rPr>
      </w:pPr>
    </w:p>
    <w:p>
      <w:pPr>
        <w:ind w:left="5420"/>
        <w:spacing w:after="0"/>
        <w:rPr>
          <w:sz w:val="20"/>
          <w:szCs w:val="20"/>
          <w:color w:val="auto"/>
        </w:rPr>
      </w:pPr>
      <w:r>
        <w:rPr>
          <w:rFonts w:ascii="Arial" w:cs="Arial" w:eastAsia="Arial" w:hAnsi="Arial"/>
          <w:sz w:val="18"/>
          <w:szCs w:val="18"/>
          <w:b w:val="1"/>
          <w:bCs w:val="1"/>
          <w:color w:val="auto"/>
        </w:rPr>
        <w:t>TRUST COMPANY</w:t>
      </w:r>
      <w:r>
        <w:rPr>
          <w:rFonts w:ascii="Arial" w:cs="Arial" w:eastAsia="Arial" w:hAnsi="Arial"/>
          <w:sz w:val="18"/>
          <w:szCs w:val="18"/>
          <w:color w:val="auto"/>
        </w:rPr>
        <w:t>, as Warrant Agent</w:t>
      </w:r>
    </w:p>
    <w:p>
      <w:pPr>
        <w:spacing w:after="0" w:line="211"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3872230</wp:posOffset>
            </wp:positionH>
            <wp:positionV relativeFrom="paragraph">
              <wp:posOffset>14605</wp:posOffset>
            </wp:positionV>
            <wp:extent cx="2846070"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34">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3"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Title:</w:t>
      </w:r>
    </w:p>
    <w:p>
      <w:pPr>
        <w:spacing w:after="0" w:line="224" w:lineRule="exact"/>
        <w:rPr>
          <w:sz w:val="20"/>
          <w:szCs w:val="20"/>
          <w:color w:val="auto"/>
        </w:rPr>
      </w:pPr>
    </w:p>
    <w:p>
      <w:pPr>
        <w:ind w:left="3500"/>
        <w:spacing w:after="0"/>
        <w:rPr>
          <w:sz w:val="20"/>
          <w:szCs w:val="20"/>
          <w:color w:val="auto"/>
        </w:rPr>
      </w:pPr>
      <w:r>
        <w:rPr>
          <w:rFonts w:ascii="Arial" w:cs="Arial" w:eastAsia="Arial" w:hAnsi="Arial"/>
          <w:sz w:val="18"/>
          <w:szCs w:val="18"/>
          <w:i w:val="1"/>
          <w:iCs w:val="1"/>
          <w:color w:val="auto"/>
        </w:rPr>
        <w:t>[Signature Page to Warrant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237490</wp:posOffset>
            </wp:positionV>
            <wp:extent cx="713232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479"/>
          </w:cols>
          <w:pgMar w:left="980" w:top="800" w:right="1440" w:bottom="1440" w:gutter="0" w:footer="0" w:header="0"/>
        </w:sectPr>
      </w:pPr>
    </w:p>
    <w:bookmarkStart w:id="257" w:name="page258"/>
    <w:bookmarkEnd w:id="257"/>
    <w:p>
      <w:pPr>
        <w:jc w:val="center"/>
        <w:spacing w:after="0"/>
        <w:rPr>
          <w:sz w:val="20"/>
          <w:szCs w:val="20"/>
          <w:color w:val="auto"/>
        </w:rPr>
      </w:pPr>
      <w:r>
        <w:rPr>
          <w:rFonts w:ascii="Arial" w:cs="Arial" w:eastAsia="Arial" w:hAnsi="Arial"/>
          <w:sz w:val="18"/>
          <w:szCs w:val="18"/>
          <w:b w:val="1"/>
          <w:bCs w:val="1"/>
          <w:color w:val="auto"/>
        </w:rPr>
        <w:t>EXHIBIT A</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LEGEND</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SECURITIES REPRESENTED HEREBY HAVE NOT BEEN REGISTERED UNDER THE SECURITIES ACT OF 1933, AS AMENDED, OR ANY STATE SECURITIES LAWS, AND MAY NOT BE OFFERED, SOLD, TRANSFERRED OR OTHERWISE DISPOSED OF UNLESS REGISTERED UNDER THE SECURITIES ACT OF 1933, AS AMENDED, AND ANY APPLICABLE STATE SECURITIES LAWS OR AN EXEMPTION FROM REGISTRATION IS AVAILABLE. IN ADDITION, SUBJECT TO ANY ADDITIONAL LIMITATIONS ON TRANSFER DESCRIBED IN THE AGREEMENTS BY AND AMONG FREEDOM ACQUISITION I CORP. (THE “COMPANY”), FREEDOM ACQUISITION I LLC AND THE OTHER SIGNATORIES THERETO, THE SECURITIES REPRESENTED BY THIS CERTIFICATE MAY NOT BE SOLD OR TRANSFERRED PRIOR TO THE DATE THAT IS THIRTY (30) DAYS AFTER THE DATE UPON WHICH THE COMPANY COMPLETES ITS INITIAL BUSINESS COMBINATION (AS DEFINED IN SECTION 3 OF THE WARRANT AGREEMENT REFERRED TO HEREIN) EXCEPT TO A PERMITTED TRANSFEREE (AS DEFINED IN SECTION 2 OF THE WARRANT AGREEMENT) WHO AGREES IN WRITING WITH THE COMPANY TO BE SUBJECT TO SUCH TRANSFER PROVISIONS.</w:t>
      </w:r>
    </w:p>
    <w:p>
      <w:pPr>
        <w:spacing w:after="0" w:line="19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SECURITIES EVIDENCED HEREBY AND ORDINARY SHARES OF THE COMPANY ISSUED UPON EXERCISE OF SUCH SECURITIES SHALL BE ENTITLED TO REGISTRATION RIGHTS UNDER A REGISTRATION RIGHTS AGREEMENT TO BE EXECUTED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325120</wp:posOffset>
            </wp:positionV>
            <wp:extent cx="713232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58" w:name="page259"/>
    <w:bookmarkEnd w:id="258"/>
    <w:p>
      <w:pPr>
        <w:jc w:val="center"/>
        <w:spacing w:after="0"/>
        <w:rPr>
          <w:sz w:val="20"/>
          <w:szCs w:val="20"/>
          <w:color w:val="auto"/>
        </w:rPr>
      </w:pPr>
      <w:r>
        <w:rPr>
          <w:rFonts w:ascii="Arial" w:cs="Arial" w:eastAsia="Arial" w:hAnsi="Arial"/>
          <w:sz w:val="18"/>
          <w:szCs w:val="18"/>
          <w:b w:val="1"/>
          <w:bCs w:val="1"/>
          <w:color w:val="auto"/>
        </w:rPr>
        <w:t>EXHIBIT B</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Warrant Certificate]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[FACE]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Number</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Warrants</w:t>
      </w:r>
    </w:p>
    <w:p>
      <w:pPr>
        <w:spacing w:after="0" w:line="22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THIS WARRANT SHALL BE VOID IF NOT EXERCISED PRIOR TO THE EXPIRATION OF THE EXERCISE PERIOD PROVIDED FOR IN THE WARRANT AGREEMENT DESCRIBED BELOW</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FREEDOM ACQUISITION I CORP.</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Incorporated Under the Laws of the Cayman Islands</w:t>
      </w:r>
    </w:p>
    <w:p>
      <w:pPr>
        <w:spacing w:after="0" w:line="221" w:lineRule="exact"/>
        <w:rPr>
          <w:sz w:val="20"/>
          <w:szCs w:val="20"/>
          <w:color w:val="auto"/>
        </w:rPr>
      </w:pPr>
    </w:p>
    <w:p>
      <w:pPr>
        <w:ind w:left="10420"/>
        <w:spacing w:after="0"/>
        <w:rPr>
          <w:sz w:val="20"/>
          <w:szCs w:val="20"/>
          <w:color w:val="auto"/>
        </w:rPr>
      </w:pPr>
      <w:r>
        <w:rPr>
          <w:rFonts w:ascii="Arial" w:cs="Arial" w:eastAsia="Arial" w:hAnsi="Arial"/>
          <w:sz w:val="17"/>
          <w:szCs w:val="17"/>
          <w:b w:val="1"/>
          <w:bCs w:val="1"/>
          <w:color w:val="auto"/>
        </w:rPr>
        <w:t>CUSIP [●]</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Warrant Certificate</w:t>
      </w:r>
    </w:p>
    <w:p>
      <w:pPr>
        <w:spacing w:after="0" w:line="225" w:lineRule="exact"/>
        <w:rPr>
          <w:sz w:val="20"/>
          <w:szCs w:val="20"/>
          <w:color w:val="auto"/>
        </w:rPr>
      </w:pPr>
    </w:p>
    <w:p>
      <w:pPr>
        <w:ind w:left="660"/>
        <w:spacing w:after="0"/>
        <w:tabs>
          <w:tab w:leader="none" w:pos="4040" w:val="left"/>
          <w:tab w:leader="none" w:pos="7980" w:val="left"/>
        </w:tabs>
        <w:rPr>
          <w:sz w:val="20"/>
          <w:szCs w:val="20"/>
          <w:color w:val="auto"/>
        </w:rPr>
      </w:pPr>
      <w:r>
        <w:rPr>
          <w:rFonts w:ascii="Arial" w:cs="Arial" w:eastAsia="Arial" w:hAnsi="Arial"/>
          <w:sz w:val="18"/>
          <w:szCs w:val="18"/>
          <w:b w:val="1"/>
          <w:bCs w:val="1"/>
          <w:color w:val="auto"/>
        </w:rPr>
        <w:t>This Warrant Certificate certifies that</w:t>
      </w:r>
      <w:r>
        <w:rPr>
          <w:sz w:val="20"/>
          <w:szCs w:val="20"/>
          <w:color w:val="auto"/>
        </w:rPr>
        <w:tab/>
      </w:r>
      <w:r>
        <w:rPr>
          <w:rFonts w:ascii="Arial" w:cs="Arial" w:eastAsia="Arial" w:hAnsi="Arial"/>
          <w:sz w:val="18"/>
          <w:szCs w:val="18"/>
          <w:color w:val="auto"/>
        </w:rPr>
        <w:t>, or registered assigns, is the registered holder of</w:t>
      </w:r>
      <w:r>
        <w:rPr>
          <w:sz w:val="20"/>
          <w:szCs w:val="20"/>
          <w:color w:val="auto"/>
        </w:rPr>
        <w:tab/>
      </w:r>
      <w:r>
        <w:rPr>
          <w:rFonts w:ascii="Arial" w:cs="Arial" w:eastAsia="Arial" w:hAnsi="Arial"/>
          <w:sz w:val="16"/>
          <w:szCs w:val="16"/>
          <w:color w:val="auto"/>
        </w:rPr>
        <w:t xml:space="preserve">warrants evidenced hereby (the </w:t>
      </w:r>
      <w:r>
        <w:rPr>
          <w:rFonts w:ascii="Arial" w:cs="Arial" w:eastAsia="Arial" w:hAnsi="Arial"/>
          <w:sz w:val="16"/>
          <w:szCs w:val="16"/>
          <w:b w:val="1"/>
          <w:bCs w:val="1"/>
          <w:color w:val="auto"/>
        </w:rPr>
        <w:t>“Warrants”</w:t>
      </w:r>
    </w:p>
    <w:p>
      <w:pPr>
        <w:spacing w:after="0" w:line="2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and each, a </w:t>
      </w:r>
      <w:r>
        <w:rPr>
          <w:rFonts w:ascii="Arial" w:cs="Arial" w:eastAsia="Arial" w:hAnsi="Arial"/>
          <w:sz w:val="17"/>
          <w:szCs w:val="17"/>
          <w:b w:val="1"/>
          <w:bCs w:val="1"/>
          <w:color w:val="auto"/>
        </w:rPr>
        <w:t>“Warrant”</w:t>
      </w:r>
      <w:r>
        <w:rPr>
          <w:rFonts w:ascii="Arial" w:cs="Arial" w:eastAsia="Arial" w:hAnsi="Arial"/>
          <w:sz w:val="17"/>
          <w:szCs w:val="17"/>
          <w:color w:val="auto"/>
        </w:rPr>
        <w:t xml:space="preserve">) to purchase Class A Ordinary Shares, $0.0001 par value per share (the </w:t>
      </w:r>
      <w:r>
        <w:rPr>
          <w:rFonts w:ascii="Arial" w:cs="Arial" w:eastAsia="Arial" w:hAnsi="Arial"/>
          <w:sz w:val="17"/>
          <w:szCs w:val="17"/>
          <w:b w:val="1"/>
          <w:bCs w:val="1"/>
          <w:color w:val="auto"/>
        </w:rPr>
        <w:t>“Ordinary Shares”</w:t>
      </w:r>
      <w:r>
        <w:rPr>
          <w:rFonts w:ascii="Arial" w:cs="Arial" w:eastAsia="Arial" w:hAnsi="Arial"/>
          <w:sz w:val="17"/>
          <w:szCs w:val="17"/>
          <w:color w:val="auto"/>
        </w:rPr>
        <w:t xml:space="preserve">), of Freedom Acquisition I Corp., a Cayman Islands exempted company (the </w:t>
      </w:r>
      <w:r>
        <w:rPr>
          <w:rFonts w:ascii="Arial" w:cs="Arial" w:eastAsia="Arial" w:hAnsi="Arial"/>
          <w:sz w:val="17"/>
          <w:szCs w:val="17"/>
          <w:b w:val="1"/>
          <w:bCs w:val="1"/>
          <w:color w:val="auto"/>
        </w:rPr>
        <w:t>“Company”</w:t>
      </w:r>
      <w:r>
        <w:rPr>
          <w:rFonts w:ascii="Arial" w:cs="Arial" w:eastAsia="Arial" w:hAnsi="Arial"/>
          <w:sz w:val="17"/>
          <w:szCs w:val="17"/>
          <w:color w:val="auto"/>
        </w:rPr>
        <w:t xml:space="preserve">). Each Warrant entitles the holder, upon exercise during the Exercise Period set forth in the Warrant Agreement referred to below, to receive from the Company that number of fully paid and non-assessable Ordinary Shares as set forth below, at the exercise price (the </w:t>
      </w:r>
      <w:r>
        <w:rPr>
          <w:rFonts w:ascii="Arial" w:cs="Arial" w:eastAsia="Arial" w:hAnsi="Arial"/>
          <w:sz w:val="17"/>
          <w:szCs w:val="17"/>
          <w:b w:val="1"/>
          <w:bCs w:val="1"/>
          <w:color w:val="auto"/>
        </w:rPr>
        <w:t>“Warrant Price”</w:t>
      </w:r>
      <w:r>
        <w:rPr>
          <w:rFonts w:ascii="Arial" w:cs="Arial" w:eastAsia="Arial" w:hAnsi="Arial"/>
          <w:sz w:val="17"/>
          <w:szCs w:val="17"/>
          <w:color w:val="auto"/>
        </w:rPr>
        <w:t>) as determined pursuant to the Warrant Agreement, payable in lawful money (or through “cashless exercise” as provided for in the Warrant Agreement) of the United States of America upon surrender of this Warrant Certificate and payment of the Warrant Price at the office or agency of the Warrant Agent referred to below, subject to the conditions set forth herein and in the Warrant Agreement. Defined terms used in this Warrant Certificate but not defined herein shall have the meanings given to them in the Warrant Agreement.</w:t>
      </w:r>
    </w:p>
    <w:p>
      <w:pPr>
        <w:spacing w:after="0" w:line="180"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Each whole Warrant is initially exercisable for one fully paid and non-assessable Ordinary Share. No fractional shares will be issued upon exercise of any Warrant. If, upon the exercise of Warrants, a holder would be entitled to receive a fractional interest in an Ordinary Share, the Company will, upon exercise, round down to the nearest whole number the number of Ordinary Shares to be issued to the Warrant holder. The number of Ordinary Shares issuable upon exercise of the Warrants is subject to adjustment upon the occurrence of certain events set forth in the Warrant Agreement.</w:t>
      </w:r>
    </w:p>
    <w:p>
      <w:pPr>
        <w:spacing w:after="0" w:line="15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initial Warrant Price per Ordinary Share for any Warrant is equal to $11.50 per share. The Warrant Price is subject to adjustment upon the occurrence of certain events set forth in the Warrant Agreement.</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Subject to the conditions set forth in the Warrant Agreement, the Warrants may be exercised only during the Exercise Period and to the extent not exercised by the end of such Exercise Period, such Warrants shall become void. The Warrants may be redeemed, subject to certain conditions, as set forth in the Warrant Agreement.</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Reference is hereby made to the further provisions of this Warrant Certificate set forth on the reverse hereof and such further provisions shall for all purposes have the same effect as though fully set forth at this place.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This Warrant Certificate shall not be valid unless countersigned by the Warrant Agent, as such term is used in the Warrant Agreement.</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Warrant Certificate shall be governed by and construed in accordance with the internal laws of the State of New York.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374650</wp:posOffset>
            </wp:positionV>
            <wp:extent cx="713232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59" w:name="page260"/>
    <w:bookmarkEnd w:id="259"/>
    <w:p>
      <w:pPr>
        <w:ind w:left="4520"/>
        <w:spacing w:after="0"/>
        <w:rPr>
          <w:sz w:val="20"/>
          <w:szCs w:val="20"/>
          <w:color w:val="auto"/>
        </w:rPr>
      </w:pPr>
      <w:r>
        <w:rPr>
          <w:rFonts w:ascii="Arial" w:cs="Arial" w:eastAsia="Arial" w:hAnsi="Arial"/>
          <w:sz w:val="18"/>
          <w:szCs w:val="18"/>
          <w:color w:val="auto"/>
        </w:rPr>
        <w:t>FREEDOM ACQUISITION I CORP.</w:t>
      </w:r>
    </w:p>
    <w:p>
      <w:pPr>
        <w:spacing w:after="0" w:line="225" w:lineRule="exact"/>
        <w:rPr>
          <w:sz w:val="20"/>
          <w:szCs w:val="20"/>
          <w:color w:val="auto"/>
        </w:rPr>
      </w:pPr>
    </w:p>
    <w:p>
      <w:pPr>
        <w:jc w:val="center"/>
        <w:ind w:right="-28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22225</wp:posOffset>
            </wp:positionV>
            <wp:extent cx="3197225"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38">
                      <a:extLst>
                        <a:ext uri="{28A0092B-C50C-407E-A947-70E740481C1C}"/>
                      </a:extLst>
                    </a:blip>
                    <a:srcRect/>
                    <a:stretch>
                      <a:fillRect/>
                    </a:stretch>
                  </pic:blipFill>
                  <pic:spPr bwMode="auto">
                    <a:xfrm>
                      <a:off x="0" y="0"/>
                      <a:ext cx="3197225" cy="8890"/>
                    </a:xfrm>
                    <a:prstGeom prst="rect">
                      <a:avLst/>
                    </a:prstGeom>
                    <a:noFill/>
                  </pic:spPr>
                </pic:pic>
              </a:graphicData>
            </a:graphic>
          </wp:anchor>
        </w:drawing>
      </w:r>
    </w:p>
    <w:p>
      <w:pPr>
        <w:spacing w:after="0" w:line="15"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7"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CONTINENTAL STOCK TRANSFER &amp; TRUST</w:t>
      </w:r>
    </w:p>
    <w:p>
      <w:pPr>
        <w:spacing w:after="0" w:line="3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COMPANY as Warrant Agent</w:t>
      </w:r>
    </w:p>
    <w:p>
      <w:pPr>
        <w:spacing w:after="0" w:line="211" w:lineRule="exact"/>
        <w:rPr>
          <w:sz w:val="20"/>
          <w:szCs w:val="20"/>
          <w:color w:val="auto"/>
        </w:rPr>
      </w:pPr>
    </w:p>
    <w:p>
      <w:pPr>
        <w:jc w:val="center"/>
        <w:ind w:right="-28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22225</wp:posOffset>
            </wp:positionV>
            <wp:extent cx="3197225"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39">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15"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382905</wp:posOffset>
            </wp:positionV>
            <wp:extent cx="7132320"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827" w:right="1440" w:bottom="1440" w:gutter="0" w:footer="0" w:header="0"/>
        </w:sectPr>
      </w:pPr>
    </w:p>
    <w:bookmarkStart w:id="260" w:name="page261"/>
    <w:bookmarkEnd w:id="260"/>
    <w:p>
      <w:pPr>
        <w:jc w:val="center"/>
        <w:spacing w:after="0"/>
        <w:rPr>
          <w:sz w:val="20"/>
          <w:szCs w:val="20"/>
          <w:color w:val="auto"/>
        </w:rPr>
      </w:pPr>
      <w:r>
        <w:rPr>
          <w:rFonts w:ascii="Arial" w:cs="Arial" w:eastAsia="Arial" w:hAnsi="Arial"/>
          <w:sz w:val="18"/>
          <w:szCs w:val="18"/>
          <w:color w:val="auto"/>
        </w:rPr>
        <w:t>[Form of Warrant Certificate]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[Reverse]</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The Warrants evidenced by this Warrant Certificate are part of a duly authorized issue of Warrants entitling the holder on exercise to receive Ordinary Shares and are issued or to be issued pursuant to a Warrant Agreement dated as of [●], 2021 (the </w:t>
      </w:r>
      <w:r>
        <w:rPr>
          <w:rFonts w:ascii="Arial" w:cs="Arial" w:eastAsia="Arial" w:hAnsi="Arial"/>
          <w:sz w:val="18"/>
          <w:szCs w:val="18"/>
          <w:b w:val="1"/>
          <w:bCs w:val="1"/>
          <w:color w:val="auto"/>
        </w:rPr>
        <w:t>“Warrant Agreement”</w:t>
      </w:r>
      <w:r>
        <w:rPr>
          <w:rFonts w:ascii="Arial" w:cs="Arial" w:eastAsia="Arial" w:hAnsi="Arial"/>
          <w:sz w:val="18"/>
          <w:szCs w:val="18"/>
          <w:color w:val="auto"/>
        </w:rPr>
        <w:t xml:space="preserve">), duly executed and delivered by the Company to Continental Stock Transfer &amp; Trust Company, a New York corporation, as warrant agent (the </w:t>
      </w:r>
      <w:r>
        <w:rPr>
          <w:rFonts w:ascii="Arial" w:cs="Arial" w:eastAsia="Arial" w:hAnsi="Arial"/>
          <w:sz w:val="18"/>
          <w:szCs w:val="18"/>
          <w:b w:val="1"/>
          <w:bCs w:val="1"/>
          <w:color w:val="auto"/>
        </w:rPr>
        <w:t>“Warrant Agent”</w:t>
      </w:r>
      <w:r>
        <w:rPr>
          <w:rFonts w:ascii="Arial" w:cs="Arial" w:eastAsia="Arial" w:hAnsi="Arial"/>
          <w:sz w:val="18"/>
          <w:szCs w:val="18"/>
          <w:color w:val="auto"/>
        </w:rPr>
        <w:t xml:space="preserve">), which Warrant Agreement is hereby incorporated by reference in and made a part of this instrument and is hereby referred to for a description of the rights, limitation of rights, obligations, duties and immunities thereunder of the Warrant Agent, the Company and the holders (the words </w:t>
      </w:r>
      <w:r>
        <w:rPr>
          <w:rFonts w:ascii="Arial" w:cs="Arial" w:eastAsia="Arial" w:hAnsi="Arial"/>
          <w:sz w:val="18"/>
          <w:szCs w:val="18"/>
          <w:b w:val="1"/>
          <w:bCs w:val="1"/>
          <w:color w:val="auto"/>
        </w:rPr>
        <w:t>“holders”</w:t>
      </w:r>
      <w:r>
        <w:rPr>
          <w:rFonts w:ascii="Arial" w:cs="Arial" w:eastAsia="Arial" w:hAnsi="Arial"/>
          <w:sz w:val="18"/>
          <w:szCs w:val="18"/>
          <w:color w:val="auto"/>
        </w:rPr>
        <w:t xml:space="preserve"> or </w:t>
      </w:r>
      <w:r>
        <w:rPr>
          <w:rFonts w:ascii="Arial" w:cs="Arial" w:eastAsia="Arial" w:hAnsi="Arial"/>
          <w:sz w:val="18"/>
          <w:szCs w:val="18"/>
          <w:b w:val="1"/>
          <w:bCs w:val="1"/>
          <w:color w:val="auto"/>
        </w:rPr>
        <w:t>“holder”</w:t>
      </w:r>
      <w:r>
        <w:rPr>
          <w:rFonts w:ascii="Arial" w:cs="Arial" w:eastAsia="Arial" w:hAnsi="Arial"/>
          <w:sz w:val="18"/>
          <w:szCs w:val="18"/>
          <w:color w:val="auto"/>
        </w:rPr>
        <w:t xml:space="preserve"> meaning the Registered Holders or Registered Holder, respectively) of the Warrants. A copy of the Warrant Agreement may be obtained by the holder hereof upon written request to the Company. Defined terms used in this Warrant Certificate but not defined herein shall have the meanings given to them in the Warrant Agreement.</w:t>
      </w:r>
    </w:p>
    <w:p>
      <w:pPr>
        <w:spacing w:after="0" w:line="19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Warrants may be exercised at any time during the Exercise Period set forth in the Warrant Agreement. The holder of Warrants evidenced by this Warrant Certificate may exercise them by surrendering this Warrant Certificate, with the form of election to purchase set forth hereon properly completed and executed, together with payment of the Warrant Price as specified in the Warrant Agreement (or through “cashless exercise” as provided for in the Warrant Agreement) at the principal corporate trust office of the Warrant Agent. In the event that upon any exercise of Warrants evidenced hereby the number of Warrants exercised shall be less than the total number of Warrants evidenced hereby, there shall be issued to the holder hereof or his, her or its assignee, a new Warrant Certificate evidencing the number of Warrants not exercised.</w:t>
      </w:r>
    </w:p>
    <w:p>
      <w:pPr>
        <w:spacing w:after="0" w:line="178"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Notwithstanding anything else in this Warrant Certificate or the Warrant Agreement, no Warrant may be exercised unless at the time of exercise (i) a registration statement covering the issuance of the Ordinary Shares to be issued upon exercise is effective under the Securities Act of 1933, as amended, and (ii) a prospectus thereunder relating to the Ordinary Shares is current, except through “cashless exercise” as provided for in the Warrant Agreement.</w:t>
      </w:r>
    </w:p>
    <w:p>
      <w:pPr>
        <w:spacing w:after="0" w:line="14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Warrant Agreement provides that upon the occurrence of certain events the number of Ordinary Shares issuable upon the exercise of the Warrants set forth on the face hereof may, subject to certain conditions, be adjusted. If, upon exercise of a Warrant, the holder thereof would be entitled to receive a fractional interest in an Ordinary Share, the Company shall, upon exercise, round down to the nearest whole number of Ordinary Shares to be issued to the holder of the Warrant.</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Warrant Certificates, when surrendered at the principal corporate trust office of the Warrant Agent by the Registered Holder thereof in person or by legal representative or attorney duly authorized in writing, may be exchanged, in the manner and subject to the limitations provided in the Warrant Agreement, but without payment of any service charge, for another Warrant Certificate or Warrant Certificates of like tenor evidencing in the aggregate a like number of Warrants.</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Upon due presentation for registration of transfer of this Warrant Certificate at the office of the Warrant Agent, a new Warrant Certificate or Warrant Certificates of like tenor and evidencing in the aggregate a like number of Warrants shall be issued to the transferee(s) in exchange for this Warrant Certificate, subject to the limitations provided in the Warrant Agreement, without charge except for any tax or other governmental charge imposed in connection therewith.</w:t>
      </w:r>
    </w:p>
    <w:p>
      <w:pPr>
        <w:spacing w:after="0" w:line="18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Company and the Warrant Agent may deem and treat the Registered Holder(s) hereof as the absolute owner(s) of this Warrant Certificate (notwithstanding any notation of ownership or other writing hereon made by anyone), for the purpose of any exercise hereof, of any distribution to the holder(s) hereof, and for all other purposes, and neither the Company nor the Warrant Agent shall be affected by any notice to the contrary. Neither the Warrants nor this Warrant Certificate entitles any holder hereof to any rights of a shareholder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261" w:name="page262"/>
    <w:bookmarkEnd w:id="261"/>
    <w:p>
      <w:pPr>
        <w:jc w:val="center"/>
        <w:spacing w:after="0"/>
        <w:rPr>
          <w:sz w:val="20"/>
          <w:szCs w:val="20"/>
          <w:color w:val="auto"/>
        </w:rPr>
      </w:pPr>
      <w:r>
        <w:rPr>
          <w:rFonts w:ascii="Arial" w:cs="Arial" w:eastAsia="Arial" w:hAnsi="Arial"/>
          <w:sz w:val="18"/>
          <w:szCs w:val="18"/>
          <w:color w:val="auto"/>
        </w:rPr>
        <w:t>Election to Purchase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Be Executed Upon Exercise of Warrant)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 xml:space="preserve">The undersigned hereby irrevocably elects to exercise the right, represented by this Warrant Certificate, to receive </w:t>
      </w:r>
      <w:r>
        <w:rPr>
          <w:rFonts w:ascii="Arial" w:cs="Arial" w:eastAsia="Arial" w:hAnsi="Arial"/>
          <w:sz w:val="16"/>
          <w:szCs w:val="16"/>
          <w:color w:val="FFFFFF"/>
        </w:rPr>
        <w:t>______________</w:t>
      </w:r>
      <w:r>
        <w:rPr>
          <w:rFonts w:ascii="Arial" w:cs="Arial" w:eastAsia="Arial" w:hAnsi="Arial"/>
          <w:sz w:val="16"/>
          <w:szCs w:val="16"/>
          <w:color w:val="auto"/>
        </w:rPr>
        <w:t xml:space="preserve"> Ordinary</w:t>
      </w:r>
    </w:p>
    <w:p>
      <w:pPr>
        <w:spacing w:after="0" w:line="46"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 xml:space="preserve">Shares and herewith tenders payment for such Ordinary Shares to the order of Freedom Acquisition I Corp. (the </w:t>
      </w:r>
      <w:r>
        <w:rPr>
          <w:rFonts w:ascii="Arial" w:cs="Arial" w:eastAsia="Arial" w:hAnsi="Arial"/>
          <w:sz w:val="17"/>
          <w:szCs w:val="17"/>
          <w:b w:val="1"/>
          <w:bCs w:val="1"/>
          <w:color w:val="auto"/>
        </w:rPr>
        <w:t>“Company”</w:t>
      </w:r>
      <w:r>
        <w:rPr>
          <w:rFonts w:ascii="Arial" w:cs="Arial" w:eastAsia="Arial" w:hAnsi="Arial"/>
          <w:sz w:val="17"/>
          <w:szCs w:val="17"/>
          <w:color w:val="auto"/>
        </w:rPr>
        <w:t>) in the amount of $ in accordance with the terms hereof. The undersigned requests that a certificate for such Ordinary Shares be registered in the name of whose address</w:t>
      </w:r>
    </w:p>
    <w:p>
      <w:pPr>
        <w:jc w:val="both"/>
        <w:spacing w:after="0" w:line="265" w:lineRule="auto"/>
        <w:rPr>
          <w:sz w:val="20"/>
          <w:szCs w:val="20"/>
          <w:color w:val="auto"/>
        </w:rPr>
      </w:pPr>
      <w:r>
        <w:rPr>
          <w:rFonts w:ascii="Arial" w:cs="Arial" w:eastAsia="Arial" w:hAnsi="Arial"/>
          <w:sz w:val="17"/>
          <w:szCs w:val="17"/>
          <w:color w:val="auto"/>
        </w:rPr>
        <w:t>is and that such Ordinary Shares be delivered to whose address is . If said number of shares is less than all of the Ordinary Shares purchasable hereunder, the undersigned requests that a new Warrant Certificate representing the remaining balance of such Ordinary Shares be</w:t>
      </w:r>
    </w:p>
    <w:p>
      <w:pPr>
        <w:spacing w:after="0"/>
        <w:tabs>
          <w:tab w:leader="none" w:pos="2580" w:val="left"/>
          <w:tab w:leader="none" w:pos="4480" w:val="left"/>
          <w:tab w:leader="none" w:pos="8500" w:val="left"/>
          <w:tab w:leader="none" w:pos="10560" w:val="left"/>
        </w:tabs>
        <w:rPr>
          <w:sz w:val="20"/>
          <w:szCs w:val="20"/>
          <w:color w:val="auto"/>
        </w:rPr>
      </w:pPr>
      <w:r>
        <w:rPr>
          <w:rFonts w:ascii="Arial" w:cs="Arial" w:eastAsia="Arial" w:hAnsi="Arial"/>
          <w:sz w:val="18"/>
          <w:szCs w:val="18"/>
          <w:color w:val="auto"/>
        </w:rPr>
        <w:t>registered in the name of</w:t>
      </w:r>
      <w:r>
        <w:rPr>
          <w:sz w:val="20"/>
          <w:szCs w:val="20"/>
          <w:color w:val="auto"/>
        </w:rPr>
        <w:tab/>
      </w:r>
      <w:r>
        <w:rPr>
          <w:rFonts w:ascii="Arial" w:cs="Arial" w:eastAsia="Arial" w:hAnsi="Arial"/>
          <w:sz w:val="18"/>
          <w:szCs w:val="18"/>
          <w:color w:val="auto"/>
        </w:rPr>
        <w:t>, whose address is</w:t>
      </w:r>
      <w:r>
        <w:rPr>
          <w:sz w:val="20"/>
          <w:szCs w:val="20"/>
          <w:color w:val="auto"/>
        </w:rPr>
        <w:tab/>
      </w:r>
      <w:r>
        <w:rPr>
          <w:rFonts w:ascii="Arial" w:cs="Arial" w:eastAsia="Arial" w:hAnsi="Arial"/>
          <w:sz w:val="18"/>
          <w:szCs w:val="18"/>
          <w:color w:val="auto"/>
        </w:rPr>
        <w:t>and that such Warrant Certificate be delivered to</w:t>
      </w:r>
      <w:r>
        <w:rPr>
          <w:sz w:val="20"/>
          <w:szCs w:val="20"/>
          <w:color w:val="auto"/>
        </w:rPr>
        <w:tab/>
      </w:r>
      <w:r>
        <w:rPr>
          <w:rFonts w:ascii="Arial" w:cs="Arial" w:eastAsia="Arial" w:hAnsi="Arial"/>
          <w:sz w:val="18"/>
          <w:szCs w:val="18"/>
          <w:color w:val="auto"/>
        </w:rPr>
        <w:t>, whose address is</w:t>
      </w:r>
      <w:r>
        <w:rPr>
          <w:sz w:val="20"/>
          <w:szCs w:val="20"/>
          <w:color w:val="auto"/>
        </w:rPr>
        <w:tab/>
      </w:r>
      <w:r>
        <w:rPr>
          <w:rFonts w:ascii="Arial" w:cs="Arial" w:eastAsia="Arial" w:hAnsi="Arial"/>
          <w:sz w:val="17"/>
          <w:szCs w:val="17"/>
          <w:color w:val="auto"/>
        </w:rPr>
        <w:t>..</w:t>
      </w:r>
    </w:p>
    <w:p>
      <w:pPr>
        <w:spacing w:after="0" w:line="21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In the event that the Warrant is a Private Placement Warrant that is to be exercised on a “cashless” basis pursuant to </w:t>
      </w:r>
      <w:r>
        <w:rPr>
          <w:rFonts w:ascii="Arial" w:cs="Arial" w:eastAsia="Arial" w:hAnsi="Arial"/>
          <w:sz w:val="18"/>
          <w:szCs w:val="18"/>
          <w:u w:val="single" w:color="auto"/>
          <w:color w:val="auto"/>
        </w:rPr>
        <w:t>subsection 3.3.1(c)</w:t>
      </w:r>
      <w:r>
        <w:rPr>
          <w:rFonts w:ascii="Arial" w:cs="Arial" w:eastAsia="Arial" w:hAnsi="Arial"/>
          <w:sz w:val="18"/>
          <w:szCs w:val="18"/>
          <w:color w:val="auto"/>
        </w:rPr>
        <w:t xml:space="preserve"> of the Warrant Agreement, the number of Ordinary Shares that this Warrant is exercisable for shall be determined in accordance with </w:t>
      </w:r>
      <w:r>
        <w:rPr>
          <w:rFonts w:ascii="Arial" w:cs="Arial" w:eastAsia="Arial" w:hAnsi="Arial"/>
          <w:sz w:val="18"/>
          <w:szCs w:val="18"/>
          <w:u w:val="single" w:color="auto"/>
          <w:color w:val="auto"/>
        </w:rPr>
        <w:t>subsection 3.3.1(c)</w:t>
      </w:r>
      <w:r>
        <w:rPr>
          <w:rFonts w:ascii="Arial" w:cs="Arial" w:eastAsia="Arial" w:hAnsi="Arial"/>
          <w:sz w:val="18"/>
          <w:szCs w:val="18"/>
          <w:color w:val="auto"/>
        </w:rPr>
        <w:t xml:space="preserve"> of the Warrant Agreement.</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In the event that the Warrant is to be exercised on a “cashless” basis pursuant to </w:t>
      </w:r>
      <w:r>
        <w:rPr>
          <w:rFonts w:ascii="Arial" w:cs="Arial" w:eastAsia="Arial" w:hAnsi="Arial"/>
          <w:sz w:val="18"/>
          <w:szCs w:val="18"/>
          <w:u w:val="single" w:color="auto"/>
          <w:color w:val="auto"/>
        </w:rPr>
        <w:t>Section 7.4</w:t>
      </w:r>
      <w:r>
        <w:rPr>
          <w:rFonts w:ascii="Arial" w:cs="Arial" w:eastAsia="Arial" w:hAnsi="Arial"/>
          <w:sz w:val="18"/>
          <w:szCs w:val="18"/>
          <w:color w:val="auto"/>
        </w:rPr>
        <w:t xml:space="preserve"> of the Warrant Agreement, the number of Ordinary Shares that this Warrant is exercisable for shall be determined in accordance with </w:t>
      </w:r>
      <w:r>
        <w:rPr>
          <w:rFonts w:ascii="Arial" w:cs="Arial" w:eastAsia="Arial" w:hAnsi="Arial"/>
          <w:sz w:val="18"/>
          <w:szCs w:val="18"/>
          <w:u w:val="single" w:color="auto"/>
          <w:color w:val="auto"/>
        </w:rPr>
        <w:t>Section 7.4</w:t>
      </w:r>
      <w:r>
        <w:rPr>
          <w:rFonts w:ascii="Arial" w:cs="Arial" w:eastAsia="Arial" w:hAnsi="Arial"/>
          <w:sz w:val="18"/>
          <w:szCs w:val="18"/>
          <w:color w:val="auto"/>
        </w:rPr>
        <w:t xml:space="preserve"> of the Warrant Agreement.</w:t>
      </w:r>
    </w:p>
    <w:p>
      <w:pPr>
        <w:spacing w:after="0" w:line="170"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In the event that the Warrant may be exercised, to the extent allowed by the Warrant Agreement, through cashless exercise (i) the number of Ordinary Shares that this Warrant is exercisable for would be determined in accordance with the relevant section of the Warrant Agreement which allows for such cashless exercise and (ii) the holder hereof shall complete the following: The undersigned hereby irrevocably elects to exercise the right, represented by this Warrant Certificate, through the cashless exercise provisions of the Warrant Agreement, to receive Ordinary Shares. If said number of shares is less than all of the Ordinary Shares purchasable hereunder (after giving effect to the cashless exercise), the undersigned requests that a new</w:t>
      </w:r>
    </w:p>
    <w:p>
      <w:pPr>
        <w:spacing w:after="0" w:line="2"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Warrant Certificate representing the remaining balance of such Ordinary Shares be registered in the name of , whose address is and that such Warrant Certificate be delivered to , whose address is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374650</wp:posOffset>
            </wp:positionV>
            <wp:extent cx="713232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262" w:name="page263"/>
    <w:bookmarkEnd w:id="262"/>
    <w:p>
      <w:pPr>
        <w:spacing w:after="0"/>
        <w:tabs>
          <w:tab w:leader="none" w:pos="15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(Signature)</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(Address)</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__________________________________________________</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(Tax Identification Number)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2854325"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43">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SIGNATURE(S) SHOULD BE GUARANTEED BY AN ELIGIBLE GUARANTOR INSTITUTION (BANKS, STOCKBROKERS, SAVINGS AND LOAN ASSOCIATIONS AND CREDIT UNIONS WITH MEMBERSHIP IN AN APPROVED SIGNATURE GUARANTEE MEDALLION PROGRAM, PURSUANT TO SEC RULE 17Ad-15 UNDER THE SECURITIES EXCHANGE ACT OF 1934, AS AMENDED (OR ANY SUCCESSOR RULE).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762000</wp:posOffset>
            </wp:positionV>
            <wp:extent cx="713232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27" w:right="339" w:bottom="1440" w:gutter="0" w:footer="0" w:header="0"/>
        </w:sectPr>
      </w:pPr>
    </w:p>
    <w:bookmarkStart w:id="263" w:name="page264"/>
    <w:bookmarkEnd w:id="263"/>
    <w:p>
      <w:pPr>
        <w:ind w:left="10340"/>
        <w:spacing w:after="0"/>
        <w:rPr>
          <w:sz w:val="20"/>
          <w:szCs w:val="20"/>
          <w:color w:val="auto"/>
        </w:rPr>
      </w:pPr>
      <w:r>
        <w:rPr>
          <w:rFonts w:ascii="Arial" w:cs="Arial" w:eastAsia="Arial" w:hAnsi="Arial"/>
          <w:sz w:val="17"/>
          <w:szCs w:val="17"/>
          <w:b w:val="1"/>
          <w:bCs w:val="1"/>
          <w:color w:val="auto"/>
        </w:rPr>
        <w:t>Exhibit 5.1</w:t>
      </w:r>
    </w:p>
    <w:p>
      <w:pPr>
        <w:sectPr>
          <w:pgSz w:w="11900" w:h="16838" w:orient="portrait"/>
          <w:cols w:equalWidth="0" w:num="1">
            <w:col w:w="11240"/>
          </w:cols>
          <w:pgMar w:left="320" w:top="118" w:right="339" w:bottom="1440" w:gutter="0" w:footer="0" w:header="0"/>
        </w:sectPr>
      </w:pPr>
    </w:p>
    <w:p>
      <w:pPr>
        <w:spacing w:after="0" w:line="213" w:lineRule="exact"/>
        <w:rPr>
          <w:sz w:val="20"/>
          <w:szCs w:val="20"/>
          <w:color w:val="auto"/>
        </w:rPr>
      </w:pPr>
    </w:p>
    <w:p>
      <w:pPr>
        <w:ind w:left="8220"/>
        <w:spacing w:after="0"/>
        <w:rPr>
          <w:sz w:val="20"/>
          <w:szCs w:val="20"/>
          <w:color w:val="auto"/>
        </w:rPr>
      </w:pPr>
      <w:r>
        <w:rPr>
          <w:rFonts w:ascii="Arial" w:cs="Arial" w:eastAsia="Arial" w:hAnsi="Arial"/>
          <w:sz w:val="16"/>
          <w:szCs w:val="16"/>
          <w:b w:val="1"/>
          <w:bCs w:val="1"/>
          <w:color w:val="auto"/>
        </w:rPr>
        <w:t>New York</w:t>
      </w:r>
    </w:p>
    <w:p>
      <w:pPr>
        <w:spacing w:after="0" w:line="25" w:lineRule="exact"/>
        <w:rPr>
          <w:sz w:val="20"/>
          <w:szCs w:val="20"/>
          <w:color w:val="auto"/>
        </w:rPr>
      </w:pPr>
    </w:p>
    <w:p>
      <w:pPr>
        <w:ind w:left="8220"/>
        <w:spacing w:after="0"/>
        <w:rPr>
          <w:sz w:val="20"/>
          <w:szCs w:val="20"/>
          <w:color w:val="auto"/>
        </w:rPr>
      </w:pPr>
      <w:r>
        <w:rPr>
          <w:rFonts w:ascii="Arial" w:cs="Arial" w:eastAsia="Arial" w:hAnsi="Arial"/>
          <w:sz w:val="16"/>
          <w:szCs w:val="16"/>
          <w:b w:val="1"/>
          <w:bCs w:val="1"/>
          <w:color w:val="auto"/>
        </w:rPr>
        <w:t>Northern California</w:t>
      </w:r>
    </w:p>
    <w:p>
      <w:pPr>
        <w:spacing w:after="0" w:line="5" w:lineRule="exact"/>
        <w:rPr>
          <w:sz w:val="20"/>
          <w:szCs w:val="20"/>
          <w:color w:val="auto"/>
        </w:rPr>
      </w:pPr>
    </w:p>
    <w:p>
      <w:pPr>
        <w:ind w:left="8220"/>
        <w:spacing w:after="0"/>
        <w:rPr>
          <w:sz w:val="20"/>
          <w:szCs w:val="20"/>
          <w:color w:val="auto"/>
        </w:rPr>
      </w:pPr>
      <w:r>
        <w:rPr>
          <w:rFonts w:ascii="Arial" w:cs="Arial" w:eastAsia="Arial" w:hAnsi="Arial"/>
          <w:sz w:val="16"/>
          <w:szCs w:val="16"/>
          <w:b w:val="1"/>
          <w:bCs w:val="1"/>
          <w:color w:val="auto"/>
        </w:rPr>
        <w:t>Washington DC</w:t>
      </w:r>
    </w:p>
    <w:p>
      <w:pPr>
        <w:spacing w:after="0" w:line="5" w:lineRule="exact"/>
        <w:rPr>
          <w:sz w:val="20"/>
          <w:szCs w:val="20"/>
          <w:color w:val="auto"/>
        </w:rPr>
      </w:pPr>
    </w:p>
    <w:p>
      <w:pPr>
        <w:ind w:left="8220"/>
        <w:spacing w:after="0"/>
        <w:rPr>
          <w:sz w:val="20"/>
          <w:szCs w:val="20"/>
          <w:color w:val="auto"/>
        </w:rPr>
      </w:pPr>
      <w:r>
        <w:rPr>
          <w:rFonts w:ascii="Arial" w:cs="Arial" w:eastAsia="Arial" w:hAnsi="Arial"/>
          <w:sz w:val="16"/>
          <w:szCs w:val="16"/>
          <w:b w:val="1"/>
          <w:bCs w:val="1"/>
          <w:color w:val="auto"/>
        </w:rPr>
        <w:t>São Paulo</w:t>
      </w:r>
    </w:p>
    <w:p>
      <w:pPr>
        <w:spacing w:after="0" w:line="5" w:lineRule="exact"/>
        <w:rPr>
          <w:sz w:val="20"/>
          <w:szCs w:val="20"/>
          <w:color w:val="auto"/>
        </w:rPr>
      </w:pPr>
    </w:p>
    <w:p>
      <w:pPr>
        <w:ind w:left="8220"/>
        <w:spacing w:after="0"/>
        <w:rPr>
          <w:sz w:val="20"/>
          <w:szCs w:val="20"/>
          <w:color w:val="auto"/>
        </w:rPr>
      </w:pPr>
      <w:r>
        <w:rPr>
          <w:rFonts w:ascii="Arial" w:cs="Arial" w:eastAsia="Arial" w:hAnsi="Arial"/>
          <w:sz w:val="16"/>
          <w:szCs w:val="16"/>
          <w:b w:val="1"/>
          <w:bCs w:val="1"/>
          <w:color w:val="auto"/>
        </w:rPr>
        <w:t>London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1328420" cy="25717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45">
                      <a:extLst>
                        <a:ext uri="{28A0092B-C50C-407E-A947-70E740481C1C}"/>
                      </a:extLst>
                    </a:blip>
                    <a:srcRect/>
                    <a:stretch>
                      <a:fillRect/>
                    </a:stretch>
                  </pic:blipFill>
                  <pic:spPr bwMode="auto">
                    <a:xfrm>
                      <a:off x="0" y="0"/>
                      <a:ext cx="1328420" cy="2571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Paris</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Madrid</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Tokyo</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Beijing</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Hong Kong</w:t>
      </w:r>
    </w:p>
    <w:p>
      <w:pPr>
        <w:spacing w:after="0" w:line="200" w:lineRule="exact"/>
        <w:rPr>
          <w:sz w:val="20"/>
          <w:szCs w:val="20"/>
          <w:color w:val="auto"/>
        </w:rPr>
      </w:pPr>
    </w:p>
    <w:p>
      <w:pPr>
        <w:sectPr>
          <w:pgSz w:w="11900" w:h="16838" w:orient="portrait"/>
          <w:cols w:equalWidth="0" w:num="2">
            <w:col w:w="9700" w:space="420"/>
            <w:col w:w="1120"/>
          </w:cols>
          <w:pgMar w:left="320" w:top="118"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280" w:type="dxa"/>
            <w:vAlign w:val="bottom"/>
          </w:tcPr>
          <w:p>
            <w:pPr>
              <w:spacing w:after="0"/>
              <w:rPr>
                <w:sz w:val="20"/>
                <w:szCs w:val="20"/>
                <w:color w:val="auto"/>
              </w:rPr>
            </w:pPr>
            <w:r>
              <w:rPr>
                <w:rFonts w:ascii="Arial" w:cs="Arial" w:eastAsia="Arial" w:hAnsi="Arial"/>
                <w:sz w:val="16"/>
                <w:szCs w:val="16"/>
                <w:color w:val="auto"/>
              </w:rPr>
              <w:t>Davis Polk &amp; Wardwell LLP</w:t>
            </w:r>
          </w:p>
        </w:tc>
        <w:tc>
          <w:tcPr>
            <w:tcW w:w="1580" w:type="dxa"/>
            <w:vAlign w:val="bottom"/>
          </w:tcPr>
          <w:p>
            <w:pPr>
              <w:ind w:left="320"/>
              <w:spacing w:after="0"/>
              <w:rPr>
                <w:sz w:val="20"/>
                <w:szCs w:val="20"/>
                <w:color w:val="auto"/>
              </w:rPr>
            </w:pPr>
            <w:r>
              <w:rPr>
                <w:rFonts w:ascii="Arial" w:cs="Arial" w:eastAsia="Arial" w:hAnsi="Arial"/>
                <w:sz w:val="16"/>
                <w:szCs w:val="16"/>
                <w:color w:val="auto"/>
              </w:rPr>
              <w:t>212 450 4000 tel</w:t>
            </w:r>
          </w:p>
        </w:tc>
      </w:tr>
      <w:tr>
        <w:trPr>
          <w:trHeight w:val="189"/>
        </w:trPr>
        <w:tc>
          <w:tcPr>
            <w:tcW w:w="2280" w:type="dxa"/>
            <w:vAlign w:val="bottom"/>
          </w:tcPr>
          <w:p>
            <w:pPr>
              <w:spacing w:after="0"/>
              <w:rPr>
                <w:sz w:val="20"/>
                <w:szCs w:val="20"/>
                <w:color w:val="auto"/>
              </w:rPr>
            </w:pPr>
            <w:r>
              <w:rPr>
                <w:rFonts w:ascii="Arial" w:cs="Arial" w:eastAsia="Arial" w:hAnsi="Arial"/>
                <w:sz w:val="16"/>
                <w:szCs w:val="16"/>
                <w:color w:val="auto"/>
              </w:rPr>
              <w:t>450 Lexington Avenue</w:t>
            </w:r>
          </w:p>
        </w:tc>
        <w:tc>
          <w:tcPr>
            <w:tcW w:w="1580" w:type="dxa"/>
            <w:vAlign w:val="bottom"/>
          </w:tcPr>
          <w:p>
            <w:pPr>
              <w:ind w:left="320"/>
              <w:spacing w:after="0"/>
              <w:rPr>
                <w:sz w:val="20"/>
                <w:szCs w:val="20"/>
                <w:color w:val="auto"/>
              </w:rPr>
            </w:pPr>
            <w:r>
              <w:rPr>
                <w:rFonts w:ascii="Arial" w:cs="Arial" w:eastAsia="Arial" w:hAnsi="Arial"/>
                <w:sz w:val="16"/>
                <w:szCs w:val="16"/>
                <w:color w:val="auto"/>
              </w:rPr>
              <w:t>212 701 5800 fax</w:t>
            </w:r>
          </w:p>
        </w:tc>
      </w:tr>
      <w:tr>
        <w:trPr>
          <w:trHeight w:val="195"/>
        </w:trPr>
        <w:tc>
          <w:tcPr>
            <w:tcW w:w="2280" w:type="dxa"/>
            <w:vAlign w:val="bottom"/>
          </w:tcPr>
          <w:p>
            <w:pPr>
              <w:spacing w:after="0"/>
              <w:rPr>
                <w:sz w:val="20"/>
                <w:szCs w:val="20"/>
                <w:color w:val="auto"/>
              </w:rPr>
            </w:pPr>
            <w:r>
              <w:rPr>
                <w:rFonts w:ascii="Arial" w:cs="Arial" w:eastAsia="Arial" w:hAnsi="Arial"/>
                <w:sz w:val="16"/>
                <w:szCs w:val="16"/>
                <w:color w:val="auto"/>
              </w:rPr>
              <w:t>New York, NY 10017</w:t>
            </w:r>
          </w:p>
        </w:tc>
        <w:tc>
          <w:tcPr>
            <w:tcW w:w="1580" w:type="dxa"/>
            <w:vAlign w:val="bottom"/>
          </w:tcPr>
          <w:p>
            <w:pPr>
              <w:spacing w:after="0"/>
              <w:rPr>
                <w:sz w:val="16"/>
                <w:szCs w:val="16"/>
                <w:color w:val="auto"/>
              </w:rPr>
            </w:pPr>
          </w:p>
        </w:tc>
      </w:tr>
    </w:tbl>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auto"/>
        </w:rPr>
        <w:t>February 18, 2021</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Freedom Acquisition I Corp.</w:t>
      </w:r>
    </w:p>
    <w:p>
      <w:pPr>
        <w:spacing w:after="0" w:line="181" w:lineRule="auto"/>
        <w:rPr>
          <w:sz w:val="20"/>
          <w:szCs w:val="20"/>
          <w:color w:val="auto"/>
        </w:rPr>
      </w:pPr>
      <w:r>
        <w:rPr>
          <w:rFonts w:ascii="Arial" w:cs="Arial" w:eastAsia="Arial" w:hAnsi="Arial"/>
          <w:sz w:val="17"/>
          <w:szCs w:val="17"/>
          <w:color w:val="auto"/>
        </w:rPr>
        <w:t>14 Wall Street, 20</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Floor</w:t>
      </w:r>
    </w:p>
    <w:p>
      <w:pPr>
        <w:spacing w:after="0"/>
        <w:rPr>
          <w:sz w:val="20"/>
          <w:szCs w:val="20"/>
          <w:color w:val="auto"/>
        </w:rPr>
      </w:pPr>
      <w:r>
        <w:rPr>
          <w:rFonts w:ascii="Arial" w:cs="Arial" w:eastAsia="Arial" w:hAnsi="Arial"/>
          <w:sz w:val="18"/>
          <w:szCs w:val="18"/>
          <w:color w:val="auto"/>
        </w:rPr>
        <w:t>New York, New York 10005</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76" w:lineRule="exact"/>
        <w:rPr>
          <w:sz w:val="20"/>
          <w:szCs w:val="20"/>
          <w:color w:val="auto"/>
        </w:rPr>
      </w:pPr>
    </w:p>
    <w:p>
      <w:pPr>
        <w:ind w:right="160"/>
        <w:spacing w:after="0" w:line="244" w:lineRule="auto"/>
        <w:rPr>
          <w:sz w:val="20"/>
          <w:szCs w:val="20"/>
          <w:color w:val="auto"/>
        </w:rPr>
      </w:pPr>
      <w:r>
        <w:rPr>
          <w:rFonts w:ascii="Arial" w:cs="Arial" w:eastAsia="Arial" w:hAnsi="Arial"/>
          <w:sz w:val="18"/>
          <w:szCs w:val="18"/>
          <w:color w:val="auto"/>
        </w:rPr>
        <w:t>Freedom Acquisition I Corp., a Cayman Islands exempted company (the “</w:t>
      </w:r>
      <w:r>
        <w:rPr>
          <w:rFonts w:ascii="Arial" w:cs="Arial" w:eastAsia="Arial" w:hAnsi="Arial"/>
          <w:sz w:val="18"/>
          <w:szCs w:val="18"/>
          <w:b w:val="1"/>
          <w:bCs w:val="1"/>
          <w:color w:val="auto"/>
        </w:rPr>
        <w:t>Company</w:t>
      </w:r>
      <w:r>
        <w:rPr>
          <w:rFonts w:ascii="Arial" w:cs="Arial" w:eastAsia="Arial" w:hAnsi="Arial"/>
          <w:sz w:val="18"/>
          <w:szCs w:val="18"/>
          <w:color w:val="auto"/>
        </w:rPr>
        <w:t>”), has filed with the Securities and Exchange Commission a Registration Statement on Form S-1 (the “</w:t>
      </w:r>
      <w:r>
        <w:rPr>
          <w:rFonts w:ascii="Arial" w:cs="Arial" w:eastAsia="Arial" w:hAnsi="Arial"/>
          <w:sz w:val="18"/>
          <w:szCs w:val="18"/>
          <w:b w:val="1"/>
          <w:bCs w:val="1"/>
          <w:color w:val="auto"/>
        </w:rPr>
        <w:t>Registration Statement</w:t>
      </w:r>
      <w:r>
        <w:rPr>
          <w:rFonts w:ascii="Arial" w:cs="Arial" w:eastAsia="Arial" w:hAnsi="Arial"/>
          <w:sz w:val="18"/>
          <w:szCs w:val="18"/>
          <w:color w:val="auto"/>
        </w:rPr>
        <w:t>”) and the related prospectus (the “</w:t>
      </w:r>
      <w:r>
        <w:rPr>
          <w:rFonts w:ascii="Arial" w:cs="Arial" w:eastAsia="Arial" w:hAnsi="Arial"/>
          <w:sz w:val="18"/>
          <w:szCs w:val="18"/>
          <w:b w:val="1"/>
          <w:bCs w:val="1"/>
          <w:color w:val="auto"/>
        </w:rPr>
        <w:t>Prospectus”</w:t>
      </w:r>
      <w:r>
        <w:rPr>
          <w:rFonts w:ascii="Arial" w:cs="Arial" w:eastAsia="Arial" w:hAnsi="Arial"/>
          <w:sz w:val="18"/>
          <w:szCs w:val="18"/>
          <w:color w:val="auto"/>
        </w:rPr>
        <w:t>) for the purpose of registering under the Securities Act of 1933, as amended (the “</w:t>
      </w:r>
      <w:r>
        <w:rPr>
          <w:rFonts w:ascii="Arial" w:cs="Arial" w:eastAsia="Arial" w:hAnsi="Arial"/>
          <w:sz w:val="18"/>
          <w:szCs w:val="18"/>
          <w:b w:val="1"/>
          <w:bCs w:val="1"/>
          <w:color w:val="auto"/>
        </w:rPr>
        <w:t>Securities Act</w:t>
      </w:r>
      <w:r>
        <w:rPr>
          <w:rFonts w:ascii="Arial" w:cs="Arial" w:eastAsia="Arial" w:hAnsi="Arial"/>
          <w:sz w:val="18"/>
          <w:szCs w:val="18"/>
          <w:color w:val="auto"/>
        </w:rPr>
        <w:t>”), 28,750,000 units of the Company (the “</w:t>
      </w:r>
      <w:r>
        <w:rPr>
          <w:rFonts w:ascii="Arial" w:cs="Arial" w:eastAsia="Arial" w:hAnsi="Arial"/>
          <w:sz w:val="18"/>
          <w:szCs w:val="18"/>
          <w:b w:val="1"/>
          <w:bCs w:val="1"/>
          <w:color w:val="auto"/>
        </w:rPr>
        <w:t>Units</w:t>
      </w:r>
      <w:r>
        <w:rPr>
          <w:rFonts w:ascii="Arial" w:cs="Arial" w:eastAsia="Arial" w:hAnsi="Arial"/>
          <w:sz w:val="18"/>
          <w:szCs w:val="18"/>
          <w:color w:val="auto"/>
        </w:rPr>
        <w:t>”), including 3,750,000 Units subject to the Underwriters’ (as defined below) over-allotment option, as described in the Registration Statement. Each Unit consists of:</w:t>
      </w:r>
    </w:p>
    <w:p>
      <w:pPr>
        <w:spacing w:after="0" w:line="163" w:lineRule="exact"/>
        <w:rPr>
          <w:sz w:val="20"/>
          <w:szCs w:val="20"/>
          <w:color w:val="auto"/>
        </w:rPr>
      </w:pPr>
    </w:p>
    <w:p>
      <w:pPr>
        <w:ind w:left="980" w:right="40" w:hanging="648"/>
        <w:spacing w:after="0" w:line="271" w:lineRule="auto"/>
        <w:tabs>
          <w:tab w:leader="none" w:pos="98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one of the Company’s Class A ordinary shares, par value $0.0001 per share (the “</w:t>
      </w:r>
      <w:r>
        <w:rPr>
          <w:rFonts w:ascii="Arial" w:cs="Arial" w:eastAsia="Arial" w:hAnsi="Arial"/>
          <w:sz w:val="18"/>
          <w:szCs w:val="18"/>
          <w:b w:val="1"/>
          <w:bCs w:val="1"/>
          <w:color w:val="auto"/>
        </w:rPr>
        <w:t>Shares</w:t>
      </w:r>
      <w:r>
        <w:rPr>
          <w:rFonts w:ascii="Arial" w:cs="Arial" w:eastAsia="Arial" w:hAnsi="Arial"/>
          <w:sz w:val="18"/>
          <w:szCs w:val="18"/>
          <w:color w:val="auto"/>
        </w:rPr>
        <w:t>”) for an aggregate of up to 28,750,000 (including up to 3,750,000 Shares included in the Units subject to the Underwriters’ over-allotment option); and</w:t>
      </w:r>
    </w:p>
    <w:p>
      <w:pPr>
        <w:spacing w:after="0" w:line="140" w:lineRule="exact"/>
        <w:rPr>
          <w:rFonts w:ascii="Arial" w:cs="Arial" w:eastAsia="Arial" w:hAnsi="Arial"/>
          <w:sz w:val="18"/>
          <w:szCs w:val="18"/>
          <w:color w:val="auto"/>
        </w:rPr>
      </w:pPr>
    </w:p>
    <w:p>
      <w:pPr>
        <w:ind w:left="980" w:right="80" w:hanging="648"/>
        <w:spacing w:after="0" w:line="247" w:lineRule="auto"/>
        <w:tabs>
          <w:tab w:leader="none" w:pos="98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one-fourth of one warrant (collectively, the “</w:t>
      </w:r>
      <w:r>
        <w:rPr>
          <w:rFonts w:ascii="Arial" w:cs="Arial" w:eastAsia="Arial" w:hAnsi="Arial"/>
          <w:sz w:val="18"/>
          <w:szCs w:val="18"/>
          <w:b w:val="1"/>
          <w:bCs w:val="1"/>
          <w:color w:val="auto"/>
        </w:rPr>
        <w:t>Warrants</w:t>
      </w:r>
      <w:r>
        <w:rPr>
          <w:rFonts w:ascii="Arial" w:cs="Arial" w:eastAsia="Arial" w:hAnsi="Arial"/>
          <w:sz w:val="18"/>
          <w:szCs w:val="18"/>
          <w:color w:val="auto"/>
        </w:rPr>
        <w:t>”), with each Warrant entitling the holder to purchase one Share, for an aggregate of up to 7,187,500 Warrants (including up to 937,500 Warrants included in the Units subject to the Underwriters’ over-allotment option) to be issued under a warrant agreement (the “</w:t>
      </w:r>
      <w:r>
        <w:rPr>
          <w:rFonts w:ascii="Arial" w:cs="Arial" w:eastAsia="Arial" w:hAnsi="Arial"/>
          <w:sz w:val="18"/>
          <w:szCs w:val="18"/>
          <w:b w:val="1"/>
          <w:bCs w:val="1"/>
          <w:color w:val="auto"/>
        </w:rPr>
        <w:t>Warrant Agreement</w:t>
      </w:r>
      <w:r>
        <w:rPr>
          <w:rFonts w:ascii="Arial" w:cs="Arial" w:eastAsia="Arial" w:hAnsi="Arial"/>
          <w:sz w:val="18"/>
          <w:szCs w:val="18"/>
          <w:color w:val="auto"/>
        </w:rPr>
        <w:t>”) to be entered into by the Company and Continental Stock Transfer &amp; Trust Company, as Warrant Agent (the “</w:t>
      </w:r>
      <w:r>
        <w:rPr>
          <w:rFonts w:ascii="Arial" w:cs="Arial" w:eastAsia="Arial" w:hAnsi="Arial"/>
          <w:sz w:val="18"/>
          <w:szCs w:val="18"/>
          <w:b w:val="1"/>
          <w:bCs w:val="1"/>
          <w:color w:val="auto"/>
        </w:rPr>
        <w:t>Warrant Agent</w:t>
      </w:r>
      <w:r>
        <w:rPr>
          <w:rFonts w:ascii="Arial" w:cs="Arial" w:eastAsia="Arial" w:hAnsi="Arial"/>
          <w:sz w:val="18"/>
          <w:szCs w:val="18"/>
          <w:color w:val="auto"/>
        </w:rPr>
        <w:t>”),</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offered pursuant to the terms of an underwriting agreement (the “</w:t>
      </w:r>
      <w:r>
        <w:rPr>
          <w:rFonts w:ascii="Arial" w:cs="Arial" w:eastAsia="Arial" w:hAnsi="Arial"/>
          <w:sz w:val="18"/>
          <w:szCs w:val="18"/>
          <w:b w:val="1"/>
          <w:bCs w:val="1"/>
          <w:color w:val="auto"/>
        </w:rPr>
        <w:t>Underwriting Agreement</w:t>
      </w:r>
      <w:r>
        <w:rPr>
          <w:rFonts w:ascii="Arial" w:cs="Arial" w:eastAsia="Arial" w:hAnsi="Arial"/>
          <w:sz w:val="18"/>
          <w:szCs w:val="18"/>
          <w:color w:val="auto"/>
        </w:rPr>
        <w:t>”) to be executed by the Company and J.P.</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Morgan Securities LLC, as representative of the underwriters named therein (the “</w:t>
      </w:r>
      <w:r>
        <w:rPr>
          <w:rFonts w:ascii="Arial" w:cs="Arial" w:eastAsia="Arial" w:hAnsi="Arial"/>
          <w:sz w:val="18"/>
          <w:szCs w:val="18"/>
          <w:b w:val="1"/>
          <w:bCs w:val="1"/>
          <w:color w:val="auto"/>
        </w:rPr>
        <w:t>Underwriters</w:t>
      </w:r>
      <w:r>
        <w:rPr>
          <w:rFonts w:ascii="Arial" w:cs="Arial" w:eastAsia="Arial" w:hAnsi="Arial"/>
          <w:sz w:val="18"/>
          <w:szCs w:val="18"/>
          <w:color w:val="auto"/>
        </w:rPr>
        <w:t>”).</w:t>
      </w:r>
    </w:p>
    <w:p>
      <w:pPr>
        <w:spacing w:after="0" w:line="198" w:lineRule="exact"/>
        <w:rPr>
          <w:sz w:val="20"/>
          <w:szCs w:val="20"/>
          <w:color w:val="auto"/>
        </w:rPr>
      </w:pPr>
    </w:p>
    <w:p>
      <w:pPr>
        <w:ind w:right="580"/>
        <w:spacing w:after="0" w:line="246" w:lineRule="auto"/>
        <w:rPr>
          <w:sz w:val="20"/>
          <w:szCs w:val="20"/>
          <w:color w:val="auto"/>
        </w:rPr>
      </w:pPr>
      <w:r>
        <w:rPr>
          <w:rFonts w:ascii="Arial" w:cs="Arial" w:eastAsia="Arial" w:hAnsi="Arial"/>
          <w:sz w:val="18"/>
          <w:szCs w:val="18"/>
          <w:color w:val="auto"/>
        </w:rPr>
        <w:t>We, as your counsel, have examined originals or copies of such documents, corporate records, certificates of public officials and other instruments as we have deemed necessary or advisable for the purpose of rendering this opinion.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185420</wp:posOffset>
            </wp:positionV>
            <wp:extent cx="713232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264" w:name="page265"/>
    <w:bookmarkEnd w:id="264"/>
    <w:p>
      <w:pPr>
        <w:spacing w:after="0"/>
        <w:tabs>
          <w:tab w:leader="none" w:pos="6060" w:val="left"/>
          <w:tab w:leader="none" w:pos="9740" w:val="left"/>
        </w:tabs>
        <w:rPr>
          <w:sz w:val="20"/>
          <w:szCs w:val="20"/>
          <w:color w:val="auto"/>
        </w:rPr>
      </w:pPr>
      <w:r>
        <w:rPr>
          <w:rFonts w:ascii="Arial" w:cs="Arial" w:eastAsia="Arial" w:hAnsi="Arial"/>
          <w:sz w:val="18"/>
          <w:szCs w:val="18"/>
          <w:color w:val="auto"/>
        </w:rPr>
        <w:t>Freedom Acquisition I Corp.</w:t>
      </w:r>
      <w:r>
        <w:rPr>
          <w:sz w:val="20"/>
          <w:szCs w:val="20"/>
          <w:color w:val="auto"/>
        </w:rPr>
        <w:tab/>
      </w:r>
      <w:r>
        <w:rPr>
          <w:rFonts w:ascii="Arial" w:cs="Arial" w:eastAsia="Arial" w:hAnsi="Arial"/>
          <w:sz w:val="18"/>
          <w:szCs w:val="18"/>
          <w:color w:val="auto"/>
        </w:rPr>
        <w:t>2</w:t>
      </w:r>
      <w:r>
        <w:rPr>
          <w:sz w:val="20"/>
          <w:szCs w:val="20"/>
          <w:color w:val="auto"/>
        </w:rPr>
        <w:tab/>
      </w:r>
      <w:r>
        <w:rPr>
          <w:rFonts w:ascii="Arial" w:cs="Arial" w:eastAsia="Arial" w:hAnsi="Arial"/>
          <w:sz w:val="18"/>
          <w:szCs w:val="18"/>
          <w:color w:val="auto"/>
        </w:rPr>
        <w:t>February 18, 2021</w:t>
      </w:r>
    </w:p>
    <w:p>
      <w:pPr>
        <w:spacing w:after="0" w:line="306"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In rendering the opinions expressed herein, we have, without independent inquiry or investigation, assumed that (i) all documents submitted to us as originals are authentic and complete, (ii) all documents submitted to us as copies conform to authentic, complete originals, (iii) all documents filed as exhibits to the Registration Statement that have not been executed will conform to the forms thereof, (iv) all signatures on all documents that we reviewed are genuine, (v) all natural persons executing documents had and have the legal capacity to do so, (vi) all statements in certificates of public officials and officers of the Company that we reviewed were and are accurate and (vii) all representations made by the Company as to matters of fact in the documents that we reviewed were and are accurate.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Based upon the foregoing, and subject to the additional assumptions and qualifications set forth below, we advise you that, in our opinion:</w:t>
      </w:r>
    </w:p>
    <w:p>
      <w:pPr>
        <w:spacing w:after="0" w:line="198" w:lineRule="exact"/>
        <w:rPr>
          <w:sz w:val="20"/>
          <w:szCs w:val="20"/>
          <w:color w:val="auto"/>
        </w:rPr>
      </w:pPr>
    </w:p>
    <w:p>
      <w:pPr>
        <w:ind w:left="660" w:right="200" w:hanging="328"/>
        <w:spacing w:after="0" w:line="238" w:lineRule="auto"/>
        <w:tabs>
          <w:tab w:leader="none" w:pos="66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Each Unit, when such Unit has been delivered to and paid for by the Underwriters in accordance with the terms of the Underwriting Agreement, will be a valid and binding agreement of the Company, enforceable in accordance with its terms, subject to applicable bankruptcy, insolvency and similar laws affecting creditors’ rights generally, concepts of reasonableness and equitable principles of general applicability.</w:t>
      </w:r>
    </w:p>
    <w:p>
      <w:pPr>
        <w:spacing w:after="0" w:line="191" w:lineRule="exact"/>
        <w:rPr>
          <w:rFonts w:ascii="Arial" w:cs="Arial" w:eastAsia="Arial" w:hAnsi="Arial"/>
          <w:sz w:val="18"/>
          <w:szCs w:val="18"/>
          <w:color w:val="auto"/>
        </w:rPr>
      </w:pPr>
    </w:p>
    <w:p>
      <w:pPr>
        <w:ind w:left="660" w:right="120" w:hanging="328"/>
        <w:spacing w:after="0" w:line="238" w:lineRule="auto"/>
        <w:tabs>
          <w:tab w:leader="none" w:pos="66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Each Warrant included in the Units, when such Unit has been delivered to and paid for by the Underwriters in accordance with the terms of the Underwriting Agreement, will be a valid and binding agreement of the Company, enforceable in accordance with its terms, subject to applicable bankruptcy, insolvency and similar laws affecting creditors’ rights generally, concepts of reasonableness and equitable principles of general applicability.</w:t>
      </w:r>
    </w:p>
    <w:p>
      <w:pPr>
        <w:spacing w:after="0" w:line="191"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In connection with the opinions expressed above, we have assumed that at or prior to the time of the delivery of any Units, (i) the Board of Directors of the Company shall have duly established the terms of the Units and the Shares and the Warrants included therein and duly authorized the issuance and sale of the Units and such authorization shall not have been modified or rescinded; (ii) the Company is, and shall remain, validly existing as a corporation under the laws of the Cayman Islands; (iii) the Registration Statement shall have been declared effective and such effectiveness shall not have been terminated or rescinded; (iv) the Warrant Agreement to be entered into in connection with the Warrants has been duly authorized, executed and delivered by the Warrant Agent and the Company, and is a valid, binding and enforceable agreement of each party thereto; and (v) there shall not have occurred any change in law affecting the validity or enforceability of the Units or the Warrants included therein. We have also assumed that the (i) terms of any security whose terms are established subsequent to the date hereof and the issuance, execution, delivery and performance by the Company of any such security (a) require no action by or in respect of, or filing with, any governmental body, agency or official and (b) do not contravene, or constitute a default under, any provision of applicable law or public policy or regulation or any judgment, injunction, order or decree or any agreement or other instrument binding upon the Company and (ii) the Warrant Agreement will be governed by the laws of the State of New York.</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We are members of the Bar of the State of New York and the foregoing opinion is limited to the laws of the State of New York.</w:t>
      </w:r>
    </w:p>
    <w:p>
      <w:pPr>
        <w:spacing w:after="0" w:line="198" w:lineRule="exact"/>
        <w:rPr>
          <w:sz w:val="20"/>
          <w:szCs w:val="20"/>
          <w:color w:val="auto"/>
        </w:rPr>
      </w:pPr>
    </w:p>
    <w:p>
      <w:pPr>
        <w:ind w:right="240"/>
        <w:spacing w:after="0" w:line="246" w:lineRule="auto"/>
        <w:rPr>
          <w:sz w:val="20"/>
          <w:szCs w:val="20"/>
          <w:color w:val="auto"/>
        </w:rPr>
      </w:pPr>
      <w:r>
        <w:rPr>
          <w:rFonts w:ascii="Arial" w:cs="Arial" w:eastAsia="Arial" w:hAnsi="Arial"/>
          <w:sz w:val="18"/>
          <w:szCs w:val="18"/>
          <w:color w:val="auto"/>
        </w:rPr>
        <w:t>We hereby consent to the filing of this opinion as an exhibit to the Registration Statement and further consent to the reference to our name under the caption “Legal Matters” in the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185420</wp:posOffset>
            </wp:positionV>
            <wp:extent cx="713232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265" w:name="page266"/>
    <w:bookmarkEnd w:id="265"/>
    <w:p>
      <w:pPr>
        <w:spacing w:after="0"/>
        <w:tabs>
          <w:tab w:leader="none" w:pos="6060" w:val="left"/>
          <w:tab w:leader="none" w:pos="9740" w:val="left"/>
        </w:tabs>
        <w:rPr>
          <w:sz w:val="20"/>
          <w:szCs w:val="20"/>
          <w:color w:val="auto"/>
        </w:rPr>
      </w:pPr>
      <w:r>
        <w:rPr>
          <w:rFonts w:ascii="Arial" w:cs="Arial" w:eastAsia="Arial" w:hAnsi="Arial"/>
          <w:sz w:val="18"/>
          <w:szCs w:val="18"/>
          <w:color w:val="auto"/>
        </w:rPr>
        <w:t>Freedom Acquisition I Corp.</w:t>
      </w:r>
      <w:r>
        <w:rPr>
          <w:sz w:val="20"/>
          <w:szCs w:val="20"/>
          <w:color w:val="auto"/>
        </w:rPr>
        <w:tab/>
      </w:r>
      <w:r>
        <w:rPr>
          <w:rFonts w:ascii="Arial" w:cs="Arial" w:eastAsia="Arial" w:hAnsi="Arial"/>
          <w:sz w:val="18"/>
          <w:szCs w:val="18"/>
          <w:color w:val="auto"/>
        </w:rPr>
        <w:t>3</w:t>
      </w:r>
      <w:r>
        <w:rPr>
          <w:sz w:val="20"/>
          <w:szCs w:val="20"/>
          <w:color w:val="auto"/>
        </w:rPr>
        <w:tab/>
      </w:r>
      <w:r>
        <w:rPr>
          <w:rFonts w:ascii="Arial" w:cs="Arial" w:eastAsia="Arial" w:hAnsi="Arial"/>
          <w:sz w:val="18"/>
          <w:szCs w:val="18"/>
          <w:color w:val="auto"/>
        </w:rPr>
        <w:t>February 18, 2021</w:t>
      </w:r>
    </w:p>
    <w:p>
      <w:pPr>
        <w:spacing w:after="0" w:line="306" w:lineRule="exact"/>
        <w:rPr>
          <w:sz w:val="20"/>
          <w:szCs w:val="20"/>
          <w:color w:val="auto"/>
        </w:rPr>
      </w:pPr>
    </w:p>
    <w:p>
      <w:pPr>
        <w:ind w:right="320"/>
        <w:spacing w:after="0" w:line="246" w:lineRule="auto"/>
        <w:rPr>
          <w:sz w:val="20"/>
          <w:szCs w:val="20"/>
          <w:color w:val="auto"/>
        </w:rPr>
      </w:pPr>
      <w:r>
        <w:rPr>
          <w:rFonts w:ascii="Arial" w:cs="Arial" w:eastAsia="Arial" w:hAnsi="Arial"/>
          <w:sz w:val="18"/>
          <w:szCs w:val="18"/>
          <w:color w:val="auto"/>
        </w:rPr>
        <w:t>In giving this consent, we do not admit that we are in the category of persons whose consent is required under Section 7 of the Securities Act.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/s/ Davis Polk &amp; Wardwell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194945</wp:posOffset>
            </wp:positionV>
            <wp:extent cx="7132320"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266" w:name="page267"/>
    <w:bookmarkEnd w:id="266"/>
    <w:p>
      <w:pPr>
        <w:jc w:val="right"/>
        <w:spacing w:after="0"/>
        <w:rPr>
          <w:sz w:val="20"/>
          <w:szCs w:val="20"/>
          <w:color w:val="auto"/>
        </w:rPr>
      </w:pPr>
      <w:r>
        <w:rPr>
          <w:rFonts w:ascii="Arial" w:cs="Arial" w:eastAsia="Arial" w:hAnsi="Arial"/>
          <w:sz w:val="18"/>
          <w:szCs w:val="18"/>
          <w:b w:val="1"/>
          <w:bCs w:val="1"/>
          <w:color w:val="auto"/>
        </w:rPr>
        <w:t>Exhibit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874395" cy="90868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49">
                      <a:extLst>
                        <a:ext uri="{28A0092B-C50C-407E-A947-70E740481C1C}"/>
                      </a:extLst>
                    </a:blip>
                    <a:srcRect/>
                    <a:stretch>
                      <a:fillRect/>
                    </a:stretch>
                  </pic:blipFill>
                  <pic:spPr bwMode="auto">
                    <a:xfrm>
                      <a:off x="0" y="0"/>
                      <a:ext cx="874395" cy="908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Our ref SMC/782056-000001/65585865v1</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Freedom Acquisition I Corp.</w:t>
      </w:r>
    </w:p>
    <w:p>
      <w:pPr>
        <w:spacing w:after="0" w:line="234" w:lineRule="auto"/>
        <w:rPr>
          <w:sz w:val="20"/>
          <w:szCs w:val="20"/>
          <w:color w:val="auto"/>
        </w:rPr>
      </w:pPr>
      <w:r>
        <w:rPr>
          <w:rFonts w:ascii="Arial" w:cs="Arial" w:eastAsia="Arial" w:hAnsi="Arial"/>
          <w:sz w:val="18"/>
          <w:szCs w:val="18"/>
          <w:color w:val="auto"/>
        </w:rPr>
        <w:t>PO Box 309, Ugland House</w:t>
      </w:r>
    </w:p>
    <w:p>
      <w:pPr>
        <w:spacing w:after="0" w:line="235" w:lineRule="auto"/>
        <w:rPr>
          <w:sz w:val="20"/>
          <w:szCs w:val="20"/>
          <w:color w:val="auto"/>
        </w:rPr>
      </w:pPr>
      <w:r>
        <w:rPr>
          <w:rFonts w:ascii="Arial" w:cs="Arial" w:eastAsia="Arial" w:hAnsi="Arial"/>
          <w:sz w:val="18"/>
          <w:szCs w:val="18"/>
          <w:color w:val="auto"/>
        </w:rPr>
        <w:t>Grand Cayman, KY1-1104</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Cayman Islands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18 February 2021</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Freedom Acquisition I Corp.</w:t>
      </w:r>
    </w:p>
    <w:p>
      <w:pPr>
        <w:spacing w:after="0" w:line="19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We have acted as counsel as to Cayman Islands law to Freedom Acquisition I Corp. (the "</w:t>
      </w:r>
      <w:r>
        <w:rPr>
          <w:rFonts w:ascii="Arial" w:cs="Arial" w:eastAsia="Arial" w:hAnsi="Arial"/>
          <w:sz w:val="18"/>
          <w:szCs w:val="18"/>
          <w:b w:val="1"/>
          <w:bCs w:val="1"/>
          <w:color w:val="auto"/>
        </w:rPr>
        <w:t>Company</w:t>
      </w:r>
      <w:r>
        <w:rPr>
          <w:rFonts w:ascii="Arial" w:cs="Arial" w:eastAsia="Arial" w:hAnsi="Arial"/>
          <w:sz w:val="18"/>
          <w:szCs w:val="18"/>
          <w:color w:val="auto"/>
        </w:rPr>
        <w:t>") in connection with the Company's registration statement on Form S-1, including all amendments or supplements thereto, filed with the United States Securities and Exchange Commission (the "</w:t>
      </w:r>
      <w:r>
        <w:rPr>
          <w:rFonts w:ascii="Arial" w:cs="Arial" w:eastAsia="Arial" w:hAnsi="Arial"/>
          <w:sz w:val="18"/>
          <w:szCs w:val="18"/>
          <w:b w:val="1"/>
          <w:bCs w:val="1"/>
          <w:color w:val="auto"/>
        </w:rPr>
        <w:t>Commission</w:t>
      </w:r>
      <w:r>
        <w:rPr>
          <w:rFonts w:ascii="Arial" w:cs="Arial" w:eastAsia="Arial" w:hAnsi="Arial"/>
          <w:sz w:val="18"/>
          <w:szCs w:val="18"/>
          <w:color w:val="auto"/>
        </w:rPr>
        <w:t>") under the United States Securities Act of 1933, as amended (the "</w:t>
      </w:r>
      <w:r>
        <w:rPr>
          <w:rFonts w:ascii="Arial" w:cs="Arial" w:eastAsia="Arial" w:hAnsi="Arial"/>
          <w:sz w:val="18"/>
          <w:szCs w:val="18"/>
          <w:b w:val="1"/>
          <w:bCs w:val="1"/>
          <w:color w:val="auto"/>
        </w:rPr>
        <w:t>Act</w:t>
      </w:r>
      <w:r>
        <w:rPr>
          <w:rFonts w:ascii="Arial" w:cs="Arial" w:eastAsia="Arial" w:hAnsi="Arial"/>
          <w:sz w:val="18"/>
          <w:szCs w:val="18"/>
          <w:color w:val="auto"/>
        </w:rPr>
        <w:t>") (including its exhibits, the "</w:t>
      </w:r>
      <w:r>
        <w:rPr>
          <w:rFonts w:ascii="Arial" w:cs="Arial" w:eastAsia="Arial" w:hAnsi="Arial"/>
          <w:sz w:val="18"/>
          <w:szCs w:val="18"/>
          <w:b w:val="1"/>
          <w:bCs w:val="1"/>
          <w:color w:val="auto"/>
        </w:rPr>
        <w:t>Registration Statement</w:t>
      </w:r>
      <w:r>
        <w:rPr>
          <w:rFonts w:ascii="Arial" w:cs="Arial" w:eastAsia="Arial" w:hAnsi="Arial"/>
          <w:sz w:val="18"/>
          <w:szCs w:val="18"/>
          <w:color w:val="auto"/>
        </w:rPr>
        <w:t>") for the purposes of, registering with the Commission under the Act, the offering and sale to the public of:</w:t>
      </w:r>
    </w:p>
    <w:p>
      <w:pPr>
        <w:spacing w:after="0" w:line="182" w:lineRule="exact"/>
        <w:rPr>
          <w:sz w:val="20"/>
          <w:szCs w:val="20"/>
          <w:color w:val="auto"/>
        </w:rPr>
      </w:pPr>
    </w:p>
    <w:p>
      <w:pPr>
        <w:jc w:val="both"/>
        <w:ind w:left="660" w:hanging="652"/>
        <w:spacing w:after="0"/>
        <w:tabs>
          <w:tab w:leader="none" w:pos="66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up to 28,750,000 units (including 3,750,000 units, which the several underwriters, for whom J.P. Morgan Securities LLC is acting as representative ("</w:t>
      </w:r>
      <w:r>
        <w:rPr>
          <w:rFonts w:ascii="Arial" w:cs="Arial" w:eastAsia="Arial" w:hAnsi="Arial"/>
          <w:sz w:val="18"/>
          <w:szCs w:val="18"/>
          <w:b w:val="1"/>
          <w:bCs w:val="1"/>
          <w:color w:val="auto"/>
        </w:rPr>
        <w:t>Representative</w:t>
      </w:r>
      <w:r>
        <w:rPr>
          <w:rFonts w:ascii="Arial" w:cs="Arial" w:eastAsia="Arial" w:hAnsi="Arial"/>
          <w:sz w:val="18"/>
          <w:szCs w:val="18"/>
          <w:color w:val="auto"/>
        </w:rPr>
        <w:t>"), will have a 45-day option to purchase from the Company to cover over-allotments, if any) ("</w:t>
      </w:r>
      <w:r>
        <w:rPr>
          <w:rFonts w:ascii="Arial" w:cs="Arial" w:eastAsia="Arial" w:hAnsi="Arial"/>
          <w:sz w:val="18"/>
          <w:szCs w:val="18"/>
          <w:b w:val="1"/>
          <w:bCs w:val="1"/>
          <w:color w:val="auto"/>
        </w:rPr>
        <w:t>Units</w:t>
      </w:r>
      <w:r>
        <w:rPr>
          <w:rFonts w:ascii="Arial" w:cs="Arial" w:eastAsia="Arial" w:hAnsi="Arial"/>
          <w:sz w:val="18"/>
          <w:szCs w:val="18"/>
          <w:color w:val="auto"/>
        </w:rPr>
        <w:t>") at an offering price of US$10 per Unit, each Unit consisting of:</w:t>
      </w:r>
    </w:p>
    <w:p>
      <w:pPr>
        <w:spacing w:after="0" w:line="167" w:lineRule="exact"/>
        <w:rPr>
          <w:rFonts w:ascii="Arial" w:cs="Arial" w:eastAsia="Arial" w:hAnsi="Arial"/>
          <w:sz w:val="18"/>
          <w:szCs w:val="18"/>
          <w:color w:val="auto"/>
        </w:rPr>
      </w:pPr>
    </w:p>
    <w:p>
      <w:pPr>
        <w:ind w:left="1300" w:hanging="644"/>
        <w:spacing w:after="0"/>
        <w:tabs>
          <w:tab w:leader="none" w:pos="1300" w:val="left"/>
        </w:tabs>
        <w:numPr>
          <w:ilvl w:val="1"/>
          <w:numId w:val="163"/>
        </w:numPr>
        <w:rPr>
          <w:rFonts w:ascii="Arial" w:cs="Arial" w:eastAsia="Arial" w:hAnsi="Arial"/>
          <w:sz w:val="18"/>
          <w:szCs w:val="18"/>
          <w:color w:val="auto"/>
        </w:rPr>
      </w:pPr>
      <w:r>
        <w:rPr>
          <w:rFonts w:ascii="Arial" w:cs="Arial" w:eastAsia="Arial" w:hAnsi="Arial"/>
          <w:sz w:val="18"/>
          <w:szCs w:val="18"/>
          <w:color w:val="auto"/>
        </w:rPr>
        <w:t>one Class A ordinary share of a par value of US$0.0001 of the Company ("</w:t>
      </w:r>
      <w:r>
        <w:rPr>
          <w:rFonts w:ascii="Arial" w:cs="Arial" w:eastAsia="Arial" w:hAnsi="Arial"/>
          <w:sz w:val="18"/>
          <w:szCs w:val="18"/>
          <w:b w:val="1"/>
          <w:bCs w:val="1"/>
          <w:color w:val="auto"/>
        </w:rPr>
        <w:t>Ordinary Shares</w:t>
      </w:r>
      <w:r>
        <w:rPr>
          <w:rFonts w:ascii="Arial" w:cs="Arial" w:eastAsia="Arial" w:hAnsi="Arial"/>
          <w:sz w:val="18"/>
          <w:szCs w:val="18"/>
          <w:color w:val="auto"/>
        </w:rPr>
        <w:t>"); and</w:t>
      </w:r>
    </w:p>
    <w:p>
      <w:pPr>
        <w:spacing w:after="0" w:line="220" w:lineRule="exact"/>
        <w:rPr>
          <w:rFonts w:ascii="Arial" w:cs="Arial" w:eastAsia="Arial" w:hAnsi="Arial"/>
          <w:sz w:val="18"/>
          <w:szCs w:val="18"/>
          <w:color w:val="auto"/>
        </w:rPr>
      </w:pPr>
    </w:p>
    <w:p>
      <w:pPr>
        <w:ind w:left="1300" w:hanging="644"/>
        <w:spacing w:after="0" w:line="246" w:lineRule="auto"/>
        <w:tabs>
          <w:tab w:leader="none" w:pos="1300" w:val="left"/>
        </w:tabs>
        <w:numPr>
          <w:ilvl w:val="1"/>
          <w:numId w:val="163"/>
        </w:numPr>
        <w:rPr>
          <w:rFonts w:ascii="Arial" w:cs="Arial" w:eastAsia="Arial" w:hAnsi="Arial"/>
          <w:sz w:val="18"/>
          <w:szCs w:val="18"/>
          <w:color w:val="auto"/>
        </w:rPr>
      </w:pPr>
      <w:r>
        <w:rPr>
          <w:rFonts w:ascii="Arial" w:cs="Arial" w:eastAsia="Arial" w:hAnsi="Arial"/>
          <w:sz w:val="18"/>
          <w:szCs w:val="18"/>
          <w:color w:val="auto"/>
        </w:rPr>
        <w:t>one-fourth of one redeemable warrant, each whole warrant exercisable to purchase one Ordinary Share at a price of US$11.50 per Ordinary Share ("</w:t>
      </w:r>
      <w:r>
        <w:rPr>
          <w:rFonts w:ascii="Arial" w:cs="Arial" w:eastAsia="Arial" w:hAnsi="Arial"/>
          <w:sz w:val="18"/>
          <w:szCs w:val="18"/>
          <w:b w:val="1"/>
          <w:bCs w:val="1"/>
          <w:color w:val="auto"/>
        </w:rPr>
        <w:t>Warrants</w:t>
      </w:r>
      <w:r>
        <w:rPr>
          <w:rFonts w:ascii="Arial" w:cs="Arial" w:eastAsia="Arial" w:hAnsi="Arial"/>
          <w:sz w:val="18"/>
          <w:szCs w:val="18"/>
          <w:color w:val="auto"/>
        </w:rPr>
        <w:t>"); and</w:t>
      </w:r>
    </w:p>
    <w:p>
      <w:pPr>
        <w:spacing w:after="0" w:line="183" w:lineRule="exact"/>
        <w:rPr>
          <w:rFonts w:ascii="Arial" w:cs="Arial" w:eastAsia="Arial" w:hAnsi="Arial"/>
          <w:sz w:val="18"/>
          <w:szCs w:val="18"/>
          <w:color w:val="auto"/>
        </w:rPr>
      </w:pPr>
    </w:p>
    <w:p>
      <w:pPr>
        <w:ind w:left="660" w:hanging="652"/>
        <w:spacing w:after="0"/>
        <w:tabs>
          <w:tab w:leader="none" w:pos="66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all Ordinary Shares and Warrants issued as part of the Units.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This opinion letter is given in accordance with the terms of the Legal Matters section of the Registration Statement.</w:t>
      </w:r>
    </w:p>
    <w:p>
      <w:pPr>
        <w:spacing w:after="0" w:line="171" w:lineRule="exact"/>
        <w:rPr>
          <w:sz w:val="20"/>
          <w:szCs w:val="20"/>
          <w:color w:val="auto"/>
        </w:rPr>
      </w:pPr>
    </w:p>
    <w:p>
      <w:pPr>
        <w:ind w:left="660" w:hanging="652"/>
        <w:spacing w:after="0"/>
        <w:tabs>
          <w:tab w:leader="none" w:pos="660" w:val="left"/>
        </w:tabs>
        <w:numPr>
          <w:ilvl w:val="0"/>
          <w:numId w:val="164"/>
        </w:numPr>
        <w:rPr>
          <w:rFonts w:ascii="Arial" w:cs="Arial" w:eastAsia="Arial" w:hAnsi="Arial"/>
          <w:sz w:val="20"/>
          <w:szCs w:val="20"/>
          <w:b w:val="1"/>
          <w:bCs w:val="1"/>
          <w:color w:val="auto"/>
        </w:rPr>
      </w:pPr>
      <w:r>
        <w:rPr>
          <w:rFonts w:ascii="Arial" w:cs="Arial" w:eastAsia="Arial" w:hAnsi="Arial"/>
          <w:sz w:val="20"/>
          <w:szCs w:val="20"/>
          <w:b w:val="1"/>
          <w:bCs w:val="1"/>
          <w:color w:val="auto"/>
        </w:rPr>
        <w:t>Documents Reviewed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have reviewed originals, copies, drafts or conformed copies of the following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906145</wp:posOffset>
            </wp:positionV>
            <wp:extent cx="713232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5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254635</wp:posOffset>
            </wp:positionV>
            <wp:extent cx="2700020" cy="42862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51">
                      <a:extLst>
                        <a:ext uri="{28A0092B-C50C-407E-A947-70E740481C1C}"/>
                      </a:extLst>
                    </a:blip>
                    <a:srcRect/>
                    <a:stretch>
                      <a:fillRect/>
                    </a:stretch>
                  </pic:blipFill>
                  <pic:spPr bwMode="auto">
                    <a:xfrm>
                      <a:off x="0" y="0"/>
                      <a:ext cx="2700020" cy="42862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67" w:name="page268"/>
    <w:bookmarkEnd w:id="267"/>
    <w:p>
      <w:pPr>
        <w:ind w:left="660" w:hanging="647"/>
        <w:spacing w:after="0" w:line="246" w:lineRule="auto"/>
        <w:tabs>
          <w:tab w:leader="none" w:pos="64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8"/>
          <w:szCs w:val="18"/>
          <w:color w:val="auto"/>
        </w:rPr>
        <w:t>The certificate of incorporation dated 23 December 2020, and the memorandum and articles of association of the Company as registered or adopted on 23 December 2020 (the "</w:t>
      </w:r>
      <w:r>
        <w:rPr>
          <w:rFonts w:ascii="Arial" w:cs="Arial" w:eastAsia="Arial" w:hAnsi="Arial"/>
          <w:sz w:val="18"/>
          <w:szCs w:val="18"/>
          <w:b w:val="1"/>
          <w:bCs w:val="1"/>
          <w:color w:val="auto"/>
        </w:rPr>
        <w:t>Memorandum and Articles</w:t>
      </w:r>
      <w:r>
        <w:rPr>
          <w:rFonts w:ascii="Arial" w:cs="Arial" w:eastAsia="Arial" w:hAnsi="Arial"/>
          <w:sz w:val="18"/>
          <w:szCs w:val="18"/>
          <w:color w:val="auto"/>
        </w:rPr>
        <w:t>").</w:t>
      </w:r>
    </w:p>
    <w:p>
      <w:pPr>
        <w:spacing w:after="0" w:line="183" w:lineRule="exact"/>
        <w:rPr>
          <w:sz w:val="20"/>
          <w:szCs w:val="20"/>
          <w:color w:val="auto"/>
        </w:rPr>
      </w:pPr>
    </w:p>
    <w:p>
      <w:pPr>
        <w:ind w:left="660" w:hanging="647"/>
        <w:spacing w:after="0" w:line="246" w:lineRule="auto"/>
        <w:tabs>
          <w:tab w:leader="none" w:pos="64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color w:val="auto"/>
        </w:rPr>
        <w:t>The written resolutions of the board of directors of the Company dated 30 December 2020, 6 February 2021 and 18 February 2021 (together, the "</w:t>
      </w:r>
      <w:r>
        <w:rPr>
          <w:rFonts w:ascii="Arial" w:cs="Arial" w:eastAsia="Arial" w:hAnsi="Arial"/>
          <w:sz w:val="18"/>
          <w:szCs w:val="18"/>
          <w:b w:val="1"/>
          <w:bCs w:val="1"/>
          <w:color w:val="auto"/>
        </w:rPr>
        <w:t>Resolutions</w:t>
      </w:r>
      <w:r>
        <w:rPr>
          <w:rFonts w:ascii="Arial" w:cs="Arial" w:eastAsia="Arial" w:hAnsi="Arial"/>
          <w:sz w:val="18"/>
          <w:szCs w:val="18"/>
          <w:color w:val="auto"/>
        </w:rPr>
        <w:t>") and the corporate records of the Company maintained at its registered office in the Cayman Islands.</w:t>
      </w:r>
    </w:p>
    <w:p>
      <w:pPr>
        <w:spacing w:after="0" w:line="161" w:lineRule="exact"/>
        <w:rPr>
          <w:sz w:val="20"/>
          <w:szCs w:val="20"/>
          <w:color w:val="auto"/>
        </w:rPr>
      </w:pPr>
    </w:p>
    <w:p>
      <w:pPr>
        <w:ind w:left="660" w:hanging="647"/>
        <w:spacing w:after="0" w:line="271" w:lineRule="auto"/>
        <w:tabs>
          <w:tab w:leader="none" w:pos="64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8"/>
          <w:szCs w:val="18"/>
          <w:color w:val="auto"/>
        </w:rPr>
        <w:t>A certificate of good standing with respect to the Company issued by the Registrar of Companies (the "</w:t>
      </w:r>
      <w:r>
        <w:rPr>
          <w:rFonts w:ascii="Arial" w:cs="Arial" w:eastAsia="Arial" w:hAnsi="Arial"/>
          <w:sz w:val="18"/>
          <w:szCs w:val="18"/>
          <w:b w:val="1"/>
          <w:bCs w:val="1"/>
          <w:color w:val="auto"/>
        </w:rPr>
        <w:t>Certificate of Good</w:t>
      </w:r>
      <w:r>
        <w:rPr>
          <w:rFonts w:ascii="Arial" w:cs="Arial" w:eastAsia="Arial" w:hAnsi="Arial"/>
          <w:sz w:val="18"/>
          <w:szCs w:val="18"/>
          <w:color w:val="auto"/>
        </w:rPr>
        <w:t xml:space="preserve"> </w:t>
      </w:r>
      <w:r>
        <w:rPr>
          <w:rFonts w:ascii="Arial" w:cs="Arial" w:eastAsia="Arial" w:hAnsi="Arial"/>
          <w:sz w:val="18"/>
          <w:szCs w:val="18"/>
          <w:b w:val="1"/>
          <w:bCs w:val="1"/>
          <w:color w:val="auto"/>
        </w:rPr>
        <w:t>Standing</w:t>
      </w:r>
      <w:r>
        <w:rPr>
          <w:rFonts w:ascii="Arial" w:cs="Arial" w:eastAsia="Arial" w:hAnsi="Arial"/>
          <w:sz w:val="18"/>
          <w:szCs w:val="18"/>
          <w:color w:val="auto"/>
        </w:rPr>
        <w:t>").</w:t>
      </w:r>
    </w:p>
    <w:p>
      <w:pPr>
        <w:spacing w:after="0" w:line="14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7"/>
          <w:szCs w:val="17"/>
          <w:color w:val="auto"/>
        </w:rPr>
        <w:t>A certificate from a director of the Company a copy of which is attached to this opinion letter (the "</w:t>
      </w:r>
      <w:r>
        <w:rPr>
          <w:rFonts w:ascii="Arial" w:cs="Arial" w:eastAsia="Arial" w:hAnsi="Arial"/>
          <w:sz w:val="17"/>
          <w:szCs w:val="17"/>
          <w:b w:val="1"/>
          <w:bCs w:val="1"/>
          <w:color w:val="auto"/>
        </w:rPr>
        <w:t>Director's Certificate</w:t>
      </w:r>
      <w:r>
        <w:rPr>
          <w:rFonts w:ascii="Arial" w:cs="Arial" w:eastAsia="Arial" w:hAnsi="Arial"/>
          <w:sz w:val="17"/>
          <w:szCs w:val="17"/>
          <w:color w:val="auto"/>
        </w:rPr>
        <w:t>").</w:t>
      </w:r>
    </w:p>
    <w:p>
      <w:pPr>
        <w:spacing w:after="0" w:line="22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1.5</w:t>
      </w:r>
      <w:r>
        <w:rPr>
          <w:sz w:val="20"/>
          <w:szCs w:val="20"/>
          <w:color w:val="auto"/>
        </w:rPr>
        <w:tab/>
      </w:r>
      <w:r>
        <w:rPr>
          <w:rFonts w:ascii="Arial" w:cs="Arial" w:eastAsia="Arial" w:hAnsi="Arial"/>
          <w:sz w:val="17"/>
          <w:szCs w:val="17"/>
          <w:color w:val="auto"/>
        </w:rPr>
        <w:t>The Registration Statement.</w:t>
      </w:r>
    </w:p>
    <w:p>
      <w:pPr>
        <w:spacing w:after="0" w:line="17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1.6</w:t>
      </w:r>
      <w:r>
        <w:rPr>
          <w:sz w:val="20"/>
          <w:szCs w:val="20"/>
          <w:color w:val="auto"/>
        </w:rPr>
        <w:tab/>
      </w:r>
      <w:r>
        <w:rPr>
          <w:rFonts w:ascii="Arial" w:cs="Arial" w:eastAsia="Arial" w:hAnsi="Arial"/>
          <w:sz w:val="17"/>
          <w:szCs w:val="17"/>
          <w:color w:val="auto"/>
        </w:rPr>
        <w:t>A draft of the form of the unit certificate representing the Units (the "</w:t>
      </w:r>
      <w:r>
        <w:rPr>
          <w:rFonts w:ascii="Arial" w:cs="Arial" w:eastAsia="Arial" w:hAnsi="Arial"/>
          <w:sz w:val="17"/>
          <w:szCs w:val="17"/>
          <w:b w:val="1"/>
          <w:bCs w:val="1"/>
          <w:color w:val="auto"/>
        </w:rPr>
        <w:t>Unit Certificate</w:t>
      </w:r>
      <w:r>
        <w:rPr>
          <w:rFonts w:ascii="Arial" w:cs="Arial" w:eastAsia="Arial" w:hAnsi="Arial"/>
          <w:sz w:val="17"/>
          <w:szCs w:val="17"/>
          <w:color w:val="auto"/>
        </w:rPr>
        <w:t>").</w:t>
      </w:r>
    </w:p>
    <w:p>
      <w:pPr>
        <w:spacing w:after="0" w:line="198"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1.7</w:t>
      </w:r>
      <w:r>
        <w:rPr>
          <w:sz w:val="20"/>
          <w:szCs w:val="20"/>
          <w:color w:val="auto"/>
        </w:rPr>
        <w:tab/>
      </w:r>
      <w:r>
        <w:rPr>
          <w:rFonts w:ascii="Arial" w:cs="Arial" w:eastAsia="Arial" w:hAnsi="Arial"/>
          <w:sz w:val="17"/>
          <w:szCs w:val="17"/>
          <w:color w:val="auto"/>
        </w:rPr>
        <w:t>A draft of the form of the warrant agreement and the warrant certificate constituting the Warrants (the "</w:t>
      </w:r>
      <w:r>
        <w:rPr>
          <w:rFonts w:ascii="Arial" w:cs="Arial" w:eastAsia="Arial" w:hAnsi="Arial"/>
          <w:sz w:val="17"/>
          <w:szCs w:val="17"/>
          <w:b w:val="1"/>
          <w:bCs w:val="1"/>
          <w:color w:val="auto"/>
        </w:rPr>
        <w:t>Warrant Documents</w:t>
      </w:r>
      <w:r>
        <w:rPr>
          <w:rFonts w:ascii="Arial" w:cs="Arial" w:eastAsia="Arial" w:hAnsi="Arial"/>
          <w:sz w:val="17"/>
          <w:szCs w:val="17"/>
          <w:color w:val="auto"/>
        </w:rPr>
        <w:t>").</w:t>
      </w:r>
    </w:p>
    <w:p>
      <w:pPr>
        <w:spacing w:after="0" w:line="198"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1.8</w:t>
      </w:r>
      <w:r>
        <w:rPr>
          <w:sz w:val="20"/>
          <w:szCs w:val="20"/>
          <w:color w:val="auto"/>
        </w:rPr>
        <w:tab/>
      </w:r>
      <w:r>
        <w:rPr>
          <w:rFonts w:ascii="Arial" w:cs="Arial" w:eastAsia="Arial" w:hAnsi="Arial"/>
          <w:sz w:val="17"/>
          <w:szCs w:val="17"/>
          <w:color w:val="auto"/>
        </w:rPr>
        <w:t>A draft of the underwriting agreement between the Company and the Representative (the "</w:t>
      </w:r>
      <w:r>
        <w:rPr>
          <w:rFonts w:ascii="Arial" w:cs="Arial" w:eastAsia="Arial" w:hAnsi="Arial"/>
          <w:sz w:val="17"/>
          <w:szCs w:val="17"/>
          <w:b w:val="1"/>
          <w:bCs w:val="1"/>
          <w:color w:val="auto"/>
        </w:rPr>
        <w:t>Underwriting Agreement</w:t>
      </w:r>
      <w:r>
        <w:rPr>
          <w:rFonts w:ascii="Arial" w:cs="Arial" w:eastAsia="Arial" w:hAnsi="Arial"/>
          <w:sz w:val="17"/>
          <w:szCs w:val="17"/>
          <w:color w:val="auto"/>
        </w:rPr>
        <w: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documents listed in paragraphs 1.6 to 1.8 inclusive above shall be referred to collectively herein as the "</w:t>
      </w:r>
      <w:r>
        <w:rPr>
          <w:rFonts w:ascii="Arial" w:cs="Arial" w:eastAsia="Arial" w:hAnsi="Arial"/>
          <w:sz w:val="18"/>
          <w:szCs w:val="18"/>
          <w:b w:val="1"/>
          <w:bCs w:val="1"/>
          <w:color w:val="auto"/>
        </w:rPr>
        <w:t>Documents</w:t>
      </w:r>
      <w:r>
        <w:rPr>
          <w:rFonts w:ascii="Arial" w:cs="Arial" w:eastAsia="Arial" w:hAnsi="Arial"/>
          <w:sz w:val="18"/>
          <w:szCs w:val="18"/>
          <w:color w:val="auto"/>
        </w:rPr>
        <w:t>".</w:t>
      </w:r>
    </w:p>
    <w:p>
      <w:pPr>
        <w:spacing w:after="0" w:line="193" w:lineRule="exact"/>
        <w:rPr>
          <w:sz w:val="20"/>
          <w:szCs w:val="20"/>
          <w:color w:val="auto"/>
        </w:rPr>
      </w:pPr>
    </w:p>
    <w:p>
      <w:pPr>
        <w:ind w:left="660" w:hanging="652"/>
        <w:spacing w:after="0"/>
        <w:tabs>
          <w:tab w:leader="none" w:pos="660" w:val="left"/>
        </w:tabs>
        <w:numPr>
          <w:ilvl w:val="0"/>
          <w:numId w:val="165"/>
        </w:numPr>
        <w:rPr>
          <w:rFonts w:ascii="Arial" w:cs="Arial" w:eastAsia="Arial" w:hAnsi="Arial"/>
          <w:sz w:val="20"/>
          <w:szCs w:val="20"/>
          <w:b w:val="1"/>
          <w:bCs w:val="1"/>
          <w:color w:val="auto"/>
        </w:rPr>
      </w:pPr>
      <w:r>
        <w:rPr>
          <w:rFonts w:ascii="Arial" w:cs="Arial" w:eastAsia="Arial" w:hAnsi="Arial"/>
          <w:sz w:val="20"/>
          <w:szCs w:val="20"/>
          <w:b w:val="1"/>
          <w:bCs w:val="1"/>
          <w:color w:val="auto"/>
        </w:rPr>
        <w:t>Assumptions</w:t>
      </w:r>
    </w:p>
    <w:p>
      <w:pPr>
        <w:spacing w:after="0" w:line="22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following opinions are given only as to, and based on, circumstances and matters of fact existing and known to us on the date of this opinion letter. These opinions only relate to the laws of the Cayman Islands which are in force on the date of this opinion letter. In giving the following opinions, we have relied (without further verification) upon the completeness and accuracy, as at the date of this opinion letter, of the Director's Certificate and the Certificate of Good Standing. We have also relied upon the following assumptions, which we have not independently verified:</w:t>
      </w:r>
    </w:p>
    <w:p>
      <w:pPr>
        <w:spacing w:after="0" w:line="189" w:lineRule="exact"/>
        <w:rPr>
          <w:sz w:val="20"/>
          <w:szCs w:val="20"/>
          <w:color w:val="auto"/>
        </w:rPr>
      </w:pPr>
    </w:p>
    <w:p>
      <w:pPr>
        <w:jc w:val="both"/>
        <w:ind w:left="660" w:hanging="647"/>
        <w:spacing w:after="0" w:line="246" w:lineRule="auto"/>
        <w:tabs>
          <w:tab w:leader="none" w:pos="64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8"/>
          <w:szCs w:val="18"/>
          <w:color w:val="auto"/>
        </w:rPr>
        <w:t>The Documents have been or will be authorised and duly executed and unconditionally delivered by or on behalf of all relevant parties in accordance with all relevant laws (other than, with respect to the Company, the laws of the Cayman Islands).</w:t>
      </w:r>
    </w:p>
    <w:p>
      <w:pPr>
        <w:spacing w:after="0" w:line="183" w:lineRule="exact"/>
        <w:rPr>
          <w:sz w:val="20"/>
          <w:szCs w:val="20"/>
          <w:color w:val="auto"/>
        </w:rPr>
      </w:pPr>
    </w:p>
    <w:p>
      <w:pPr>
        <w:jc w:val="both"/>
        <w:ind w:left="660" w:hanging="647"/>
        <w:spacing w:after="0"/>
        <w:tabs>
          <w:tab w:leader="none" w:pos="64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8"/>
          <w:szCs w:val="18"/>
          <w:color w:val="auto"/>
        </w:rPr>
        <w:t>The Documents are, or will be, legal, valid, binding and enforceable against all relevant parties in accordance with their terms under the laws of the State of New York (the "</w:t>
      </w:r>
      <w:r>
        <w:rPr>
          <w:rFonts w:ascii="Arial" w:cs="Arial" w:eastAsia="Arial" w:hAnsi="Arial"/>
          <w:sz w:val="18"/>
          <w:szCs w:val="18"/>
          <w:b w:val="1"/>
          <w:bCs w:val="1"/>
          <w:color w:val="auto"/>
        </w:rPr>
        <w:t>Relevant Law</w:t>
      </w:r>
      <w:r>
        <w:rPr>
          <w:rFonts w:ascii="Arial" w:cs="Arial" w:eastAsia="Arial" w:hAnsi="Arial"/>
          <w:sz w:val="18"/>
          <w:szCs w:val="18"/>
          <w:color w:val="auto"/>
        </w:rPr>
        <w:t>") and all other relevant laws (other than, with respect to the Company, the laws of the Cayman Islands).</w:t>
      </w:r>
    </w:p>
    <w:p>
      <w:pPr>
        <w:spacing w:after="0" w:line="189" w:lineRule="exact"/>
        <w:rPr>
          <w:sz w:val="20"/>
          <w:szCs w:val="20"/>
          <w:color w:val="auto"/>
        </w:rPr>
      </w:pPr>
    </w:p>
    <w:p>
      <w:pPr>
        <w:jc w:val="both"/>
        <w:ind w:left="660" w:hanging="647"/>
        <w:spacing w:after="0"/>
        <w:tabs>
          <w:tab w:leader="none" w:pos="64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8"/>
          <w:szCs w:val="18"/>
          <w:color w:val="auto"/>
        </w:rPr>
        <w:t>The choice of the Relevant Law as the governing law of the Documents has been made in good faith and would be regarded as a valid and binding selection which will be upheld by the courts of the State of New York and any other relevant jurisdiction (other than the Cayman Islands) as a matter of the Relevant Law and all other relevant laws (other than the laws of the Cayman Islands).</w:t>
      </w:r>
    </w:p>
    <w:p>
      <w:pPr>
        <w:spacing w:after="0" w:line="189" w:lineRule="exact"/>
        <w:rPr>
          <w:sz w:val="20"/>
          <w:szCs w:val="20"/>
          <w:color w:val="auto"/>
        </w:rPr>
      </w:pPr>
    </w:p>
    <w:p>
      <w:pPr>
        <w:jc w:val="both"/>
        <w:ind w:left="660" w:hanging="647"/>
        <w:spacing w:after="0" w:line="246" w:lineRule="auto"/>
        <w:tabs>
          <w:tab w:leader="none" w:pos="64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8"/>
          <w:szCs w:val="18"/>
          <w:color w:val="auto"/>
        </w:rPr>
        <w:t>Copies of documents, conformed copies or drafts of documents provided to us are true and complete copies of, or in the final forms of, the originals.</w:t>
      </w:r>
    </w:p>
    <w:p>
      <w:pPr>
        <w:spacing w:after="0" w:line="291" w:lineRule="exact"/>
        <w:rPr>
          <w:sz w:val="20"/>
          <w:szCs w:val="20"/>
          <w:color w:val="auto"/>
        </w:rPr>
      </w:pPr>
    </w:p>
    <w:p>
      <w:pPr>
        <w:ind w:left="1110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68" w:name="page269"/>
    <w:bookmarkEnd w:id="268"/>
    <w:p>
      <w:pPr>
        <w:spacing w:after="0"/>
        <w:tabs>
          <w:tab w:leader="none" w:pos="640"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7"/>
          <w:szCs w:val="17"/>
          <w:color w:val="auto"/>
        </w:rPr>
        <w:t>All signatures, initials and seals are genuine.</w:t>
      </w:r>
    </w:p>
    <w:p>
      <w:pPr>
        <w:spacing w:after="0" w:line="198" w:lineRule="exact"/>
        <w:rPr>
          <w:sz w:val="20"/>
          <w:szCs w:val="20"/>
          <w:color w:val="auto"/>
        </w:rPr>
      </w:pPr>
    </w:p>
    <w:p>
      <w:pPr>
        <w:jc w:val="both"/>
        <w:ind w:left="660" w:hanging="647"/>
        <w:spacing w:after="0"/>
        <w:tabs>
          <w:tab w:leader="none" w:pos="640" w:val="left"/>
        </w:tabs>
        <w:rPr>
          <w:sz w:val="20"/>
          <w:szCs w:val="20"/>
          <w:color w:val="auto"/>
        </w:rPr>
      </w:pPr>
      <w:r>
        <w:rPr>
          <w:rFonts w:ascii="Arial" w:cs="Arial" w:eastAsia="Arial" w:hAnsi="Arial"/>
          <w:sz w:val="18"/>
          <w:szCs w:val="18"/>
          <w:color w:val="auto"/>
        </w:rPr>
        <w:t>2.6</w:t>
      </w:r>
      <w:r>
        <w:rPr>
          <w:sz w:val="20"/>
          <w:szCs w:val="20"/>
          <w:color w:val="auto"/>
        </w:rPr>
        <w:tab/>
      </w:r>
      <w:r>
        <w:rPr>
          <w:rFonts w:ascii="Arial" w:cs="Arial" w:eastAsia="Arial" w:hAnsi="Arial"/>
          <w:sz w:val="18"/>
          <w:szCs w:val="18"/>
          <w:color w:val="auto"/>
        </w:rPr>
        <w:t>The capacity, power, authority and legal right of all parties under all relevant laws and regulations (other than, with respect to the Company, the laws and regulations of the Cayman Islands) to enter into, execute, unconditionally deliver and perform their respective obligations under the Documents.</w:t>
      </w:r>
    </w:p>
    <w:p>
      <w:pPr>
        <w:spacing w:after="0" w:line="189" w:lineRule="exact"/>
        <w:rPr>
          <w:sz w:val="20"/>
          <w:szCs w:val="20"/>
          <w:color w:val="auto"/>
        </w:rPr>
      </w:pPr>
    </w:p>
    <w:p>
      <w:pPr>
        <w:jc w:val="both"/>
        <w:ind w:left="660" w:right="20" w:hanging="647"/>
        <w:spacing w:after="0" w:line="246" w:lineRule="auto"/>
        <w:tabs>
          <w:tab w:leader="none" w:pos="640" w:val="left"/>
        </w:tabs>
        <w:rPr>
          <w:sz w:val="20"/>
          <w:szCs w:val="20"/>
          <w:color w:val="auto"/>
        </w:rPr>
      </w:pPr>
      <w:r>
        <w:rPr>
          <w:rFonts w:ascii="Arial" w:cs="Arial" w:eastAsia="Arial" w:hAnsi="Arial"/>
          <w:sz w:val="18"/>
          <w:szCs w:val="18"/>
          <w:color w:val="auto"/>
        </w:rPr>
        <w:t>2.7</w:t>
      </w:r>
      <w:r>
        <w:rPr>
          <w:sz w:val="20"/>
          <w:szCs w:val="20"/>
          <w:color w:val="auto"/>
        </w:rPr>
        <w:tab/>
      </w:r>
      <w:r>
        <w:rPr>
          <w:rFonts w:ascii="Arial" w:cs="Arial" w:eastAsia="Arial" w:hAnsi="Arial"/>
          <w:sz w:val="18"/>
          <w:szCs w:val="18"/>
          <w:color w:val="auto"/>
        </w:rPr>
        <w:t>No invitation has been or will be made by or on behalf of the Company to the public in the Cayman Islands to subscribe for any of the Units, the Warrants or the Ordinary Shares.</w:t>
      </w:r>
    </w:p>
    <w:p>
      <w:pPr>
        <w:spacing w:after="0" w:line="183" w:lineRule="exact"/>
        <w:rPr>
          <w:sz w:val="20"/>
          <w:szCs w:val="20"/>
          <w:color w:val="auto"/>
        </w:rPr>
      </w:pPr>
    </w:p>
    <w:p>
      <w:pPr>
        <w:jc w:val="both"/>
        <w:ind w:left="660" w:hanging="647"/>
        <w:spacing w:after="0" w:line="246" w:lineRule="auto"/>
        <w:tabs>
          <w:tab w:leader="none" w:pos="640" w:val="left"/>
        </w:tabs>
        <w:rPr>
          <w:sz w:val="20"/>
          <w:szCs w:val="20"/>
          <w:color w:val="auto"/>
        </w:rPr>
      </w:pPr>
      <w:r>
        <w:rPr>
          <w:rFonts w:ascii="Arial" w:cs="Arial" w:eastAsia="Arial" w:hAnsi="Arial"/>
          <w:sz w:val="18"/>
          <w:szCs w:val="18"/>
          <w:color w:val="auto"/>
        </w:rPr>
        <w:t>2.8</w:t>
      </w:r>
      <w:r>
        <w:rPr>
          <w:sz w:val="20"/>
          <w:szCs w:val="20"/>
          <w:color w:val="auto"/>
        </w:rPr>
        <w:tab/>
      </w:r>
      <w:r>
        <w:rPr>
          <w:rFonts w:ascii="Arial" w:cs="Arial" w:eastAsia="Arial" w:hAnsi="Arial"/>
          <w:sz w:val="18"/>
          <w:szCs w:val="18"/>
          <w:color w:val="auto"/>
        </w:rPr>
        <w:t>There is no contractual or other prohibition or restriction (other than as arising under Cayman Islands law) binding on the Company prohibiting or restricting it from entering into and performing its obligations under the Documents.</w:t>
      </w:r>
    </w:p>
    <w:p>
      <w:pPr>
        <w:spacing w:after="0" w:line="183" w:lineRule="exact"/>
        <w:rPr>
          <w:sz w:val="20"/>
          <w:szCs w:val="20"/>
          <w:color w:val="auto"/>
        </w:rPr>
      </w:pPr>
    </w:p>
    <w:p>
      <w:pPr>
        <w:jc w:val="both"/>
        <w:ind w:left="660" w:hanging="647"/>
        <w:spacing w:after="0" w:line="238" w:lineRule="auto"/>
        <w:tabs>
          <w:tab w:leader="none" w:pos="640" w:val="left"/>
        </w:tabs>
        <w:rPr>
          <w:sz w:val="20"/>
          <w:szCs w:val="20"/>
          <w:color w:val="auto"/>
        </w:rPr>
      </w:pPr>
      <w:r>
        <w:rPr>
          <w:rFonts w:ascii="Arial" w:cs="Arial" w:eastAsia="Arial" w:hAnsi="Arial"/>
          <w:sz w:val="18"/>
          <w:szCs w:val="18"/>
          <w:color w:val="auto"/>
        </w:rPr>
        <w:t>2.9</w:t>
      </w:r>
      <w:r>
        <w:rPr>
          <w:sz w:val="20"/>
          <w:szCs w:val="20"/>
          <w:color w:val="auto"/>
        </w:rPr>
        <w:tab/>
      </w:r>
      <w:r>
        <w:rPr>
          <w:rFonts w:ascii="Arial" w:cs="Arial" w:eastAsia="Arial" w:hAnsi="Arial"/>
          <w:sz w:val="18"/>
          <w:szCs w:val="18"/>
          <w:color w:val="auto"/>
        </w:rPr>
        <w:t>No monies paid to or for the account of any party under the Documents or any property received or disposed of by any party to the Documents in each case in connection with the Documents or the consummation of the transactions contemplated thereby represent or will represent proceeds of criminal conduct or criminal property or terrorist property (as defined in the Proceeds of Crime Act (As Amended) and the Terrorism Act (As Amended), respectively).</w:t>
      </w:r>
    </w:p>
    <w:p>
      <w:pPr>
        <w:spacing w:after="0" w:line="18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2.10</w:t>
      </w:r>
      <w:r>
        <w:rPr>
          <w:sz w:val="20"/>
          <w:szCs w:val="20"/>
          <w:color w:val="auto"/>
        </w:rPr>
        <w:tab/>
      </w:r>
      <w:r>
        <w:rPr>
          <w:rFonts w:ascii="Arial" w:cs="Arial" w:eastAsia="Arial" w:hAnsi="Arial"/>
          <w:sz w:val="18"/>
          <w:szCs w:val="18"/>
          <w:color w:val="auto"/>
        </w:rPr>
        <w:t>There is nothing under any law (other than the laws of the Cayman Islands) which would or might affect the opinions set out below.</w:t>
      </w:r>
    </w:p>
    <w:p>
      <w:pPr>
        <w:ind w:left="660"/>
        <w:spacing w:after="0"/>
        <w:rPr>
          <w:sz w:val="20"/>
          <w:szCs w:val="20"/>
          <w:color w:val="auto"/>
        </w:rPr>
      </w:pPr>
      <w:r>
        <w:rPr>
          <w:rFonts w:ascii="Arial" w:cs="Arial" w:eastAsia="Arial" w:hAnsi="Arial"/>
          <w:sz w:val="18"/>
          <w:szCs w:val="18"/>
          <w:color w:val="auto"/>
        </w:rPr>
        <w:t>Specifically, we have made no independent investigation of the Relevant Law.</w:t>
      </w:r>
    </w:p>
    <w:p>
      <w:pPr>
        <w:spacing w:after="0" w:line="198" w:lineRule="exact"/>
        <w:rPr>
          <w:sz w:val="20"/>
          <w:szCs w:val="20"/>
          <w:color w:val="auto"/>
        </w:rPr>
      </w:pPr>
    </w:p>
    <w:p>
      <w:pPr>
        <w:jc w:val="both"/>
        <w:ind w:left="660" w:hanging="647"/>
        <w:spacing w:after="0" w:line="246" w:lineRule="auto"/>
        <w:tabs>
          <w:tab w:leader="none" w:pos="640"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8"/>
          <w:szCs w:val="18"/>
          <w:color w:val="auto"/>
        </w:rPr>
        <w:t>The Company will receive money or money's worth in consideration for the issue of the Ordinary Shares and none of the Ordinary Shares were or will be issued for less than par value.</w:t>
      </w:r>
    </w:p>
    <w:p>
      <w:pPr>
        <w:spacing w:after="0" w:line="183"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Save as aforesaid we have not been instructed to undertake and have not undertaken any further enquiry or due diligence in relation to the transaction the subject of this opinion letter.</w:t>
      </w:r>
    </w:p>
    <w:p>
      <w:pPr>
        <w:spacing w:after="0" w:line="156" w:lineRule="exact"/>
        <w:rPr>
          <w:sz w:val="20"/>
          <w:szCs w:val="20"/>
          <w:color w:val="auto"/>
        </w:rPr>
      </w:pPr>
    </w:p>
    <w:p>
      <w:pPr>
        <w:ind w:left="660" w:hanging="652"/>
        <w:spacing w:after="0"/>
        <w:tabs>
          <w:tab w:leader="none" w:pos="660" w:val="left"/>
        </w:tabs>
        <w:numPr>
          <w:ilvl w:val="0"/>
          <w:numId w:val="166"/>
        </w:numPr>
        <w:rPr>
          <w:rFonts w:ascii="Arial" w:cs="Arial" w:eastAsia="Arial" w:hAnsi="Arial"/>
          <w:sz w:val="20"/>
          <w:szCs w:val="20"/>
          <w:b w:val="1"/>
          <w:bCs w:val="1"/>
          <w:color w:val="auto"/>
        </w:rPr>
      </w:pPr>
      <w:r>
        <w:rPr>
          <w:rFonts w:ascii="Arial" w:cs="Arial" w:eastAsia="Arial" w:hAnsi="Arial"/>
          <w:sz w:val="20"/>
          <w:szCs w:val="20"/>
          <w:b w:val="1"/>
          <w:bCs w:val="1"/>
          <w:color w:val="auto"/>
        </w:rPr>
        <w:t>Opinions</w:t>
      </w:r>
    </w:p>
    <w:p>
      <w:pPr>
        <w:spacing w:after="0" w:line="229"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Based upon, and subject to, the foregoing assumptions and the qualifications set out below, and having regard to such legal considerations as we deem relevant, we are of the opinion that:</w:t>
      </w:r>
    </w:p>
    <w:p>
      <w:pPr>
        <w:spacing w:after="0" w:line="183" w:lineRule="exact"/>
        <w:rPr>
          <w:sz w:val="20"/>
          <w:szCs w:val="20"/>
          <w:color w:val="auto"/>
        </w:rPr>
      </w:pPr>
    </w:p>
    <w:p>
      <w:pPr>
        <w:jc w:val="both"/>
        <w:ind w:left="660" w:right="20" w:hanging="647"/>
        <w:spacing w:after="0" w:line="246" w:lineRule="auto"/>
        <w:tabs>
          <w:tab w:leader="none" w:pos="64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8"/>
          <w:szCs w:val="18"/>
          <w:color w:val="auto"/>
        </w:rPr>
        <w:t>The Company has been duly incorporated as an exempted company with limited liability and is validly existing and in good standing with the Registrar of Companies under the laws of the Cayman Islands.</w:t>
      </w:r>
    </w:p>
    <w:p>
      <w:pPr>
        <w:spacing w:after="0" w:line="183" w:lineRule="exact"/>
        <w:rPr>
          <w:sz w:val="20"/>
          <w:szCs w:val="20"/>
          <w:color w:val="auto"/>
        </w:rPr>
      </w:pPr>
    </w:p>
    <w:p>
      <w:pPr>
        <w:jc w:val="both"/>
        <w:ind w:left="660" w:hanging="647"/>
        <w:spacing w:after="0" w:line="237" w:lineRule="auto"/>
        <w:tabs>
          <w:tab w:leader="none" w:pos="64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8"/>
          <w:szCs w:val="18"/>
          <w:color w:val="auto"/>
        </w:rPr>
        <w:t>The Ordinary Shares to be offered and issued by the Company as contemplated by the Registration Statement (including the issuance of Ordinary Shares upon the exercise of the Warrants in accordance with the Warrant Documents) have been duly authorised for issue, and when issued by the Company against payment in full of the consideration as set out in the Registration Statement and in accordance with the terms set out in the Registration Statement (including the issuance of Ordinary Shares upon the exercise of the Warrants in accordance with the Warrant Documents), such Ordinary Shares will be validly issued, fully paid and non-assessable. As a matter of Cayman Islands law, a share is only issued when it has been entered in the register of members (shareholders).</w:t>
      </w:r>
    </w:p>
    <w:p>
      <w:pPr>
        <w:spacing w:after="0" w:line="189" w:lineRule="exact"/>
        <w:rPr>
          <w:sz w:val="20"/>
          <w:szCs w:val="20"/>
          <w:color w:val="auto"/>
        </w:rPr>
      </w:pPr>
    </w:p>
    <w:p>
      <w:pPr>
        <w:jc w:val="both"/>
        <w:ind w:left="660" w:hanging="647"/>
        <w:spacing w:after="0" w:line="246" w:lineRule="auto"/>
        <w:tabs>
          <w:tab w:leader="none" w:pos="64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8"/>
          <w:szCs w:val="18"/>
          <w:color w:val="auto"/>
        </w:rPr>
        <w:t>The execution, delivery and performance of the Unit Certificate and the Warrant Documents have been authorised by and on behalf of the Company and, once the Unit Certificate and the Warrant</w:t>
      </w:r>
    </w:p>
    <w:p>
      <w:pPr>
        <w:spacing w:after="0" w:line="291" w:lineRule="exact"/>
        <w:rPr>
          <w:sz w:val="20"/>
          <w:szCs w:val="20"/>
          <w:color w:val="auto"/>
        </w:rPr>
      </w:pPr>
    </w:p>
    <w:p>
      <w:pPr>
        <w:ind w:left="1110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69" w:name="page270"/>
    <w:bookmarkEnd w:id="269"/>
    <w:p>
      <w:pPr>
        <w:jc w:val="both"/>
        <w:ind w:left="660"/>
        <w:spacing w:after="0"/>
        <w:rPr>
          <w:sz w:val="20"/>
          <w:szCs w:val="20"/>
          <w:color w:val="auto"/>
        </w:rPr>
      </w:pPr>
      <w:r>
        <w:rPr>
          <w:rFonts w:ascii="Arial" w:cs="Arial" w:eastAsia="Arial" w:hAnsi="Arial"/>
          <w:sz w:val="18"/>
          <w:szCs w:val="18"/>
          <w:color w:val="auto"/>
        </w:rPr>
        <w:t>Documents have been executed and delivered by any director or officer of the Company, the Unit Certificate and the Warrant Documents will be duly executed and delivered on behalf of the Company and will constitute the legal, valid and binding obligations of the Company enforceable in accordance with their terms.</w:t>
      </w:r>
    </w:p>
    <w:p>
      <w:pPr>
        <w:spacing w:after="0" w:line="162" w:lineRule="exact"/>
        <w:rPr>
          <w:sz w:val="20"/>
          <w:szCs w:val="20"/>
          <w:color w:val="auto"/>
        </w:rPr>
      </w:pPr>
    </w:p>
    <w:p>
      <w:pPr>
        <w:ind w:left="660" w:hanging="652"/>
        <w:spacing w:after="0"/>
        <w:tabs>
          <w:tab w:leader="none" w:pos="660" w:val="left"/>
        </w:tabs>
        <w:numPr>
          <w:ilvl w:val="0"/>
          <w:numId w:val="167"/>
        </w:numPr>
        <w:rPr>
          <w:rFonts w:ascii="Arial" w:cs="Arial" w:eastAsia="Arial" w:hAnsi="Arial"/>
          <w:sz w:val="20"/>
          <w:szCs w:val="20"/>
          <w:b w:val="1"/>
          <w:bCs w:val="1"/>
          <w:color w:val="auto"/>
        </w:rPr>
      </w:pPr>
      <w:r>
        <w:rPr>
          <w:rFonts w:ascii="Arial" w:cs="Arial" w:eastAsia="Arial" w:hAnsi="Arial"/>
          <w:sz w:val="20"/>
          <w:szCs w:val="20"/>
          <w:b w:val="1"/>
          <w:bCs w:val="1"/>
          <w:color w:val="auto"/>
        </w:rPr>
        <w:t>Qualifications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opinions expressed above are subject to the following qualifications:</w:t>
      </w:r>
    </w:p>
    <w:p>
      <w:pPr>
        <w:spacing w:after="0" w:line="176" w:lineRule="exact"/>
        <w:rPr>
          <w:sz w:val="20"/>
          <w:szCs w:val="20"/>
          <w:color w:val="auto"/>
        </w:rPr>
      </w:pPr>
    </w:p>
    <w:p>
      <w:pPr>
        <w:jc w:val="both"/>
        <w:ind w:left="660" w:hanging="647"/>
        <w:spacing w:after="0" w:line="253" w:lineRule="auto"/>
        <w:tabs>
          <w:tab w:leader="none" w:pos="64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8"/>
          <w:szCs w:val="18"/>
          <w:color w:val="auto"/>
        </w:rPr>
        <w:t>The term "</w:t>
      </w:r>
      <w:r>
        <w:rPr>
          <w:rFonts w:ascii="Arial" w:cs="Arial" w:eastAsia="Arial" w:hAnsi="Arial"/>
          <w:sz w:val="18"/>
          <w:szCs w:val="18"/>
          <w:b w:val="1"/>
          <w:bCs w:val="1"/>
          <w:color w:val="auto"/>
        </w:rPr>
        <w:t>enforceable</w:t>
      </w:r>
      <w:r>
        <w:rPr>
          <w:rFonts w:ascii="Arial" w:cs="Arial" w:eastAsia="Arial" w:hAnsi="Arial"/>
          <w:sz w:val="18"/>
          <w:szCs w:val="18"/>
          <w:color w:val="auto"/>
        </w:rPr>
        <w:t>" as used above means that the obligations assumed by the Company under the Documents are of a type which the courts of the Cayman Islands will enforce. It does not mean that those obligations will necessarily be enforced in all circumstances in accordance with their terms. In particular:</w:t>
      </w:r>
    </w:p>
    <w:p>
      <w:pPr>
        <w:spacing w:after="0" w:line="177" w:lineRule="exact"/>
        <w:rPr>
          <w:sz w:val="20"/>
          <w:szCs w:val="20"/>
          <w:color w:val="auto"/>
        </w:rPr>
      </w:pPr>
    </w:p>
    <w:p>
      <w:pPr>
        <w:ind w:left="1300" w:right="20" w:hanging="644"/>
        <w:spacing w:after="0" w:line="246" w:lineRule="auto"/>
        <w:tabs>
          <w:tab w:leader="none" w:pos="130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enforcement may be limited by bankruptcy, insolvency, liquidation, reorganisation, readjustment of debts or moratorium or other laws of general application relating to or affecting the rights of creditors;</w:t>
      </w:r>
    </w:p>
    <w:p>
      <w:pPr>
        <w:spacing w:after="0" w:line="183" w:lineRule="exact"/>
        <w:rPr>
          <w:rFonts w:ascii="Arial" w:cs="Arial" w:eastAsia="Arial" w:hAnsi="Arial"/>
          <w:sz w:val="18"/>
          <w:szCs w:val="18"/>
          <w:color w:val="auto"/>
        </w:rPr>
      </w:pPr>
    </w:p>
    <w:p>
      <w:pPr>
        <w:ind w:left="1300" w:hanging="644"/>
        <w:spacing w:after="0" w:line="246" w:lineRule="auto"/>
        <w:tabs>
          <w:tab w:leader="none" w:pos="130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 xml:space="preserve">enforcement may be limited by general principles of equity. For example, equitable remedies such as specific performance may not be available, </w:t>
      </w:r>
      <w:r>
        <w:rPr>
          <w:rFonts w:ascii="Arial" w:cs="Arial" w:eastAsia="Arial" w:hAnsi="Arial"/>
          <w:sz w:val="18"/>
          <w:szCs w:val="18"/>
          <w:i w:val="1"/>
          <w:iCs w:val="1"/>
          <w:color w:val="auto"/>
        </w:rPr>
        <w:t>inter alia</w:t>
      </w:r>
      <w:r>
        <w:rPr>
          <w:rFonts w:ascii="Arial" w:cs="Arial" w:eastAsia="Arial" w:hAnsi="Arial"/>
          <w:sz w:val="18"/>
          <w:szCs w:val="18"/>
          <w:color w:val="auto"/>
        </w:rPr>
        <w:t>, where damages are considered to be an adequate remedy;</w:t>
      </w:r>
    </w:p>
    <w:p>
      <w:pPr>
        <w:spacing w:after="0" w:line="183" w:lineRule="exact"/>
        <w:rPr>
          <w:rFonts w:ascii="Arial" w:cs="Arial" w:eastAsia="Arial" w:hAnsi="Arial"/>
          <w:sz w:val="18"/>
          <w:szCs w:val="18"/>
          <w:color w:val="auto"/>
        </w:rPr>
      </w:pPr>
    </w:p>
    <w:p>
      <w:pPr>
        <w:ind w:left="1300" w:hanging="644"/>
        <w:spacing w:after="0" w:line="246" w:lineRule="auto"/>
        <w:tabs>
          <w:tab w:leader="none" w:pos="130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where obligations are to be performed in a jurisdiction outside the Cayman Islands, they may not be enforceable in the Cayman Islands to the extent that performance would be illegal under the laws of that jurisdiction; and</w:t>
      </w:r>
    </w:p>
    <w:p>
      <w:pPr>
        <w:spacing w:after="0" w:line="183" w:lineRule="exact"/>
        <w:rPr>
          <w:rFonts w:ascii="Arial" w:cs="Arial" w:eastAsia="Arial" w:hAnsi="Arial"/>
          <w:sz w:val="18"/>
          <w:szCs w:val="18"/>
          <w:color w:val="auto"/>
        </w:rPr>
      </w:pPr>
    </w:p>
    <w:p>
      <w:pPr>
        <w:ind w:left="1300" w:right="20" w:hanging="644"/>
        <w:spacing w:after="0" w:line="246" w:lineRule="auto"/>
        <w:tabs>
          <w:tab w:leader="none" w:pos="130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some claims may become barred under relevant statutes of limitation or may be or become subject to defences of set off, counterclaim, estoppel and similar defences.</w:t>
      </w:r>
    </w:p>
    <w:p>
      <w:pPr>
        <w:spacing w:after="0" w:line="183" w:lineRule="exact"/>
        <w:rPr>
          <w:sz w:val="20"/>
          <w:szCs w:val="20"/>
          <w:color w:val="auto"/>
        </w:rPr>
      </w:pPr>
    </w:p>
    <w:p>
      <w:pPr>
        <w:jc w:val="both"/>
        <w:ind w:left="660" w:right="20" w:hanging="647"/>
        <w:spacing w:after="0" w:line="246" w:lineRule="auto"/>
        <w:tabs>
          <w:tab w:leader="none" w:pos="64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8"/>
          <w:szCs w:val="18"/>
          <w:color w:val="auto"/>
        </w:rPr>
        <w:t>To maintain the Company in good standing with the Registrar of Companies under the laws of the Cayman Islands, annual filing fees must be paid and returns made to the Registrar of Companies within the time frame prescribed by law.</w:t>
      </w:r>
    </w:p>
    <w:p>
      <w:pPr>
        <w:spacing w:after="0" w:line="165" w:lineRule="exact"/>
        <w:rPr>
          <w:sz w:val="20"/>
          <w:szCs w:val="20"/>
          <w:color w:val="auto"/>
        </w:rPr>
      </w:pPr>
    </w:p>
    <w:p>
      <w:pPr>
        <w:jc w:val="both"/>
        <w:ind w:left="660" w:hanging="647"/>
        <w:spacing w:after="0" w:line="238" w:lineRule="auto"/>
        <w:tabs>
          <w:tab w:leader="none" w:pos="64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8"/>
          <w:szCs w:val="18"/>
          <w:color w:val="auto"/>
        </w:rPr>
        <w:t xml:space="preserve">Under Cayman Islands law, the register of members (shareholders) is </w:t>
      </w:r>
      <w:r>
        <w:rPr>
          <w:rFonts w:ascii="Arial" w:cs="Arial" w:eastAsia="Arial" w:hAnsi="Arial"/>
          <w:sz w:val="18"/>
          <w:szCs w:val="18"/>
          <w:i w:val="1"/>
          <w:iCs w:val="1"/>
          <w:color w:val="auto"/>
        </w:rPr>
        <w:t>prima facie</w:t>
      </w:r>
      <w:r>
        <w:rPr>
          <w:rFonts w:ascii="Arial" w:cs="Arial" w:eastAsia="Arial" w:hAnsi="Arial"/>
          <w:sz w:val="18"/>
          <w:szCs w:val="18"/>
          <w:color w:val="auto"/>
        </w:rPr>
        <w:t xml:space="preserve"> evidence of title to shares and this register would not record a third party interest in such shares. However, there are certain limited circumstances where an application may be made to a Cayman Islands court for a determination on whether the register of members reflects the correct legal position. Further, the Cayman Islands court has the power to order that the register of members maintained by a company should be rectified where it considers that the register of members does not reflect the correct legal position. As far as we are aware, such applications are rarely made in the Cayman Islands and for the purposes of the opinion given in paragraph 3.2, there are no circumstances or matters of fact known to us on the date of this opinion letter which would properly form the basis for an application for an order for rectification of the register of members of the Company, but if such an application were made in respect of the Ordinary Shares, then the validity of such shares may be subject to re-examination by a Cayman Islands court.</w:t>
      </w:r>
    </w:p>
    <w:p>
      <w:pPr>
        <w:spacing w:after="0" w:line="196" w:lineRule="exact"/>
        <w:rPr>
          <w:sz w:val="20"/>
          <w:szCs w:val="20"/>
          <w:color w:val="auto"/>
        </w:rPr>
      </w:pPr>
    </w:p>
    <w:p>
      <w:pPr>
        <w:jc w:val="both"/>
        <w:ind w:left="660" w:hanging="647"/>
        <w:spacing w:after="0"/>
        <w:tabs>
          <w:tab w:leader="none" w:pos="64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8"/>
          <w:szCs w:val="18"/>
          <w:color w:val="auto"/>
        </w:rPr>
        <w:t>Except as specifically stated herein, we make no comment with respect to any representations and warranties which may be made by or with respect to the Company in any of the documents or instruments cited in this opinion letter or otherwise with respect to the commercial terms of the transactions the subject of this opinion letter.</w:t>
      </w:r>
    </w:p>
    <w:p>
      <w:pPr>
        <w:spacing w:after="0" w:line="297" w:lineRule="exact"/>
        <w:rPr>
          <w:sz w:val="20"/>
          <w:szCs w:val="20"/>
          <w:color w:val="auto"/>
        </w:rPr>
      </w:pPr>
    </w:p>
    <w:p>
      <w:pPr>
        <w:ind w:left="1110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70" w:name="page271"/>
    <w:bookmarkEnd w:id="270"/>
    <w:p>
      <w:pPr>
        <w:jc w:val="both"/>
        <w:ind w:left="660" w:hanging="647"/>
        <w:spacing w:after="0" w:line="238" w:lineRule="auto"/>
        <w:tabs>
          <w:tab w:leader="none" w:pos="640" w:val="left"/>
        </w:tabs>
        <w:rPr>
          <w:sz w:val="20"/>
          <w:szCs w:val="20"/>
          <w:color w:val="auto"/>
        </w:rPr>
      </w:pPr>
      <w:r>
        <w:rPr>
          <w:rFonts w:ascii="Arial" w:cs="Arial" w:eastAsia="Arial" w:hAnsi="Arial"/>
          <w:sz w:val="18"/>
          <w:szCs w:val="18"/>
          <w:color w:val="auto"/>
        </w:rPr>
        <w:t>4.5</w:t>
      </w:r>
      <w:r>
        <w:rPr>
          <w:sz w:val="20"/>
          <w:szCs w:val="20"/>
          <w:color w:val="auto"/>
        </w:rPr>
        <w:tab/>
      </w:r>
      <w:r>
        <w:rPr>
          <w:rFonts w:ascii="Arial" w:cs="Arial" w:eastAsia="Arial" w:hAnsi="Arial"/>
          <w:sz w:val="18"/>
          <w:szCs w:val="18"/>
          <w:color w:val="auto"/>
        </w:rPr>
        <w:t>In this opinion letter, the phrase "non-assessable" means, with respect to shares in the Company, that a shareholder shall not, solely by virtue of its status as a shareholder, be liable for additional assessments or calls on the shares by the Company or its creditors (except in exceptional circumstances, such as involving fraud, the establishment of an agency relationship or an illegal or improper purpose or other circumstances in which a court may be prepared to pierce or lift the corporate veil).</w:t>
      </w:r>
    </w:p>
    <w:p>
      <w:pPr>
        <w:spacing w:after="0" w:line="19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hereby consent to the filing of this opinion letter as an exhibit to the Registration Statement and to the references to our firm under the headings "Legal Matters", "Risk Factors", Shareholders' Suits" and "Enforcement of Civil Liabilities" in the prospectus included in the Registration Statement. In providing our consent, we do not thereby admit that we are in the category of persons whose consent is required under Section 7 of the Act or the Rules and Regulations of the Commission thereunder.</w:t>
      </w:r>
    </w:p>
    <w:p>
      <w:pPr>
        <w:spacing w:after="0" w:line="191"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This opinion letter is addressed to you and may be relied upon by you, your counsel and purchasers of Units pursuant to the Registration Statement. This opinion letter is limited to the matters detailed herein and is not to be read as an opinion with respect to any other matter.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Yours faithfully</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/s/ Maples and Calder</w:t>
      </w:r>
    </w:p>
    <w:p>
      <w:pPr>
        <w:spacing w:after="0" w:line="306" w:lineRule="exact"/>
        <w:rPr>
          <w:sz w:val="20"/>
          <w:szCs w:val="20"/>
          <w:color w:val="auto"/>
        </w:rPr>
      </w:pPr>
    </w:p>
    <w:p>
      <w:pPr>
        <w:ind w:left="1110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71" w:name="page272"/>
    <w:bookmarkEnd w:id="271"/>
    <w:p>
      <w:pPr>
        <w:jc w:val="center"/>
        <w:spacing w:after="0"/>
        <w:rPr>
          <w:sz w:val="20"/>
          <w:szCs w:val="20"/>
          <w:color w:val="auto"/>
        </w:rPr>
      </w:pPr>
      <w:r>
        <w:rPr>
          <w:rFonts w:ascii="Arial" w:cs="Arial" w:eastAsia="Arial" w:hAnsi="Arial"/>
          <w:sz w:val="18"/>
          <w:szCs w:val="18"/>
          <w:color w:val="auto"/>
        </w:rPr>
        <w:t>Freedom Acquisition I Corp.</w:t>
      </w:r>
    </w:p>
    <w:p>
      <w:pPr>
        <w:jc w:val="center"/>
        <w:spacing w:after="0" w:line="234" w:lineRule="auto"/>
        <w:rPr>
          <w:sz w:val="20"/>
          <w:szCs w:val="20"/>
          <w:color w:val="auto"/>
        </w:rPr>
      </w:pPr>
      <w:r>
        <w:rPr>
          <w:rFonts w:ascii="Arial" w:cs="Arial" w:eastAsia="Arial" w:hAnsi="Arial"/>
          <w:sz w:val="18"/>
          <w:szCs w:val="18"/>
          <w:color w:val="auto"/>
        </w:rPr>
        <w:t>PO Box 309, Ugland House</w:t>
      </w:r>
    </w:p>
    <w:p>
      <w:pPr>
        <w:jc w:val="center"/>
        <w:spacing w:after="0" w:line="235" w:lineRule="auto"/>
        <w:rPr>
          <w:sz w:val="20"/>
          <w:szCs w:val="20"/>
          <w:color w:val="auto"/>
        </w:rPr>
      </w:pPr>
      <w:r>
        <w:rPr>
          <w:rFonts w:ascii="Arial" w:cs="Arial" w:eastAsia="Arial" w:hAnsi="Arial"/>
          <w:sz w:val="18"/>
          <w:szCs w:val="18"/>
          <w:color w:val="auto"/>
        </w:rPr>
        <w:t>Grand Cayman</w:t>
      </w:r>
    </w:p>
    <w:p>
      <w:pPr>
        <w:jc w:val="center"/>
        <w:spacing w:after="0" w:line="235" w:lineRule="auto"/>
        <w:rPr>
          <w:sz w:val="20"/>
          <w:szCs w:val="20"/>
          <w:color w:val="auto"/>
        </w:rPr>
      </w:pPr>
      <w:r>
        <w:rPr>
          <w:rFonts w:ascii="Arial" w:cs="Arial" w:eastAsia="Arial" w:hAnsi="Arial"/>
          <w:sz w:val="18"/>
          <w:szCs w:val="18"/>
          <w:color w:val="auto"/>
        </w:rPr>
        <w:t>KY1-1104</w:t>
      </w:r>
    </w:p>
    <w:p>
      <w:pPr>
        <w:jc w:val="center"/>
        <w:spacing w:after="0"/>
        <w:rPr>
          <w:sz w:val="20"/>
          <w:szCs w:val="20"/>
          <w:color w:val="auto"/>
        </w:rPr>
      </w:pPr>
      <w:r>
        <w:rPr>
          <w:rFonts w:ascii="Arial" w:cs="Arial" w:eastAsia="Arial" w:hAnsi="Arial"/>
          <w:sz w:val="18"/>
          <w:szCs w:val="18"/>
          <w:color w:val="auto"/>
        </w:rPr>
        <w:t>Cayman Islands</w:t>
      </w:r>
    </w:p>
    <w:p>
      <w:pPr>
        <w:spacing w:after="0" w:line="19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18 February 2021</w:t>
      </w:r>
    </w:p>
    <w:p>
      <w:pPr>
        <w:sectPr>
          <w:pgSz w:w="11900" w:h="16838" w:orient="portrait"/>
          <w:cols w:equalWidth="0" w:num="1">
            <w:col w:w="11240"/>
          </w:cols>
          <w:pgMar w:left="320" w:top="553" w:right="339" w:bottom="1440" w:gutter="0" w:footer="0" w:header="0"/>
        </w:sectPr>
      </w:pP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To:</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Maples and Calder</w:t>
      </w:r>
    </w:p>
    <w:p>
      <w:pPr>
        <w:spacing w:after="0"/>
        <w:rPr>
          <w:sz w:val="20"/>
          <w:szCs w:val="20"/>
          <w:color w:val="auto"/>
        </w:rPr>
      </w:pPr>
      <w:r>
        <w:rPr>
          <w:rFonts w:ascii="Arial" w:cs="Arial" w:eastAsia="Arial" w:hAnsi="Arial"/>
          <w:sz w:val="17"/>
          <w:szCs w:val="17"/>
          <w:color w:val="auto"/>
        </w:rPr>
        <w:t>PO Box 309, Ugland House</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Grand Cayman</w:t>
      </w:r>
    </w:p>
    <w:p>
      <w:pPr>
        <w:spacing w:after="0" w:line="234" w:lineRule="auto"/>
        <w:rPr>
          <w:sz w:val="20"/>
          <w:szCs w:val="20"/>
          <w:color w:val="auto"/>
        </w:rPr>
      </w:pPr>
      <w:r>
        <w:rPr>
          <w:rFonts w:ascii="Arial" w:cs="Arial" w:eastAsia="Arial" w:hAnsi="Arial"/>
          <w:sz w:val="18"/>
          <w:szCs w:val="18"/>
          <w:color w:val="auto"/>
        </w:rPr>
        <w:t>KY1-1104</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Cayman Islands</w:t>
      </w:r>
    </w:p>
    <w:p>
      <w:pPr>
        <w:spacing w:after="0" w:line="176" w:lineRule="exact"/>
        <w:rPr>
          <w:sz w:val="20"/>
          <w:szCs w:val="20"/>
          <w:color w:val="auto"/>
        </w:rPr>
      </w:pPr>
    </w:p>
    <w:p>
      <w:pPr>
        <w:sectPr>
          <w:pgSz w:w="11900" w:h="16838" w:orient="portrait"/>
          <w:cols w:equalWidth="0" w:num="2">
            <w:col w:w="240" w:space="420"/>
            <w:col w:w="10580"/>
          </w:cols>
          <w:pgMar w:left="320" w:top="553" w:right="339" w:bottom="1440" w:gutter="0" w:footer="0" w:header="0"/>
          <w:type w:val="continuous"/>
        </w:sectPr>
      </w:pPr>
    </w:p>
    <w:p>
      <w:pPr>
        <w:spacing w:after="0"/>
        <w:rPr>
          <w:sz w:val="20"/>
          <w:szCs w:val="20"/>
          <w:color w:val="auto"/>
        </w:rPr>
      </w:pPr>
      <w:r>
        <w:rPr>
          <w:rFonts w:ascii="Arial" w:cs="Arial" w:eastAsia="Arial" w:hAnsi="Arial"/>
          <w:sz w:val="18"/>
          <w:szCs w:val="18"/>
          <w:b w:val="1"/>
          <w:bCs w:val="1"/>
          <w:color w:val="auto"/>
        </w:rPr>
        <w:t xml:space="preserve">Freedom Acquisition I Corp. </w:t>
      </w:r>
      <w:r>
        <w:rPr>
          <w:rFonts w:ascii="Arial" w:cs="Arial" w:eastAsia="Arial" w:hAnsi="Arial"/>
          <w:sz w:val="18"/>
          <w:szCs w:val="18"/>
          <w:color w:val="auto"/>
        </w:rPr>
        <w:t>(the "</w:t>
      </w:r>
      <w:r>
        <w:rPr>
          <w:rFonts w:ascii="Arial" w:cs="Arial" w:eastAsia="Arial" w:hAnsi="Arial"/>
          <w:sz w:val="18"/>
          <w:szCs w:val="18"/>
          <w:b w:val="1"/>
          <w:bCs w:val="1"/>
          <w:color w:val="auto"/>
        </w:rPr>
        <w:t>Company</w:t>
      </w:r>
      <w:r>
        <w:rPr>
          <w:rFonts w:ascii="Arial" w:cs="Arial" w:eastAsia="Arial" w:hAnsi="Arial"/>
          <w:sz w:val="18"/>
          <w:szCs w:val="18"/>
          <w:color w:val="auto"/>
        </w:rPr>
        <w:t>")</w:t>
      </w:r>
    </w:p>
    <w:p>
      <w:pPr>
        <w:spacing w:after="0" w:line="19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 the undersigned, being a director of the Company, am aware that you are being asked to provide an opinion letter (the "</w:t>
      </w:r>
      <w:r>
        <w:rPr>
          <w:rFonts w:ascii="Arial" w:cs="Arial" w:eastAsia="Arial" w:hAnsi="Arial"/>
          <w:sz w:val="18"/>
          <w:szCs w:val="18"/>
          <w:b w:val="1"/>
          <w:bCs w:val="1"/>
          <w:color w:val="auto"/>
        </w:rPr>
        <w:t>Opinion</w:t>
      </w:r>
      <w:r>
        <w:rPr>
          <w:rFonts w:ascii="Arial" w:cs="Arial" w:eastAsia="Arial" w:hAnsi="Arial"/>
          <w:sz w:val="18"/>
          <w:szCs w:val="18"/>
          <w:color w:val="auto"/>
        </w:rPr>
        <w:t>") in relation to certain aspects of Cayman Islands law. Unless otherwise defined herein, capitalised terms used in this certificate have the respective meanings given to them in the Opinion. I hereby certify that:</w:t>
      </w:r>
    </w:p>
    <w:p>
      <w:pPr>
        <w:spacing w:after="0" w:line="177" w:lineRule="exact"/>
        <w:rPr>
          <w:sz w:val="20"/>
          <w:szCs w:val="20"/>
          <w:color w:val="auto"/>
        </w:rPr>
      </w:pPr>
    </w:p>
    <w:p>
      <w:pPr>
        <w:ind w:left="660" w:hanging="652"/>
        <w:spacing w:after="0"/>
        <w:tabs>
          <w:tab w:leader="none" w:pos="66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The Memorandum and Articles remain in full force and effect and are unamended.</w:t>
      </w:r>
    </w:p>
    <w:p>
      <w:pPr>
        <w:spacing w:after="0" w:line="198" w:lineRule="exact"/>
        <w:rPr>
          <w:sz w:val="20"/>
          <w:szCs w:val="20"/>
          <w:color w:val="auto"/>
        </w:rPr>
      </w:pPr>
    </w:p>
    <w:p>
      <w:pPr>
        <w:ind w:left="660" w:right="20" w:hanging="652"/>
        <w:spacing w:after="0" w:line="246" w:lineRule="auto"/>
        <w:tabs>
          <w:tab w:leader="none" w:pos="66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The Company has not entered into any mortgages or charges over its property or assets other than those entered in the register of mortgages and charges of the Company.</w:t>
      </w:r>
    </w:p>
    <w:p>
      <w:pPr>
        <w:spacing w:after="0" w:line="183" w:lineRule="exact"/>
        <w:rPr>
          <w:sz w:val="20"/>
          <w:szCs w:val="20"/>
          <w:color w:val="auto"/>
        </w:rPr>
      </w:pPr>
    </w:p>
    <w:p>
      <w:pPr>
        <w:jc w:val="both"/>
        <w:ind w:left="660" w:hanging="652"/>
        <w:spacing w:after="0"/>
        <w:tabs>
          <w:tab w:leader="none" w:pos="66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Each of the Resolutions were duly passed in the manner prescribed in the Memorandum and Articles (including, without limitation, with respect to the disclosure of interests (if any) by the director of the Company) and have not been amended, varied or revoked in any respect.</w:t>
      </w:r>
    </w:p>
    <w:p>
      <w:pPr>
        <w:spacing w:after="0" w:line="189" w:lineRule="exact"/>
        <w:rPr>
          <w:sz w:val="20"/>
          <w:szCs w:val="20"/>
          <w:color w:val="auto"/>
        </w:rPr>
      </w:pPr>
    </w:p>
    <w:p>
      <w:pPr>
        <w:jc w:val="both"/>
        <w:ind w:left="660" w:hanging="652"/>
        <w:spacing w:after="0" w:line="238" w:lineRule="auto"/>
        <w:tabs>
          <w:tab w:leader="none" w:pos="66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The authorised share capital of the Company is US$22,100 divided into 200,000,000 Class A ordinary shares of a par value of US$0.0001 each, 20,000,000 Class B ordinary shares of a par value of US$0.0001 each and 1,000,000 preference shares of a par value of US$0.0001 each. The issued share capital of the Company is 7,187,500 Class B ordinary shares, which have been duly authorised and are validly issued as fully-paid and non-assessable.</w:t>
      </w:r>
    </w:p>
    <w:p>
      <w:pPr>
        <w:spacing w:after="0" w:line="169" w:lineRule="exact"/>
        <w:rPr>
          <w:sz w:val="20"/>
          <w:szCs w:val="20"/>
          <w:color w:val="auto"/>
        </w:rPr>
      </w:pPr>
    </w:p>
    <w:p>
      <w:pPr>
        <w:ind w:left="660" w:hanging="652"/>
        <w:spacing w:after="0"/>
        <w:tabs>
          <w:tab w:leader="none" w:pos="66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The sole shareholder of the Company (the "</w:t>
      </w:r>
      <w:r>
        <w:rPr>
          <w:rFonts w:ascii="Arial" w:cs="Arial" w:eastAsia="Arial" w:hAnsi="Arial"/>
          <w:sz w:val="18"/>
          <w:szCs w:val="18"/>
          <w:b w:val="1"/>
          <w:bCs w:val="1"/>
          <w:color w:val="auto"/>
        </w:rPr>
        <w:t>Shareholder</w:t>
      </w:r>
      <w:r>
        <w:rPr>
          <w:rFonts w:ascii="Arial" w:cs="Arial" w:eastAsia="Arial" w:hAnsi="Arial"/>
          <w:sz w:val="18"/>
          <w:szCs w:val="18"/>
          <w:color w:val="auto"/>
        </w:rPr>
        <w:t>") has not restricted the powers of the directors of the Company in any way.</w:t>
      </w:r>
    </w:p>
    <w:p>
      <w:pPr>
        <w:spacing w:after="0" w:line="220" w:lineRule="exact"/>
        <w:rPr>
          <w:sz w:val="20"/>
          <w:szCs w:val="20"/>
          <w:color w:val="auto"/>
        </w:rPr>
      </w:pPr>
    </w:p>
    <w:p>
      <w:pPr>
        <w:ind w:left="660" w:hanging="652"/>
        <w:spacing w:after="0" w:line="246" w:lineRule="auto"/>
        <w:tabs>
          <w:tab w:leader="none" w:pos="66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The sole director of the Company at the date of each of the Resolutions and at the date of this certificate was and is as follows: Tidjane Thiam.</w:t>
      </w:r>
    </w:p>
    <w:p>
      <w:pPr>
        <w:spacing w:after="0" w:line="183" w:lineRule="exact"/>
        <w:rPr>
          <w:sz w:val="20"/>
          <w:szCs w:val="20"/>
          <w:color w:val="auto"/>
        </w:rPr>
      </w:pPr>
    </w:p>
    <w:p>
      <w:pPr>
        <w:jc w:val="both"/>
        <w:ind w:left="660" w:hanging="652"/>
        <w:spacing w:after="0" w:line="238" w:lineRule="auto"/>
        <w:tabs>
          <w:tab w:leader="none" w:pos="66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The minute book and corporate records of the Company as maintained at its registered office in the Cayman Islands and made available to you are complete and accurate in all material respects, and all minutes and resolutions filed therein represent a complete and accurate record of all meetings of the Shareholder and director (or any committee thereof) of the Company (duly convened in accordance with the Memorandum and Articles) and all resolutions passed at the meetings or passed by written resolution or consent, as the case may be.</w:t>
      </w:r>
    </w:p>
    <w:p>
      <w:pPr>
        <w:spacing w:after="0" w:line="297" w:lineRule="exact"/>
        <w:rPr>
          <w:sz w:val="20"/>
          <w:szCs w:val="20"/>
          <w:color w:val="auto"/>
        </w:rPr>
      </w:pPr>
    </w:p>
    <w:p>
      <w:pPr>
        <w:ind w:left="1110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type w:val="continuous"/>
        </w:sectPr>
      </w:pPr>
    </w:p>
    <w:bookmarkStart w:id="272" w:name="page273"/>
    <w:bookmarkEnd w:id="272"/>
    <w:p>
      <w:pPr>
        <w:jc w:val="both"/>
        <w:ind w:left="660" w:hanging="652"/>
        <w:spacing w:after="0" w:line="238" w:lineRule="auto"/>
        <w:tabs>
          <w:tab w:leader="none" w:pos="66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Prior to, at the time of, and immediately following the approval of the transactions contemplated by the Registration Statement, the Company was, or will be, able to pay its debts as they fell, or fall, due and has entered, or will enter, into the transactions contemplated by the Registration Statement for proper value and not with an intention to defraud or wilfully defeat an obligation owed to any creditor or with a view to giving a creditor a preference.</w:t>
      </w:r>
    </w:p>
    <w:p>
      <w:pPr>
        <w:spacing w:after="0" w:line="191" w:lineRule="exact"/>
        <w:rPr>
          <w:sz w:val="20"/>
          <w:szCs w:val="20"/>
          <w:color w:val="auto"/>
        </w:rPr>
      </w:pPr>
    </w:p>
    <w:p>
      <w:pPr>
        <w:jc w:val="both"/>
        <w:ind w:left="660" w:hanging="652"/>
        <w:spacing w:after="0"/>
        <w:tabs>
          <w:tab w:leader="none" w:pos="66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The director of the Company considers the transactions contemplated by the Registration Statement to be of commercial benefit to the Company and has acted in good faith in the best interests of the Company, and for a proper purpose of the Company, in relation to the transactions which are the subject of the Opinion.</w:t>
      </w:r>
    </w:p>
    <w:p>
      <w:pPr>
        <w:spacing w:after="0" w:line="189" w:lineRule="exact"/>
        <w:rPr>
          <w:sz w:val="20"/>
          <w:szCs w:val="20"/>
          <w:color w:val="auto"/>
        </w:rPr>
      </w:pPr>
    </w:p>
    <w:p>
      <w:pPr>
        <w:jc w:val="both"/>
        <w:ind w:left="660" w:hanging="652"/>
        <w:spacing w:after="0" w:line="238" w:lineRule="auto"/>
        <w:tabs>
          <w:tab w:leader="none" w:pos="66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To the best of my knowledge and belief, having made due inquiry, the Company is not the subject of legal, arbitral, administrative or other proceedings in any jurisdiction. Nor have the director or Shareholder taken any steps to have the Company struck off or placed in liquidation, nor have any steps been taken to wind up the Company. Nor has any receiver been appointed over any of the Company's property or assets.</w:t>
      </w:r>
    </w:p>
    <w:p>
      <w:pPr>
        <w:spacing w:after="0" w:line="191" w:lineRule="exact"/>
        <w:rPr>
          <w:rFonts w:ascii="Arial" w:cs="Arial" w:eastAsia="Arial" w:hAnsi="Arial"/>
          <w:sz w:val="18"/>
          <w:szCs w:val="18"/>
          <w:color w:val="auto"/>
        </w:rPr>
      </w:pPr>
    </w:p>
    <w:p>
      <w:pPr>
        <w:ind w:left="660" w:hanging="652"/>
        <w:spacing w:after="0" w:line="246" w:lineRule="auto"/>
        <w:tabs>
          <w:tab w:leader="none" w:pos="66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To the best of my knowledge and belief, having made due inquiry, there are no circumstances or matters of fact existing which may properly form the basis for an application for an order for rectification of the register of members of the Company.</w:t>
      </w:r>
    </w:p>
    <w:p>
      <w:pPr>
        <w:spacing w:after="0" w:line="183" w:lineRule="exact"/>
        <w:rPr>
          <w:rFonts w:ascii="Arial" w:cs="Arial" w:eastAsia="Arial" w:hAnsi="Arial"/>
          <w:sz w:val="18"/>
          <w:szCs w:val="18"/>
          <w:color w:val="auto"/>
        </w:rPr>
      </w:pPr>
    </w:p>
    <w:p>
      <w:pPr>
        <w:ind w:left="660" w:hanging="652"/>
        <w:spacing w:after="0" w:line="246" w:lineRule="auto"/>
        <w:tabs>
          <w:tab w:leader="none" w:pos="66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The Registration Statement has been, or will be, authorised and duly executed and delivered by or on behalf of all relevant parties in accordance with all relevant laws.</w:t>
      </w:r>
    </w:p>
    <w:p>
      <w:pPr>
        <w:spacing w:after="0" w:line="183" w:lineRule="exact"/>
        <w:rPr>
          <w:rFonts w:ascii="Arial" w:cs="Arial" w:eastAsia="Arial" w:hAnsi="Arial"/>
          <w:sz w:val="18"/>
          <w:szCs w:val="18"/>
          <w:color w:val="auto"/>
        </w:rPr>
      </w:pPr>
    </w:p>
    <w:p>
      <w:pPr>
        <w:ind w:left="660" w:right="20" w:hanging="652"/>
        <w:spacing w:after="0" w:line="246" w:lineRule="auto"/>
        <w:tabs>
          <w:tab w:leader="none" w:pos="66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No invitation has been made or will be made by or on behalf of the Company to the public in the Cayman Islands to subscribe for any of the Ordinary Shares.</w:t>
      </w:r>
    </w:p>
    <w:p>
      <w:pPr>
        <w:spacing w:after="0" w:line="183" w:lineRule="exact"/>
        <w:rPr>
          <w:rFonts w:ascii="Arial" w:cs="Arial" w:eastAsia="Arial" w:hAnsi="Arial"/>
          <w:sz w:val="18"/>
          <w:szCs w:val="18"/>
          <w:color w:val="auto"/>
        </w:rPr>
      </w:pPr>
    </w:p>
    <w:p>
      <w:pPr>
        <w:ind w:left="660" w:hanging="652"/>
        <w:spacing w:after="0" w:line="246" w:lineRule="auto"/>
        <w:tabs>
          <w:tab w:leader="none" w:pos="66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The Ordinary Shares to be issued pursuant to the Registration Statement have been, or will be, duly registered, and will continue to be registered, in the Company's register of members (shareholders).</w:t>
      </w:r>
    </w:p>
    <w:p>
      <w:pPr>
        <w:spacing w:after="0" w:line="183" w:lineRule="exact"/>
        <w:rPr>
          <w:rFonts w:ascii="Arial" w:cs="Arial" w:eastAsia="Arial" w:hAnsi="Arial"/>
          <w:sz w:val="18"/>
          <w:szCs w:val="18"/>
          <w:color w:val="auto"/>
        </w:rPr>
      </w:pPr>
    </w:p>
    <w:p>
      <w:pPr>
        <w:ind w:left="660" w:hanging="652"/>
        <w:spacing w:after="0" w:line="246" w:lineRule="auto"/>
        <w:tabs>
          <w:tab w:leader="none" w:pos="66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The Company is not a central bank, monetary authority or other sovereign entity of any state and is not a subsidiary, direct or indirect, of any sovereign entity or state.</w:t>
      </w:r>
    </w:p>
    <w:p>
      <w:pPr>
        <w:spacing w:after="0" w:line="183" w:lineRule="exact"/>
        <w:rPr>
          <w:rFonts w:ascii="Arial" w:cs="Arial" w:eastAsia="Arial" w:hAnsi="Arial"/>
          <w:sz w:val="18"/>
          <w:szCs w:val="18"/>
          <w:color w:val="auto"/>
        </w:rPr>
      </w:pPr>
    </w:p>
    <w:p>
      <w:pPr>
        <w:ind w:left="660" w:hanging="652"/>
        <w:spacing w:after="0" w:line="246" w:lineRule="auto"/>
        <w:tabs>
          <w:tab w:leader="none" w:pos="66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There is no contractual or other prohibition or restriction (other than as arising under Cayman Islands law) binding on the Company prohibiting or restricting it from entering into and performing its obligations under the Documents.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pacing w:after="0" w:line="306" w:lineRule="exact"/>
        <w:rPr>
          <w:sz w:val="20"/>
          <w:szCs w:val="20"/>
          <w:color w:val="auto"/>
        </w:rPr>
      </w:pPr>
    </w:p>
    <w:p>
      <w:pPr>
        <w:ind w:left="1110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73" w:name="page274"/>
    <w:bookmarkEnd w:id="273"/>
    <w:p>
      <w:pPr>
        <w:spacing w:after="0" w:line="246" w:lineRule="auto"/>
        <w:rPr>
          <w:sz w:val="20"/>
          <w:szCs w:val="20"/>
          <w:color w:val="auto"/>
        </w:rPr>
      </w:pPr>
      <w:r>
        <w:rPr>
          <w:rFonts w:ascii="Arial" w:cs="Arial" w:eastAsia="Arial" w:hAnsi="Arial"/>
          <w:sz w:val="18"/>
          <w:szCs w:val="18"/>
          <w:color w:val="auto"/>
        </w:rPr>
        <w:t>I confirm that you may continue to rely on this certificate as being true and correct on the day that you issue the Opinion unless I shall have previously notified you in writing personally to the contrary.</w:t>
      </w:r>
    </w:p>
    <w:p>
      <w:pPr>
        <w:spacing w:after="0" w:line="179"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Signature:</w:t>
      </w:r>
      <w:r>
        <w:rPr>
          <w:sz w:val="20"/>
          <w:szCs w:val="20"/>
          <w:color w:val="auto"/>
        </w:rPr>
        <w:tab/>
      </w:r>
      <w:r>
        <w:rPr>
          <w:rFonts w:ascii="Arial" w:cs="Arial" w:eastAsia="Arial" w:hAnsi="Arial"/>
          <w:sz w:val="18"/>
          <w:szCs w:val="18"/>
          <w:color w:val="auto"/>
        </w:rPr>
        <w:t>/s/ Tidjane Thiam</w:t>
      </w:r>
    </w:p>
    <w:p>
      <w:pPr>
        <w:spacing w:after="0" w:line="234" w:lineRule="auto"/>
        <w:tabs>
          <w:tab w:leader="none" w:pos="112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Tidjane Thiam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-127000</wp:posOffset>
            </wp:positionV>
            <wp:extent cx="178308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58">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tabs>
          <w:tab w:leader="none" w:pos="11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Director</w:t>
      </w:r>
    </w:p>
    <w:p>
      <w:pPr>
        <w:spacing w:after="0" w:line="104" w:lineRule="exact"/>
        <w:rPr>
          <w:sz w:val="20"/>
          <w:szCs w:val="20"/>
          <w:color w:val="auto"/>
        </w:rPr>
      </w:pPr>
    </w:p>
    <w:p>
      <w:pPr>
        <w:ind w:left="1110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274" w:name="page275"/>
    <w:bookmarkEnd w:id="274"/>
    <w:p>
      <w:pPr>
        <w:jc w:val="right"/>
        <w:spacing w:after="0"/>
        <w:rPr>
          <w:sz w:val="20"/>
          <w:szCs w:val="20"/>
          <w:color w:val="auto"/>
        </w:rPr>
      </w:pPr>
      <w:r>
        <w:rPr>
          <w:rFonts w:ascii="Arial" w:cs="Arial" w:eastAsia="Arial" w:hAnsi="Arial"/>
          <w:sz w:val="18"/>
          <w:szCs w:val="18"/>
          <w:b w:val="1"/>
          <w:bCs w:val="1"/>
          <w:color w:val="auto"/>
        </w:rPr>
        <w:t>Exhibit 10.1</w:t>
      </w:r>
    </w:p>
    <w:p>
      <w:pPr>
        <w:spacing w:after="0" w:line="200" w:lineRule="exact"/>
        <w:rPr>
          <w:sz w:val="20"/>
          <w:szCs w:val="20"/>
          <w:color w:val="auto"/>
        </w:rPr>
      </w:pPr>
    </w:p>
    <w:p>
      <w:pPr>
        <w:spacing w:after="0" w:line="24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Freedom Acquisition I Corp.</w:t>
      </w:r>
    </w:p>
    <w:p>
      <w:pPr>
        <w:spacing w:after="0" w:line="202" w:lineRule="auto"/>
        <w:rPr>
          <w:sz w:val="20"/>
          <w:szCs w:val="20"/>
          <w:color w:val="auto"/>
        </w:rPr>
      </w:pPr>
      <w:r>
        <w:rPr>
          <w:rFonts w:ascii="Arial" w:cs="Arial" w:eastAsia="Arial" w:hAnsi="Arial"/>
          <w:sz w:val="18"/>
          <w:szCs w:val="18"/>
          <w:color w:val="auto"/>
        </w:rPr>
        <w:t>14 Wall Street, 20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10005</w:t>
      </w:r>
    </w:p>
    <w:p>
      <w:pPr>
        <w:spacing w:after="0" w:line="20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u w:val="single" w:color="auto"/>
          <w:color w:val="auto"/>
        </w:rPr>
        <w:t>Initial Public Offering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This letter (this “</w:t>
      </w:r>
      <w:r>
        <w:rPr>
          <w:rFonts w:ascii="Arial" w:cs="Arial" w:eastAsia="Arial" w:hAnsi="Arial"/>
          <w:sz w:val="17"/>
          <w:szCs w:val="17"/>
          <w:b w:val="1"/>
          <w:bCs w:val="1"/>
          <w:i w:val="1"/>
          <w:iCs w:val="1"/>
          <w:color w:val="auto"/>
        </w:rPr>
        <w:t>Letter Agreement</w:t>
      </w:r>
      <w:r>
        <w:rPr>
          <w:rFonts w:ascii="Arial" w:cs="Arial" w:eastAsia="Arial" w:hAnsi="Arial"/>
          <w:sz w:val="17"/>
          <w:szCs w:val="17"/>
          <w:color w:val="auto"/>
        </w:rPr>
        <w:t>”) is being delivered to you in accordance with the Underwriting Agreement (the “</w:t>
      </w:r>
      <w:r>
        <w:rPr>
          <w:rFonts w:ascii="Arial" w:cs="Arial" w:eastAsia="Arial" w:hAnsi="Arial"/>
          <w:sz w:val="17"/>
          <w:szCs w:val="17"/>
          <w:b w:val="1"/>
          <w:bCs w:val="1"/>
          <w:i w:val="1"/>
          <w:iCs w:val="1"/>
          <w:color w:val="auto"/>
        </w:rPr>
        <w:t>Underwriting Agreement</w:t>
      </w:r>
      <w:r>
        <w:rPr>
          <w:rFonts w:ascii="Arial" w:cs="Arial" w:eastAsia="Arial" w:hAnsi="Arial"/>
          <w:sz w:val="17"/>
          <w:szCs w:val="17"/>
          <w:color w:val="auto"/>
        </w:rPr>
        <w:t>”) entered into by and between Freedom Acquisition I Corp., a Cayman Islands exempted company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and J.P. Morgan Securities LLC, as representative (the “</w:t>
      </w:r>
      <w:r>
        <w:rPr>
          <w:rFonts w:ascii="Arial" w:cs="Arial" w:eastAsia="Arial" w:hAnsi="Arial"/>
          <w:sz w:val="17"/>
          <w:szCs w:val="17"/>
          <w:b w:val="1"/>
          <w:bCs w:val="1"/>
          <w:i w:val="1"/>
          <w:iCs w:val="1"/>
          <w:color w:val="auto"/>
        </w:rPr>
        <w:t>Representative</w:t>
      </w:r>
      <w:r>
        <w:rPr>
          <w:rFonts w:ascii="Arial" w:cs="Arial" w:eastAsia="Arial" w:hAnsi="Arial"/>
          <w:sz w:val="17"/>
          <w:szCs w:val="17"/>
          <w:color w:val="auto"/>
        </w:rPr>
        <w:t>”) of the several underwriters (each, an “</w:t>
      </w:r>
      <w:r>
        <w:rPr>
          <w:rFonts w:ascii="Arial" w:cs="Arial" w:eastAsia="Arial" w:hAnsi="Arial"/>
          <w:sz w:val="17"/>
          <w:szCs w:val="17"/>
          <w:b w:val="1"/>
          <w:bCs w:val="1"/>
          <w:i w:val="1"/>
          <w:iCs w:val="1"/>
          <w:color w:val="auto"/>
        </w:rPr>
        <w:t>Underwriter</w:t>
      </w:r>
      <w:r>
        <w:rPr>
          <w:rFonts w:ascii="Arial" w:cs="Arial" w:eastAsia="Arial" w:hAnsi="Arial"/>
          <w:sz w:val="17"/>
          <w:szCs w:val="17"/>
          <w:color w:val="auto"/>
        </w:rPr>
        <w:t>” and collectively, the “</w:t>
      </w:r>
      <w:r>
        <w:rPr>
          <w:rFonts w:ascii="Arial" w:cs="Arial" w:eastAsia="Arial" w:hAnsi="Arial"/>
          <w:sz w:val="17"/>
          <w:szCs w:val="17"/>
          <w:b w:val="1"/>
          <w:bCs w:val="1"/>
          <w:i w:val="1"/>
          <w:iCs w:val="1"/>
          <w:color w:val="auto"/>
        </w:rPr>
        <w:t>Underwriters</w:t>
      </w:r>
      <w:r>
        <w:rPr>
          <w:rFonts w:ascii="Arial" w:cs="Arial" w:eastAsia="Arial" w:hAnsi="Arial"/>
          <w:sz w:val="17"/>
          <w:szCs w:val="17"/>
          <w:color w:val="auto"/>
        </w:rPr>
        <w:t>”), relating to an underwritten initial public offering (the “</w:t>
      </w:r>
      <w:r>
        <w:rPr>
          <w:rFonts w:ascii="Arial" w:cs="Arial" w:eastAsia="Arial" w:hAnsi="Arial"/>
          <w:sz w:val="17"/>
          <w:szCs w:val="17"/>
          <w:b w:val="1"/>
          <w:bCs w:val="1"/>
          <w:i w:val="1"/>
          <w:iCs w:val="1"/>
          <w:color w:val="auto"/>
        </w:rPr>
        <w:t>Public Offering</w:t>
      </w:r>
      <w:r>
        <w:rPr>
          <w:rFonts w:ascii="Arial" w:cs="Arial" w:eastAsia="Arial" w:hAnsi="Arial"/>
          <w:sz w:val="17"/>
          <w:szCs w:val="17"/>
          <w:color w:val="auto"/>
        </w:rPr>
        <w:t>”), of up to 28,750,000 of the Company’s units (including up to 3,750,000 units that may be purchased to cover over-allotments, if any) (the “</w:t>
      </w:r>
      <w:r>
        <w:rPr>
          <w:rFonts w:ascii="Arial" w:cs="Arial" w:eastAsia="Arial" w:hAnsi="Arial"/>
          <w:sz w:val="17"/>
          <w:szCs w:val="17"/>
          <w:b w:val="1"/>
          <w:bCs w:val="1"/>
          <w:i w:val="1"/>
          <w:iCs w:val="1"/>
          <w:color w:val="auto"/>
        </w:rPr>
        <w:t>Units</w:t>
      </w:r>
      <w:r>
        <w:rPr>
          <w:rFonts w:ascii="Arial" w:cs="Arial" w:eastAsia="Arial" w:hAnsi="Arial"/>
          <w:sz w:val="17"/>
          <w:szCs w:val="17"/>
          <w:color w:val="auto"/>
        </w:rPr>
        <w:t>”), each comprised of one of the Company’s Class A ordinary shares, par value $0.0001 per share (the “</w:t>
      </w:r>
      <w:r>
        <w:rPr>
          <w:rFonts w:ascii="Arial" w:cs="Arial" w:eastAsia="Arial" w:hAnsi="Arial"/>
          <w:sz w:val="17"/>
          <w:szCs w:val="17"/>
          <w:b w:val="1"/>
          <w:bCs w:val="1"/>
          <w:i w:val="1"/>
          <w:iCs w:val="1"/>
          <w:color w:val="auto"/>
        </w:rPr>
        <w:t>Class A</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Ordinary Shares</w:t>
      </w:r>
      <w:r>
        <w:rPr>
          <w:rFonts w:ascii="Arial" w:cs="Arial" w:eastAsia="Arial" w:hAnsi="Arial"/>
          <w:sz w:val="17"/>
          <w:szCs w:val="17"/>
          <w:color w:val="auto"/>
        </w:rPr>
        <w:t>”), and one-fourth of one redeemable warrant. Each whole warrant (each, a “</w:t>
      </w:r>
      <w:r>
        <w:rPr>
          <w:rFonts w:ascii="Arial" w:cs="Arial" w:eastAsia="Arial" w:hAnsi="Arial"/>
          <w:sz w:val="17"/>
          <w:szCs w:val="17"/>
          <w:b w:val="1"/>
          <w:bCs w:val="1"/>
          <w:i w:val="1"/>
          <w:iCs w:val="1"/>
          <w:color w:val="auto"/>
        </w:rPr>
        <w:t>Warrant</w:t>
      </w:r>
      <w:r>
        <w:rPr>
          <w:rFonts w:ascii="Arial" w:cs="Arial" w:eastAsia="Arial" w:hAnsi="Arial"/>
          <w:sz w:val="17"/>
          <w:szCs w:val="17"/>
          <w:color w:val="auto"/>
        </w:rPr>
        <w:t>”) entitles the holder thereof to purchase one Class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Ordinary Share at a price of $11.50 per share, subject to adjustment as described in the Prospectus (as defined below). The Units will be sold in the Public Offering pursuant to a registration statement on Form S-1 and prospectus (the “</w:t>
      </w:r>
      <w:r>
        <w:rPr>
          <w:rFonts w:ascii="Arial" w:cs="Arial" w:eastAsia="Arial" w:hAnsi="Arial"/>
          <w:sz w:val="17"/>
          <w:szCs w:val="17"/>
          <w:b w:val="1"/>
          <w:bCs w:val="1"/>
          <w:i w:val="1"/>
          <w:iCs w:val="1"/>
          <w:color w:val="auto"/>
        </w:rPr>
        <w:t>Prospectus</w:t>
      </w:r>
      <w:r>
        <w:rPr>
          <w:rFonts w:ascii="Arial" w:cs="Arial" w:eastAsia="Arial" w:hAnsi="Arial"/>
          <w:sz w:val="17"/>
          <w:szCs w:val="17"/>
          <w:color w:val="auto"/>
        </w:rPr>
        <w:t>”) filed by the Company with the U.S. Securities and Exchange Commission (the “</w:t>
      </w:r>
      <w:r>
        <w:rPr>
          <w:rFonts w:ascii="Arial" w:cs="Arial" w:eastAsia="Arial" w:hAnsi="Arial"/>
          <w:sz w:val="17"/>
          <w:szCs w:val="17"/>
          <w:b w:val="1"/>
          <w:bCs w:val="1"/>
          <w:i w:val="1"/>
          <w:iCs w:val="1"/>
          <w:color w:val="auto"/>
        </w:rPr>
        <w:t>Commission</w:t>
      </w:r>
      <w:r>
        <w:rPr>
          <w:rFonts w:ascii="Arial" w:cs="Arial" w:eastAsia="Arial" w:hAnsi="Arial"/>
          <w:sz w:val="17"/>
          <w:szCs w:val="17"/>
          <w:color w:val="auto"/>
        </w:rPr>
        <w:t>”) and the Company has applied to have the Units listed on the New York Stock Exchange. Certain capitalized terms used herein are defined in paragraph 14 hereof.</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In order to induce the Company and the Underwriters to enter into the Underwriting Agreement and to proceed with the Public Offering, to induce the LVS</w:t>
      </w:r>
    </w:p>
    <w:p>
      <w:pPr>
        <w:spacing w:after="0" w:line="46" w:lineRule="exact"/>
        <w:rPr>
          <w:sz w:val="20"/>
          <w:szCs w:val="20"/>
          <w:color w:val="auto"/>
        </w:rPr>
      </w:pPr>
    </w:p>
    <w:p>
      <w:pPr>
        <w:ind w:right="40" w:firstLine="8"/>
        <w:spacing w:after="0" w:line="252" w:lineRule="auto"/>
        <w:tabs>
          <w:tab w:leader="none" w:pos="225" w:val="left"/>
        </w:tabs>
        <w:numPr>
          <w:ilvl w:val="0"/>
          <w:numId w:val="179"/>
        </w:numPr>
        <w:rPr>
          <w:rFonts w:ascii="Arial" w:cs="Arial" w:eastAsia="Arial" w:hAnsi="Arial"/>
          <w:sz w:val="18"/>
          <w:szCs w:val="18"/>
          <w:color w:val="auto"/>
        </w:rPr>
      </w:pPr>
      <w:r>
        <w:rPr>
          <w:rFonts w:ascii="Arial" w:cs="Arial" w:eastAsia="Arial" w:hAnsi="Arial"/>
          <w:sz w:val="18"/>
          <w:szCs w:val="18"/>
          <w:color w:val="auto"/>
        </w:rPr>
        <w:t>SPE XLIII LP, a Delaware limited partnership (the “</w:t>
      </w:r>
      <w:r>
        <w:rPr>
          <w:rFonts w:ascii="Arial" w:cs="Arial" w:eastAsia="Arial" w:hAnsi="Arial"/>
          <w:sz w:val="18"/>
          <w:szCs w:val="18"/>
          <w:b w:val="1"/>
          <w:bCs w:val="1"/>
          <w:i w:val="1"/>
          <w:iCs w:val="1"/>
          <w:color w:val="auto"/>
        </w:rPr>
        <w:t>PIMCO Investor</w:t>
      </w:r>
      <w:r>
        <w:rPr>
          <w:rFonts w:ascii="Arial" w:cs="Arial" w:eastAsia="Arial" w:hAnsi="Arial"/>
          <w:sz w:val="18"/>
          <w:szCs w:val="18"/>
          <w:color w:val="auto"/>
        </w:rPr>
        <w:t>”), and Freedom Acquisition LLC, a Cayman Islands limited liability company (the “</w:t>
      </w:r>
      <w:r>
        <w:rPr>
          <w:rFonts w:ascii="Arial" w:cs="Arial" w:eastAsia="Arial" w:hAnsi="Arial"/>
          <w:sz w:val="18"/>
          <w:szCs w:val="18"/>
          <w:b w:val="1"/>
          <w:bCs w:val="1"/>
          <w:i w:val="1"/>
          <w:iCs w:val="1"/>
          <w:color w:val="auto"/>
        </w:rPr>
        <w:t>Freedom I Consortium</w:t>
      </w:r>
      <w:r>
        <w:rPr>
          <w:rFonts w:ascii="Arial" w:cs="Arial" w:eastAsia="Arial" w:hAnsi="Arial"/>
          <w:sz w:val="18"/>
          <w:szCs w:val="18"/>
          <w:color w:val="auto"/>
        </w:rPr>
        <w:t>”), to invest in Freedom Acquisition I LLC, a Cayman Islands limited liability company (the “</w:t>
      </w:r>
      <w:r>
        <w:rPr>
          <w:rFonts w:ascii="Arial" w:cs="Arial" w:eastAsia="Arial" w:hAnsi="Arial"/>
          <w:sz w:val="18"/>
          <w:szCs w:val="18"/>
          <w:b w:val="1"/>
          <w:bCs w:val="1"/>
          <w:i w:val="1"/>
          <w:iCs w:val="1"/>
          <w:color w:val="auto"/>
        </w:rPr>
        <w:t>Sponsor</w:t>
      </w:r>
      <w:r>
        <w:rPr>
          <w:rFonts w:ascii="Arial" w:cs="Arial" w:eastAsia="Arial" w:hAnsi="Arial"/>
          <w:sz w:val="18"/>
          <w:szCs w:val="18"/>
          <w:color w:val="auto"/>
        </w:rPr>
        <w:t>”), and for other good and valuable consideration, the receipt and sufficiency of which are hereby acknowledged, each of the Sponsor, the PIMCO Investor, the Freedom I Consortium (together with the PIMCO Investor, the “</w:t>
      </w:r>
      <w:r>
        <w:rPr>
          <w:rFonts w:ascii="Arial" w:cs="Arial" w:eastAsia="Arial" w:hAnsi="Arial"/>
          <w:sz w:val="18"/>
          <w:szCs w:val="18"/>
          <w:b w:val="1"/>
          <w:bCs w:val="1"/>
          <w:i w:val="1"/>
          <w:iCs w:val="1"/>
          <w:color w:val="auto"/>
        </w:rPr>
        <w:t>Investors</w:t>
      </w:r>
      <w:r>
        <w:rPr>
          <w:rFonts w:ascii="Arial" w:cs="Arial" w:eastAsia="Arial" w:hAnsi="Arial"/>
          <w:sz w:val="18"/>
          <w:szCs w:val="18"/>
          <w:color w:val="auto"/>
        </w:rPr>
        <w:t>”) and the undersigned individuals, each of whom is, or will be, a member of the Company’s board of directors and/or management team (each of the undersigned individuals, an “</w:t>
      </w:r>
      <w:r>
        <w:rPr>
          <w:rFonts w:ascii="Arial" w:cs="Arial" w:eastAsia="Arial" w:hAnsi="Arial"/>
          <w:sz w:val="18"/>
          <w:szCs w:val="18"/>
          <w:b w:val="1"/>
          <w:bCs w:val="1"/>
          <w:i w:val="1"/>
          <w:iCs w:val="1"/>
          <w:color w:val="auto"/>
        </w:rPr>
        <w:t>Insider</w:t>
      </w:r>
      <w:r>
        <w:rPr>
          <w:rFonts w:ascii="Arial" w:cs="Arial" w:eastAsia="Arial" w:hAnsi="Arial"/>
          <w:sz w:val="18"/>
          <w:szCs w:val="18"/>
          <w:color w:val="auto"/>
        </w:rPr>
        <w:t>” and collectively, the “</w:t>
      </w:r>
      <w:r>
        <w:rPr>
          <w:rFonts w:ascii="Arial" w:cs="Arial" w:eastAsia="Arial" w:hAnsi="Arial"/>
          <w:sz w:val="18"/>
          <w:szCs w:val="18"/>
          <w:b w:val="1"/>
          <w:bCs w:val="1"/>
          <w:i w:val="1"/>
          <w:iCs w:val="1"/>
          <w:color w:val="auto"/>
        </w:rPr>
        <w:t>Insiders</w:t>
      </w:r>
      <w:r>
        <w:rPr>
          <w:rFonts w:ascii="Arial" w:cs="Arial" w:eastAsia="Arial" w:hAnsi="Arial"/>
          <w:sz w:val="18"/>
          <w:szCs w:val="18"/>
          <w:color w:val="auto"/>
        </w:rPr>
        <w:t>”), hereby agrees with the Company as follows:</w:t>
      </w:r>
    </w:p>
    <w:p>
      <w:pPr>
        <w:spacing w:after="0" w:line="193" w:lineRule="exact"/>
        <w:rPr>
          <w:rFonts w:ascii="Arial" w:cs="Arial" w:eastAsia="Arial" w:hAnsi="Arial"/>
          <w:sz w:val="18"/>
          <w:szCs w:val="18"/>
          <w:color w:val="auto"/>
        </w:rPr>
      </w:pPr>
    </w:p>
    <w:p>
      <w:pPr>
        <w:ind w:left="1140" w:right="300" w:hanging="484"/>
        <w:spacing w:after="0" w:line="277" w:lineRule="auto"/>
        <w:tabs>
          <w:tab w:leader="none" w:pos="1140" w:val="left"/>
        </w:tabs>
        <w:numPr>
          <w:ilvl w:val="1"/>
          <w:numId w:val="179"/>
        </w:numPr>
        <w:rPr>
          <w:rFonts w:ascii="Arial" w:cs="Arial" w:eastAsia="Arial" w:hAnsi="Arial"/>
          <w:sz w:val="18"/>
          <w:szCs w:val="18"/>
          <w:color w:val="auto"/>
        </w:rPr>
      </w:pPr>
      <w:r>
        <w:rPr>
          <w:rFonts w:ascii="Arial" w:cs="Arial" w:eastAsia="Arial" w:hAnsi="Arial"/>
          <w:sz w:val="18"/>
          <w:szCs w:val="18"/>
          <w:color w:val="auto"/>
        </w:rPr>
        <w:t>It is acknowledged and agreed that the Company shall not enter into a definitive agreement regarding a proposed Business Combination without the prior written consent of the Sponsor and the PIMCO Investor.</w:t>
      </w:r>
    </w:p>
    <w:p>
      <w:pPr>
        <w:spacing w:after="0" w:line="170" w:lineRule="exact"/>
        <w:rPr>
          <w:rFonts w:ascii="Arial" w:cs="Arial" w:eastAsia="Arial" w:hAnsi="Arial"/>
          <w:sz w:val="18"/>
          <w:szCs w:val="18"/>
          <w:color w:val="auto"/>
        </w:rPr>
      </w:pPr>
    </w:p>
    <w:p>
      <w:pPr>
        <w:ind w:left="1140" w:right="60" w:hanging="484"/>
        <w:spacing w:after="0" w:line="255" w:lineRule="auto"/>
        <w:tabs>
          <w:tab w:leader="none" w:pos="1140" w:val="left"/>
        </w:tabs>
        <w:numPr>
          <w:ilvl w:val="1"/>
          <w:numId w:val="179"/>
        </w:numPr>
        <w:rPr>
          <w:rFonts w:ascii="Arial" w:cs="Arial" w:eastAsia="Arial" w:hAnsi="Arial"/>
          <w:sz w:val="18"/>
          <w:szCs w:val="18"/>
          <w:color w:val="auto"/>
        </w:rPr>
      </w:pPr>
      <w:r>
        <w:rPr>
          <w:rFonts w:ascii="Arial" w:cs="Arial" w:eastAsia="Arial" w:hAnsi="Arial"/>
          <w:sz w:val="18"/>
          <w:szCs w:val="18"/>
          <w:color w:val="auto"/>
        </w:rPr>
        <w:t>The Sponsor and each Insider agrees with the Company that if the Company seeks shareholder approval of a proposed Business Combination, then in connection with such proposed Business Combination, it, he or she shall (i) vote any Ordinary Shares (as defined below) owned by it, him or her in favor of any proposed Business Combination and (ii) not redeem any Ordinary Shares owned by it, him or her in connection with such shareholder approval. If the Company seeks to consummate a proposed Business Combination by engaging in a tender offer, the Sponsor and each Insider agrees that it, he or she will not sell or tender any Ordinary Shares owned by it, him or her in connection therewith.</w:t>
      </w:r>
    </w:p>
    <w:p>
      <w:pPr>
        <w:spacing w:after="0" w:line="192" w:lineRule="exact"/>
        <w:rPr>
          <w:rFonts w:ascii="Arial" w:cs="Arial" w:eastAsia="Arial" w:hAnsi="Arial"/>
          <w:sz w:val="18"/>
          <w:szCs w:val="18"/>
          <w:color w:val="auto"/>
        </w:rPr>
      </w:pPr>
    </w:p>
    <w:p>
      <w:pPr>
        <w:ind w:left="1140" w:hanging="484"/>
        <w:spacing w:after="0" w:line="284" w:lineRule="auto"/>
        <w:tabs>
          <w:tab w:leader="none" w:pos="1140" w:val="left"/>
        </w:tabs>
        <w:numPr>
          <w:ilvl w:val="1"/>
          <w:numId w:val="179"/>
        </w:numPr>
        <w:rPr>
          <w:rFonts w:ascii="Arial" w:cs="Arial" w:eastAsia="Arial" w:hAnsi="Arial"/>
          <w:sz w:val="16"/>
          <w:szCs w:val="16"/>
          <w:color w:val="auto"/>
        </w:rPr>
      </w:pPr>
      <w:r>
        <w:rPr>
          <w:rFonts w:ascii="Arial" w:cs="Arial" w:eastAsia="Arial" w:hAnsi="Arial"/>
          <w:sz w:val="16"/>
          <w:szCs w:val="16"/>
          <w:color w:val="auto"/>
        </w:rPr>
        <w:t>The Sponsor and each Insider hereby agrees with the Company that in the event that the Company fails to consummate a Business Combination within 24 months from the closing of the Public Offering, or such later period approved by the Company’s shareholders in accordance with the Company’s amended and restated memorandum and articles of association (as it may be amended from time to time, the “</w:t>
      </w:r>
      <w:r>
        <w:rPr>
          <w:rFonts w:ascii="Arial" w:cs="Arial" w:eastAsia="Arial" w:hAnsi="Arial"/>
          <w:sz w:val="16"/>
          <w:szCs w:val="16"/>
          <w:b w:val="1"/>
          <w:bCs w:val="1"/>
          <w:i w:val="1"/>
          <w:iCs w:val="1"/>
          <w:color w:val="auto"/>
        </w:rPr>
        <w:t>Charter</w:t>
      </w:r>
      <w:r>
        <w:rPr>
          <w:rFonts w:ascii="Arial" w:cs="Arial" w:eastAsia="Arial" w:hAnsi="Arial"/>
          <w:sz w:val="16"/>
          <w:szCs w:val="16"/>
          <w:color w:val="auto"/>
        </w:rPr>
        <w:t>”), the Sponsor and each Insider shall take all reasonable steps to cause the Company to (i) cease all operations except for the purpose of winding up, (ii) as promptly as reasonably possible but not more than ten (10) business days thereafter, redeem 100% of the Class A Ordinary Shares sold as part of the Units in the Public Offering (the “</w:t>
      </w:r>
      <w:r>
        <w:rPr>
          <w:rFonts w:ascii="Arial" w:cs="Arial" w:eastAsia="Arial" w:hAnsi="Arial"/>
          <w:sz w:val="16"/>
          <w:szCs w:val="16"/>
          <w:b w:val="1"/>
          <w:bCs w:val="1"/>
          <w:i w:val="1"/>
          <w:iCs w:val="1"/>
          <w:color w:val="auto"/>
        </w:rPr>
        <w:t>Offering Shares</w:t>
      </w:r>
      <w:r>
        <w:rPr>
          <w:rFonts w:ascii="Arial" w:cs="Arial" w:eastAsia="Arial" w:hAnsi="Arial"/>
          <w:sz w:val="16"/>
          <w:szCs w:val="16"/>
          <w:color w:val="auto"/>
        </w:rPr>
        <w:t>”), at a per-share price, payable in cash, equal to the aggregate amount then on deposit in the Trust Account (as defined below), including interest earned on the funds held in the Trust Account (less taxes payable and up to $100,000 of interest to pay dissolution expenses), divided by the number of then outstanding Offering Shares, which redemption will completely extinguish all Public Shareholders’ (as defined below) rights as shareholders (including the right to receive further liquidating distributions, if any), and (iii) as promptly as reasonably possible following such redemption, subject to the approval of the Company’s remaining shareholders and the Company’s board of directors, dissolve and liquidate, subject, in each case, to the Company’s obligations under Cayman Islands law to provide for claims of creditors and in all cases subject to the other requirements of applicable law. The Sponsor and each Insider agrees to not propose any amendment to the Charter (A) to modify the substance or timing of the Company’s obligation to allow redemption in connection with its initial business combination or to redeem 100% of the Offering Shares if the Company does not complete a Business Combination within the required time period set forth in the Charter or (B) with respect to any other material provisions relating to shareholders’ rights or pre-initial Business Combination activity, unless the Company provides its Public Shareholders with the opportunity to redeem their Offering Shares upon approval of any such amendment at a per-share price, payable in cash, equal to the aggregate amount then on deposit in the Trust Account, including interest earned on the funds held in the Trust Account and not previously released to the Company to pay its taxes (less up to $100,000 of interest to pay dissolution expenses), divided by the number of then outstanding Offering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347345</wp:posOffset>
            </wp:positionV>
            <wp:extent cx="7132320"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5" w:name="page276"/>
    <w:bookmarkEnd w:id="275"/>
    <w:p>
      <w:pPr>
        <w:ind w:left="484"/>
        <w:spacing w:after="0" w:line="287" w:lineRule="auto"/>
        <w:rPr>
          <w:sz w:val="20"/>
          <w:szCs w:val="20"/>
          <w:color w:val="auto"/>
        </w:rPr>
      </w:pPr>
      <w:r>
        <w:rPr>
          <w:rFonts w:ascii="Arial" w:cs="Arial" w:eastAsia="Arial" w:hAnsi="Arial"/>
          <w:sz w:val="16"/>
          <w:szCs w:val="16"/>
          <w:color w:val="auto"/>
        </w:rPr>
        <w:t>The Sponsor and each Insider acknowledges that it, he or she has no right, title, interest or claim of any kind in or to any monies held in the Trust Account or any other asset of the Company as a result of any liquidation of the Company with respect to the Founder Shares held by it, him or her. The Sponsor and each Insider hereby further waives, with respect to any Ordinary Shares held by it, him or her, if any, any redemption rights it, he or she may have in connection with (a) the consummation of a Business Combination, including, without limitation, any such rights available in the context of a shareholder vote to approve such Business Combination, or (b) a shareholder vote to approve an amendment to the Charter (A) to modify the substance or timing of the Company’s obligation to allow redemption in connection with its initial business combination or to redeem 100% of the Offering Shares if the Company has not consummated a Business Combination within the time period set forth in the Charter or (B) with respect to any other material provisions relating to shareholders’ rights or pre-initial Business Combination activity or in the context of a tender offer made by the Company to purchase Offering Shares (although the Sponsor and the Insiders shall be entitled to redemption and liquidation rights with respect to any Offering Shares it or they hold if the Company fails to consummate a Business Combination within the time period set forth in the Charter).</w:t>
      </w:r>
    </w:p>
    <w:p>
      <w:pPr>
        <w:spacing w:after="0" w:line="172" w:lineRule="exact"/>
        <w:rPr>
          <w:sz w:val="20"/>
          <w:szCs w:val="20"/>
          <w:color w:val="auto"/>
        </w:rPr>
      </w:pPr>
    </w:p>
    <w:p>
      <w:pPr>
        <w:ind w:left="484" w:right="200" w:hanging="484"/>
        <w:spacing w:after="0" w:line="257" w:lineRule="auto"/>
        <w:tabs>
          <w:tab w:leader="none" w:pos="484" w:val="left"/>
        </w:tabs>
        <w:numPr>
          <w:ilvl w:val="0"/>
          <w:numId w:val="180"/>
        </w:numPr>
        <w:rPr>
          <w:rFonts w:ascii="Arial" w:cs="Arial" w:eastAsia="Arial" w:hAnsi="Arial"/>
          <w:sz w:val="18"/>
          <w:szCs w:val="18"/>
          <w:color w:val="auto"/>
        </w:rPr>
      </w:pPr>
      <w:r>
        <w:rPr>
          <w:rFonts w:ascii="Arial" w:cs="Arial" w:eastAsia="Arial" w:hAnsi="Arial"/>
          <w:sz w:val="18"/>
          <w:szCs w:val="18"/>
          <w:color w:val="auto"/>
        </w:rPr>
        <w:t>The undersigned acknowledges and agrees that prior to entering into a definitive agreement for a Business Combination with a target business that is affiliated with the undersigned or any other Insiders of the Company or their affiliates, such transaction must be approved by a majority of the Company’s disinterested independent directors and the Company must obtain an opinion from an independent investment banking firm or an independent valuation or appraisal firm that such Business Combination is fair to the Company from a financial point of view.</w:t>
      </w:r>
    </w:p>
    <w:p>
      <w:pPr>
        <w:spacing w:after="0" w:line="187" w:lineRule="exact"/>
        <w:rPr>
          <w:rFonts w:ascii="Arial" w:cs="Arial" w:eastAsia="Arial" w:hAnsi="Arial"/>
          <w:sz w:val="18"/>
          <w:szCs w:val="18"/>
          <w:color w:val="auto"/>
        </w:rPr>
      </w:pPr>
    </w:p>
    <w:p>
      <w:pPr>
        <w:ind w:left="484" w:right="80" w:hanging="484"/>
        <w:spacing w:after="0" w:line="268" w:lineRule="auto"/>
        <w:tabs>
          <w:tab w:leader="none" w:pos="484" w:val="left"/>
        </w:tabs>
        <w:numPr>
          <w:ilvl w:val="0"/>
          <w:numId w:val="180"/>
        </w:numPr>
        <w:rPr>
          <w:rFonts w:ascii="Arial" w:cs="Arial" w:eastAsia="Arial" w:hAnsi="Arial"/>
          <w:sz w:val="17"/>
          <w:szCs w:val="17"/>
          <w:color w:val="auto"/>
        </w:rPr>
      </w:pPr>
      <w:r>
        <w:rPr>
          <w:rFonts w:ascii="Arial" w:cs="Arial" w:eastAsia="Arial" w:hAnsi="Arial"/>
          <w:sz w:val="17"/>
          <w:szCs w:val="17"/>
          <w:color w:val="auto"/>
        </w:rPr>
        <w:t>During the period commencing on the effective date of the Underwriting Agreement and ending 180 days after such date, the Sponsor and each Insider shall not, without the prior written consent of the Representative, (i) sell, offer to sell, contract or agree to sell, hypothecate, pledge, grant any option to purchase or otherwise dispose of or agree to dispose of, directly or indirectly, or establish or increase a put equivalent position or liquidate or decrease a call equivalent position within the meaning of Section 16 of the Securities Exchange Act of 1934, as amended (the “</w:t>
      </w:r>
      <w:r>
        <w:rPr>
          <w:rFonts w:ascii="Arial" w:cs="Arial" w:eastAsia="Arial" w:hAnsi="Arial"/>
          <w:sz w:val="17"/>
          <w:szCs w:val="17"/>
          <w:b w:val="1"/>
          <w:bCs w:val="1"/>
          <w:i w:val="1"/>
          <w:iCs w:val="1"/>
          <w:color w:val="auto"/>
        </w:rPr>
        <w:t>Exchange Act</w:t>
      </w:r>
      <w:r>
        <w:rPr>
          <w:rFonts w:ascii="Arial" w:cs="Arial" w:eastAsia="Arial" w:hAnsi="Arial"/>
          <w:sz w:val="17"/>
          <w:szCs w:val="17"/>
          <w:color w:val="auto"/>
        </w:rPr>
        <w:t>”), and the rules and regulations of the Commission promulgated thereunder, with respect to, any Units, Ordinary Shares (including, but not limited to, Founder Shares), Warrants or any securities convertible into, or exercisable, or exchangeable for, Ordinary Shares (but excluding Units and Ordinary Shares purchased in the Public Offering or thereafter) owned by it, him or her, (ii) enter into any swap or other arrangement that transfers to another, in whole or in part, any of the economic consequences of ownership of any Units, Ordinary Shares (including, but not limited to, Founder Shares), Warrants or any securities convertible into, or exercisable, or exchangeable for, Ordinary Shares owned by it, him or her, whether any such transaction is to be settled by delivery of such securities, in cash or otherwise, or (iii) publicly announce any intention to effect any transaction specified in clause (i) or (ii). The provisions of this paragraph will not apply if the release or waiver is effected solely to permit a transfer not for consideration and the transferee has agreed in writing to be bound by the same terms described in this Letter Agreement to the extent and for the duration that such terms remain in effect at the time of the transfer.</w:t>
      </w:r>
    </w:p>
    <w:p>
      <w:pPr>
        <w:spacing w:after="0" w:line="184" w:lineRule="exact"/>
        <w:rPr>
          <w:rFonts w:ascii="Arial" w:cs="Arial" w:eastAsia="Arial" w:hAnsi="Arial"/>
          <w:sz w:val="17"/>
          <w:szCs w:val="17"/>
          <w:color w:val="auto"/>
        </w:rPr>
      </w:pPr>
    </w:p>
    <w:p>
      <w:pPr>
        <w:ind w:left="484" w:hanging="484"/>
        <w:spacing w:after="0" w:line="285" w:lineRule="auto"/>
        <w:tabs>
          <w:tab w:leader="none" w:pos="484" w:val="left"/>
        </w:tabs>
        <w:numPr>
          <w:ilvl w:val="0"/>
          <w:numId w:val="180"/>
        </w:numPr>
        <w:rPr>
          <w:rFonts w:ascii="Arial" w:cs="Arial" w:eastAsia="Arial" w:hAnsi="Arial"/>
          <w:sz w:val="16"/>
          <w:szCs w:val="16"/>
          <w:color w:val="auto"/>
        </w:rPr>
      </w:pPr>
      <w:r>
        <w:rPr>
          <w:rFonts w:ascii="Arial" w:cs="Arial" w:eastAsia="Arial" w:hAnsi="Arial"/>
          <w:sz w:val="16"/>
          <w:szCs w:val="16"/>
          <w:color w:val="auto"/>
        </w:rPr>
        <w:t>In the event of the liquidation of the Trust Account upon the failure of the Company to consummate its initial Business Combination within the time period set forth in the Charter, the Sponsor (the “</w:t>
      </w:r>
      <w:r>
        <w:rPr>
          <w:rFonts w:ascii="Arial" w:cs="Arial" w:eastAsia="Arial" w:hAnsi="Arial"/>
          <w:sz w:val="16"/>
          <w:szCs w:val="16"/>
          <w:b w:val="1"/>
          <w:bCs w:val="1"/>
          <w:i w:val="1"/>
          <w:iCs w:val="1"/>
          <w:color w:val="auto"/>
        </w:rPr>
        <w:t>Indemnitor</w:t>
      </w:r>
      <w:r>
        <w:rPr>
          <w:rFonts w:ascii="Arial" w:cs="Arial" w:eastAsia="Arial" w:hAnsi="Arial"/>
          <w:sz w:val="16"/>
          <w:szCs w:val="16"/>
          <w:color w:val="auto"/>
        </w:rPr>
        <w:t>”), which for purposes of clarification shall not extend to any other shareholders, members or managers of the Sponsor, or any of the other undersigned, agrees to indemnify and hold harmless the Company against any and all loss, liability, claim, damage and expense whatsoever (including, but not limited to, any and all legal or other expenses reasonably incurred in investigating, preparing or defending against any litigation, whether pending or threatened) to which the Company may become subject as a result of any claim by (i) any third party for services rendered or products sold to the Company or (ii) any prospective target business with which the Company has entered into a written letter of intent, confidentiality or other similar agreement or Business Combination agreement (a “</w:t>
      </w:r>
      <w:r>
        <w:rPr>
          <w:rFonts w:ascii="Arial" w:cs="Arial" w:eastAsia="Arial" w:hAnsi="Arial"/>
          <w:sz w:val="16"/>
          <w:szCs w:val="16"/>
          <w:b w:val="1"/>
          <w:bCs w:val="1"/>
          <w:i w:val="1"/>
          <w:iCs w:val="1"/>
          <w:color w:val="auto"/>
        </w:rPr>
        <w:t>Target</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such indemnification of the Company by the Indemnitor (x) shall apply only to the extent necessary to ensure that such claims by a third party or a Target do not reduce the amount of funds in the Trust Account to below the lesser of (i) $10.00 per Offering Share and (ii) the actual amount per Offering Share held in the Trust Account as of the date of the liquidation of the Trust Account, if less than $10.00 per Offering Share is then held in the Trust Account due to reductions in the value of the trust assets, in each case, less taxes payable, (y) shall not apply to any claims by a third party or a Target which executed a waiver of any and all rights to the monies held in the Trust Account (whether or not such waiver is enforceable) and (z) shall not apply to any claims under the Company’s indemnity of the Underwriters against certain liabilities, including liabilities under the Securities Act of 1933, as amended. In the event that any such executed waiver is deemed to be unenforceable against such third party, the Indemnitor shall not be responsible to the extent of any liability for such third party claims. The Indemnitor shall have the right to defend against any such claim with counsel of its choice reasonably satisfactory to the Company if, within 15 days following written receipt of notice of the claim to the Indemnitor, the Indemnitor notifies the Company in writing that it shall undertake such defense.</w:t>
      </w:r>
    </w:p>
    <w:p>
      <w:pPr>
        <w:spacing w:after="0" w:line="279" w:lineRule="exact"/>
        <w:rPr>
          <w:sz w:val="20"/>
          <w:szCs w:val="20"/>
          <w:color w:val="auto"/>
        </w:rPr>
      </w:pPr>
    </w:p>
    <w:p>
      <w:pPr>
        <w:ind w:left="4904"/>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64"/>
          </w:cols>
          <w:pgMar w:left="976" w:top="800" w:right="359" w:bottom="1440" w:gutter="0" w:footer="0" w:header="0"/>
        </w:sectPr>
      </w:pPr>
    </w:p>
    <w:bookmarkStart w:id="276" w:name="page277"/>
    <w:bookmarkEnd w:id="276"/>
    <w:p>
      <w:pPr>
        <w:ind w:left="484" w:right="20" w:hanging="484"/>
        <w:spacing w:after="0" w:line="285" w:lineRule="auto"/>
        <w:tabs>
          <w:tab w:leader="none" w:pos="484" w:val="left"/>
        </w:tabs>
        <w:numPr>
          <w:ilvl w:val="0"/>
          <w:numId w:val="181"/>
        </w:numPr>
        <w:rPr>
          <w:rFonts w:ascii="Arial" w:cs="Arial" w:eastAsia="Arial" w:hAnsi="Arial"/>
          <w:sz w:val="16"/>
          <w:szCs w:val="16"/>
          <w:color w:val="auto"/>
        </w:rPr>
      </w:pPr>
      <w:r>
        <w:rPr>
          <w:rFonts w:ascii="Arial" w:cs="Arial" w:eastAsia="Arial" w:hAnsi="Arial"/>
          <w:sz w:val="16"/>
          <w:szCs w:val="16"/>
          <w:color w:val="auto"/>
        </w:rPr>
        <w:t>To the extent that the Underwriters do not exercise their over-allotment option to purchase up to an additional 3,750,000 Units within 45 days from the date of the Prospectus (and as further described in the Prospectus), the Sponsor agrees to forfeit, at no cost, a number of Founder Shares equal to 937,500 multiplied by a fraction, (i) the numerator of which is 3,750,000 minus the number of Units purchased by the Underwriters upon the exercise of their over-allotment option, and (ii) the denominator of which is 3,750,000. The forfeiture will be adjusted to the extent that the over-allotment option is not exercised in full by the Underwriters so that the Founder Shares will represent an aggregate of 20% of the Company’s issued and outstanding Ordinary Shares after the Public Offering (not including Class A Ordinary Shares underlying the Warrants or Private Placement Warrants (as defined below)). The Initial Shareholders further agree that to the extent that the size of the Public Offering is increased or decreased, the Company will purchase or sell Units or effect a share repurchase or share capitalization, as applicable, immediately prior to the consummation of the Public Offering in such amount as to maintain the number of Founder Shares at 20% of the issued and outstanding Ordinary Shares upon the consummation of the Public Offering. In connection with such increase or decrease in the size of the Public Offering, then (A) the references to 3,750,000 in the numerator and denominator of the formula in the first sentence of this paragraph shall be changed to a number equal to 15% of the number of Class A Ordinary Shares included in the Units issued in the Public Offering and (B) the reference to 937,500 in the formula set forth in the first sentence of this paragraph shall be adjusted to such number of Founder Shares that the Sponsor would have to surrender to the Company in order for the number of Founder Shares to be equal to an aggregate of 20% of the Company’s issued and outstanding Ordinary Shares after the Public Offering (not including Class A Ordinary Shares underlying the Warrants or Private Placement Warrants).</w:t>
      </w:r>
    </w:p>
    <w:p>
      <w:pPr>
        <w:spacing w:after="0" w:line="176" w:lineRule="exact"/>
        <w:rPr>
          <w:rFonts w:ascii="Arial" w:cs="Arial" w:eastAsia="Arial" w:hAnsi="Arial"/>
          <w:sz w:val="16"/>
          <w:szCs w:val="16"/>
          <w:color w:val="auto"/>
        </w:rPr>
      </w:pPr>
    </w:p>
    <w:p>
      <w:pPr>
        <w:ind w:left="484" w:right="80" w:hanging="484"/>
        <w:spacing w:after="0" w:line="273" w:lineRule="auto"/>
        <w:tabs>
          <w:tab w:leader="none" w:pos="484" w:val="left"/>
        </w:tabs>
        <w:numPr>
          <w:ilvl w:val="0"/>
          <w:numId w:val="181"/>
        </w:numPr>
        <w:rPr>
          <w:rFonts w:ascii="Arial" w:cs="Arial" w:eastAsia="Arial" w:hAnsi="Arial"/>
          <w:sz w:val="17"/>
          <w:szCs w:val="17"/>
          <w:color w:val="auto"/>
        </w:rPr>
      </w:pPr>
      <w:r>
        <w:rPr>
          <w:rFonts w:ascii="Arial" w:cs="Arial" w:eastAsia="Arial" w:hAnsi="Arial"/>
          <w:sz w:val="17"/>
          <w:szCs w:val="17"/>
          <w:color w:val="auto"/>
        </w:rPr>
        <w:t>The Sponsor and each Insider hereby agrees and acknowledges that: (i) the Underwriters and the Company would be irreparably injured in the event of a breach by such Sponsor or an Insider of its, his or her obligations under paragraphs 2, 3, 5, 6, 7, 9(a), 9(b) and 12, as applicable, of this Letter Agreement, (ii) monetary damages may not be an adequate remedy for such breach and (iii) the non-breaching party shall be entitled to injunctive relief, in addition to any other remedy that such party may have in law or in equity, in the event of such breach. The Investors shall also be entitled to seek injunctive relief, in addition to any other remedy that such parties may have in law or in equity, in the event of a breach under this Letter Agreement.</w:t>
      </w:r>
    </w:p>
    <w:p>
      <w:pPr>
        <w:spacing w:after="0" w:line="177" w:lineRule="exact"/>
        <w:rPr>
          <w:rFonts w:ascii="Arial" w:cs="Arial" w:eastAsia="Arial" w:hAnsi="Arial"/>
          <w:sz w:val="17"/>
          <w:szCs w:val="17"/>
          <w:color w:val="auto"/>
        </w:rPr>
      </w:pPr>
    </w:p>
    <w:p>
      <w:pPr>
        <w:ind w:left="484" w:right="200" w:hanging="484"/>
        <w:spacing w:after="0" w:line="291" w:lineRule="auto"/>
        <w:tabs>
          <w:tab w:leader="none" w:pos="484" w:val="left"/>
        </w:tabs>
        <w:numPr>
          <w:ilvl w:val="0"/>
          <w:numId w:val="181"/>
        </w:numPr>
        <w:rPr>
          <w:rFonts w:ascii="Arial" w:cs="Arial" w:eastAsia="Arial" w:hAnsi="Arial"/>
          <w:sz w:val="16"/>
          <w:szCs w:val="16"/>
          <w:color w:val="auto"/>
        </w:rPr>
      </w:pPr>
      <w:r>
        <w:rPr>
          <w:rFonts w:ascii="Arial" w:cs="Arial" w:eastAsia="Arial" w:hAnsi="Arial"/>
          <w:sz w:val="16"/>
          <w:szCs w:val="16"/>
          <w:color w:val="auto"/>
        </w:rPr>
        <w:t>(a) The Sponsor and each Insider agrees that it, he or she shall not Transfer any Founder Shares (or any Class A Ordinary Shares issuable upon conversion thereof) until the earlier of (A) one year after the completion of the Company’s initial Business Combination and</w:t>
      </w:r>
    </w:p>
    <w:p>
      <w:pPr>
        <w:ind w:left="484"/>
        <w:spacing w:after="0" w:line="292" w:lineRule="auto"/>
        <w:rPr>
          <w:rFonts w:ascii="Arial" w:cs="Arial" w:eastAsia="Arial" w:hAnsi="Arial"/>
          <w:sz w:val="16"/>
          <w:szCs w:val="16"/>
          <w:color w:val="auto"/>
        </w:rPr>
      </w:pPr>
      <w:r>
        <w:rPr>
          <w:rFonts w:ascii="Arial" w:cs="Arial" w:eastAsia="Arial" w:hAnsi="Arial"/>
          <w:sz w:val="16"/>
          <w:szCs w:val="16"/>
          <w:color w:val="auto"/>
        </w:rPr>
        <w:t>(B) subsequent to the Business Combination, (x) if the closing price of the Class A Ordinary Shares equals or exceeds $12.00 per share (as adjusted for share sub-divisions, share capitalizations, reorganizations, recapitalizations and the like) for any 20 trading days within any 30-trading day period commencing at least 150 days after the Company’s initial Business Combination or (y) the date on which the Company completes a liquidation, merger, share exchange or other similar transaction that results in all of the Company’s shareholders having the right to exchange their Class A Ordinary Shares for cash, securities or other property (the “</w:t>
      </w:r>
      <w:r>
        <w:rPr>
          <w:rFonts w:ascii="Arial" w:cs="Arial" w:eastAsia="Arial" w:hAnsi="Arial"/>
          <w:sz w:val="16"/>
          <w:szCs w:val="16"/>
          <w:b w:val="1"/>
          <w:bCs w:val="1"/>
          <w:i w:val="1"/>
          <w:iCs w:val="1"/>
          <w:color w:val="auto"/>
        </w:rPr>
        <w:t>Founder Shares Lock-up Period</w:t>
      </w:r>
      <w:r>
        <w:rPr>
          <w:rFonts w:ascii="Arial" w:cs="Arial" w:eastAsia="Arial" w:hAnsi="Arial"/>
          <w:sz w:val="16"/>
          <w:szCs w:val="16"/>
          <w:color w:val="auto"/>
        </w:rPr>
        <w:t>”).</w:t>
      </w:r>
    </w:p>
    <w:p>
      <w:pPr>
        <w:spacing w:after="0" w:line="162" w:lineRule="exact"/>
        <w:rPr>
          <w:sz w:val="20"/>
          <w:szCs w:val="20"/>
          <w:color w:val="auto"/>
        </w:rPr>
      </w:pPr>
    </w:p>
    <w:p>
      <w:pPr>
        <w:ind w:left="484" w:right="80" w:firstLine="2"/>
        <w:spacing w:after="0" w:line="286" w:lineRule="auto"/>
        <w:tabs>
          <w:tab w:leader="none" w:pos="739" w:val="left"/>
        </w:tabs>
        <w:numPr>
          <w:ilvl w:val="0"/>
          <w:numId w:val="182"/>
        </w:numPr>
        <w:rPr>
          <w:rFonts w:ascii="Arial" w:cs="Arial" w:eastAsia="Arial" w:hAnsi="Arial"/>
          <w:sz w:val="17"/>
          <w:szCs w:val="17"/>
          <w:color w:val="auto"/>
        </w:rPr>
      </w:pPr>
      <w:r>
        <w:rPr>
          <w:rFonts w:ascii="Arial" w:cs="Arial" w:eastAsia="Arial" w:hAnsi="Arial"/>
          <w:sz w:val="17"/>
          <w:szCs w:val="17"/>
          <w:color w:val="auto"/>
        </w:rPr>
        <w:t>The Sponsor and each Insider agrees that it, he or she shall not Transfer any Private Placement Warrants (or any Class A Ordinary Shares underlying the Private Placement Warrants), until 30 days after the completion of a Business Combination (the “</w:t>
      </w:r>
      <w:r>
        <w:rPr>
          <w:rFonts w:ascii="Arial" w:cs="Arial" w:eastAsia="Arial" w:hAnsi="Arial"/>
          <w:sz w:val="17"/>
          <w:szCs w:val="17"/>
          <w:b w:val="1"/>
          <w:bCs w:val="1"/>
          <w:i w:val="1"/>
          <w:iCs w:val="1"/>
          <w:color w:val="auto"/>
        </w:rPr>
        <w:t>Private Placement</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Warrants Lock-up Period</w:t>
      </w:r>
      <w:r>
        <w:rPr>
          <w:rFonts w:ascii="Arial" w:cs="Arial" w:eastAsia="Arial" w:hAnsi="Arial"/>
          <w:sz w:val="17"/>
          <w:szCs w:val="17"/>
          <w:color w:val="auto"/>
        </w:rPr>
        <w:t>”, together with the Founder Shares Lock-up Period, the “</w:t>
      </w:r>
      <w:r>
        <w:rPr>
          <w:rFonts w:ascii="Arial" w:cs="Arial" w:eastAsia="Arial" w:hAnsi="Arial"/>
          <w:sz w:val="17"/>
          <w:szCs w:val="17"/>
          <w:b w:val="1"/>
          <w:bCs w:val="1"/>
          <w:i w:val="1"/>
          <w:iCs w:val="1"/>
          <w:color w:val="auto"/>
        </w:rPr>
        <w:t>Lock-up Periods</w:t>
      </w:r>
      <w:r>
        <w:rPr>
          <w:rFonts w:ascii="Arial" w:cs="Arial" w:eastAsia="Arial" w:hAnsi="Arial"/>
          <w:sz w:val="17"/>
          <w:szCs w:val="17"/>
          <w:color w:val="auto"/>
        </w:rPr>
        <w:t>”).</w:t>
      </w:r>
    </w:p>
    <w:p>
      <w:pPr>
        <w:spacing w:after="0" w:line="165" w:lineRule="exact"/>
        <w:rPr>
          <w:rFonts w:ascii="Arial" w:cs="Arial" w:eastAsia="Arial" w:hAnsi="Arial"/>
          <w:sz w:val="17"/>
          <w:szCs w:val="17"/>
          <w:color w:val="auto"/>
        </w:rPr>
      </w:pPr>
    </w:p>
    <w:p>
      <w:pPr>
        <w:ind w:left="484" w:firstLine="2"/>
        <w:spacing w:after="0" w:line="285" w:lineRule="auto"/>
        <w:tabs>
          <w:tab w:leader="none" w:pos="729" w:val="left"/>
        </w:tabs>
        <w:numPr>
          <w:ilvl w:val="0"/>
          <w:numId w:val="182"/>
        </w:numPr>
        <w:rPr>
          <w:rFonts w:ascii="Arial" w:cs="Arial" w:eastAsia="Arial" w:hAnsi="Arial"/>
          <w:sz w:val="16"/>
          <w:szCs w:val="16"/>
          <w:color w:val="auto"/>
        </w:rPr>
      </w:pPr>
      <w:r>
        <w:rPr>
          <w:rFonts w:ascii="Arial" w:cs="Arial" w:eastAsia="Arial" w:hAnsi="Arial"/>
          <w:sz w:val="16"/>
          <w:szCs w:val="16"/>
          <w:color w:val="auto"/>
        </w:rPr>
        <w:t xml:space="preserve">Notwithstanding the provisions set forth in paragraphs 9(a) and (b), Transfers of the Founder Shares, Private Placement Warrants and the Class A Ordinary Shares underlying the Private Placement Warrants or the Founder Shares and that are held by the Sponsor, any Insider or any of their permitted transferees (that have complied with this paragraph 9(c)), are permitted (a) to the Company’s officers or directors, any affiliate or family member of any of the Company’s officers or directors, any affiliate of the Sponsor or to any members of the Sponsor or any affiliates of such members and funds and accounts advised by such members; (b) in the case of an individual, by gift to a member of such individual’s immediate family or to a trust, the beneficiary of which is a member of such individual’s immediate family, an affiliate of such individual or to a charitable organization; (c) in the case of an individual, by virtue of laws of descent and distribution upon death of such individual; (d) in the case of an individual, pursuant to a qualified domestic relations order; (e) by private sales or transfers made in connection with any forward purchase agreement or similar arrangement or in connection with the consummation of an initial Business Combination at prices no greater than the price at which the securities were originally purchased; (f) in the event of the Company’s liquidation prior to the completion of an initial Business Combination; (g) by virtue of the laws of the Cayman Islands or the Sponsor’s limited liability company agreement upon dissolution of the Sponsor; or (h) in the event of the Company’s liquidation, merger, share exchange or other similar transaction which results in all of the Company’s shareholders having the right to exchange their Class A Ordinary Shares for cash, securities or other property subsequent to the Company’s completion of an initial Business Combination;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the case of clauses (a) through (e) or (g), these permitted transferees must enter into a written agreement with the Company agreeing to be bound by the transfer restrictions herein and the other restrictions contained in this Agreement (including provisions relating to voting, the Trust Account and liquidating distributions).</w:t>
      </w:r>
    </w:p>
    <w:p>
      <w:pPr>
        <w:spacing w:after="0" w:line="282" w:lineRule="exact"/>
        <w:rPr>
          <w:sz w:val="20"/>
          <w:szCs w:val="20"/>
          <w:color w:val="auto"/>
        </w:rPr>
      </w:pPr>
    </w:p>
    <w:p>
      <w:pPr>
        <w:ind w:left="4904"/>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44"/>
          </w:cols>
          <w:pgMar w:left="976" w:top="800" w:right="379" w:bottom="1440" w:gutter="0" w:footer="0" w:header="0"/>
        </w:sectPr>
      </w:pPr>
    </w:p>
    <w:bookmarkStart w:id="277" w:name="page278"/>
    <w:bookmarkEnd w:id="277"/>
    <w:p>
      <w:pPr>
        <w:ind w:left="484" w:hanging="484"/>
        <w:spacing w:after="0" w:line="269" w:lineRule="auto"/>
        <w:tabs>
          <w:tab w:leader="none" w:pos="484" w:val="left"/>
        </w:tabs>
        <w:numPr>
          <w:ilvl w:val="0"/>
          <w:numId w:val="183"/>
        </w:numPr>
        <w:rPr>
          <w:rFonts w:ascii="Arial" w:cs="Arial" w:eastAsia="Arial" w:hAnsi="Arial"/>
          <w:sz w:val="17"/>
          <w:szCs w:val="17"/>
          <w:color w:val="auto"/>
        </w:rPr>
      </w:pPr>
      <w:r>
        <w:rPr>
          <w:rFonts w:ascii="Arial" w:cs="Arial" w:eastAsia="Arial" w:hAnsi="Arial"/>
          <w:sz w:val="17"/>
          <w:szCs w:val="17"/>
          <w:color w:val="auto"/>
        </w:rPr>
        <w:t>Prior to the consummation of the initial Business Combination, each of the PIMCO Investor and the Freedom I Consortium shall have the right to appoint one representative to the board of directors of the Company and two observers of the board of directors of the Company commencing on the effective date of the registration statement on Form S-1 related to the Public Offering until the earlier to occur of (i) any Business Combination and (ii) either the Freedom I Consortium or the PIMCO Investor transferring or disposing of any of their membership interests in the Sponsor, other than to an affiliate of such investor. The Freedom I Consortium shall have the right to nominate three independent directors for election to the board of directors of the Company, with such candidates subject to the approval of the PIMCO Investor (such approval not to be unreasonably withheld). The Sponsor agrees to vote the Founder Shares in favor of (a) each of the Freedom I Consortium’s and the PIMCO Investor’s appointees to the board of directors when each of the Freedom I Consortium and the PIMCO Investor’s appointees are up for election and (b) the independent director nominees designated by the Freedom I Consortium and approved by the PIMCO Investor when each of such nominees is up for election. Any changes to the identity of the Freedom I Consortium’s or the PIMCO Investor’s appointees to the board of directors shall be subject to the approval of the PIMCO Investor or the Freedom I Consortium, as applicable (such approval not to be unreasonably withheld).</w:t>
      </w:r>
    </w:p>
    <w:p>
      <w:pPr>
        <w:spacing w:after="0" w:line="178" w:lineRule="exact"/>
        <w:rPr>
          <w:rFonts w:ascii="Arial" w:cs="Arial" w:eastAsia="Arial" w:hAnsi="Arial"/>
          <w:sz w:val="17"/>
          <w:szCs w:val="17"/>
          <w:color w:val="auto"/>
        </w:rPr>
      </w:pPr>
    </w:p>
    <w:p>
      <w:pPr>
        <w:ind w:left="484" w:hanging="484"/>
        <w:spacing w:after="0" w:line="283" w:lineRule="auto"/>
        <w:tabs>
          <w:tab w:leader="none" w:pos="484" w:val="left"/>
        </w:tabs>
        <w:numPr>
          <w:ilvl w:val="0"/>
          <w:numId w:val="183"/>
        </w:numPr>
        <w:rPr>
          <w:rFonts w:ascii="Arial" w:cs="Arial" w:eastAsia="Arial" w:hAnsi="Arial"/>
          <w:sz w:val="16"/>
          <w:szCs w:val="16"/>
          <w:color w:val="auto"/>
        </w:rPr>
      </w:pPr>
      <w:r>
        <w:rPr>
          <w:rFonts w:ascii="Arial" w:cs="Arial" w:eastAsia="Arial" w:hAnsi="Arial"/>
          <w:sz w:val="16"/>
          <w:szCs w:val="16"/>
          <w:color w:val="auto"/>
        </w:rPr>
        <w:t>Each of the Insiders who is or is nominated to be a director or officer of the Company agrees to serve in such capacity until the earlier of the consummation by the Company of an initial Business Combination, the liquidation of the Company, or his or her removal, death or incapacity. The Sponsor and each Insider represents and warrants that it, he or she has never been suspended or expelled from membership in any securities or commodities exchange or association or had a securities or commodities license or registration denied, suspended or revoked. Each Insider’s biographical information furnished to the Company (including any such information included in the Prospectus) is true and accurate in all material respects and does not omit any material information with respect to the Insider’s background. Each Insider’s questionnaire furnished to the Company is true and accurate in all respects. The Sponsor and each Insider represents and warrants that: it, he or she is not subject to or a respondent in any legal action for, any injunction, cease-and-desist order or order or stipulation to desist or refrain from any act or practice relating to the offering of securities in any jurisdiction; it, he or she has never been convicted of, or pleaded guilty to, any crime (i) involving fraud, (ii) relating to any financial transaction or handling of funds of another person, or</w:t>
      </w:r>
    </w:p>
    <w:p>
      <w:pPr>
        <w:spacing w:after="0" w:line="4" w:lineRule="exact"/>
        <w:rPr>
          <w:rFonts w:ascii="Arial" w:cs="Arial" w:eastAsia="Arial" w:hAnsi="Arial"/>
          <w:sz w:val="16"/>
          <w:szCs w:val="16"/>
          <w:color w:val="auto"/>
        </w:rPr>
      </w:pPr>
    </w:p>
    <w:p>
      <w:pPr>
        <w:ind w:left="484"/>
        <w:spacing w:after="0"/>
        <w:rPr>
          <w:rFonts w:ascii="Arial" w:cs="Arial" w:eastAsia="Arial" w:hAnsi="Arial"/>
          <w:sz w:val="16"/>
          <w:szCs w:val="16"/>
          <w:color w:val="auto"/>
        </w:rPr>
      </w:pPr>
      <w:r>
        <w:rPr>
          <w:rFonts w:ascii="Arial" w:cs="Arial" w:eastAsia="Arial" w:hAnsi="Arial"/>
          <w:sz w:val="18"/>
          <w:szCs w:val="18"/>
          <w:color w:val="auto"/>
        </w:rPr>
        <w:t>(iii) pertaining to any dealings in any securities and it, he or she is not currently a defendant in any such criminal proceeding.</w:t>
      </w:r>
    </w:p>
    <w:p>
      <w:pPr>
        <w:spacing w:after="0" w:line="210" w:lineRule="exact"/>
        <w:rPr>
          <w:rFonts w:ascii="Arial" w:cs="Arial" w:eastAsia="Arial" w:hAnsi="Arial"/>
          <w:sz w:val="16"/>
          <w:szCs w:val="16"/>
          <w:color w:val="auto"/>
        </w:rPr>
      </w:pPr>
    </w:p>
    <w:p>
      <w:pPr>
        <w:ind w:left="484" w:right="20" w:hanging="484"/>
        <w:spacing w:after="0" w:line="285" w:lineRule="auto"/>
        <w:tabs>
          <w:tab w:leader="none" w:pos="484" w:val="left"/>
        </w:tabs>
        <w:numPr>
          <w:ilvl w:val="0"/>
          <w:numId w:val="183"/>
        </w:numPr>
        <w:rPr>
          <w:rFonts w:ascii="Arial" w:cs="Arial" w:eastAsia="Arial" w:hAnsi="Arial"/>
          <w:sz w:val="16"/>
          <w:szCs w:val="16"/>
          <w:color w:val="auto"/>
        </w:rPr>
      </w:pPr>
      <w:r>
        <w:rPr>
          <w:rFonts w:ascii="Arial" w:cs="Arial" w:eastAsia="Arial" w:hAnsi="Arial"/>
          <w:sz w:val="16"/>
          <w:szCs w:val="16"/>
          <w:color w:val="auto"/>
        </w:rPr>
        <w:t>The Company agrees that, except as disclosed in the Prospectus, neither the Sponsor nor any Insider or employee, nor any affiliate of the Sponsor or any Insider or employee of the Company, shall receive from the Company any finder’s fee, reimbursement, consulting fee, non-cash payments, monies in respect of any repayment of a loan or other compensation prior to, or in connection with any services rendered in order to effectuate, the consummation of the Company’s initial Business Combination (regardless of the type of transaction that it is), other than the following, none of which will be made from the proceeds held in the Trust Account prior to the completion of the initial Business Combination: repayment of a loan and advances up to an aggregate of $300,000 made to the Company by the Sponsor; payment to the Sponsor for certain office space, utilities, secretarial and administrative support services provided to the Company and other expenses and obligations of the Sponsor as may be reasonably required by the Company for a total up to $10,000 per month; payment of approximately $412,500 for salaries annually to certain employees for their services prior to the consummation of an initial Business Combination; reimbursement for any reasonable out-of-pocket expenses related to identifying, investigating, negotiating and completing an initial Business Combination; and repayment of loans, if any, and on such terms as to be determined by the Company from time to time, made by the Sponsor or an affiliate of the Sponsor or any of the Company’s officers or directors to finance transaction costs in connection with an intended initial Business Combination, provided, that, if the Company does not consummate an initial Business Combination, a portion of the working capital held outside the Trust Account may be used by the Company to repay such loaned amounts so long as no proceeds from the Trust Account are used for such repayment. Up to $2,000,000 of such loans may be convertible into warrants at a price of $1.50 per warrant at the option of the lender. Such warrants would be identical to the Private Placement Warrants, including as to exercise price, exercisability and exercise period.</w:t>
      </w:r>
    </w:p>
    <w:p>
      <w:pPr>
        <w:spacing w:after="0" w:line="173" w:lineRule="exact"/>
        <w:rPr>
          <w:rFonts w:ascii="Arial" w:cs="Arial" w:eastAsia="Arial" w:hAnsi="Arial"/>
          <w:sz w:val="16"/>
          <w:szCs w:val="16"/>
          <w:color w:val="auto"/>
        </w:rPr>
      </w:pPr>
    </w:p>
    <w:p>
      <w:pPr>
        <w:ind w:left="484" w:right="40" w:hanging="484"/>
        <w:spacing w:after="0" w:line="257" w:lineRule="auto"/>
        <w:tabs>
          <w:tab w:leader="none" w:pos="484" w:val="left"/>
        </w:tabs>
        <w:numPr>
          <w:ilvl w:val="0"/>
          <w:numId w:val="183"/>
        </w:numPr>
        <w:rPr>
          <w:rFonts w:ascii="Arial" w:cs="Arial" w:eastAsia="Arial" w:hAnsi="Arial"/>
          <w:sz w:val="18"/>
          <w:szCs w:val="18"/>
          <w:color w:val="auto"/>
        </w:rPr>
      </w:pPr>
      <w:r>
        <w:rPr>
          <w:rFonts w:ascii="Arial" w:cs="Arial" w:eastAsia="Arial" w:hAnsi="Arial"/>
          <w:sz w:val="18"/>
          <w:szCs w:val="18"/>
          <w:color w:val="auto"/>
        </w:rPr>
        <w:t>The Company, the Sponsor, each Investor and each Insider represents and warrants, severally and not jointly, that it, he or she has full right and power, without violating any agreement to which it, he or she is bound (including, without limitation, any non-competition or non-solicitation agreement with any employer or former employer), to enter into this Letter Agreement and, as applicable, to serve as an officer and/or director on the board of directors of the Company and hereby consents to being named in the Prospectus as an officer and/or director of the Company.</w:t>
      </w:r>
    </w:p>
    <w:p>
      <w:pPr>
        <w:spacing w:after="0" w:line="296" w:lineRule="exact"/>
        <w:rPr>
          <w:sz w:val="20"/>
          <w:szCs w:val="20"/>
          <w:color w:val="auto"/>
        </w:rPr>
      </w:pPr>
    </w:p>
    <w:p>
      <w:pPr>
        <w:ind w:left="4904"/>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6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800" w:right="339" w:bottom="1440" w:gutter="0" w:footer="0" w:header="0"/>
        </w:sectPr>
      </w:pPr>
    </w:p>
    <w:bookmarkStart w:id="278" w:name="page279"/>
    <w:bookmarkEnd w:id="278"/>
    <w:p>
      <w:pPr>
        <w:ind w:left="484" w:right="40" w:hanging="484"/>
        <w:spacing w:after="0" w:line="285" w:lineRule="auto"/>
        <w:tabs>
          <w:tab w:leader="none" w:pos="484" w:val="left"/>
        </w:tabs>
        <w:numPr>
          <w:ilvl w:val="0"/>
          <w:numId w:val="184"/>
        </w:numPr>
        <w:rPr>
          <w:rFonts w:ascii="Arial" w:cs="Arial" w:eastAsia="Arial" w:hAnsi="Arial"/>
          <w:sz w:val="16"/>
          <w:szCs w:val="16"/>
          <w:color w:val="auto"/>
        </w:rPr>
      </w:pPr>
      <w:r>
        <w:rPr>
          <w:rFonts w:ascii="Arial" w:cs="Arial" w:eastAsia="Arial" w:hAnsi="Arial"/>
          <w:sz w:val="16"/>
          <w:szCs w:val="16"/>
          <w:color w:val="auto"/>
        </w:rPr>
        <w:t>As used herein, (i) “</w:t>
      </w:r>
      <w:r>
        <w:rPr>
          <w:rFonts w:ascii="Arial" w:cs="Arial" w:eastAsia="Arial" w:hAnsi="Arial"/>
          <w:sz w:val="16"/>
          <w:szCs w:val="16"/>
          <w:b w:val="1"/>
          <w:bCs w:val="1"/>
          <w:i w:val="1"/>
          <w:iCs w:val="1"/>
          <w:color w:val="auto"/>
        </w:rPr>
        <w:t>Business Combination</w:t>
      </w:r>
      <w:r>
        <w:rPr>
          <w:rFonts w:ascii="Arial" w:cs="Arial" w:eastAsia="Arial" w:hAnsi="Arial"/>
          <w:sz w:val="16"/>
          <w:szCs w:val="16"/>
          <w:color w:val="auto"/>
        </w:rPr>
        <w:t>” shall mean a merger, share exchange, asset acquisition, share purchase, reorganization or similar business combination, involving the Company and one or more businesses; (ii) “</w:t>
      </w:r>
      <w:r>
        <w:rPr>
          <w:rFonts w:ascii="Arial" w:cs="Arial" w:eastAsia="Arial" w:hAnsi="Arial"/>
          <w:sz w:val="16"/>
          <w:szCs w:val="16"/>
          <w:b w:val="1"/>
          <w:bCs w:val="1"/>
          <w:i w:val="1"/>
          <w:iCs w:val="1"/>
          <w:color w:val="auto"/>
        </w:rPr>
        <w:t>Ordinary Shares</w:t>
      </w:r>
      <w:r>
        <w:rPr>
          <w:rFonts w:ascii="Arial" w:cs="Arial" w:eastAsia="Arial" w:hAnsi="Arial"/>
          <w:sz w:val="16"/>
          <w:szCs w:val="16"/>
          <w:color w:val="auto"/>
        </w:rPr>
        <w:t>” shall mean the Class A Ordinary Shares and Class B ordinary shares, par value $0.0001 per share (the “</w:t>
      </w:r>
      <w:r>
        <w:rPr>
          <w:rFonts w:ascii="Arial" w:cs="Arial" w:eastAsia="Arial" w:hAnsi="Arial"/>
          <w:sz w:val="16"/>
          <w:szCs w:val="16"/>
          <w:b w:val="1"/>
          <w:bCs w:val="1"/>
          <w:i w:val="1"/>
          <w:iCs w:val="1"/>
          <w:color w:val="auto"/>
        </w:rPr>
        <w:t>Class B Ordinary Shares</w:t>
      </w:r>
      <w:r>
        <w:rPr>
          <w:rFonts w:ascii="Arial" w:cs="Arial" w:eastAsia="Arial" w:hAnsi="Arial"/>
          <w:sz w:val="16"/>
          <w:szCs w:val="16"/>
          <w:color w:val="auto"/>
        </w:rPr>
        <w:t>”); (iii) “</w:t>
      </w:r>
      <w:r>
        <w:rPr>
          <w:rFonts w:ascii="Arial" w:cs="Arial" w:eastAsia="Arial" w:hAnsi="Arial"/>
          <w:sz w:val="16"/>
          <w:szCs w:val="16"/>
          <w:b w:val="1"/>
          <w:bCs w:val="1"/>
          <w:i w:val="1"/>
          <w:iCs w:val="1"/>
          <w:color w:val="auto"/>
        </w:rPr>
        <w:t>Founder Shares</w:t>
      </w:r>
      <w:r>
        <w:rPr>
          <w:rFonts w:ascii="Arial" w:cs="Arial" w:eastAsia="Arial" w:hAnsi="Arial"/>
          <w:sz w:val="16"/>
          <w:szCs w:val="16"/>
          <w:color w:val="auto"/>
        </w:rPr>
        <w:t>” shall mean the 7,187,500 Class B Ordinary Shares issued and outstanding (up to 937,500 of which are subject to complete or partial forfeiture by the Sponsor if the over-allotment option is not exercised in full by the Underwriters); (iv) “</w:t>
      </w:r>
      <w:r>
        <w:rPr>
          <w:rFonts w:ascii="Arial" w:cs="Arial" w:eastAsia="Arial" w:hAnsi="Arial"/>
          <w:sz w:val="16"/>
          <w:szCs w:val="16"/>
          <w:b w:val="1"/>
          <w:bCs w:val="1"/>
          <w:i w:val="1"/>
          <w:iCs w:val="1"/>
          <w:color w:val="auto"/>
        </w:rPr>
        <w:t>Initial Shareholders</w:t>
      </w:r>
      <w:r>
        <w:rPr>
          <w:rFonts w:ascii="Arial" w:cs="Arial" w:eastAsia="Arial" w:hAnsi="Arial"/>
          <w:sz w:val="16"/>
          <w:szCs w:val="16"/>
          <w:color w:val="auto"/>
        </w:rPr>
        <w:t>” shall mean the Sponsor and any Insider that holds Founder Shares; (v) “</w:t>
      </w:r>
      <w:r>
        <w:rPr>
          <w:rFonts w:ascii="Arial" w:cs="Arial" w:eastAsia="Arial" w:hAnsi="Arial"/>
          <w:sz w:val="16"/>
          <w:szCs w:val="16"/>
          <w:b w:val="1"/>
          <w:bCs w:val="1"/>
          <w:i w:val="1"/>
          <w:iCs w:val="1"/>
          <w:color w:val="auto"/>
        </w:rPr>
        <w:t>Private Placement Warrants</w:t>
      </w:r>
      <w:r>
        <w:rPr>
          <w:rFonts w:ascii="Arial" w:cs="Arial" w:eastAsia="Arial" w:hAnsi="Arial"/>
          <w:sz w:val="16"/>
          <w:szCs w:val="16"/>
          <w:color w:val="auto"/>
        </w:rPr>
        <w:t>” shall mean the 5,000,000 warrants (or 5,500,000 warrants if the over-allotment option is exercised in full) that the Sponsor has agreed to purchase for an aggregate purchase price of $7,500,000 (or $8,250,000 if the over-allotment option is exercised in full), or $1.50 per warrant, in a private placement that shall occur simultaneously with the consummation of the Public Offering; (vi) “</w:t>
      </w:r>
      <w:r>
        <w:rPr>
          <w:rFonts w:ascii="Arial" w:cs="Arial" w:eastAsia="Arial" w:hAnsi="Arial"/>
          <w:sz w:val="16"/>
          <w:szCs w:val="16"/>
          <w:b w:val="1"/>
          <w:bCs w:val="1"/>
          <w:i w:val="1"/>
          <w:iCs w:val="1"/>
          <w:color w:val="auto"/>
        </w:rPr>
        <w:t>Public Shareholders</w:t>
      </w:r>
      <w:r>
        <w:rPr>
          <w:rFonts w:ascii="Arial" w:cs="Arial" w:eastAsia="Arial" w:hAnsi="Arial"/>
          <w:sz w:val="16"/>
          <w:szCs w:val="16"/>
          <w:color w:val="auto"/>
        </w:rPr>
        <w:t>” shall mean the holders of securities issued in the Public Offering; (vii) “</w:t>
      </w:r>
      <w:r>
        <w:rPr>
          <w:rFonts w:ascii="Arial" w:cs="Arial" w:eastAsia="Arial" w:hAnsi="Arial"/>
          <w:sz w:val="16"/>
          <w:szCs w:val="16"/>
          <w:b w:val="1"/>
          <w:bCs w:val="1"/>
          <w:i w:val="1"/>
          <w:iCs w:val="1"/>
          <w:color w:val="auto"/>
        </w:rPr>
        <w:t>Trust Account</w:t>
      </w:r>
      <w:r>
        <w:rPr>
          <w:rFonts w:ascii="Arial" w:cs="Arial" w:eastAsia="Arial" w:hAnsi="Arial"/>
          <w:sz w:val="16"/>
          <w:szCs w:val="16"/>
          <w:color w:val="auto"/>
        </w:rPr>
        <w:t>” shall mean the trust account into which a portion of the net proceeds of the Public Offering and the sale of the Private Placement Warrants shall be deposited; and (viii) “</w:t>
      </w:r>
      <w:r>
        <w:rPr>
          <w:rFonts w:ascii="Arial" w:cs="Arial" w:eastAsia="Arial" w:hAnsi="Arial"/>
          <w:sz w:val="16"/>
          <w:szCs w:val="16"/>
          <w:b w:val="1"/>
          <w:bCs w:val="1"/>
          <w:i w:val="1"/>
          <w:iCs w:val="1"/>
          <w:color w:val="auto"/>
        </w:rPr>
        <w:t>Transfer</w:t>
      </w:r>
      <w:r>
        <w:rPr>
          <w:rFonts w:ascii="Arial" w:cs="Arial" w:eastAsia="Arial" w:hAnsi="Arial"/>
          <w:sz w:val="16"/>
          <w:szCs w:val="16"/>
          <w:color w:val="auto"/>
        </w:rPr>
        <w:t>” shall mean the (a) sale of, offer to sell, contract or agreement to sell, hypothecate, pledge, grant of any option to purchase or otherwise dispose of or agreement to dispose of, directly or indirectly, or establishment or increase of a put equivalent position or liquidation with respect to or decrease of a call equivalent position within the meaning of Section 16 of the Exchange Act, and the rules and regulations of the Commission promulgated thereunder with respect to, any security, (b) entry into any swap or other arrangement that transfers to another, in whole or in part, any of the economic consequences of ownership of any security, whether any such transaction is to be settled by delivery of such securities, in cash or otherwise, or (c) public announcement of any intention to effect any transaction specified in clause (a) or (b).</w:t>
      </w:r>
    </w:p>
    <w:p>
      <w:pPr>
        <w:spacing w:after="0" w:line="173" w:lineRule="exact"/>
        <w:rPr>
          <w:rFonts w:ascii="Arial" w:cs="Arial" w:eastAsia="Arial" w:hAnsi="Arial"/>
          <w:sz w:val="16"/>
          <w:szCs w:val="16"/>
          <w:color w:val="auto"/>
        </w:rPr>
      </w:pPr>
    </w:p>
    <w:p>
      <w:pPr>
        <w:jc w:val="both"/>
        <w:ind w:left="484" w:right="120" w:hanging="484"/>
        <w:spacing w:after="0" w:line="263" w:lineRule="auto"/>
        <w:tabs>
          <w:tab w:leader="none" w:pos="484" w:val="left"/>
        </w:tabs>
        <w:numPr>
          <w:ilvl w:val="0"/>
          <w:numId w:val="184"/>
        </w:numPr>
        <w:rPr>
          <w:rFonts w:ascii="Arial" w:cs="Arial" w:eastAsia="Arial" w:hAnsi="Arial"/>
          <w:sz w:val="18"/>
          <w:szCs w:val="18"/>
          <w:color w:val="auto"/>
        </w:rPr>
      </w:pPr>
      <w:r>
        <w:rPr>
          <w:rFonts w:ascii="Arial" w:cs="Arial" w:eastAsia="Arial" w:hAnsi="Arial"/>
          <w:sz w:val="18"/>
          <w:szCs w:val="18"/>
          <w:color w:val="auto"/>
        </w:rPr>
        <w:t>The Company will maintain an insurance policy or policies providing directors’ and officers’ liability insurance, and each Insider shall be covered by such policy or policies, in accordance with its or their terms, to the maximum extent of the coverage available pursuant to such policy or policies for any of the Company’s directors or officers.</w:t>
      </w:r>
    </w:p>
    <w:p>
      <w:pPr>
        <w:spacing w:after="0" w:line="183" w:lineRule="exact"/>
        <w:rPr>
          <w:rFonts w:ascii="Arial" w:cs="Arial" w:eastAsia="Arial" w:hAnsi="Arial"/>
          <w:sz w:val="18"/>
          <w:szCs w:val="18"/>
          <w:color w:val="auto"/>
        </w:rPr>
      </w:pPr>
    </w:p>
    <w:p>
      <w:pPr>
        <w:ind w:left="484" w:right="140" w:hanging="484"/>
        <w:spacing w:after="0" w:line="291" w:lineRule="auto"/>
        <w:tabs>
          <w:tab w:leader="none" w:pos="484" w:val="left"/>
        </w:tabs>
        <w:numPr>
          <w:ilvl w:val="0"/>
          <w:numId w:val="184"/>
        </w:numPr>
        <w:rPr>
          <w:rFonts w:ascii="Arial" w:cs="Arial" w:eastAsia="Arial" w:hAnsi="Arial"/>
          <w:sz w:val="16"/>
          <w:szCs w:val="16"/>
          <w:color w:val="auto"/>
        </w:rPr>
      </w:pPr>
      <w:r>
        <w:rPr>
          <w:rFonts w:ascii="Arial" w:cs="Arial" w:eastAsia="Arial" w:hAnsi="Arial"/>
          <w:sz w:val="16"/>
          <w:szCs w:val="16"/>
          <w:color w:val="auto"/>
        </w:rPr>
        <w:t>The Company shall not, without the prior consent of each of the Investors, (i) include the name of the Investors or any of their respective affiliates in any disclosure, marketing materials, tombstones and other usages in connection with the Public Offering, otherwise related to the activities of the Company, or in connection with the initial Business Combination or thereafter; (ii) amend any term of the Company’s constitutive documents; (iii) amend any term of the Founder Shares, including, but not limited to, the economic terms or terms regarding transferability; (iv) amend any term of the Private Placement Warrants, including, but not limited to, economic terms or terms regarding transferability; (v) amend any terms of the Trust Account; (vi) appoint any director, officer or advisor of the Company; or (vii) approve an annual budget or incur expenses or other obligations that, in the aggregate, exceed any approved budget by more than $100,000.</w:t>
      </w:r>
    </w:p>
    <w:p>
      <w:pPr>
        <w:spacing w:after="0" w:line="166" w:lineRule="exact"/>
        <w:rPr>
          <w:rFonts w:ascii="Arial" w:cs="Arial" w:eastAsia="Arial" w:hAnsi="Arial"/>
          <w:sz w:val="16"/>
          <w:szCs w:val="16"/>
          <w:color w:val="auto"/>
        </w:rPr>
      </w:pPr>
    </w:p>
    <w:p>
      <w:pPr>
        <w:ind w:left="484" w:right="120" w:hanging="484"/>
        <w:spacing w:after="0" w:line="286" w:lineRule="auto"/>
        <w:tabs>
          <w:tab w:leader="none" w:pos="484" w:val="left"/>
        </w:tabs>
        <w:numPr>
          <w:ilvl w:val="0"/>
          <w:numId w:val="184"/>
        </w:numPr>
        <w:rPr>
          <w:rFonts w:ascii="Arial" w:cs="Arial" w:eastAsia="Arial" w:hAnsi="Arial"/>
          <w:sz w:val="16"/>
          <w:szCs w:val="16"/>
          <w:color w:val="auto"/>
        </w:rPr>
      </w:pPr>
      <w:r>
        <w:rPr>
          <w:rFonts w:ascii="Arial" w:cs="Arial" w:eastAsia="Arial" w:hAnsi="Arial"/>
          <w:sz w:val="16"/>
          <w:szCs w:val="16"/>
          <w:color w:val="auto"/>
        </w:rPr>
        <w:t>This Letter Agreement constitutes the entire agreement and understanding of the parties hereto in respect of the subject matter hereof and supersedes all prior understandings, agreements, or representations by or among the parties hereto, written or oral, to the extent they relate in any way to the subject matter hereof or the transactions contemplated hereby. This Letter Agreement may not be changed, amended, modified or waived (other than to correct a typographical error) as to any particular provision, except by a written instrument executed by</w:t>
      </w:r>
    </w:p>
    <w:p>
      <w:pPr>
        <w:spacing w:after="0" w:line="1" w:lineRule="exact"/>
        <w:rPr>
          <w:rFonts w:ascii="Arial" w:cs="Arial" w:eastAsia="Arial" w:hAnsi="Arial"/>
          <w:sz w:val="16"/>
          <w:szCs w:val="16"/>
          <w:color w:val="auto"/>
        </w:rPr>
      </w:pPr>
    </w:p>
    <w:p>
      <w:pPr>
        <w:ind w:left="484" w:right="160"/>
        <w:spacing w:after="0" w:line="260" w:lineRule="auto"/>
        <w:rPr>
          <w:rFonts w:ascii="Arial" w:cs="Arial" w:eastAsia="Arial" w:hAnsi="Arial"/>
          <w:sz w:val="16"/>
          <w:szCs w:val="16"/>
          <w:color w:val="auto"/>
        </w:rPr>
      </w:pPr>
      <w:r>
        <w:rPr>
          <w:rFonts w:ascii="Arial" w:cs="Arial" w:eastAsia="Arial" w:hAnsi="Arial"/>
          <w:sz w:val="18"/>
          <w:szCs w:val="18"/>
          <w:color w:val="auto"/>
        </w:rPr>
        <w:t>(i) each Insider that is the subject of any such change, amendment, modification or waiver, (ii) the Sponsor, (iii) the Company and (iv) the PIMCO Investor.</w:t>
      </w:r>
    </w:p>
    <w:p>
      <w:pPr>
        <w:spacing w:after="0" w:line="185" w:lineRule="exact"/>
        <w:rPr>
          <w:rFonts w:ascii="Arial" w:cs="Arial" w:eastAsia="Arial" w:hAnsi="Arial"/>
          <w:sz w:val="16"/>
          <w:szCs w:val="16"/>
          <w:color w:val="auto"/>
        </w:rPr>
      </w:pPr>
    </w:p>
    <w:p>
      <w:pPr>
        <w:ind w:left="484" w:hanging="484"/>
        <w:spacing w:after="0" w:line="275" w:lineRule="auto"/>
        <w:tabs>
          <w:tab w:leader="none" w:pos="484" w:val="left"/>
        </w:tabs>
        <w:numPr>
          <w:ilvl w:val="0"/>
          <w:numId w:val="184"/>
        </w:numPr>
        <w:rPr>
          <w:rFonts w:ascii="Arial" w:cs="Arial" w:eastAsia="Arial" w:hAnsi="Arial"/>
          <w:sz w:val="17"/>
          <w:szCs w:val="17"/>
          <w:color w:val="auto"/>
        </w:rPr>
      </w:pPr>
      <w:r>
        <w:rPr>
          <w:rFonts w:ascii="Arial" w:cs="Arial" w:eastAsia="Arial" w:hAnsi="Arial"/>
          <w:sz w:val="17"/>
          <w:szCs w:val="17"/>
          <w:color w:val="auto"/>
        </w:rPr>
        <w:t>No party hereto may assign either this Letter Agreement or any of its rights, interests, or obligations hereunder without the prior written consent of the other parties, except that any of the Investors may assign its rights, interests and obligations hereunder to any affiliate of such Investor. Any purported assignment in violation of this paragraph shall be void and ineffectual and shall not operate to transfer or assign any interest or title to the purported assignee. This Letter Agreement shall be binding on the Company, the Sponsor, the Investors and each Insider and their respective successors, heirs and assigns and permitted transferees.</w:t>
      </w:r>
    </w:p>
    <w:p>
      <w:pPr>
        <w:spacing w:after="0" w:line="284" w:lineRule="exact"/>
        <w:rPr>
          <w:sz w:val="20"/>
          <w:szCs w:val="20"/>
          <w:color w:val="auto"/>
        </w:rPr>
      </w:pPr>
    </w:p>
    <w:p>
      <w:pPr>
        <w:ind w:left="4904"/>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64"/>
          </w:cols>
          <w:pgMar w:left="976" w:top="800" w:right="359" w:bottom="1440" w:gutter="0" w:footer="0" w:header="0"/>
        </w:sectPr>
      </w:pPr>
    </w:p>
    <w:bookmarkStart w:id="279" w:name="page280"/>
    <w:bookmarkEnd w:id="279"/>
    <w:p>
      <w:pPr>
        <w:ind w:left="484" w:right="60" w:hanging="484"/>
        <w:spacing w:after="0" w:line="257" w:lineRule="auto"/>
        <w:tabs>
          <w:tab w:leader="none" w:pos="484" w:val="left"/>
        </w:tabs>
        <w:numPr>
          <w:ilvl w:val="0"/>
          <w:numId w:val="185"/>
        </w:numPr>
        <w:rPr>
          <w:rFonts w:ascii="Arial" w:cs="Arial" w:eastAsia="Arial" w:hAnsi="Arial"/>
          <w:sz w:val="18"/>
          <w:szCs w:val="18"/>
          <w:color w:val="auto"/>
        </w:rPr>
      </w:pPr>
      <w:r>
        <w:rPr>
          <w:rFonts w:ascii="Arial" w:cs="Arial" w:eastAsia="Arial" w:hAnsi="Arial"/>
          <w:sz w:val="18"/>
          <w:szCs w:val="18"/>
          <w:color w:val="auto"/>
        </w:rPr>
        <w:t>Except as provided for in paragraph 8, nothing in this Letter Agreement shall be construed to confer upon, or give to, any person or corporation other than the parties hereto any right, remedy or claim under or by reason of this Letter Agreement or of any covenant, condition, stipulation, promise or agreement hereof. Except as provided for in paragraph 8, all covenants, conditions, stipulations, promises and agreements contained in this Letter Agreement shall be for the sole and exclusive benefit of the parties hereto and their successors, heirs, personal representatives and assigns and permitted transferees.</w:t>
      </w:r>
    </w:p>
    <w:p>
      <w:pPr>
        <w:spacing w:after="0" w:line="187" w:lineRule="exact"/>
        <w:rPr>
          <w:rFonts w:ascii="Arial" w:cs="Arial" w:eastAsia="Arial" w:hAnsi="Arial"/>
          <w:sz w:val="18"/>
          <w:szCs w:val="18"/>
          <w:color w:val="auto"/>
        </w:rPr>
      </w:pPr>
    </w:p>
    <w:p>
      <w:pPr>
        <w:ind w:left="484" w:right="100" w:hanging="484"/>
        <w:spacing w:after="0" w:line="342" w:lineRule="auto"/>
        <w:tabs>
          <w:tab w:leader="none" w:pos="484" w:val="left"/>
        </w:tabs>
        <w:numPr>
          <w:ilvl w:val="0"/>
          <w:numId w:val="185"/>
        </w:numPr>
        <w:rPr>
          <w:rFonts w:ascii="Arial" w:cs="Arial" w:eastAsia="Arial" w:hAnsi="Arial"/>
          <w:sz w:val="16"/>
          <w:szCs w:val="16"/>
          <w:color w:val="auto"/>
        </w:rPr>
      </w:pPr>
      <w:r>
        <w:rPr>
          <w:rFonts w:ascii="Arial" w:cs="Arial" w:eastAsia="Arial" w:hAnsi="Arial"/>
          <w:sz w:val="16"/>
          <w:szCs w:val="16"/>
          <w:color w:val="auto"/>
        </w:rPr>
        <w:t>This Letter Agreement may be executed in any number of original, facsimile or other electronic counterparts and each of such counterparts shall for all purposes be deemed to be an original, and all such counterparts shall together constitute but one and the same instrument.</w:t>
      </w:r>
    </w:p>
    <w:p>
      <w:pPr>
        <w:spacing w:after="0" w:line="123" w:lineRule="exact"/>
        <w:rPr>
          <w:rFonts w:ascii="Arial" w:cs="Arial" w:eastAsia="Arial" w:hAnsi="Arial"/>
          <w:sz w:val="16"/>
          <w:szCs w:val="16"/>
          <w:color w:val="auto"/>
        </w:rPr>
      </w:pPr>
    </w:p>
    <w:p>
      <w:pPr>
        <w:ind w:left="484" w:right="80" w:hanging="484"/>
        <w:spacing w:after="0" w:line="279" w:lineRule="auto"/>
        <w:tabs>
          <w:tab w:leader="none" w:pos="484" w:val="left"/>
        </w:tabs>
        <w:numPr>
          <w:ilvl w:val="0"/>
          <w:numId w:val="185"/>
        </w:numPr>
        <w:rPr>
          <w:rFonts w:ascii="Arial" w:cs="Arial" w:eastAsia="Arial" w:hAnsi="Arial"/>
          <w:sz w:val="17"/>
          <w:szCs w:val="17"/>
          <w:color w:val="auto"/>
        </w:rPr>
      </w:pPr>
      <w:r>
        <w:rPr>
          <w:rFonts w:ascii="Arial" w:cs="Arial" w:eastAsia="Arial" w:hAnsi="Arial"/>
          <w:sz w:val="17"/>
          <w:szCs w:val="17"/>
          <w:color w:val="auto"/>
        </w:rPr>
        <w:t>This Letter Agreement shall be deemed severable, and the invalidity or unenforceability of any term or provision hereof shall not affect the validity or enforceability of this Letter Agreement or of any other term or provision hereof. Furthermore, in lieu of any such invalid or unenforceable term or provision, the parties hereto intend that there shall be added as a part of this Letter Agreement a provision as similar in terms to such invalid or unenforceable provision as may be possible and be valid and enforceable.</w:t>
      </w:r>
    </w:p>
    <w:p>
      <w:pPr>
        <w:spacing w:after="0" w:line="171" w:lineRule="exact"/>
        <w:rPr>
          <w:rFonts w:ascii="Arial" w:cs="Arial" w:eastAsia="Arial" w:hAnsi="Arial"/>
          <w:sz w:val="17"/>
          <w:szCs w:val="17"/>
          <w:color w:val="auto"/>
        </w:rPr>
      </w:pPr>
    </w:p>
    <w:p>
      <w:pPr>
        <w:ind w:left="484" w:right="120" w:hanging="484"/>
        <w:spacing w:after="0" w:line="257" w:lineRule="auto"/>
        <w:tabs>
          <w:tab w:leader="none" w:pos="484" w:val="left"/>
        </w:tabs>
        <w:numPr>
          <w:ilvl w:val="0"/>
          <w:numId w:val="185"/>
        </w:numPr>
        <w:rPr>
          <w:rFonts w:ascii="Arial" w:cs="Arial" w:eastAsia="Arial" w:hAnsi="Arial"/>
          <w:sz w:val="18"/>
          <w:szCs w:val="18"/>
          <w:color w:val="auto"/>
        </w:rPr>
      </w:pPr>
      <w:r>
        <w:rPr>
          <w:rFonts w:ascii="Arial" w:cs="Arial" w:eastAsia="Arial" w:hAnsi="Arial"/>
          <w:sz w:val="18"/>
          <w:szCs w:val="18"/>
          <w:color w:val="auto"/>
        </w:rPr>
        <w:t>This Letter Agreement shall be governed by and construed and enforced in accordance with the laws of the State of New York. The parties hereto (i) all agree that any action, proceeding, claim or dispute arising out of, or relating in any way to, this Letter Agreement shall be brought and enforced in the courts of New York City, in the State of New York, and irrevocably submit to such jurisdiction and venue, which jurisdiction and venue shall be exclusive and (ii) waive any objection to such exclusive jurisdiction and venue or that such courts represent an inconvenient forum.</w:t>
      </w:r>
    </w:p>
    <w:p>
      <w:pPr>
        <w:spacing w:after="0" w:line="187" w:lineRule="exact"/>
        <w:rPr>
          <w:rFonts w:ascii="Arial" w:cs="Arial" w:eastAsia="Arial" w:hAnsi="Arial"/>
          <w:sz w:val="18"/>
          <w:szCs w:val="18"/>
          <w:color w:val="auto"/>
        </w:rPr>
      </w:pPr>
    </w:p>
    <w:p>
      <w:pPr>
        <w:ind w:left="484" w:hanging="484"/>
        <w:spacing w:after="0" w:line="263" w:lineRule="auto"/>
        <w:tabs>
          <w:tab w:leader="none" w:pos="484" w:val="left"/>
        </w:tabs>
        <w:numPr>
          <w:ilvl w:val="0"/>
          <w:numId w:val="185"/>
        </w:numPr>
        <w:rPr>
          <w:rFonts w:ascii="Arial" w:cs="Arial" w:eastAsia="Arial" w:hAnsi="Arial"/>
          <w:sz w:val="18"/>
          <w:szCs w:val="18"/>
          <w:color w:val="auto"/>
        </w:rPr>
      </w:pPr>
      <w:r>
        <w:rPr>
          <w:rFonts w:ascii="Arial" w:cs="Arial" w:eastAsia="Arial" w:hAnsi="Arial"/>
          <w:sz w:val="18"/>
          <w:szCs w:val="18"/>
          <w:color w:val="auto"/>
        </w:rPr>
        <w:t>Any notice, consent or request to be given in connection with any of the terms or provisions of this Letter Agreement shall be in writing and shall be sent by express mail or similar private courier service, by certified mail (return receipt requested), by hand delivery or facsimile or e-mail transmission.</w:t>
      </w:r>
    </w:p>
    <w:p>
      <w:pPr>
        <w:spacing w:after="0" w:line="183" w:lineRule="exact"/>
        <w:rPr>
          <w:rFonts w:ascii="Arial" w:cs="Arial" w:eastAsia="Arial" w:hAnsi="Arial"/>
          <w:sz w:val="18"/>
          <w:szCs w:val="18"/>
          <w:color w:val="auto"/>
        </w:rPr>
      </w:pPr>
    </w:p>
    <w:p>
      <w:pPr>
        <w:ind w:left="484" w:right="20" w:hanging="484"/>
        <w:spacing w:after="0" w:line="286" w:lineRule="auto"/>
        <w:tabs>
          <w:tab w:leader="none" w:pos="484" w:val="left"/>
        </w:tabs>
        <w:numPr>
          <w:ilvl w:val="0"/>
          <w:numId w:val="185"/>
        </w:numPr>
        <w:rPr>
          <w:rFonts w:ascii="Arial" w:cs="Arial" w:eastAsia="Arial" w:hAnsi="Arial"/>
          <w:sz w:val="17"/>
          <w:szCs w:val="17"/>
          <w:color w:val="auto"/>
        </w:rPr>
      </w:pPr>
      <w:r>
        <w:rPr>
          <w:rFonts w:ascii="Arial" w:cs="Arial" w:eastAsia="Arial" w:hAnsi="Arial"/>
          <w:sz w:val="17"/>
          <w:szCs w:val="17"/>
          <w:color w:val="auto"/>
        </w:rPr>
        <w:t>This Letter Agreement shall terminate on the earlier of (i) the expiration of the Lock-up Periods and (ii) the liquidation of the Company; provided, however, that this Letter Agreement shall earlier terminate in the event that the Public Offering is not consummated and closed by [●], 2021; provided further that paragraph 6 of this Letter Agreement shall survive such liquidation.</w:t>
      </w:r>
    </w:p>
    <w:p>
      <w:pPr>
        <w:spacing w:after="0" w:line="165" w:lineRule="exact"/>
        <w:rPr>
          <w:sz w:val="20"/>
          <w:szCs w:val="20"/>
          <w:color w:val="auto"/>
        </w:rPr>
      </w:pPr>
    </w:p>
    <w:p>
      <w:pPr>
        <w:ind w:left="40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333" w:lineRule="exact"/>
        <w:rPr>
          <w:sz w:val="20"/>
          <w:szCs w:val="20"/>
          <w:color w:val="auto"/>
        </w:rPr>
      </w:pPr>
    </w:p>
    <w:p>
      <w:pPr>
        <w:ind w:left="4904"/>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800" w:right="339" w:bottom="1440" w:gutter="0" w:footer="0" w:header="0"/>
        </w:sectPr>
      </w:pPr>
    </w:p>
    <w:bookmarkStart w:id="280" w:name="page281"/>
    <w:bookmarkEnd w:id="280"/>
    <w:p>
      <w:pPr>
        <w:ind w:left="6760"/>
        <w:spacing w:after="0"/>
        <w:rPr>
          <w:sz w:val="20"/>
          <w:szCs w:val="20"/>
          <w:color w:val="auto"/>
        </w:rPr>
      </w:pPr>
      <w:r>
        <w:rPr>
          <w:rFonts w:ascii="Arial" w:cs="Arial" w:eastAsia="Arial" w:hAnsi="Arial"/>
          <w:sz w:val="18"/>
          <w:szCs w:val="18"/>
          <w:color w:val="auto"/>
        </w:rPr>
        <w:t>Sincerely,</w:t>
      </w:r>
    </w:p>
    <w:p>
      <w:pPr>
        <w:spacing w:after="0" w:line="221" w:lineRule="exact"/>
        <w:rPr>
          <w:sz w:val="20"/>
          <w:szCs w:val="20"/>
          <w:color w:val="auto"/>
        </w:rPr>
      </w:pPr>
    </w:p>
    <w:p>
      <w:pPr>
        <w:jc w:val="right"/>
        <w:ind w:right="659"/>
        <w:spacing w:after="0"/>
        <w:rPr>
          <w:sz w:val="20"/>
          <w:szCs w:val="20"/>
          <w:color w:val="auto"/>
        </w:rPr>
      </w:pPr>
      <w:r>
        <w:rPr>
          <w:rFonts w:ascii="Arial" w:cs="Arial" w:eastAsia="Arial" w:hAnsi="Arial"/>
          <w:sz w:val="18"/>
          <w:szCs w:val="18"/>
          <w:b w:val="1"/>
          <w:bCs w:val="1"/>
          <w:color w:val="auto"/>
        </w:rPr>
        <w:t>FREEDOM ACQUISITION I LLC</w:t>
      </w:r>
    </w:p>
    <w:p>
      <w:pPr>
        <w:spacing w:after="0" w:line="200" w:lineRule="exact"/>
        <w:rPr>
          <w:sz w:val="20"/>
          <w:szCs w:val="20"/>
          <w:color w:val="auto"/>
        </w:rPr>
      </w:pPr>
    </w:p>
    <w:p>
      <w:pPr>
        <w:spacing w:after="0" w:line="24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By</w:t>
      </w:r>
    </w:p>
    <w:p>
      <w:pPr>
        <w:spacing w:after="0" w:line="239"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-130175</wp:posOffset>
            </wp:positionV>
            <wp:extent cx="2554605"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66">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3"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14605</wp:posOffset>
            </wp:positionV>
            <wp:extent cx="2554605"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67">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3"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7"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14605</wp:posOffset>
            </wp:positionV>
            <wp:extent cx="2554605"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68">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3"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14605</wp:posOffset>
            </wp:positionV>
            <wp:extent cx="2554605"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69">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3"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14605</wp:posOffset>
            </wp:positionV>
            <wp:extent cx="2554605"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70">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3"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14605</wp:posOffset>
            </wp:positionV>
            <wp:extent cx="2554605"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71">
                      <a:extLst>
                        <a:ext uri="{28A0092B-C50C-407E-A947-70E740481C1C}"/>
                      </a:extLst>
                    </a:blip>
                    <a:srcRect/>
                    <a:stretch>
                      <a:fillRect/>
                    </a:stretch>
                  </pic:blipFill>
                  <pic:spPr bwMode="auto">
                    <a:xfrm>
                      <a:off x="0" y="0"/>
                      <a:ext cx="2554605" cy="8890"/>
                    </a:xfrm>
                    <a:prstGeom prst="rect">
                      <a:avLst/>
                    </a:prstGeom>
                    <a:noFill/>
                  </pic:spPr>
                </pic:pic>
              </a:graphicData>
            </a:graphic>
          </wp:anchor>
        </w:drawing>
      </w:r>
    </w:p>
    <w:p>
      <w:pPr>
        <w:spacing w:after="0" w:line="3"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14605</wp:posOffset>
            </wp:positionV>
            <wp:extent cx="2554605"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72">
                      <a:extLst>
                        <a:ext uri="{28A0092B-C50C-407E-A947-70E740481C1C}"/>
                      </a:extLst>
                    </a:blip>
                    <a:srcRect/>
                    <a:stretch>
                      <a:fillRect/>
                    </a:stretch>
                  </pic:blipFill>
                  <pic:spPr bwMode="auto">
                    <a:xfrm>
                      <a:off x="0" y="0"/>
                      <a:ext cx="2554605" cy="8890"/>
                    </a:xfrm>
                    <a:prstGeom prst="rect">
                      <a:avLst/>
                    </a:prstGeom>
                    <a:noFill/>
                  </pic:spPr>
                </pic:pic>
              </a:graphicData>
            </a:graphic>
          </wp:anchor>
        </w:drawing>
      </w:r>
    </w:p>
    <w:p>
      <w:pPr>
        <w:spacing w:after="0" w:line="3"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Acknowledged and Agreed: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FREEDOM ACQUISITION I CORP.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2562860"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7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Letter Agreement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827" w:right="1440" w:bottom="1440" w:gutter="0" w:footer="0" w:header="0"/>
        </w:sectPr>
      </w:pPr>
    </w:p>
    <w:bookmarkStart w:id="281" w:name="page282"/>
    <w:bookmarkEnd w:id="281"/>
    <w:p>
      <w:pPr>
        <w:jc w:val="right"/>
        <w:spacing w:after="0"/>
        <w:rPr>
          <w:sz w:val="20"/>
          <w:szCs w:val="20"/>
          <w:color w:val="auto"/>
        </w:rPr>
      </w:pPr>
      <w:r>
        <w:rPr>
          <w:rFonts w:ascii="Arial" w:cs="Arial" w:eastAsia="Arial" w:hAnsi="Arial"/>
          <w:sz w:val="22"/>
          <w:szCs w:val="22"/>
          <w:b w:val="1"/>
          <w:bCs w:val="1"/>
          <w:color w:val="auto"/>
        </w:rPr>
        <w:t>Exhibit 10.2</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INVESTMENT MANAGEMENT TRUST AGREEMENT</w:t>
      </w:r>
    </w:p>
    <w:p>
      <w:pPr>
        <w:spacing w:after="0" w:line="229"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This Investment Management Trust Agreement (this “</w:t>
      </w:r>
      <w:r>
        <w:rPr>
          <w:rFonts w:ascii="Arial" w:cs="Arial" w:eastAsia="Arial" w:hAnsi="Arial"/>
          <w:sz w:val="16"/>
          <w:szCs w:val="16"/>
          <w:b w:val="1"/>
          <w:bCs w:val="1"/>
          <w:i w:val="1"/>
          <w:iCs w:val="1"/>
          <w:color w:val="auto"/>
        </w:rPr>
        <w:t>Agreement</w:t>
      </w:r>
      <w:r>
        <w:rPr>
          <w:rFonts w:ascii="Arial" w:cs="Arial" w:eastAsia="Arial" w:hAnsi="Arial"/>
          <w:sz w:val="16"/>
          <w:szCs w:val="16"/>
          <w:color w:val="auto"/>
        </w:rPr>
        <w:t>”) is made effective as of [●], 2021 by and between Freedom Acquisition I Corp., a Cayman Islands exempted company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and Continental Stock Transfer &amp; Trust Company, a New York corporation (the “</w:t>
      </w:r>
      <w:r>
        <w:rPr>
          <w:rFonts w:ascii="Arial" w:cs="Arial" w:eastAsia="Arial" w:hAnsi="Arial"/>
          <w:sz w:val="16"/>
          <w:szCs w:val="16"/>
          <w:b w:val="1"/>
          <w:bCs w:val="1"/>
          <w:i w:val="1"/>
          <w:iCs w:val="1"/>
          <w:color w:val="auto"/>
        </w:rPr>
        <w:t>Trustee</w:t>
      </w:r>
      <w:r>
        <w:rPr>
          <w:rFonts w:ascii="Arial" w:cs="Arial" w:eastAsia="Arial" w:hAnsi="Arial"/>
          <w:sz w:val="16"/>
          <w:szCs w:val="16"/>
          <w:color w:val="auto"/>
        </w:rPr>
        <w:t>”).</w:t>
      </w:r>
    </w:p>
    <w:p>
      <w:pPr>
        <w:spacing w:after="0" w:line="12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WHEREAS, the Company’s registration statement on Form S-1, File No. 333-[ ● ] (the “</w:t>
      </w:r>
      <w:r>
        <w:rPr>
          <w:rFonts w:ascii="Arial" w:cs="Arial" w:eastAsia="Arial" w:hAnsi="Arial"/>
          <w:sz w:val="18"/>
          <w:szCs w:val="18"/>
          <w:b w:val="1"/>
          <w:bCs w:val="1"/>
          <w:i w:val="1"/>
          <w:iCs w:val="1"/>
          <w:color w:val="auto"/>
        </w:rPr>
        <w:t>Registration Statement</w:t>
      </w:r>
      <w:r>
        <w:rPr>
          <w:rFonts w:ascii="Arial" w:cs="Arial" w:eastAsia="Arial" w:hAnsi="Arial"/>
          <w:sz w:val="18"/>
          <w:szCs w:val="18"/>
          <w:color w:val="auto"/>
        </w:rPr>
        <w:t>”) and prospectus (the “</w:t>
      </w:r>
      <w:r>
        <w:rPr>
          <w:rFonts w:ascii="Arial" w:cs="Arial" w:eastAsia="Arial" w:hAnsi="Arial"/>
          <w:sz w:val="18"/>
          <w:szCs w:val="18"/>
          <w:b w:val="1"/>
          <w:bCs w:val="1"/>
          <w:i w:val="1"/>
          <w:iCs w:val="1"/>
          <w:color w:val="auto"/>
        </w:rPr>
        <w:t>Prospectus</w:t>
      </w:r>
      <w:r>
        <w:rPr>
          <w:rFonts w:ascii="Arial" w:cs="Arial" w:eastAsia="Arial" w:hAnsi="Arial"/>
          <w:sz w:val="18"/>
          <w:szCs w:val="18"/>
          <w:color w:val="auto"/>
        </w:rPr>
        <w:t>”) for the initial public offering (the “</w:t>
      </w:r>
      <w:r>
        <w:rPr>
          <w:rFonts w:ascii="Arial" w:cs="Arial" w:eastAsia="Arial" w:hAnsi="Arial"/>
          <w:sz w:val="18"/>
          <w:szCs w:val="18"/>
          <w:b w:val="1"/>
          <w:bCs w:val="1"/>
          <w:i w:val="1"/>
          <w:iCs w:val="1"/>
          <w:color w:val="auto"/>
        </w:rPr>
        <w:t>Offering</w:t>
      </w:r>
      <w:r>
        <w:rPr>
          <w:rFonts w:ascii="Arial" w:cs="Arial" w:eastAsia="Arial" w:hAnsi="Arial"/>
          <w:sz w:val="18"/>
          <w:szCs w:val="18"/>
          <w:color w:val="auto"/>
        </w:rPr>
        <w:t>”) of the Company’s units (the “</w:t>
      </w:r>
      <w:r>
        <w:rPr>
          <w:rFonts w:ascii="Arial" w:cs="Arial" w:eastAsia="Arial" w:hAnsi="Arial"/>
          <w:sz w:val="18"/>
          <w:szCs w:val="18"/>
          <w:b w:val="1"/>
          <w:bCs w:val="1"/>
          <w:i w:val="1"/>
          <w:iCs w:val="1"/>
          <w:color w:val="auto"/>
        </w:rPr>
        <w:t>Units</w:t>
      </w:r>
      <w:r>
        <w:rPr>
          <w:rFonts w:ascii="Arial" w:cs="Arial" w:eastAsia="Arial" w:hAnsi="Arial"/>
          <w:sz w:val="18"/>
          <w:szCs w:val="18"/>
          <w:color w:val="auto"/>
        </w:rPr>
        <w:t>”), each of which consists of one Class A ordinary share, par value $0.0001 per share (the “</w:t>
      </w:r>
      <w:r>
        <w:rPr>
          <w:rFonts w:ascii="Arial" w:cs="Arial" w:eastAsia="Arial" w:hAnsi="Arial"/>
          <w:sz w:val="18"/>
          <w:szCs w:val="18"/>
          <w:b w:val="1"/>
          <w:bCs w:val="1"/>
          <w:i w:val="1"/>
          <w:iCs w:val="1"/>
          <w:color w:val="auto"/>
        </w:rPr>
        <w:t>Ordinary Shares</w:t>
      </w:r>
      <w:r>
        <w:rPr>
          <w:rFonts w:ascii="Arial" w:cs="Arial" w:eastAsia="Arial" w:hAnsi="Arial"/>
          <w:sz w:val="18"/>
          <w:szCs w:val="18"/>
          <w:color w:val="auto"/>
        </w:rPr>
        <w:t>”), and one-fourth of one redeemable warrant, has been declared effective as of the date hereof by the U.S. Securities and Exchange Commission;</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WHEREAS, the Company has entered into an Underwriting Agreement (the “</w:t>
      </w:r>
      <w:r>
        <w:rPr>
          <w:rFonts w:ascii="Arial" w:cs="Arial" w:eastAsia="Arial" w:hAnsi="Arial"/>
          <w:sz w:val="18"/>
          <w:szCs w:val="18"/>
          <w:b w:val="1"/>
          <w:bCs w:val="1"/>
          <w:i w:val="1"/>
          <w:iCs w:val="1"/>
          <w:color w:val="auto"/>
        </w:rPr>
        <w:t>Underwriting Agreement</w:t>
      </w:r>
      <w:r>
        <w:rPr>
          <w:rFonts w:ascii="Arial" w:cs="Arial" w:eastAsia="Arial" w:hAnsi="Arial"/>
          <w:sz w:val="18"/>
          <w:szCs w:val="18"/>
          <w:color w:val="auto"/>
        </w:rPr>
        <w:t>”) with J.P. Morgan Securities LLC, as representative (the “</w:t>
      </w:r>
      <w:r>
        <w:rPr>
          <w:rFonts w:ascii="Arial" w:cs="Arial" w:eastAsia="Arial" w:hAnsi="Arial"/>
          <w:sz w:val="18"/>
          <w:szCs w:val="18"/>
          <w:b w:val="1"/>
          <w:bCs w:val="1"/>
          <w:i w:val="1"/>
          <w:iCs w:val="1"/>
          <w:color w:val="auto"/>
        </w:rPr>
        <w:t>Representative</w:t>
      </w:r>
      <w:r>
        <w:rPr>
          <w:rFonts w:ascii="Arial" w:cs="Arial" w:eastAsia="Arial" w:hAnsi="Arial"/>
          <w:sz w:val="18"/>
          <w:szCs w:val="18"/>
          <w:color w:val="auto"/>
        </w:rPr>
        <w:t>”) of the several underwriters (the “</w:t>
      </w:r>
      <w:r>
        <w:rPr>
          <w:rFonts w:ascii="Arial" w:cs="Arial" w:eastAsia="Arial" w:hAnsi="Arial"/>
          <w:sz w:val="18"/>
          <w:szCs w:val="18"/>
          <w:b w:val="1"/>
          <w:bCs w:val="1"/>
          <w:i w:val="1"/>
          <w:iCs w:val="1"/>
          <w:color w:val="auto"/>
        </w:rPr>
        <w:t>Underwriters</w:t>
      </w:r>
      <w:r>
        <w:rPr>
          <w:rFonts w:ascii="Arial" w:cs="Arial" w:eastAsia="Arial" w:hAnsi="Arial"/>
          <w:sz w:val="18"/>
          <w:szCs w:val="18"/>
          <w:color w:val="auto"/>
        </w:rPr>
        <w:t>”) named therein;</w:t>
      </w:r>
    </w:p>
    <w:p>
      <w:pPr>
        <w:spacing w:after="0" w:line="170"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WHEREAS, as described in the Prospectus, $250,000,000 of the gross proceeds of the Offering and sale of the Private Placement Warrants (as defined in the Underwriting Agreement) (or $287,500,000 if the Underwriters’ over-allotment option is exercised in full) will be delivered to the Trustee to be deposited and held in a segregated trust account located at all times in the United States (the “</w:t>
      </w:r>
      <w:r>
        <w:rPr>
          <w:rFonts w:ascii="Arial" w:cs="Arial" w:eastAsia="Arial" w:hAnsi="Arial"/>
          <w:sz w:val="16"/>
          <w:szCs w:val="16"/>
          <w:b w:val="1"/>
          <w:bCs w:val="1"/>
          <w:i w:val="1"/>
          <w:iCs w:val="1"/>
          <w:color w:val="auto"/>
        </w:rPr>
        <w:t>Trust Account</w:t>
      </w:r>
      <w:r>
        <w:rPr>
          <w:rFonts w:ascii="Arial" w:cs="Arial" w:eastAsia="Arial" w:hAnsi="Arial"/>
          <w:sz w:val="16"/>
          <w:szCs w:val="16"/>
          <w:color w:val="auto"/>
        </w:rPr>
        <w:t>”) for the benefit of the Company and the holders of the Ordinary Shares included in the Units issued in the Offering as hereinafter provided (the amount to be delivered to the Trustee (and any interest subsequently earned thereon) is referred to herein as the “</w:t>
      </w:r>
      <w:r>
        <w:rPr>
          <w:rFonts w:ascii="Arial" w:cs="Arial" w:eastAsia="Arial" w:hAnsi="Arial"/>
          <w:sz w:val="16"/>
          <w:szCs w:val="16"/>
          <w:b w:val="1"/>
          <w:bCs w:val="1"/>
          <w:i w:val="1"/>
          <w:iCs w:val="1"/>
          <w:color w:val="auto"/>
        </w:rPr>
        <w:t>Property</w:t>
      </w:r>
      <w:r>
        <w:rPr>
          <w:rFonts w:ascii="Arial" w:cs="Arial" w:eastAsia="Arial" w:hAnsi="Arial"/>
          <w:sz w:val="16"/>
          <w:szCs w:val="16"/>
          <w:i w:val="1"/>
          <w:iCs w:val="1"/>
          <w:color w:val="auto"/>
        </w:rPr>
        <w:t>,</w:t>
      </w:r>
      <w:r>
        <w:rPr>
          <w:rFonts w:ascii="Arial" w:cs="Arial" w:eastAsia="Arial" w:hAnsi="Arial"/>
          <w:sz w:val="16"/>
          <w:szCs w:val="16"/>
          <w:color w:val="auto"/>
        </w:rPr>
        <w:t>” the shareholders for whose benefit the Trustee shall hold the Property will be referred to as the “</w:t>
      </w:r>
      <w:r>
        <w:rPr>
          <w:rFonts w:ascii="Arial" w:cs="Arial" w:eastAsia="Arial" w:hAnsi="Arial"/>
          <w:sz w:val="16"/>
          <w:szCs w:val="16"/>
          <w:b w:val="1"/>
          <w:bCs w:val="1"/>
          <w:i w:val="1"/>
          <w:iCs w:val="1"/>
          <w:color w:val="auto"/>
        </w:rPr>
        <w:t>Public Shareholders</w:t>
      </w:r>
      <w:r>
        <w:rPr>
          <w:rFonts w:ascii="Arial" w:cs="Arial" w:eastAsia="Arial" w:hAnsi="Arial"/>
          <w:sz w:val="16"/>
          <w:szCs w:val="16"/>
          <w:color w:val="auto"/>
        </w:rPr>
        <w:t>,” and the Public Shareholders and the Company will be referred to together as the “</w:t>
      </w:r>
      <w:r>
        <w:rPr>
          <w:rFonts w:ascii="Arial" w:cs="Arial" w:eastAsia="Arial" w:hAnsi="Arial"/>
          <w:sz w:val="16"/>
          <w:szCs w:val="16"/>
          <w:b w:val="1"/>
          <w:bCs w:val="1"/>
          <w:i w:val="1"/>
          <w:iCs w:val="1"/>
          <w:color w:val="auto"/>
        </w:rPr>
        <w:t>Beneficiaries</w:t>
      </w:r>
      <w:r>
        <w:rPr>
          <w:rFonts w:ascii="Arial" w:cs="Arial" w:eastAsia="Arial" w:hAnsi="Arial"/>
          <w:sz w:val="16"/>
          <w:szCs w:val="16"/>
          <w:color w:val="auto"/>
        </w:rPr>
        <w:t>”);</w:t>
      </w:r>
    </w:p>
    <w:p>
      <w:pPr>
        <w:spacing w:after="0" w:line="16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WHEREAS, pursuant to the Underwriting Agreement, a portion of the Property equal to $8,750,000, or $10,062,500 if the Underwriters’ over-allotment option is exercised in full, is attributable to deferred underwriting discounts and commissions that will be payable by the Company to the Underwriters upon and concurrently with the consummation of the Business Combination (as defined below) (the “</w:t>
      </w:r>
      <w:r>
        <w:rPr>
          <w:rFonts w:ascii="Arial" w:cs="Arial" w:eastAsia="Arial" w:hAnsi="Arial"/>
          <w:sz w:val="17"/>
          <w:szCs w:val="17"/>
          <w:b w:val="1"/>
          <w:bCs w:val="1"/>
          <w:i w:val="1"/>
          <w:iCs w:val="1"/>
          <w:color w:val="auto"/>
        </w:rPr>
        <w:t>Deferred Discount</w:t>
      </w:r>
      <w:r>
        <w:rPr>
          <w:rFonts w:ascii="Arial" w:cs="Arial" w:eastAsia="Arial" w:hAnsi="Arial"/>
          <w:sz w:val="17"/>
          <w:szCs w:val="17"/>
          <w:color w:val="auto"/>
        </w:rPr>
        <w:t>”); and</w:t>
      </w:r>
    </w:p>
    <w:p>
      <w:pPr>
        <w:spacing w:after="0" w:line="16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WHEREAS, the Company and the Trustee desire to enter into this Agreement to set forth the terms and conditions pursuant to which the Trustee shall hold the Property.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NOW THEREFORE, IT IS AGREED:</w:t>
      </w:r>
    </w:p>
    <w:p>
      <w:pPr>
        <w:spacing w:after="0" w:line="225" w:lineRule="exact"/>
        <w:rPr>
          <w:sz w:val="20"/>
          <w:szCs w:val="20"/>
          <w:color w:val="auto"/>
        </w:rPr>
      </w:pPr>
    </w:p>
    <w:p>
      <w:pPr>
        <w:ind w:left="1100" w:hanging="444"/>
        <w:spacing w:after="0"/>
        <w:tabs>
          <w:tab w:leader="none" w:pos="1100" w:val="left"/>
        </w:tabs>
        <w:numPr>
          <w:ilvl w:val="0"/>
          <w:numId w:val="186"/>
        </w:numPr>
        <w:rPr>
          <w:rFonts w:ascii="Arial" w:cs="Arial" w:eastAsia="Arial" w:hAnsi="Arial"/>
          <w:sz w:val="18"/>
          <w:szCs w:val="18"/>
          <w:color w:val="auto"/>
        </w:rPr>
      </w:pPr>
      <w:r>
        <w:rPr>
          <w:rFonts w:ascii="Arial" w:cs="Arial" w:eastAsia="Arial" w:hAnsi="Arial"/>
          <w:sz w:val="18"/>
          <w:szCs w:val="18"/>
          <w:u w:val="single" w:color="auto"/>
          <w:color w:val="auto"/>
        </w:rPr>
        <w:t>Agreements and Covenants of Trustee</w:t>
      </w:r>
      <w:r>
        <w:rPr>
          <w:rFonts w:ascii="Arial" w:cs="Arial" w:eastAsia="Arial" w:hAnsi="Arial"/>
          <w:sz w:val="18"/>
          <w:szCs w:val="18"/>
          <w:color w:val="auto"/>
        </w:rPr>
        <w:t>. The Trustee hereby agrees and covenants to:</w:t>
      </w:r>
    </w:p>
    <w:p>
      <w:pPr>
        <w:spacing w:after="0" w:line="225" w:lineRule="exact"/>
        <w:rPr>
          <w:rFonts w:ascii="Arial" w:cs="Arial" w:eastAsia="Arial" w:hAnsi="Arial"/>
          <w:sz w:val="18"/>
          <w:szCs w:val="18"/>
          <w:color w:val="auto"/>
        </w:rPr>
      </w:pPr>
    </w:p>
    <w:p>
      <w:pPr>
        <w:jc w:val="both"/>
        <w:ind w:firstLine="1304"/>
        <w:spacing w:after="0" w:line="286" w:lineRule="auto"/>
        <w:tabs>
          <w:tab w:leader="none" w:pos="1814" w:val="left"/>
        </w:tabs>
        <w:numPr>
          <w:ilvl w:val="1"/>
          <w:numId w:val="186"/>
        </w:numPr>
        <w:rPr>
          <w:rFonts w:ascii="Arial" w:cs="Arial" w:eastAsia="Arial" w:hAnsi="Arial"/>
          <w:sz w:val="17"/>
          <w:szCs w:val="17"/>
          <w:color w:val="auto"/>
        </w:rPr>
      </w:pPr>
      <w:r>
        <w:rPr>
          <w:rFonts w:ascii="Arial" w:cs="Arial" w:eastAsia="Arial" w:hAnsi="Arial"/>
          <w:sz w:val="17"/>
          <w:szCs w:val="17"/>
          <w:color w:val="auto"/>
        </w:rPr>
        <w:t>Hold the Property in trust for the Beneficiaries in accordance with the terms of this Agreement in the Trust Account established by the Trustee in the United States at J.P. Morgan Chase Bank, N.A. (or at another U.S. chartered commercial bank with consolidated assets of $100 billion or more) and at a brokerage institution selected by the Trustee that is reasonably satisfactory to the Company;</w:t>
      </w:r>
    </w:p>
    <w:p>
      <w:pPr>
        <w:spacing w:after="0" w:line="165" w:lineRule="exact"/>
        <w:rPr>
          <w:rFonts w:ascii="Arial" w:cs="Arial" w:eastAsia="Arial" w:hAnsi="Arial"/>
          <w:sz w:val="17"/>
          <w:szCs w:val="17"/>
          <w:color w:val="auto"/>
        </w:rPr>
      </w:pPr>
    </w:p>
    <w:p>
      <w:pPr>
        <w:ind w:left="1820" w:hanging="516"/>
        <w:spacing w:after="0"/>
        <w:tabs>
          <w:tab w:leader="none" w:pos="1820" w:val="left"/>
        </w:tabs>
        <w:numPr>
          <w:ilvl w:val="1"/>
          <w:numId w:val="186"/>
        </w:numPr>
        <w:rPr>
          <w:rFonts w:ascii="Arial" w:cs="Arial" w:eastAsia="Arial" w:hAnsi="Arial"/>
          <w:sz w:val="18"/>
          <w:szCs w:val="18"/>
          <w:color w:val="auto"/>
        </w:rPr>
      </w:pPr>
      <w:r>
        <w:rPr>
          <w:rFonts w:ascii="Arial" w:cs="Arial" w:eastAsia="Arial" w:hAnsi="Arial"/>
          <w:sz w:val="18"/>
          <w:szCs w:val="18"/>
          <w:color w:val="auto"/>
        </w:rPr>
        <w:t>Manage, supervise and administer the Trust Account subject to the terms and conditions set forth herein;</w:t>
      </w:r>
    </w:p>
    <w:p>
      <w:pPr>
        <w:spacing w:after="0" w:line="225" w:lineRule="exact"/>
        <w:rPr>
          <w:rFonts w:ascii="Arial" w:cs="Arial" w:eastAsia="Arial" w:hAnsi="Arial"/>
          <w:sz w:val="18"/>
          <w:szCs w:val="18"/>
          <w:color w:val="auto"/>
        </w:rPr>
      </w:pPr>
    </w:p>
    <w:p>
      <w:pPr>
        <w:jc w:val="both"/>
        <w:ind w:firstLine="1304"/>
        <w:spacing w:after="0" w:line="255" w:lineRule="auto"/>
        <w:tabs>
          <w:tab w:leader="none" w:pos="2010" w:val="left"/>
        </w:tabs>
        <w:numPr>
          <w:ilvl w:val="1"/>
          <w:numId w:val="186"/>
        </w:numPr>
        <w:rPr>
          <w:rFonts w:ascii="Arial" w:cs="Arial" w:eastAsia="Arial" w:hAnsi="Arial"/>
          <w:sz w:val="18"/>
          <w:szCs w:val="18"/>
          <w:color w:val="auto"/>
        </w:rPr>
      </w:pPr>
      <w:r>
        <w:rPr>
          <w:rFonts w:ascii="Arial" w:cs="Arial" w:eastAsia="Arial" w:hAnsi="Arial"/>
          <w:sz w:val="18"/>
          <w:szCs w:val="18"/>
          <w:color w:val="auto"/>
        </w:rPr>
        <w:t>In a timely manner, upon the written instruction of the Company, invest and reinvest the Property solely in United States government securities within the meaning of Section 2(a)(16) of the Investment Company Act of 1940, as amended, having a maturity of 185 days or less, or in money market funds meeting the conditions of paragraphs (d)(1), (d)(2), (d)(3) and (d)(4) of Rule 2a-7 promulgated under the Investment Company Act of 1940, as amended (or any successor rule), which invest only in direct U.S. government treasury obligations, as determined by the Company; it being understood that the Trust Account will earn no interest while account funds are uninvested awaiting the Company’s instructions hereunder and the Trustee may earn bank credits or other consideration;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354330</wp:posOffset>
            </wp:positionV>
            <wp:extent cx="7132320"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7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282" w:name="page283"/>
    <w:bookmarkEnd w:id="282"/>
    <w:p>
      <w:pPr>
        <w:ind w:left="1820" w:hanging="516"/>
        <w:spacing w:after="0"/>
        <w:tabs>
          <w:tab w:leader="none" w:pos="1820" w:val="left"/>
        </w:tabs>
        <w:numPr>
          <w:ilvl w:val="0"/>
          <w:numId w:val="187"/>
        </w:numPr>
        <w:rPr>
          <w:rFonts w:ascii="Arial" w:cs="Arial" w:eastAsia="Arial" w:hAnsi="Arial"/>
          <w:sz w:val="16"/>
          <w:szCs w:val="16"/>
          <w:color w:val="auto"/>
        </w:rPr>
      </w:pPr>
      <w:r>
        <w:rPr>
          <w:rFonts w:ascii="Arial" w:cs="Arial" w:eastAsia="Arial" w:hAnsi="Arial"/>
          <w:sz w:val="16"/>
          <w:szCs w:val="16"/>
          <w:color w:val="auto"/>
        </w:rPr>
        <w:t>Collect and receive, when due, all interest or other income arising from the Property, which shall become part of the “Property,” as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such term is used herein;</w:t>
      </w:r>
    </w:p>
    <w:p>
      <w:pPr>
        <w:spacing w:after="0" w:line="210" w:lineRule="exact"/>
        <w:rPr>
          <w:rFonts w:ascii="Arial" w:cs="Arial" w:eastAsia="Arial" w:hAnsi="Arial"/>
          <w:sz w:val="16"/>
          <w:szCs w:val="16"/>
          <w:color w:val="auto"/>
        </w:rPr>
      </w:pPr>
    </w:p>
    <w:p>
      <w:pPr>
        <w:ind w:right="20" w:firstLine="1304"/>
        <w:spacing w:after="0" w:line="277" w:lineRule="auto"/>
        <w:tabs>
          <w:tab w:leader="none" w:pos="1845" w:val="left"/>
        </w:tabs>
        <w:numPr>
          <w:ilvl w:val="0"/>
          <w:numId w:val="187"/>
        </w:numPr>
        <w:rPr>
          <w:rFonts w:ascii="Arial" w:cs="Arial" w:eastAsia="Arial" w:hAnsi="Arial"/>
          <w:sz w:val="18"/>
          <w:szCs w:val="18"/>
          <w:color w:val="auto"/>
        </w:rPr>
      </w:pPr>
      <w:r>
        <w:rPr>
          <w:rFonts w:ascii="Arial" w:cs="Arial" w:eastAsia="Arial" w:hAnsi="Arial"/>
          <w:sz w:val="18"/>
          <w:szCs w:val="18"/>
          <w:color w:val="auto"/>
        </w:rPr>
        <w:t>Promptly notify the Company and the Representative of all communications received by the Trustee with respect to any Property requiring action by the Company;</w:t>
      </w:r>
    </w:p>
    <w:p>
      <w:pPr>
        <w:spacing w:after="0" w:line="170" w:lineRule="exact"/>
        <w:rPr>
          <w:rFonts w:ascii="Arial" w:cs="Arial" w:eastAsia="Arial" w:hAnsi="Arial"/>
          <w:sz w:val="18"/>
          <w:szCs w:val="18"/>
          <w:color w:val="auto"/>
        </w:rPr>
      </w:pPr>
    </w:p>
    <w:p>
      <w:pPr>
        <w:ind w:right="20" w:firstLine="1304"/>
        <w:spacing w:after="0" w:line="277" w:lineRule="auto"/>
        <w:tabs>
          <w:tab w:leader="none" w:pos="1791" w:val="left"/>
        </w:tabs>
        <w:numPr>
          <w:ilvl w:val="0"/>
          <w:numId w:val="187"/>
        </w:numPr>
        <w:rPr>
          <w:rFonts w:ascii="Arial" w:cs="Arial" w:eastAsia="Arial" w:hAnsi="Arial"/>
          <w:sz w:val="18"/>
          <w:szCs w:val="18"/>
          <w:color w:val="auto"/>
        </w:rPr>
      </w:pPr>
      <w:r>
        <w:rPr>
          <w:rFonts w:ascii="Arial" w:cs="Arial" w:eastAsia="Arial" w:hAnsi="Arial"/>
          <w:sz w:val="18"/>
          <w:szCs w:val="18"/>
          <w:color w:val="auto"/>
        </w:rPr>
        <w:t>Supply any necessary information or documents as may be requested by the Company (or its authorized agents) in connection with the Company’s preparation of the tax returns relating to assets held in the Trust Account;</w:t>
      </w:r>
    </w:p>
    <w:p>
      <w:pPr>
        <w:spacing w:after="0" w:line="170" w:lineRule="exact"/>
        <w:rPr>
          <w:rFonts w:ascii="Arial" w:cs="Arial" w:eastAsia="Arial" w:hAnsi="Arial"/>
          <w:sz w:val="18"/>
          <w:szCs w:val="18"/>
          <w:color w:val="auto"/>
        </w:rPr>
      </w:pPr>
    </w:p>
    <w:p>
      <w:pPr>
        <w:ind w:right="20" w:firstLine="1304"/>
        <w:spacing w:after="0" w:line="277" w:lineRule="auto"/>
        <w:tabs>
          <w:tab w:leader="none" w:pos="1905" w:val="left"/>
        </w:tabs>
        <w:numPr>
          <w:ilvl w:val="0"/>
          <w:numId w:val="187"/>
        </w:numPr>
        <w:rPr>
          <w:rFonts w:ascii="Arial" w:cs="Arial" w:eastAsia="Arial" w:hAnsi="Arial"/>
          <w:sz w:val="18"/>
          <w:szCs w:val="18"/>
          <w:color w:val="auto"/>
        </w:rPr>
      </w:pPr>
      <w:r>
        <w:rPr>
          <w:rFonts w:ascii="Arial" w:cs="Arial" w:eastAsia="Arial" w:hAnsi="Arial"/>
          <w:sz w:val="18"/>
          <w:szCs w:val="18"/>
          <w:color w:val="auto"/>
        </w:rPr>
        <w:t>Participate in any plan or proceeding for protecting or enforcing any right or interest arising from the Property if, as and when instructed by the Company to do so;</w:t>
      </w:r>
    </w:p>
    <w:p>
      <w:pPr>
        <w:spacing w:after="0" w:line="170" w:lineRule="exact"/>
        <w:rPr>
          <w:rFonts w:ascii="Arial" w:cs="Arial" w:eastAsia="Arial" w:hAnsi="Arial"/>
          <w:sz w:val="18"/>
          <w:szCs w:val="18"/>
          <w:color w:val="auto"/>
        </w:rPr>
      </w:pPr>
    </w:p>
    <w:p>
      <w:pPr>
        <w:ind w:firstLine="1304"/>
        <w:spacing w:after="0" w:line="277" w:lineRule="auto"/>
        <w:tabs>
          <w:tab w:leader="none" w:pos="1875" w:val="left"/>
        </w:tabs>
        <w:numPr>
          <w:ilvl w:val="0"/>
          <w:numId w:val="187"/>
        </w:numPr>
        <w:rPr>
          <w:rFonts w:ascii="Arial" w:cs="Arial" w:eastAsia="Arial" w:hAnsi="Arial"/>
          <w:sz w:val="18"/>
          <w:szCs w:val="18"/>
          <w:color w:val="auto"/>
        </w:rPr>
      </w:pPr>
      <w:r>
        <w:rPr>
          <w:rFonts w:ascii="Arial" w:cs="Arial" w:eastAsia="Arial" w:hAnsi="Arial"/>
          <w:sz w:val="18"/>
          <w:szCs w:val="18"/>
          <w:color w:val="auto"/>
        </w:rPr>
        <w:t>Render to the Company monthly written statements of the activities of, and amounts in, the Trust Account reflecting all receipts and disbursements of the Trust Account;</w:t>
      </w:r>
    </w:p>
    <w:p>
      <w:pPr>
        <w:spacing w:after="0" w:line="170" w:lineRule="exact"/>
        <w:rPr>
          <w:rFonts w:ascii="Arial" w:cs="Arial" w:eastAsia="Arial" w:hAnsi="Arial"/>
          <w:sz w:val="18"/>
          <w:szCs w:val="18"/>
          <w:color w:val="auto"/>
        </w:rPr>
      </w:pPr>
    </w:p>
    <w:p>
      <w:pPr>
        <w:jc w:val="both"/>
        <w:ind w:firstLine="1304"/>
        <w:spacing w:after="0" w:line="269" w:lineRule="auto"/>
        <w:tabs>
          <w:tab w:leader="none" w:pos="1804" w:val="left"/>
        </w:tabs>
        <w:numPr>
          <w:ilvl w:val="0"/>
          <w:numId w:val="187"/>
        </w:numPr>
        <w:rPr>
          <w:rFonts w:ascii="Arial" w:cs="Arial" w:eastAsia="Arial" w:hAnsi="Arial"/>
          <w:sz w:val="17"/>
          <w:szCs w:val="17"/>
          <w:color w:val="auto"/>
        </w:rPr>
      </w:pPr>
      <w:r>
        <w:rPr>
          <w:rFonts w:ascii="Arial" w:cs="Arial" w:eastAsia="Arial" w:hAnsi="Arial"/>
          <w:sz w:val="17"/>
          <w:szCs w:val="17"/>
          <w:color w:val="auto"/>
        </w:rPr>
        <w:t>Commence liquidation of the Trust Account only after and promptly after (x) receipt of, and only in accordance with the terms of, a letter from the Company (“</w:t>
      </w:r>
      <w:r>
        <w:rPr>
          <w:rFonts w:ascii="Arial" w:cs="Arial" w:eastAsia="Arial" w:hAnsi="Arial"/>
          <w:sz w:val="17"/>
          <w:szCs w:val="17"/>
          <w:b w:val="1"/>
          <w:bCs w:val="1"/>
          <w:i w:val="1"/>
          <w:iCs w:val="1"/>
          <w:color w:val="auto"/>
        </w:rPr>
        <w:t>Termination Letter</w:t>
      </w:r>
      <w:r>
        <w:rPr>
          <w:rFonts w:ascii="Arial" w:cs="Arial" w:eastAsia="Arial" w:hAnsi="Arial"/>
          <w:sz w:val="17"/>
          <w:szCs w:val="17"/>
          <w:color w:val="auto"/>
        </w:rPr>
        <w:t xml:space="preserve">”) in a form substantially similar to that attached hereto as either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Exhibit B</w:t>
      </w:r>
      <w:r>
        <w:rPr>
          <w:rFonts w:ascii="Arial" w:cs="Arial" w:eastAsia="Arial" w:hAnsi="Arial"/>
          <w:sz w:val="17"/>
          <w:szCs w:val="17"/>
          <w:color w:val="auto"/>
        </w:rPr>
        <w:t>, as applicable, signed on behalf of the Company by its Chief Executive Officer, Chief Financial Officer, President, Executive Vice President, Vice President, Secretary or Chairman of the board of directors of the Company (the “</w:t>
      </w:r>
      <w:r>
        <w:rPr>
          <w:rFonts w:ascii="Arial" w:cs="Arial" w:eastAsia="Arial" w:hAnsi="Arial"/>
          <w:sz w:val="17"/>
          <w:szCs w:val="17"/>
          <w:b w:val="1"/>
          <w:bCs w:val="1"/>
          <w:i w:val="1"/>
          <w:iCs w:val="1"/>
          <w:color w:val="auto"/>
        </w:rPr>
        <w:t>Board</w:t>
      </w:r>
      <w:r>
        <w:rPr>
          <w:rFonts w:ascii="Arial" w:cs="Arial" w:eastAsia="Arial" w:hAnsi="Arial"/>
          <w:sz w:val="17"/>
          <w:szCs w:val="17"/>
          <w:color w:val="auto"/>
        </w:rPr>
        <w:t xml:space="preserve">”) or other authorized officer of the Company, and, in the case of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acknowledged and agreed to by the Representative, and complete the liquidation of the Trust Account and distribute the Property in the Trust Account, including interest earned on the funds held in the Trust Account (less taxes payable and, in the case of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less up to $100,000 of interest income to pay dissolution expenses), only as directed in the Termination Letter and the other documents referred to therein, or (y) upon the date which is the later of (1) 24 months after the closing of the Offering and (2) such later date as may be approved by the Company’s shareholders in accordance with the Company’s amended and restated memorandum and articles of association if a Termination Letter has not been received by the Trustee prior to such date, in which case the Trust Account shall be liquidated in accordance with the procedures set forth in the Termination Letter attached as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and the Property in the Trust Account, including interest earned on the funds held in the Trust Account (less taxes payable and up to $100,000 of interest income to pay dissolution expenses), shall be distributed to the Public Shareholders of record as of such date;</w:t>
      </w:r>
    </w:p>
    <w:p>
      <w:pPr>
        <w:spacing w:after="0" w:line="178" w:lineRule="exact"/>
        <w:rPr>
          <w:rFonts w:ascii="Arial" w:cs="Arial" w:eastAsia="Arial" w:hAnsi="Arial"/>
          <w:sz w:val="17"/>
          <w:szCs w:val="17"/>
          <w:color w:val="auto"/>
        </w:rPr>
      </w:pPr>
    </w:p>
    <w:p>
      <w:pPr>
        <w:jc w:val="both"/>
        <w:ind w:firstLine="1304"/>
        <w:spacing w:after="0" w:line="269" w:lineRule="auto"/>
        <w:tabs>
          <w:tab w:leader="none" w:pos="1865" w:val="left"/>
        </w:tabs>
        <w:numPr>
          <w:ilvl w:val="0"/>
          <w:numId w:val="187"/>
        </w:numPr>
        <w:rPr>
          <w:rFonts w:ascii="Arial" w:cs="Arial" w:eastAsia="Arial" w:hAnsi="Arial"/>
          <w:sz w:val="17"/>
          <w:szCs w:val="17"/>
          <w:color w:val="auto"/>
        </w:rPr>
      </w:pPr>
      <w:r>
        <w:rPr>
          <w:rFonts w:ascii="Arial" w:cs="Arial" w:eastAsia="Arial" w:hAnsi="Arial"/>
          <w:sz w:val="17"/>
          <w:szCs w:val="17"/>
          <w:color w:val="auto"/>
        </w:rPr>
        <w:t xml:space="preserve">Upon written request from the Company, which may be given from time to time in a form substantially similar to that attached hereto as </w:t>
      </w:r>
      <w:r>
        <w:rPr>
          <w:rFonts w:ascii="Arial" w:cs="Arial" w:eastAsia="Arial" w:hAnsi="Arial"/>
          <w:sz w:val="17"/>
          <w:szCs w:val="17"/>
          <w:u w:val="single" w:color="auto"/>
          <w:color w:val="auto"/>
        </w:rPr>
        <w:t>Exhibit C</w:t>
      </w:r>
      <w:r>
        <w:rPr>
          <w:rFonts w:ascii="Arial" w:cs="Arial" w:eastAsia="Arial" w:hAnsi="Arial"/>
          <w:sz w:val="17"/>
          <w:szCs w:val="17"/>
          <w:color w:val="auto"/>
        </w:rPr>
        <w:t xml:space="preserve"> (a “</w:t>
      </w:r>
      <w:r>
        <w:rPr>
          <w:rFonts w:ascii="Arial" w:cs="Arial" w:eastAsia="Arial" w:hAnsi="Arial"/>
          <w:sz w:val="17"/>
          <w:szCs w:val="17"/>
          <w:b w:val="1"/>
          <w:bCs w:val="1"/>
          <w:i w:val="1"/>
          <w:iCs w:val="1"/>
          <w:color w:val="auto"/>
        </w:rPr>
        <w:t>Tax Payment Withdrawal Instruction</w:t>
      </w:r>
      <w:r>
        <w:rPr>
          <w:rFonts w:ascii="Arial" w:cs="Arial" w:eastAsia="Arial" w:hAnsi="Arial"/>
          <w:sz w:val="17"/>
          <w:szCs w:val="17"/>
          <w:color w:val="auto"/>
        </w:rPr>
        <w:t xml:space="preserve">”), withdraw from the Trust Account and distribute to the Company the amount of interest earned on the Property requested by the Company to cover any tax obligation owed by the Company as a result of assets of the Company or interest or other income earned on the Property, which amount shall be delivered directly to the Company by electronic funds transfer or other method of prompt payment, and the Company shall forward such payment to the relevant taxing authority so long as there is no reduction in the principal amount per share initially deposited in the Trust Account;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to the extent there is not sufficient cash in the Trust Account to pay such tax obligation, the Trustee shall liquidate such assets held in the Trust Account as shall be designated by the Company in writing to make such distribution (it being acknowledged and agreed that any such amount in excess of interest income earned on the Property shall not be payable from the Trust Account). The written request of the Company referenced above shall constitute presumptive evidence that the Company is entitled to said funds, and the Trustee shall have no responsibility to look beyond said request;</w:t>
      </w:r>
    </w:p>
    <w:p>
      <w:pPr>
        <w:spacing w:after="0" w:line="185" w:lineRule="exact"/>
        <w:rPr>
          <w:rFonts w:ascii="Arial" w:cs="Arial" w:eastAsia="Arial" w:hAnsi="Arial"/>
          <w:sz w:val="17"/>
          <w:szCs w:val="17"/>
          <w:color w:val="auto"/>
        </w:rPr>
      </w:pPr>
    </w:p>
    <w:p>
      <w:pPr>
        <w:jc w:val="both"/>
        <w:ind w:firstLine="1304"/>
        <w:spacing w:after="0" w:line="289" w:lineRule="auto"/>
        <w:tabs>
          <w:tab w:leader="none" w:pos="1895" w:val="left"/>
        </w:tabs>
        <w:numPr>
          <w:ilvl w:val="0"/>
          <w:numId w:val="187"/>
        </w:numPr>
        <w:rPr>
          <w:rFonts w:ascii="Arial" w:cs="Arial" w:eastAsia="Arial" w:hAnsi="Arial"/>
          <w:sz w:val="16"/>
          <w:szCs w:val="16"/>
          <w:color w:val="auto"/>
        </w:rPr>
      </w:pPr>
      <w:r>
        <w:rPr>
          <w:rFonts w:ascii="Arial" w:cs="Arial" w:eastAsia="Arial" w:hAnsi="Arial"/>
          <w:sz w:val="16"/>
          <w:szCs w:val="16"/>
          <w:color w:val="auto"/>
        </w:rPr>
        <w:t xml:space="preserve">Upon written request from the Company, which may be given from time to time in a form substantially similar to that attached hereto as </w:t>
      </w:r>
      <w:r>
        <w:rPr>
          <w:rFonts w:ascii="Arial" w:cs="Arial" w:eastAsia="Arial" w:hAnsi="Arial"/>
          <w:sz w:val="16"/>
          <w:szCs w:val="16"/>
          <w:u w:val="single" w:color="auto"/>
          <w:color w:val="auto"/>
        </w:rPr>
        <w:t>Exhibit D</w:t>
      </w:r>
      <w:r>
        <w:rPr>
          <w:rFonts w:ascii="Arial" w:cs="Arial" w:eastAsia="Arial" w:hAnsi="Arial"/>
          <w:sz w:val="16"/>
          <w:szCs w:val="16"/>
          <w:color w:val="auto"/>
        </w:rPr>
        <w:t xml:space="preserve"> (a “</w:t>
      </w:r>
      <w:r>
        <w:rPr>
          <w:rFonts w:ascii="Arial" w:cs="Arial" w:eastAsia="Arial" w:hAnsi="Arial"/>
          <w:sz w:val="16"/>
          <w:szCs w:val="16"/>
          <w:b w:val="1"/>
          <w:bCs w:val="1"/>
          <w:i w:val="1"/>
          <w:iCs w:val="1"/>
          <w:color w:val="auto"/>
        </w:rPr>
        <w:t>Shareholder Redemption Withdrawal Instruction</w:t>
      </w:r>
      <w:r>
        <w:rPr>
          <w:rFonts w:ascii="Arial" w:cs="Arial" w:eastAsia="Arial" w:hAnsi="Arial"/>
          <w:sz w:val="16"/>
          <w:szCs w:val="16"/>
          <w:color w:val="auto"/>
        </w:rPr>
        <w:t xml:space="preserve">”), the Trustee shall distribute to the Public Shareholders on behalf of the Company the amount requested by the Company to be used to redeem Ordinary Shares from Public Shareholders properly submitted in connection with a shareholder vote to approve an amendment to the Company’s amended and restated memorandum and articles of association (A) to modify the substance or timing of the Company’s obligation to allow redemption in connection with its initial business combination or to redeem 100% of the Ordinary Shares included in the Units sold in the Offering (the </w:t>
      </w:r>
      <w:r>
        <w:rPr>
          <w:rFonts w:ascii="Arial" w:cs="Arial" w:eastAsia="Arial" w:hAnsi="Arial"/>
          <w:sz w:val="16"/>
          <w:szCs w:val="16"/>
          <w:b w:val="1"/>
          <w:bCs w:val="1"/>
          <w:color w:val="auto"/>
        </w:rPr>
        <w:t>“public shares”</w:t>
      </w:r>
      <w:r>
        <w:rPr>
          <w:rFonts w:ascii="Arial" w:cs="Arial" w:eastAsia="Arial" w:hAnsi="Arial"/>
          <w:sz w:val="16"/>
          <w:szCs w:val="16"/>
          <w:color w:val="auto"/>
        </w:rPr>
        <w:t>) if the Company has not consummated an initial Business Combination within such time as is described in the Company’s amended and restated memorandum and articles of association or (B) with respect to any other material provisions relating to shareholders’ rights or pre-initial Business Combination activity. The written request of the Company referenced above shall constitute presumptive evidence that the Company is entitled to distribute said funds, and the Trustee shall have no responsibility to look beyond said request; and</w:t>
      </w:r>
    </w:p>
    <w:p>
      <w:pPr>
        <w:spacing w:after="0" w:line="27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283" w:name="page284"/>
    <w:bookmarkEnd w:id="283"/>
    <w:p>
      <w:pPr>
        <w:ind w:left="1780" w:hanging="476"/>
        <w:spacing w:after="0"/>
        <w:tabs>
          <w:tab w:leader="none" w:pos="1780" w:val="left"/>
        </w:tabs>
        <w:numPr>
          <w:ilvl w:val="1"/>
          <w:numId w:val="188"/>
        </w:numPr>
        <w:rPr>
          <w:rFonts w:ascii="Arial" w:cs="Arial" w:eastAsia="Arial" w:hAnsi="Arial"/>
          <w:sz w:val="18"/>
          <w:szCs w:val="18"/>
          <w:color w:val="auto"/>
        </w:rPr>
      </w:pPr>
      <w:r>
        <w:rPr>
          <w:rFonts w:ascii="Arial" w:cs="Arial" w:eastAsia="Arial" w:hAnsi="Arial"/>
          <w:sz w:val="18"/>
          <w:szCs w:val="18"/>
          <w:color w:val="auto"/>
        </w:rPr>
        <w:t xml:space="preserve">Not make any withdrawals or distributions from the Trust Account other than pursuant to </w:t>
      </w:r>
      <w:r>
        <w:rPr>
          <w:rFonts w:ascii="Arial" w:cs="Arial" w:eastAsia="Arial" w:hAnsi="Arial"/>
          <w:sz w:val="18"/>
          <w:szCs w:val="18"/>
          <w:u w:val="single" w:color="auto"/>
          <w:color w:val="auto"/>
        </w:rPr>
        <w:t>Section 1(i)</w:t>
      </w:r>
      <w:r>
        <w:rPr>
          <w:rFonts w:ascii="Arial" w:cs="Arial" w:eastAsia="Arial" w:hAnsi="Arial"/>
          <w:sz w:val="18"/>
          <w:szCs w:val="18"/>
          <w:color w:val="auto"/>
        </w:rPr>
        <w:t xml:space="preserve">, </w:t>
      </w:r>
      <w:r>
        <w:rPr>
          <w:rFonts w:ascii="Arial" w:cs="Arial" w:eastAsia="Arial" w:hAnsi="Arial"/>
          <w:sz w:val="18"/>
          <w:szCs w:val="18"/>
          <w:u w:val="single" w:color="auto"/>
          <w:color w:val="auto"/>
        </w:rPr>
        <w:t>(j)</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(k)</w:t>
      </w:r>
      <w:r>
        <w:rPr>
          <w:rFonts w:ascii="Arial" w:cs="Arial" w:eastAsia="Arial" w:hAnsi="Arial"/>
          <w:sz w:val="18"/>
          <w:szCs w:val="18"/>
          <w:color w:val="auto"/>
        </w:rPr>
        <w:t xml:space="preserve"> above.</w:t>
      </w:r>
    </w:p>
    <w:p>
      <w:pPr>
        <w:spacing w:after="0" w:line="225" w:lineRule="exact"/>
        <w:rPr>
          <w:rFonts w:ascii="Arial" w:cs="Arial" w:eastAsia="Arial" w:hAnsi="Arial"/>
          <w:sz w:val="18"/>
          <w:szCs w:val="18"/>
          <w:color w:val="auto"/>
        </w:rPr>
      </w:pPr>
    </w:p>
    <w:p>
      <w:pPr>
        <w:ind w:left="1100" w:hanging="444"/>
        <w:spacing w:after="0"/>
        <w:tabs>
          <w:tab w:leader="none" w:pos="1100" w:val="left"/>
        </w:tabs>
        <w:numPr>
          <w:ilvl w:val="0"/>
          <w:numId w:val="189"/>
        </w:numPr>
        <w:rPr>
          <w:rFonts w:ascii="Arial" w:cs="Arial" w:eastAsia="Arial" w:hAnsi="Arial"/>
          <w:sz w:val="18"/>
          <w:szCs w:val="18"/>
          <w:color w:val="auto"/>
        </w:rPr>
      </w:pPr>
      <w:r>
        <w:rPr>
          <w:rFonts w:ascii="Arial" w:cs="Arial" w:eastAsia="Arial" w:hAnsi="Arial"/>
          <w:sz w:val="18"/>
          <w:szCs w:val="18"/>
          <w:u w:val="single" w:color="auto"/>
          <w:color w:val="auto"/>
        </w:rPr>
        <w:t>Agreements and Covenants of the Company</w:t>
      </w:r>
      <w:r>
        <w:rPr>
          <w:rFonts w:ascii="Arial" w:cs="Arial" w:eastAsia="Arial" w:hAnsi="Arial"/>
          <w:sz w:val="18"/>
          <w:szCs w:val="18"/>
          <w:color w:val="auto"/>
        </w:rPr>
        <w:t>. The Company hereby agrees and covenants to:</w:t>
      </w:r>
    </w:p>
    <w:p>
      <w:pPr>
        <w:spacing w:after="0" w:line="225" w:lineRule="exact"/>
        <w:rPr>
          <w:rFonts w:ascii="Arial" w:cs="Arial" w:eastAsia="Arial" w:hAnsi="Arial"/>
          <w:sz w:val="18"/>
          <w:szCs w:val="18"/>
          <w:color w:val="auto"/>
        </w:rPr>
      </w:pPr>
    </w:p>
    <w:p>
      <w:pPr>
        <w:jc w:val="both"/>
        <w:ind w:firstLine="1304"/>
        <w:spacing w:after="0" w:line="257" w:lineRule="auto"/>
        <w:tabs>
          <w:tab w:leader="none" w:pos="1966" w:val="left"/>
        </w:tabs>
        <w:numPr>
          <w:ilvl w:val="1"/>
          <w:numId w:val="189"/>
        </w:numPr>
        <w:rPr>
          <w:rFonts w:ascii="Arial" w:cs="Arial" w:eastAsia="Arial" w:hAnsi="Arial"/>
          <w:sz w:val="18"/>
          <w:szCs w:val="18"/>
          <w:color w:val="auto"/>
        </w:rPr>
      </w:pPr>
      <w:r>
        <w:rPr>
          <w:rFonts w:ascii="Arial" w:cs="Arial" w:eastAsia="Arial" w:hAnsi="Arial"/>
          <w:sz w:val="18"/>
          <w:szCs w:val="18"/>
          <w:color w:val="auto"/>
        </w:rPr>
        <w:t xml:space="preserve">Give all instructions to the Trustee hereunder in writing, signed by the Company’s Chairman of the Board, Chief Executive Officer, Chief Financial Officer, President, Executive Vice President, Vice President or Secretary. In addition, except with respect to its duties under </w:t>
      </w:r>
      <w:r>
        <w:rPr>
          <w:rFonts w:ascii="Arial" w:cs="Arial" w:eastAsia="Arial" w:hAnsi="Arial"/>
          <w:sz w:val="18"/>
          <w:szCs w:val="18"/>
          <w:u w:val="single" w:color="auto"/>
          <w:color w:val="auto"/>
        </w:rPr>
        <w:t>Sections 1(i)</w:t>
      </w:r>
      <w:r>
        <w:rPr>
          <w:rFonts w:ascii="Arial" w:cs="Arial" w:eastAsia="Arial" w:hAnsi="Arial"/>
          <w:sz w:val="18"/>
          <w:szCs w:val="18"/>
          <w:color w:val="auto"/>
        </w:rPr>
        <w:t xml:space="preserve">, </w:t>
      </w:r>
      <w:r>
        <w:rPr>
          <w:rFonts w:ascii="Arial" w:cs="Arial" w:eastAsia="Arial" w:hAnsi="Arial"/>
          <w:sz w:val="18"/>
          <w:szCs w:val="18"/>
          <w:u w:val="single" w:color="auto"/>
          <w:color w:val="auto"/>
        </w:rPr>
        <w:t>1(j)</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1(k)</w:t>
      </w:r>
      <w:r>
        <w:rPr>
          <w:rFonts w:ascii="Arial" w:cs="Arial" w:eastAsia="Arial" w:hAnsi="Arial"/>
          <w:sz w:val="18"/>
          <w:szCs w:val="18"/>
          <w:color w:val="auto"/>
        </w:rPr>
        <w:t xml:space="preserve"> hereof, the Trustee shall be entitled to rely on, and shall be protected in relying on, any verbal or telephonic advice or instruction which it, in good faith and with reasonable care, believes to be given by any one of the persons authorized above to give written instructions, provided that the Company shall promptly confirm such instructions in writing;</w:t>
      </w:r>
    </w:p>
    <w:p>
      <w:pPr>
        <w:spacing w:after="0" w:line="187" w:lineRule="exact"/>
        <w:rPr>
          <w:rFonts w:ascii="Arial" w:cs="Arial" w:eastAsia="Arial" w:hAnsi="Arial"/>
          <w:sz w:val="18"/>
          <w:szCs w:val="18"/>
          <w:color w:val="auto"/>
        </w:rPr>
      </w:pPr>
    </w:p>
    <w:p>
      <w:pPr>
        <w:jc w:val="both"/>
        <w:ind w:firstLine="1304"/>
        <w:spacing w:after="0" w:line="288" w:lineRule="auto"/>
        <w:tabs>
          <w:tab w:leader="none" w:pos="1831" w:val="left"/>
        </w:tabs>
        <w:numPr>
          <w:ilvl w:val="1"/>
          <w:numId w:val="189"/>
        </w:numPr>
        <w:rPr>
          <w:rFonts w:ascii="Arial" w:cs="Arial" w:eastAsia="Arial" w:hAnsi="Arial"/>
          <w:sz w:val="16"/>
          <w:szCs w:val="16"/>
          <w:color w:val="auto"/>
        </w:rPr>
      </w:pPr>
      <w:r>
        <w:rPr>
          <w:rFonts w:ascii="Arial" w:cs="Arial" w:eastAsia="Arial" w:hAnsi="Arial"/>
          <w:sz w:val="16"/>
          <w:szCs w:val="16"/>
          <w:color w:val="auto"/>
        </w:rPr>
        <w:t xml:space="preserve">Subject to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hereof, hold the Trustee harmless and indemnify the Trustee from and against any and all expenses, including reasonable counsel fees and disbursements, or losses suffered by the Trustee in connection with any action taken by it hereunder and in connection with any action, suit or other proceeding brought against the Trustee involving any claim, or in connection with any claim or demand, which in any way arises out of or relates to this Agreement, the services of the Trustee hereunder, or the Property or any interest earned on the Property, except for expenses and losses resulting from the Trustee’s gross negligence, fraud or willful misconduct. Promptly after the receipt by the Trustee of notice of demand or claim or the commencement of any action, suit or proceeding, pursuant to which the Trustee intends to seek indemnification under this </w:t>
      </w:r>
      <w:r>
        <w:rPr>
          <w:rFonts w:ascii="Arial" w:cs="Arial" w:eastAsia="Arial" w:hAnsi="Arial"/>
          <w:sz w:val="16"/>
          <w:szCs w:val="16"/>
          <w:u w:val="single" w:color="auto"/>
          <w:color w:val="auto"/>
        </w:rPr>
        <w:t>Section 2(b)</w:t>
      </w:r>
      <w:r>
        <w:rPr>
          <w:rFonts w:ascii="Arial" w:cs="Arial" w:eastAsia="Arial" w:hAnsi="Arial"/>
          <w:sz w:val="16"/>
          <w:szCs w:val="16"/>
          <w:color w:val="auto"/>
        </w:rPr>
        <w:t>, it shall notify the Company in writing of such claim (hereinafter referred to as the “</w:t>
      </w:r>
      <w:r>
        <w:rPr>
          <w:rFonts w:ascii="Arial" w:cs="Arial" w:eastAsia="Arial" w:hAnsi="Arial"/>
          <w:sz w:val="16"/>
          <w:szCs w:val="16"/>
          <w:b w:val="1"/>
          <w:bCs w:val="1"/>
          <w:i w:val="1"/>
          <w:iCs w:val="1"/>
          <w:color w:val="auto"/>
        </w:rPr>
        <w:t>Indemnified Claim</w:t>
      </w:r>
      <w:r>
        <w:rPr>
          <w:rFonts w:ascii="Arial" w:cs="Arial" w:eastAsia="Arial" w:hAnsi="Arial"/>
          <w:sz w:val="16"/>
          <w:szCs w:val="16"/>
          <w:color w:val="auto"/>
        </w:rPr>
        <w:t xml:space="preserve">”). The Trustee shall have the right to conduct and manage the defense against such Indemnified Claim;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Trustee shall obtain the consent of the Company with respect to the selection of counsel, which consent shall not be unreasonably withheld. The Trustee may not agree to settle any Indemnified Claim without the prior written consent of the Company, which such consent shall not be unreasonably withheld. The Company may participate in such action with its own counsel;</w:t>
      </w:r>
    </w:p>
    <w:p>
      <w:pPr>
        <w:spacing w:after="0" w:line="168" w:lineRule="exact"/>
        <w:rPr>
          <w:rFonts w:ascii="Arial" w:cs="Arial" w:eastAsia="Arial" w:hAnsi="Arial"/>
          <w:sz w:val="16"/>
          <w:szCs w:val="16"/>
          <w:color w:val="auto"/>
        </w:rPr>
      </w:pPr>
    </w:p>
    <w:p>
      <w:pPr>
        <w:jc w:val="both"/>
        <w:ind w:firstLine="1304"/>
        <w:spacing w:after="0" w:line="296" w:lineRule="auto"/>
        <w:tabs>
          <w:tab w:leader="none" w:pos="1981" w:val="left"/>
        </w:tabs>
        <w:numPr>
          <w:ilvl w:val="1"/>
          <w:numId w:val="189"/>
        </w:numPr>
        <w:rPr>
          <w:rFonts w:ascii="Arial" w:cs="Arial" w:eastAsia="Arial" w:hAnsi="Arial"/>
          <w:sz w:val="16"/>
          <w:szCs w:val="16"/>
          <w:color w:val="auto"/>
        </w:rPr>
      </w:pPr>
      <w:r>
        <w:rPr>
          <w:rFonts w:ascii="Arial" w:cs="Arial" w:eastAsia="Arial" w:hAnsi="Arial"/>
          <w:sz w:val="16"/>
          <w:szCs w:val="16"/>
          <w:color w:val="auto"/>
        </w:rPr>
        <w:t xml:space="preserve">Pay the Trustee the fees set forth on </w:t>
      </w:r>
      <w:r>
        <w:rPr>
          <w:rFonts w:ascii="Arial" w:cs="Arial" w:eastAsia="Arial" w:hAnsi="Arial"/>
          <w:sz w:val="16"/>
          <w:szCs w:val="16"/>
          <w:u w:val="single" w:color="auto"/>
          <w:color w:val="auto"/>
        </w:rPr>
        <w:t>Schedule A</w:t>
      </w:r>
      <w:r>
        <w:rPr>
          <w:rFonts w:ascii="Arial" w:cs="Arial" w:eastAsia="Arial" w:hAnsi="Arial"/>
          <w:sz w:val="16"/>
          <w:szCs w:val="16"/>
          <w:color w:val="auto"/>
        </w:rPr>
        <w:t xml:space="preserve"> hereto, including an initial acceptance fee, annual administration fee, and transaction processing fee which fees shall be subject to modification by the parties from time to time. It is expressly understood that the Property shall not be used to pay such fees unless and until it is distributed to the Company pursuant to </w:t>
      </w:r>
      <w:r>
        <w:rPr>
          <w:rFonts w:ascii="Arial" w:cs="Arial" w:eastAsia="Arial" w:hAnsi="Arial"/>
          <w:sz w:val="16"/>
          <w:szCs w:val="16"/>
          <w:u w:val="single" w:color="auto"/>
          <w:color w:val="auto"/>
        </w:rPr>
        <w:t>Sections 1(i)</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1(j)</w:t>
      </w:r>
      <w:r>
        <w:rPr>
          <w:rFonts w:ascii="Arial" w:cs="Arial" w:eastAsia="Arial" w:hAnsi="Arial"/>
          <w:sz w:val="16"/>
          <w:szCs w:val="16"/>
          <w:color w:val="auto"/>
        </w:rPr>
        <w:t xml:space="preserve"> hereof. The Company shall pay the Trustee the initial acceptance fee and the first annual administration fee at the consummation of the Offering. The Company shall not be responsible for any other fees or charges of the Trustee except as set forth in this </w:t>
      </w:r>
      <w:r>
        <w:rPr>
          <w:rFonts w:ascii="Arial" w:cs="Arial" w:eastAsia="Arial" w:hAnsi="Arial"/>
          <w:sz w:val="16"/>
          <w:szCs w:val="16"/>
          <w:u w:val="single" w:color="auto"/>
          <w:color w:val="auto"/>
        </w:rPr>
        <w:t>Section 2(c)</w:t>
      </w:r>
      <w:r>
        <w:rPr>
          <w:rFonts w:ascii="Arial" w:cs="Arial" w:eastAsia="Arial" w:hAnsi="Arial"/>
          <w:sz w:val="16"/>
          <w:szCs w:val="16"/>
          <w:color w:val="auto"/>
        </w:rPr>
        <w:t xml:space="preserve">, Schedule A and as may be provided in </w:t>
      </w:r>
      <w:r>
        <w:rPr>
          <w:rFonts w:ascii="Arial" w:cs="Arial" w:eastAsia="Arial" w:hAnsi="Arial"/>
          <w:sz w:val="16"/>
          <w:szCs w:val="16"/>
          <w:u w:val="single" w:color="auto"/>
          <w:color w:val="auto"/>
        </w:rPr>
        <w:t>Section 2(b)</w:t>
      </w:r>
      <w:r>
        <w:rPr>
          <w:rFonts w:ascii="Arial" w:cs="Arial" w:eastAsia="Arial" w:hAnsi="Arial"/>
          <w:sz w:val="16"/>
          <w:szCs w:val="16"/>
          <w:color w:val="auto"/>
        </w:rPr>
        <w:t xml:space="preserve"> hereof;</w:t>
      </w:r>
    </w:p>
    <w:p>
      <w:pPr>
        <w:spacing w:after="0" w:line="161" w:lineRule="exact"/>
        <w:rPr>
          <w:rFonts w:ascii="Arial" w:cs="Arial" w:eastAsia="Arial" w:hAnsi="Arial"/>
          <w:sz w:val="16"/>
          <w:szCs w:val="16"/>
          <w:color w:val="auto"/>
        </w:rPr>
      </w:pPr>
    </w:p>
    <w:p>
      <w:pPr>
        <w:jc w:val="both"/>
        <w:ind w:firstLine="1304"/>
        <w:spacing w:after="0" w:line="259" w:lineRule="auto"/>
        <w:tabs>
          <w:tab w:leader="none" w:pos="1832" w:val="left"/>
        </w:tabs>
        <w:numPr>
          <w:ilvl w:val="1"/>
          <w:numId w:val="189"/>
        </w:numPr>
        <w:rPr>
          <w:rFonts w:ascii="Arial" w:cs="Arial" w:eastAsia="Arial" w:hAnsi="Arial"/>
          <w:sz w:val="18"/>
          <w:szCs w:val="18"/>
          <w:color w:val="auto"/>
        </w:rPr>
      </w:pPr>
      <w:r>
        <w:rPr>
          <w:rFonts w:ascii="Arial" w:cs="Arial" w:eastAsia="Arial" w:hAnsi="Arial"/>
          <w:sz w:val="18"/>
          <w:szCs w:val="18"/>
          <w:color w:val="auto"/>
        </w:rPr>
        <w:t>In connection with any vote of the Company’s shareholders regarding a merger, share exchange, asset acquisition, share purchase, reorganization or similar business combination involving the Company and one or more businesses (the “</w:t>
      </w:r>
      <w:r>
        <w:rPr>
          <w:rFonts w:ascii="Arial" w:cs="Arial" w:eastAsia="Arial" w:hAnsi="Arial"/>
          <w:sz w:val="18"/>
          <w:szCs w:val="18"/>
          <w:b w:val="1"/>
          <w:bCs w:val="1"/>
          <w:i w:val="1"/>
          <w:iCs w:val="1"/>
          <w:color w:val="auto"/>
        </w:rPr>
        <w:t>Business Combination</w:t>
      </w:r>
      <w:r>
        <w:rPr>
          <w:rFonts w:ascii="Arial" w:cs="Arial" w:eastAsia="Arial" w:hAnsi="Arial"/>
          <w:sz w:val="18"/>
          <w:szCs w:val="18"/>
          <w:color w:val="auto"/>
        </w:rPr>
        <w:t>”), provide to the Trustee an affidavit or certificate of the inspector of elections for the shareholder meeting verifying the vote of such shareholders regarding such Business Combination;</w:t>
      </w:r>
    </w:p>
    <w:p>
      <w:pPr>
        <w:spacing w:after="0" w:line="186" w:lineRule="exact"/>
        <w:rPr>
          <w:rFonts w:ascii="Arial" w:cs="Arial" w:eastAsia="Arial" w:hAnsi="Arial"/>
          <w:sz w:val="18"/>
          <w:szCs w:val="18"/>
          <w:color w:val="auto"/>
        </w:rPr>
      </w:pPr>
    </w:p>
    <w:p>
      <w:pPr>
        <w:ind w:firstLine="1304"/>
        <w:spacing w:after="0" w:line="277" w:lineRule="auto"/>
        <w:tabs>
          <w:tab w:leader="none" w:pos="1883" w:val="left"/>
        </w:tabs>
        <w:numPr>
          <w:ilvl w:val="1"/>
          <w:numId w:val="189"/>
        </w:numPr>
        <w:rPr>
          <w:rFonts w:ascii="Arial" w:cs="Arial" w:eastAsia="Arial" w:hAnsi="Arial"/>
          <w:sz w:val="18"/>
          <w:szCs w:val="18"/>
          <w:color w:val="auto"/>
        </w:rPr>
      </w:pPr>
      <w:r>
        <w:rPr>
          <w:rFonts w:ascii="Arial" w:cs="Arial" w:eastAsia="Arial" w:hAnsi="Arial"/>
          <w:sz w:val="18"/>
          <w:szCs w:val="18"/>
          <w:color w:val="auto"/>
        </w:rPr>
        <w:t>Provide the Representative with a copy of any Termination Letter(s) and/or any other correspondence that is sent to the Trustee with respect to any proposed withdrawal from the Trust Account promptly after it issues the same;</w:t>
      </w:r>
    </w:p>
    <w:p>
      <w:pPr>
        <w:spacing w:after="0" w:line="170" w:lineRule="exact"/>
        <w:rPr>
          <w:rFonts w:ascii="Arial" w:cs="Arial" w:eastAsia="Arial" w:hAnsi="Arial"/>
          <w:sz w:val="18"/>
          <w:szCs w:val="18"/>
          <w:color w:val="auto"/>
        </w:rPr>
      </w:pPr>
    </w:p>
    <w:p>
      <w:pPr>
        <w:jc w:val="both"/>
        <w:ind w:firstLine="1304"/>
        <w:spacing w:after="0" w:line="259" w:lineRule="auto"/>
        <w:tabs>
          <w:tab w:leader="none" w:pos="1799" w:val="left"/>
        </w:tabs>
        <w:numPr>
          <w:ilvl w:val="1"/>
          <w:numId w:val="189"/>
        </w:numPr>
        <w:rPr>
          <w:rFonts w:ascii="Arial" w:cs="Arial" w:eastAsia="Arial" w:hAnsi="Arial"/>
          <w:sz w:val="18"/>
          <w:szCs w:val="18"/>
          <w:color w:val="auto"/>
        </w:rPr>
      </w:pPr>
      <w:r>
        <w:rPr>
          <w:rFonts w:ascii="Arial" w:cs="Arial" w:eastAsia="Arial" w:hAnsi="Arial"/>
          <w:sz w:val="18"/>
          <w:szCs w:val="18"/>
          <w:color w:val="auto"/>
        </w:rPr>
        <w:t xml:space="preserve">Unless otherwise agreed between the Company and the Representative, ensure that any Instruction Letter (as defined in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delivered in connection with a Termination Letter in the form of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expressly provides that the Deferred Discount is paid directly to the account or accounts directed by the Representative on behalf of the Underwriters prior to any transfer of the funds held in the Trust Account to the Company or any other person;</w:t>
      </w:r>
    </w:p>
    <w:p>
      <w:pPr>
        <w:spacing w:after="0" w:line="29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284" w:name="page285"/>
    <w:bookmarkEnd w:id="284"/>
    <w:p>
      <w:pPr>
        <w:ind w:firstLine="1304"/>
        <w:spacing w:after="0" w:line="277" w:lineRule="auto"/>
        <w:tabs>
          <w:tab w:leader="none" w:pos="1930" w:val="left"/>
        </w:tabs>
        <w:numPr>
          <w:ilvl w:val="1"/>
          <w:numId w:val="190"/>
        </w:numPr>
        <w:rPr>
          <w:rFonts w:ascii="Arial" w:cs="Arial" w:eastAsia="Arial" w:hAnsi="Arial"/>
          <w:sz w:val="18"/>
          <w:szCs w:val="18"/>
          <w:color w:val="auto"/>
        </w:rPr>
      </w:pPr>
      <w:r>
        <w:rPr>
          <w:rFonts w:ascii="Arial" w:cs="Arial" w:eastAsia="Arial" w:hAnsi="Arial"/>
          <w:sz w:val="18"/>
          <w:szCs w:val="18"/>
          <w:color w:val="auto"/>
        </w:rPr>
        <w:t>Instruct the Trustee to make only those distributions that are permitted under this Agreement, and refrain from instructing the Trustee to make any distributions that are not permitted under this Agreement; and</w:t>
      </w:r>
    </w:p>
    <w:p>
      <w:pPr>
        <w:spacing w:after="0" w:line="170" w:lineRule="exact"/>
        <w:rPr>
          <w:rFonts w:ascii="Arial" w:cs="Arial" w:eastAsia="Arial" w:hAnsi="Arial"/>
          <w:sz w:val="18"/>
          <w:szCs w:val="18"/>
          <w:color w:val="auto"/>
        </w:rPr>
      </w:pPr>
    </w:p>
    <w:p>
      <w:pPr>
        <w:ind w:firstLine="1304"/>
        <w:spacing w:after="0" w:line="277" w:lineRule="auto"/>
        <w:tabs>
          <w:tab w:leader="none" w:pos="1908" w:val="left"/>
        </w:tabs>
        <w:numPr>
          <w:ilvl w:val="1"/>
          <w:numId w:val="190"/>
        </w:numPr>
        <w:rPr>
          <w:rFonts w:ascii="Arial" w:cs="Arial" w:eastAsia="Arial" w:hAnsi="Arial"/>
          <w:sz w:val="18"/>
          <w:szCs w:val="18"/>
          <w:color w:val="auto"/>
        </w:rPr>
      </w:pPr>
      <w:r>
        <w:rPr>
          <w:rFonts w:ascii="Arial" w:cs="Arial" w:eastAsia="Arial" w:hAnsi="Arial"/>
          <w:sz w:val="18"/>
          <w:szCs w:val="18"/>
          <w:color w:val="auto"/>
        </w:rPr>
        <w:t>Within four (4) business days after the Underwriters exercise the over-allotment option (or any unexercised portion thereof) or such over-allotment option expires, provide the Trustee with a notice in writing of the total amount of the Deferred Discount.</w:t>
      </w:r>
    </w:p>
    <w:p>
      <w:pPr>
        <w:spacing w:after="0" w:line="170" w:lineRule="exact"/>
        <w:rPr>
          <w:rFonts w:ascii="Arial" w:cs="Arial" w:eastAsia="Arial" w:hAnsi="Arial"/>
          <w:sz w:val="18"/>
          <w:szCs w:val="18"/>
          <w:color w:val="auto"/>
        </w:rPr>
      </w:pPr>
    </w:p>
    <w:p>
      <w:pPr>
        <w:ind w:left="1100" w:hanging="444"/>
        <w:spacing w:after="0"/>
        <w:tabs>
          <w:tab w:leader="none" w:pos="1100" w:val="left"/>
        </w:tabs>
        <w:numPr>
          <w:ilvl w:val="0"/>
          <w:numId w:val="191"/>
        </w:numPr>
        <w:rPr>
          <w:rFonts w:ascii="Arial" w:cs="Arial" w:eastAsia="Arial" w:hAnsi="Arial"/>
          <w:sz w:val="18"/>
          <w:szCs w:val="18"/>
          <w:color w:val="auto"/>
        </w:rPr>
      </w:pPr>
      <w:r>
        <w:rPr>
          <w:rFonts w:ascii="Arial" w:cs="Arial" w:eastAsia="Arial" w:hAnsi="Arial"/>
          <w:sz w:val="18"/>
          <w:szCs w:val="18"/>
          <w:u w:val="single" w:color="auto"/>
          <w:color w:val="auto"/>
        </w:rPr>
        <w:t>Limitations of Liability</w:t>
      </w:r>
      <w:r>
        <w:rPr>
          <w:rFonts w:ascii="Arial" w:cs="Arial" w:eastAsia="Arial" w:hAnsi="Arial"/>
          <w:sz w:val="18"/>
          <w:szCs w:val="18"/>
          <w:color w:val="auto"/>
        </w:rPr>
        <w:t>. The Trustee shall have no responsibility or liability to:</w:t>
      </w:r>
    </w:p>
    <w:p>
      <w:pPr>
        <w:spacing w:after="0" w:line="225" w:lineRule="exact"/>
        <w:rPr>
          <w:rFonts w:ascii="Arial" w:cs="Arial" w:eastAsia="Arial" w:hAnsi="Arial"/>
          <w:sz w:val="18"/>
          <w:szCs w:val="18"/>
          <w:color w:val="auto"/>
        </w:rPr>
      </w:pPr>
    </w:p>
    <w:p>
      <w:pPr>
        <w:ind w:right="20" w:firstLine="1304"/>
        <w:spacing w:after="0" w:line="277" w:lineRule="auto"/>
        <w:tabs>
          <w:tab w:leader="none" w:pos="1843" w:val="left"/>
        </w:tabs>
        <w:numPr>
          <w:ilvl w:val="1"/>
          <w:numId w:val="191"/>
        </w:numPr>
        <w:rPr>
          <w:rFonts w:ascii="Arial" w:cs="Arial" w:eastAsia="Arial" w:hAnsi="Arial"/>
          <w:sz w:val="18"/>
          <w:szCs w:val="18"/>
          <w:color w:val="auto"/>
        </w:rPr>
      </w:pPr>
      <w:r>
        <w:rPr>
          <w:rFonts w:ascii="Arial" w:cs="Arial" w:eastAsia="Arial" w:hAnsi="Arial"/>
          <w:sz w:val="18"/>
          <w:szCs w:val="18"/>
          <w:color w:val="auto"/>
        </w:rPr>
        <w:t>Imply obligations, perform duties, inquire or otherwise be subject to the provisions of any agreement or document other than this Agreement and that which is expressly set forth herein;</w:t>
      </w:r>
    </w:p>
    <w:p>
      <w:pPr>
        <w:spacing w:after="0" w:line="170" w:lineRule="exact"/>
        <w:rPr>
          <w:rFonts w:ascii="Arial" w:cs="Arial" w:eastAsia="Arial" w:hAnsi="Arial"/>
          <w:sz w:val="18"/>
          <w:szCs w:val="18"/>
          <w:color w:val="auto"/>
        </w:rPr>
      </w:pPr>
    </w:p>
    <w:p>
      <w:pPr>
        <w:ind w:firstLine="1304"/>
        <w:spacing w:after="0" w:line="277" w:lineRule="auto"/>
        <w:tabs>
          <w:tab w:leader="none" w:pos="1869" w:val="left"/>
        </w:tabs>
        <w:numPr>
          <w:ilvl w:val="1"/>
          <w:numId w:val="191"/>
        </w:numPr>
        <w:rPr>
          <w:rFonts w:ascii="Arial" w:cs="Arial" w:eastAsia="Arial" w:hAnsi="Arial"/>
          <w:sz w:val="18"/>
          <w:szCs w:val="18"/>
          <w:color w:val="auto"/>
        </w:rPr>
      </w:pPr>
      <w:r>
        <w:rPr>
          <w:rFonts w:ascii="Arial" w:cs="Arial" w:eastAsia="Arial" w:hAnsi="Arial"/>
          <w:sz w:val="18"/>
          <w:szCs w:val="18"/>
          <w:color w:val="auto"/>
        </w:rPr>
        <w:t xml:space="preserve">Take any action with respect to the Property, other than as directed in </w:t>
      </w:r>
      <w:r>
        <w:rPr>
          <w:rFonts w:ascii="Arial" w:cs="Arial" w:eastAsia="Arial" w:hAnsi="Arial"/>
          <w:sz w:val="18"/>
          <w:szCs w:val="18"/>
          <w:u w:val="single" w:color="auto"/>
          <w:color w:val="auto"/>
        </w:rPr>
        <w:t>Section 1</w:t>
      </w:r>
      <w:r>
        <w:rPr>
          <w:rFonts w:ascii="Arial" w:cs="Arial" w:eastAsia="Arial" w:hAnsi="Arial"/>
          <w:sz w:val="18"/>
          <w:szCs w:val="18"/>
          <w:color w:val="auto"/>
        </w:rPr>
        <w:t xml:space="preserve"> hereof, and the Trustee shall have no liability to any third party except for liability arising out of the Trustee’s gross negligence, fraud or willful misconduct;</w:t>
      </w:r>
    </w:p>
    <w:p>
      <w:pPr>
        <w:spacing w:after="0" w:line="170" w:lineRule="exact"/>
        <w:rPr>
          <w:rFonts w:ascii="Arial" w:cs="Arial" w:eastAsia="Arial" w:hAnsi="Arial"/>
          <w:sz w:val="18"/>
          <w:szCs w:val="18"/>
          <w:color w:val="auto"/>
        </w:rPr>
      </w:pPr>
    </w:p>
    <w:p>
      <w:pPr>
        <w:jc w:val="both"/>
        <w:ind w:firstLine="1304"/>
        <w:spacing w:after="0" w:line="263" w:lineRule="auto"/>
        <w:tabs>
          <w:tab w:leader="none" w:pos="2014" w:val="left"/>
        </w:tabs>
        <w:numPr>
          <w:ilvl w:val="1"/>
          <w:numId w:val="191"/>
        </w:numPr>
        <w:rPr>
          <w:rFonts w:ascii="Arial" w:cs="Arial" w:eastAsia="Arial" w:hAnsi="Arial"/>
          <w:sz w:val="18"/>
          <w:szCs w:val="18"/>
          <w:color w:val="auto"/>
        </w:rPr>
      </w:pPr>
      <w:r>
        <w:rPr>
          <w:rFonts w:ascii="Arial" w:cs="Arial" w:eastAsia="Arial" w:hAnsi="Arial"/>
          <w:sz w:val="18"/>
          <w:szCs w:val="18"/>
          <w:color w:val="auto"/>
        </w:rPr>
        <w:t>Institute any proceeding for the collection of any principal and income arising from, or institute, appear in or defend any proceeding of any kind with respect to, any of the Property unless and until it shall have received instructions from the Company given as provided herein to do so and the Company shall have advanced or guaranteed to it funds sufficient to pay any expenses incident thereto;</w:t>
      </w:r>
    </w:p>
    <w:p>
      <w:pPr>
        <w:spacing w:after="0" w:line="183" w:lineRule="exact"/>
        <w:rPr>
          <w:rFonts w:ascii="Arial" w:cs="Arial" w:eastAsia="Arial" w:hAnsi="Arial"/>
          <w:sz w:val="18"/>
          <w:szCs w:val="18"/>
          <w:color w:val="auto"/>
        </w:rPr>
      </w:pPr>
    </w:p>
    <w:p>
      <w:pPr>
        <w:ind w:left="1820" w:hanging="516"/>
        <w:spacing w:after="0"/>
        <w:tabs>
          <w:tab w:leader="none" w:pos="1820" w:val="left"/>
        </w:tabs>
        <w:numPr>
          <w:ilvl w:val="1"/>
          <w:numId w:val="191"/>
        </w:numPr>
        <w:rPr>
          <w:rFonts w:ascii="Arial" w:cs="Arial" w:eastAsia="Arial" w:hAnsi="Arial"/>
          <w:sz w:val="18"/>
          <w:szCs w:val="18"/>
          <w:color w:val="auto"/>
        </w:rPr>
      </w:pPr>
      <w:r>
        <w:rPr>
          <w:rFonts w:ascii="Arial" w:cs="Arial" w:eastAsia="Arial" w:hAnsi="Arial"/>
          <w:sz w:val="18"/>
          <w:szCs w:val="18"/>
          <w:color w:val="auto"/>
        </w:rPr>
        <w:t>Refund any depreciation in principal of any Property;</w:t>
      </w:r>
    </w:p>
    <w:p>
      <w:pPr>
        <w:spacing w:after="0" w:line="225" w:lineRule="exact"/>
        <w:rPr>
          <w:rFonts w:ascii="Arial" w:cs="Arial" w:eastAsia="Arial" w:hAnsi="Arial"/>
          <w:sz w:val="18"/>
          <w:szCs w:val="18"/>
          <w:color w:val="auto"/>
        </w:rPr>
      </w:pPr>
    </w:p>
    <w:p>
      <w:pPr>
        <w:ind w:right="20" w:firstLine="1304"/>
        <w:spacing w:after="0" w:line="308" w:lineRule="auto"/>
        <w:tabs>
          <w:tab w:leader="none" w:pos="1833" w:val="left"/>
        </w:tabs>
        <w:numPr>
          <w:ilvl w:val="1"/>
          <w:numId w:val="191"/>
        </w:numPr>
        <w:rPr>
          <w:rFonts w:ascii="Arial" w:cs="Arial" w:eastAsia="Arial" w:hAnsi="Arial"/>
          <w:sz w:val="17"/>
          <w:szCs w:val="17"/>
          <w:color w:val="auto"/>
        </w:rPr>
      </w:pPr>
      <w:r>
        <w:rPr>
          <w:rFonts w:ascii="Arial" w:cs="Arial" w:eastAsia="Arial" w:hAnsi="Arial"/>
          <w:sz w:val="17"/>
          <w:szCs w:val="17"/>
          <w:color w:val="auto"/>
        </w:rPr>
        <w:t>Assume that the authority of any person designated by the Company to give instructions hereunder shall not be continuing unless provided otherwise in such designation, or unless the Company shall have delivered a written revocation of such authority to the Trustee;</w:t>
      </w:r>
    </w:p>
    <w:p>
      <w:pPr>
        <w:spacing w:after="0" w:line="146" w:lineRule="exact"/>
        <w:rPr>
          <w:rFonts w:ascii="Arial" w:cs="Arial" w:eastAsia="Arial" w:hAnsi="Arial"/>
          <w:sz w:val="17"/>
          <w:szCs w:val="17"/>
          <w:color w:val="auto"/>
        </w:rPr>
      </w:pPr>
    </w:p>
    <w:p>
      <w:pPr>
        <w:jc w:val="both"/>
        <w:ind w:firstLine="1304"/>
        <w:spacing w:after="0" w:line="290" w:lineRule="auto"/>
        <w:tabs>
          <w:tab w:leader="none" w:pos="1813" w:val="left"/>
        </w:tabs>
        <w:numPr>
          <w:ilvl w:val="1"/>
          <w:numId w:val="191"/>
        </w:numPr>
        <w:rPr>
          <w:rFonts w:ascii="Arial" w:cs="Arial" w:eastAsia="Arial" w:hAnsi="Arial"/>
          <w:sz w:val="16"/>
          <w:szCs w:val="16"/>
          <w:color w:val="auto"/>
        </w:rPr>
      </w:pPr>
      <w:r>
        <w:rPr>
          <w:rFonts w:ascii="Arial" w:cs="Arial" w:eastAsia="Arial" w:hAnsi="Arial"/>
          <w:sz w:val="16"/>
          <w:szCs w:val="16"/>
          <w:color w:val="auto"/>
        </w:rPr>
        <w:t>The other parties hereto or to anyone else for any action taken or omitted by it, or any action suffered by it to be taken or omitted, in good faith and in the Trustee’s best judgment, except for the Trustee’s gross negligence, fraud or willful misconduct. The Trustee may rely conclusively and shall be protected in acting upon any order, notice, demand, certificate, opinion or advice of counsel (including counsel chosen by the Trustee, which counsel may be the Company’s counsel), statement, instrument, report or other paper or document (not only as to its due execution and the validity and effectiveness of its provisions, but also as to the truth and acceptability of any information therein contained) which the Trustee believes, in good faith and with reasonable care, to be genuine and to be signed or presented by the proper person or persons. The Trustee shall not be bound by any notice or demand, or any waiver, modification, termination or rescission of this Agreement or any of the terms hereof, unless evidenced by a written instrument delivered to the Trustee, signed by the proper party or parties and, if the duties or rights of the Trustee are affected, unless it shall give its prior written consent thereto;</w:t>
      </w:r>
    </w:p>
    <w:p>
      <w:pPr>
        <w:spacing w:after="0" w:line="165" w:lineRule="exact"/>
        <w:rPr>
          <w:rFonts w:ascii="Arial" w:cs="Arial" w:eastAsia="Arial" w:hAnsi="Arial"/>
          <w:sz w:val="16"/>
          <w:szCs w:val="16"/>
          <w:color w:val="auto"/>
        </w:rPr>
      </w:pPr>
    </w:p>
    <w:p>
      <w:pPr>
        <w:ind w:left="1820" w:hanging="516"/>
        <w:spacing w:after="0"/>
        <w:tabs>
          <w:tab w:leader="none" w:pos="1820" w:val="left"/>
        </w:tabs>
        <w:numPr>
          <w:ilvl w:val="1"/>
          <w:numId w:val="191"/>
        </w:numPr>
        <w:rPr>
          <w:rFonts w:ascii="Arial" w:cs="Arial" w:eastAsia="Arial" w:hAnsi="Arial"/>
          <w:sz w:val="18"/>
          <w:szCs w:val="18"/>
          <w:color w:val="auto"/>
        </w:rPr>
      </w:pPr>
      <w:r>
        <w:rPr>
          <w:rFonts w:ascii="Arial" w:cs="Arial" w:eastAsia="Arial" w:hAnsi="Arial"/>
          <w:sz w:val="18"/>
          <w:szCs w:val="18"/>
          <w:color w:val="auto"/>
        </w:rPr>
        <w:t>Verify the accuracy of the information contained in the Registration Statement;</w:t>
      </w:r>
    </w:p>
    <w:p>
      <w:pPr>
        <w:spacing w:after="0" w:line="225" w:lineRule="exact"/>
        <w:rPr>
          <w:rFonts w:ascii="Arial" w:cs="Arial" w:eastAsia="Arial" w:hAnsi="Arial"/>
          <w:sz w:val="18"/>
          <w:szCs w:val="18"/>
          <w:color w:val="auto"/>
        </w:rPr>
      </w:pPr>
    </w:p>
    <w:p>
      <w:pPr>
        <w:ind w:right="20" w:firstLine="1304"/>
        <w:spacing w:after="0" w:line="277" w:lineRule="auto"/>
        <w:tabs>
          <w:tab w:leader="none" w:pos="1856" w:val="left"/>
        </w:tabs>
        <w:numPr>
          <w:ilvl w:val="1"/>
          <w:numId w:val="191"/>
        </w:numPr>
        <w:rPr>
          <w:rFonts w:ascii="Arial" w:cs="Arial" w:eastAsia="Arial" w:hAnsi="Arial"/>
          <w:sz w:val="18"/>
          <w:szCs w:val="18"/>
          <w:color w:val="auto"/>
        </w:rPr>
      </w:pPr>
      <w:r>
        <w:rPr>
          <w:rFonts w:ascii="Arial" w:cs="Arial" w:eastAsia="Arial" w:hAnsi="Arial"/>
          <w:sz w:val="18"/>
          <w:szCs w:val="18"/>
          <w:color w:val="auto"/>
        </w:rPr>
        <w:t>Provide any assurance that any Business Combination entered into by the Company or any other action taken by the Company is as contemplated by the Registration Statement;</w:t>
      </w:r>
    </w:p>
    <w:p>
      <w:pPr>
        <w:spacing w:after="0" w:line="170" w:lineRule="exact"/>
        <w:rPr>
          <w:rFonts w:ascii="Arial" w:cs="Arial" w:eastAsia="Arial" w:hAnsi="Arial"/>
          <w:sz w:val="18"/>
          <w:szCs w:val="18"/>
          <w:color w:val="auto"/>
        </w:rPr>
      </w:pPr>
    </w:p>
    <w:p>
      <w:pPr>
        <w:ind w:firstLine="1304"/>
        <w:spacing w:after="0" w:line="308" w:lineRule="auto"/>
        <w:tabs>
          <w:tab w:leader="none" w:pos="1901" w:val="left"/>
        </w:tabs>
        <w:numPr>
          <w:ilvl w:val="1"/>
          <w:numId w:val="191"/>
        </w:numPr>
        <w:rPr>
          <w:rFonts w:ascii="Arial" w:cs="Arial" w:eastAsia="Arial" w:hAnsi="Arial"/>
          <w:sz w:val="17"/>
          <w:szCs w:val="17"/>
          <w:color w:val="auto"/>
        </w:rPr>
      </w:pPr>
      <w:r>
        <w:rPr>
          <w:rFonts w:ascii="Arial" w:cs="Arial" w:eastAsia="Arial" w:hAnsi="Arial"/>
          <w:sz w:val="17"/>
          <w:szCs w:val="17"/>
          <w:color w:val="auto"/>
        </w:rPr>
        <w:t>File information returns with respect to the Trust Account with any local, state or federal taxing authority or provide periodic written statements to the Company documenting the taxes payable by the Company, if any, relating to any interest income earned on the Property;</w:t>
      </w:r>
    </w:p>
    <w:p>
      <w:pPr>
        <w:spacing w:after="0" w:line="146" w:lineRule="exact"/>
        <w:rPr>
          <w:rFonts w:ascii="Arial" w:cs="Arial" w:eastAsia="Arial" w:hAnsi="Arial"/>
          <w:sz w:val="17"/>
          <w:szCs w:val="17"/>
          <w:color w:val="auto"/>
        </w:rPr>
      </w:pPr>
    </w:p>
    <w:p>
      <w:pPr>
        <w:jc w:val="both"/>
        <w:ind w:firstLine="1304"/>
        <w:spacing w:after="0" w:line="263" w:lineRule="auto"/>
        <w:tabs>
          <w:tab w:leader="none" w:pos="1830" w:val="left"/>
        </w:tabs>
        <w:numPr>
          <w:ilvl w:val="1"/>
          <w:numId w:val="191"/>
        </w:numPr>
        <w:rPr>
          <w:rFonts w:ascii="Arial" w:cs="Arial" w:eastAsia="Arial" w:hAnsi="Arial"/>
          <w:sz w:val="18"/>
          <w:szCs w:val="18"/>
          <w:color w:val="auto"/>
        </w:rPr>
      </w:pPr>
      <w:r>
        <w:rPr>
          <w:rFonts w:ascii="Arial" w:cs="Arial" w:eastAsia="Arial" w:hAnsi="Arial"/>
          <w:sz w:val="18"/>
          <w:szCs w:val="18"/>
          <w:color w:val="auto"/>
        </w:rPr>
        <w:t xml:space="preserve">Prepare, execute and file tax reports, income or other tax returns and pay any taxes with respect to any income generated by, and activities relating to, the Trust Account, regardless of whether such tax is payable by the Trust Account or the Company, including, but not limited to, tax obligations, except pursuant to </w:t>
      </w:r>
      <w:r>
        <w:rPr>
          <w:rFonts w:ascii="Arial" w:cs="Arial" w:eastAsia="Arial" w:hAnsi="Arial"/>
          <w:sz w:val="18"/>
          <w:szCs w:val="18"/>
          <w:u w:val="single" w:color="auto"/>
          <w:color w:val="auto"/>
        </w:rPr>
        <w:t>Section 1(j)</w:t>
      </w:r>
      <w:r>
        <w:rPr>
          <w:rFonts w:ascii="Arial" w:cs="Arial" w:eastAsia="Arial" w:hAnsi="Arial"/>
          <w:sz w:val="18"/>
          <w:szCs w:val="18"/>
          <w:color w:val="auto"/>
        </w:rPr>
        <w:t xml:space="preserve"> hereof; or</w:t>
      </w:r>
    </w:p>
    <w:p>
      <w:pPr>
        <w:spacing w:after="0" w:line="29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7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285" w:name="page286"/>
    <w:bookmarkEnd w:id="285"/>
    <w:p>
      <w:pPr>
        <w:ind w:left="1840" w:hanging="536"/>
        <w:spacing w:after="0"/>
        <w:tabs>
          <w:tab w:leader="none" w:pos="1840" w:val="left"/>
        </w:tabs>
        <w:numPr>
          <w:ilvl w:val="0"/>
          <w:numId w:val="192"/>
        </w:numPr>
        <w:rPr>
          <w:rFonts w:ascii="Arial" w:cs="Arial" w:eastAsia="Arial" w:hAnsi="Arial"/>
          <w:sz w:val="16"/>
          <w:szCs w:val="16"/>
          <w:color w:val="auto"/>
        </w:rPr>
      </w:pPr>
      <w:r>
        <w:rPr>
          <w:rFonts w:ascii="Arial" w:cs="Arial" w:eastAsia="Arial" w:hAnsi="Arial"/>
          <w:sz w:val="16"/>
          <w:szCs w:val="16"/>
          <w:color w:val="auto"/>
        </w:rPr>
        <w:t xml:space="preserve">Verify calculations, qualify or otherwise approve the Company’s written requests for distributions pursuant to </w:t>
      </w:r>
      <w:r>
        <w:rPr>
          <w:rFonts w:ascii="Arial" w:cs="Arial" w:eastAsia="Arial" w:hAnsi="Arial"/>
          <w:sz w:val="16"/>
          <w:szCs w:val="16"/>
          <w:u w:val="single" w:color="auto"/>
          <w:color w:val="auto"/>
        </w:rPr>
        <w:t>Sections 1(i)</w:t>
      </w:r>
      <w:r>
        <w:rPr>
          <w:rFonts w:ascii="Arial" w:cs="Arial" w:eastAsia="Arial" w:hAnsi="Arial"/>
          <w:sz w:val="16"/>
          <w:szCs w:val="16"/>
          <w:color w:val="auto"/>
        </w:rPr>
        <w:t xml:space="preserve">, </w:t>
      </w:r>
      <w:r>
        <w:rPr>
          <w:rFonts w:ascii="Arial" w:cs="Arial" w:eastAsia="Arial" w:hAnsi="Arial"/>
          <w:sz w:val="16"/>
          <w:szCs w:val="16"/>
          <w:u w:val="single" w:color="auto"/>
          <w:color w:val="auto"/>
        </w:rPr>
        <w:t>1(j)</w:t>
      </w:r>
      <w:r>
        <w:rPr>
          <w:rFonts w:ascii="Arial" w:cs="Arial" w:eastAsia="Arial" w:hAnsi="Arial"/>
          <w:sz w:val="16"/>
          <w:szCs w:val="16"/>
          <w:color w:val="auto"/>
        </w:rPr>
        <w:t xml:space="preserve"> or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1(k)</w:t>
      </w:r>
      <w:r>
        <w:rPr>
          <w:rFonts w:ascii="Arial" w:cs="Arial" w:eastAsia="Arial" w:hAnsi="Arial"/>
          <w:sz w:val="18"/>
          <w:szCs w:val="18"/>
          <w:color w:val="auto"/>
        </w:rPr>
        <w:t xml:space="preserve"> hereof.</w:t>
      </w:r>
    </w:p>
    <w:p>
      <w:pPr>
        <w:spacing w:after="0" w:line="211" w:lineRule="exact"/>
        <w:rPr>
          <w:sz w:val="20"/>
          <w:szCs w:val="20"/>
          <w:color w:val="auto"/>
        </w:rPr>
      </w:pPr>
    </w:p>
    <w:p>
      <w:pPr>
        <w:jc w:val="both"/>
        <w:ind w:firstLine="656"/>
        <w:spacing w:after="0" w:line="257" w:lineRule="auto"/>
        <w:tabs>
          <w:tab w:leader="none" w:pos="1125" w:val="left"/>
        </w:tabs>
        <w:numPr>
          <w:ilvl w:val="0"/>
          <w:numId w:val="193"/>
        </w:numPr>
        <w:rPr>
          <w:rFonts w:ascii="Arial" w:cs="Arial" w:eastAsia="Arial" w:hAnsi="Arial"/>
          <w:sz w:val="18"/>
          <w:szCs w:val="18"/>
          <w:color w:val="auto"/>
        </w:rPr>
      </w:pPr>
      <w:r>
        <w:rPr>
          <w:rFonts w:ascii="Arial" w:cs="Arial" w:eastAsia="Arial" w:hAnsi="Arial"/>
          <w:sz w:val="18"/>
          <w:szCs w:val="18"/>
          <w:u w:val="single" w:color="auto"/>
          <w:color w:val="auto"/>
        </w:rPr>
        <w:t>Trust Account Waiver</w:t>
      </w:r>
      <w:r>
        <w:rPr>
          <w:rFonts w:ascii="Arial" w:cs="Arial" w:eastAsia="Arial" w:hAnsi="Arial"/>
          <w:sz w:val="18"/>
          <w:szCs w:val="18"/>
          <w:color w:val="auto"/>
        </w:rPr>
        <w:t>. The Trustee has no right of set-off or any right, title, interest or claim of any kind (“</w:t>
      </w:r>
      <w:r>
        <w:rPr>
          <w:rFonts w:ascii="Arial" w:cs="Arial" w:eastAsia="Arial" w:hAnsi="Arial"/>
          <w:sz w:val="18"/>
          <w:szCs w:val="18"/>
          <w:b w:val="1"/>
          <w:bCs w:val="1"/>
          <w:i w:val="1"/>
          <w:iCs w:val="1"/>
          <w:color w:val="auto"/>
        </w:rPr>
        <w:t>Claim</w:t>
      </w:r>
      <w:r>
        <w:rPr>
          <w:rFonts w:ascii="Arial" w:cs="Arial" w:eastAsia="Arial" w:hAnsi="Arial"/>
          <w:sz w:val="18"/>
          <w:szCs w:val="18"/>
          <w:color w:val="auto"/>
        </w:rPr>
        <w:t xml:space="preserve">”) to, or to any monies in, the Trust Account, and hereby irrevocably waives any Claim to, or to any monies in, the Trust Account that it may have now or in the future. In the event the Trustee has any Claim against the Company under this Agreement, including, without limitation, under </w:t>
      </w:r>
      <w:r>
        <w:rPr>
          <w:rFonts w:ascii="Arial" w:cs="Arial" w:eastAsia="Arial" w:hAnsi="Arial"/>
          <w:sz w:val="18"/>
          <w:szCs w:val="18"/>
          <w:u w:val="single" w:color="auto"/>
          <w:color w:val="auto"/>
        </w:rPr>
        <w:t>Section 2(b)</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2(c)</w:t>
      </w:r>
      <w:r>
        <w:rPr>
          <w:rFonts w:ascii="Arial" w:cs="Arial" w:eastAsia="Arial" w:hAnsi="Arial"/>
          <w:sz w:val="18"/>
          <w:szCs w:val="18"/>
          <w:color w:val="auto"/>
        </w:rPr>
        <w:t xml:space="preserve"> hereof, the Trustee shall pursue such Claim solely against the Company and its assets outside the Trust Account and not against the Property or any monies in the Trust Account.</w:t>
      </w:r>
    </w:p>
    <w:p>
      <w:pPr>
        <w:spacing w:after="0" w:line="187" w:lineRule="exact"/>
        <w:rPr>
          <w:rFonts w:ascii="Arial" w:cs="Arial" w:eastAsia="Arial" w:hAnsi="Arial"/>
          <w:sz w:val="18"/>
          <w:szCs w:val="18"/>
          <w:color w:val="auto"/>
        </w:rPr>
      </w:pPr>
    </w:p>
    <w:p>
      <w:pPr>
        <w:ind w:left="1100" w:hanging="444"/>
        <w:spacing w:after="0"/>
        <w:tabs>
          <w:tab w:leader="none" w:pos="1100" w:val="left"/>
        </w:tabs>
        <w:numPr>
          <w:ilvl w:val="0"/>
          <w:numId w:val="193"/>
        </w:numPr>
        <w:rPr>
          <w:rFonts w:ascii="Arial" w:cs="Arial" w:eastAsia="Arial" w:hAnsi="Arial"/>
          <w:sz w:val="18"/>
          <w:szCs w:val="18"/>
          <w:color w:val="auto"/>
        </w:rPr>
      </w:pPr>
      <w:r>
        <w:rPr>
          <w:rFonts w:ascii="Arial" w:cs="Arial" w:eastAsia="Arial" w:hAnsi="Arial"/>
          <w:sz w:val="18"/>
          <w:szCs w:val="18"/>
          <w:u w:val="single" w:color="auto"/>
          <w:color w:val="auto"/>
        </w:rPr>
        <w:t>Termination</w:t>
      </w:r>
      <w:r>
        <w:rPr>
          <w:rFonts w:ascii="Arial" w:cs="Arial" w:eastAsia="Arial" w:hAnsi="Arial"/>
          <w:sz w:val="18"/>
          <w:szCs w:val="18"/>
          <w:color w:val="auto"/>
        </w:rPr>
        <w:t>. This Agreement shall terminate as follows:</w:t>
      </w:r>
    </w:p>
    <w:p>
      <w:pPr>
        <w:spacing w:after="0" w:line="225" w:lineRule="exact"/>
        <w:rPr>
          <w:rFonts w:ascii="Arial" w:cs="Arial" w:eastAsia="Arial" w:hAnsi="Arial"/>
          <w:sz w:val="18"/>
          <w:szCs w:val="18"/>
          <w:color w:val="auto"/>
        </w:rPr>
      </w:pPr>
    </w:p>
    <w:p>
      <w:pPr>
        <w:jc w:val="both"/>
        <w:ind w:firstLine="1304"/>
        <w:spacing w:after="0" w:line="271" w:lineRule="auto"/>
        <w:tabs>
          <w:tab w:leader="none" w:pos="1956" w:val="left"/>
        </w:tabs>
        <w:numPr>
          <w:ilvl w:val="1"/>
          <w:numId w:val="193"/>
        </w:numPr>
        <w:rPr>
          <w:rFonts w:ascii="Arial" w:cs="Arial" w:eastAsia="Arial" w:hAnsi="Arial"/>
          <w:sz w:val="17"/>
          <w:szCs w:val="17"/>
          <w:color w:val="auto"/>
        </w:rPr>
      </w:pPr>
      <w:r>
        <w:rPr>
          <w:rFonts w:ascii="Arial" w:cs="Arial" w:eastAsia="Arial" w:hAnsi="Arial"/>
          <w:sz w:val="17"/>
          <w:szCs w:val="17"/>
          <w:color w:val="auto"/>
        </w:rPr>
        <w:t xml:space="preserve">If the Trustee gives written notice to the Company that it desires to resign under this Agreement, the Company shall use its reasonable efforts to locate a successor trustee, pending which the Trustee shall continue to act in accordance with this Agreement. At such time that the Company notifies the Trustee that a successor trustee has been appointed and has agreed to become subject to the terms of this Agreement, the Trustee shall transfer the management of the Trust Account to the successor trustee, including but not limited to the transfer of copies of the reports and statements relating to the Trust Account, whereupon this Agreement shall terminate;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in the event that the Company does not locate a successor trustee within ninety (90) days of receipt of the resignation notice from the Trustee, the Trustee may submit an application to have the Property deposited with any court in the State of New York or with the United States District Court for the Southern District of New York and upon such deposit, the Trustee shall be immune from any liability whatsoever; or</w:t>
      </w:r>
    </w:p>
    <w:p>
      <w:pPr>
        <w:spacing w:after="0" w:line="178" w:lineRule="exact"/>
        <w:rPr>
          <w:rFonts w:ascii="Arial" w:cs="Arial" w:eastAsia="Arial" w:hAnsi="Arial"/>
          <w:sz w:val="17"/>
          <w:szCs w:val="17"/>
          <w:color w:val="auto"/>
        </w:rPr>
      </w:pPr>
    </w:p>
    <w:p>
      <w:pPr>
        <w:jc w:val="both"/>
        <w:ind w:firstLine="1304"/>
        <w:spacing w:after="0" w:line="263" w:lineRule="auto"/>
        <w:tabs>
          <w:tab w:leader="none" w:pos="1968" w:val="left"/>
        </w:tabs>
        <w:numPr>
          <w:ilvl w:val="1"/>
          <w:numId w:val="193"/>
        </w:numPr>
        <w:rPr>
          <w:rFonts w:ascii="Arial" w:cs="Arial" w:eastAsia="Arial" w:hAnsi="Arial"/>
          <w:sz w:val="18"/>
          <w:szCs w:val="18"/>
          <w:color w:val="auto"/>
        </w:rPr>
      </w:pPr>
      <w:r>
        <w:rPr>
          <w:rFonts w:ascii="Arial" w:cs="Arial" w:eastAsia="Arial" w:hAnsi="Arial"/>
          <w:sz w:val="18"/>
          <w:szCs w:val="18"/>
          <w:color w:val="auto"/>
        </w:rPr>
        <w:t xml:space="preserve">At such time that the Trustee has completed the liquidation of the Trust Account and its obligations in accordance with the provisions of </w:t>
      </w:r>
      <w:r>
        <w:rPr>
          <w:rFonts w:ascii="Arial" w:cs="Arial" w:eastAsia="Arial" w:hAnsi="Arial"/>
          <w:sz w:val="18"/>
          <w:szCs w:val="18"/>
          <w:u w:val="single" w:color="auto"/>
          <w:color w:val="auto"/>
        </w:rPr>
        <w:t>Section 1(i)</w:t>
      </w:r>
      <w:r>
        <w:rPr>
          <w:rFonts w:ascii="Arial" w:cs="Arial" w:eastAsia="Arial" w:hAnsi="Arial"/>
          <w:sz w:val="18"/>
          <w:szCs w:val="18"/>
          <w:color w:val="auto"/>
        </w:rPr>
        <w:t xml:space="preserve"> hereof and distributed the Property in accordance with the provisions of the Termination Letter, this Agreement shall terminate except with respect to </w:t>
      </w:r>
      <w:r>
        <w:rPr>
          <w:rFonts w:ascii="Arial" w:cs="Arial" w:eastAsia="Arial" w:hAnsi="Arial"/>
          <w:sz w:val="18"/>
          <w:szCs w:val="18"/>
          <w:u w:val="single" w:color="auto"/>
          <w:color w:val="auto"/>
        </w:rPr>
        <w:t>Section 2(b)</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ind w:left="1100" w:hanging="444"/>
        <w:spacing w:after="0"/>
        <w:tabs>
          <w:tab w:leader="none" w:pos="1100" w:val="left"/>
        </w:tabs>
        <w:numPr>
          <w:ilvl w:val="0"/>
          <w:numId w:val="193"/>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304"/>
        <w:spacing w:after="0" w:line="272" w:lineRule="auto"/>
        <w:tabs>
          <w:tab w:leader="none" w:pos="1840" w:val="left"/>
        </w:tabs>
        <w:numPr>
          <w:ilvl w:val="1"/>
          <w:numId w:val="193"/>
        </w:numPr>
        <w:rPr>
          <w:rFonts w:ascii="Arial" w:cs="Arial" w:eastAsia="Arial" w:hAnsi="Arial"/>
          <w:sz w:val="17"/>
          <w:szCs w:val="17"/>
          <w:color w:val="auto"/>
        </w:rPr>
      </w:pPr>
      <w:r>
        <w:rPr>
          <w:rFonts w:ascii="Arial" w:cs="Arial" w:eastAsia="Arial" w:hAnsi="Arial"/>
          <w:sz w:val="17"/>
          <w:szCs w:val="17"/>
          <w:color w:val="auto"/>
        </w:rPr>
        <w:t>The Company and the Trustee each acknowledge that the Trustee will follow the security procedures set forth below with respect to funds transferred from the Trust Account. The Company and the Trustee will each restrict access to confidential information relating to such security procedures to authorized persons. Each party must notify the other party immediately if it has reason to believe unauthorized persons may have obtained access to such confidential information, or of any change in its authorized personnel. In executing funds transfers, the Trustee shall rely upon all information supplied to it by the Company, including, account names, account numbers, and all other identifying information relating to a Beneficiary, Beneficiary’s bank or intermediary bank. Except for any liability arising out of the Trustee’s gross negligence, fraud or willful misconduct, the Trustee shall not be liable for any loss, liability or expense resulting from any error in the information or transmission of the funds.</w:t>
      </w:r>
    </w:p>
    <w:p>
      <w:pPr>
        <w:spacing w:after="0" w:line="177" w:lineRule="exact"/>
        <w:rPr>
          <w:rFonts w:ascii="Arial" w:cs="Arial" w:eastAsia="Arial" w:hAnsi="Arial"/>
          <w:sz w:val="17"/>
          <w:szCs w:val="17"/>
          <w:color w:val="auto"/>
        </w:rPr>
      </w:pPr>
    </w:p>
    <w:p>
      <w:pPr>
        <w:ind w:left="1820" w:hanging="516"/>
        <w:spacing w:after="0"/>
        <w:tabs>
          <w:tab w:leader="none" w:pos="1820" w:val="left"/>
        </w:tabs>
        <w:numPr>
          <w:ilvl w:val="1"/>
          <w:numId w:val="193"/>
        </w:numPr>
        <w:rPr>
          <w:rFonts w:ascii="Arial" w:cs="Arial" w:eastAsia="Arial" w:hAnsi="Arial"/>
          <w:sz w:val="17"/>
          <w:szCs w:val="17"/>
          <w:color w:val="auto"/>
        </w:rPr>
      </w:pPr>
      <w:r>
        <w:rPr>
          <w:rFonts w:ascii="Arial" w:cs="Arial" w:eastAsia="Arial" w:hAnsi="Arial"/>
          <w:sz w:val="17"/>
          <w:szCs w:val="17"/>
          <w:color w:val="auto"/>
        </w:rPr>
        <w:t>This Agreement shall be governed by and construed and enforced in accordance with the laws of the State of New York.</w:t>
      </w:r>
    </w:p>
    <w:p>
      <w:pPr>
        <w:spacing w:after="0" w:line="236" w:lineRule="exact"/>
        <w:rPr>
          <w:rFonts w:ascii="Arial" w:cs="Arial" w:eastAsia="Arial" w:hAnsi="Arial"/>
          <w:sz w:val="17"/>
          <w:szCs w:val="17"/>
          <w:color w:val="auto"/>
        </w:rPr>
      </w:pPr>
    </w:p>
    <w:p>
      <w:pPr>
        <w:jc w:val="both"/>
        <w:ind w:firstLine="1304"/>
        <w:spacing w:after="0" w:line="289" w:lineRule="auto"/>
        <w:tabs>
          <w:tab w:leader="none" w:pos="1887" w:val="left"/>
        </w:tabs>
        <w:numPr>
          <w:ilvl w:val="1"/>
          <w:numId w:val="193"/>
        </w:numPr>
        <w:rPr>
          <w:rFonts w:ascii="Arial" w:cs="Arial" w:eastAsia="Arial" w:hAnsi="Arial"/>
          <w:sz w:val="16"/>
          <w:szCs w:val="16"/>
          <w:color w:val="auto"/>
        </w:rPr>
      </w:pPr>
      <w:r>
        <w:rPr>
          <w:rFonts w:ascii="Arial" w:cs="Arial" w:eastAsia="Arial" w:hAnsi="Arial"/>
          <w:sz w:val="16"/>
          <w:szCs w:val="16"/>
          <w:color w:val="auto"/>
        </w:rPr>
        <w:t xml:space="preserve">This Agreement contains the entire agreement and understanding of the parties hereto with respect to the subject matter hereof. Except for </w:t>
      </w:r>
      <w:r>
        <w:rPr>
          <w:rFonts w:ascii="Arial" w:cs="Arial" w:eastAsia="Arial" w:hAnsi="Arial"/>
          <w:sz w:val="16"/>
          <w:szCs w:val="16"/>
          <w:u w:val="single" w:color="auto"/>
          <w:color w:val="auto"/>
        </w:rPr>
        <w:t>Section 1(i)</w:t>
      </w:r>
      <w:r>
        <w:rPr>
          <w:rFonts w:ascii="Arial" w:cs="Arial" w:eastAsia="Arial" w:hAnsi="Arial"/>
          <w:sz w:val="16"/>
          <w:szCs w:val="16"/>
          <w:color w:val="auto"/>
        </w:rPr>
        <w:t xml:space="preserve">, </w:t>
      </w:r>
      <w:r>
        <w:rPr>
          <w:rFonts w:ascii="Arial" w:cs="Arial" w:eastAsia="Arial" w:hAnsi="Arial"/>
          <w:sz w:val="16"/>
          <w:szCs w:val="16"/>
          <w:u w:val="single" w:color="auto"/>
          <w:color w:val="auto"/>
        </w:rPr>
        <w:t>1(j)</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1(k)</w:t>
      </w:r>
      <w:r>
        <w:rPr>
          <w:rFonts w:ascii="Arial" w:cs="Arial" w:eastAsia="Arial" w:hAnsi="Arial"/>
          <w:sz w:val="16"/>
          <w:szCs w:val="16"/>
          <w:color w:val="auto"/>
        </w:rPr>
        <w:t xml:space="preserve"> hereof (which sections may not be modified, amended or deleted without the affirmative vote of holders of sixty-five percent (65%) of the votes cast of the then outstanding Ordinary Shares and Class B ordinary shares, par value $0.0001 per share, of the Company, voting together as a single class;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no such amendment will affect any Public Shareholder who has properly elected to redeem his or her Ordinary Shares in connection with a shareholder vote to amend this Agreement (A) to modify the substance or timing of the Company’s obligation to allow redemption in connection with its initial business combination or to redeem 100% of the public shares if the Company does not complete its initial Business Combination within the time frame specified in the Company’s amended and restated memorandum and articles of association or (B) with respect to any other material provisions relating to shareholders’ rights or pre-initial Business Combination activity), this Agreement or any provision hereof may only be changed, amended or modified (other than to correct a typographical error) by a writing signed by each of the parties hereto.</w:t>
      </w:r>
    </w:p>
    <w:p>
      <w:pPr>
        <w:spacing w:after="0" w:line="27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286" w:name="page287"/>
    <w:bookmarkEnd w:id="286"/>
    <w:p>
      <w:pPr>
        <w:jc w:val="both"/>
        <w:ind w:firstLine="1304"/>
        <w:spacing w:after="0" w:line="274" w:lineRule="auto"/>
        <w:tabs>
          <w:tab w:leader="none" w:pos="1820" w:val="left"/>
        </w:tabs>
        <w:numPr>
          <w:ilvl w:val="0"/>
          <w:numId w:val="194"/>
        </w:numPr>
        <w:rPr>
          <w:rFonts w:ascii="Arial" w:cs="Arial" w:eastAsia="Arial" w:hAnsi="Arial"/>
          <w:sz w:val="17"/>
          <w:szCs w:val="17"/>
          <w:color w:val="auto"/>
        </w:rPr>
      </w:pPr>
      <w:r>
        <w:rPr>
          <w:rFonts w:ascii="Arial" w:cs="Arial" w:eastAsia="Arial" w:hAnsi="Arial"/>
          <w:sz w:val="17"/>
          <w:szCs w:val="17"/>
          <w:color w:val="auto"/>
        </w:rPr>
        <w:t xml:space="preserve">The parties hereto consent to the jurisdiction and venue of any state or federal court located in the City of New York, State of New York, for purposes of resolving any disputes hereunder. </w:t>
      </w:r>
      <w:r>
        <w:rPr>
          <w:rFonts w:ascii="Arial" w:cs="Arial" w:eastAsia="Arial" w:hAnsi="Arial"/>
          <w:sz w:val="17"/>
          <w:szCs w:val="17"/>
          <w:b w:val="1"/>
          <w:bCs w:val="1"/>
          <w:color w:val="auto"/>
        </w:rPr>
        <w:t>AS TO ANY CLAIM, CROSS-CLAIM OR COUNTERCLAIM IN ANY WAY RELATING</w:t>
      </w:r>
    </w:p>
    <w:p>
      <w:pPr>
        <w:spacing w:after="0"/>
        <w:rPr>
          <w:rFonts w:ascii="Arial" w:cs="Arial" w:eastAsia="Arial" w:hAnsi="Arial"/>
          <w:sz w:val="17"/>
          <w:szCs w:val="17"/>
          <w:color w:val="auto"/>
        </w:rPr>
      </w:pPr>
      <w:r>
        <w:rPr>
          <w:rFonts w:ascii="Arial" w:cs="Arial" w:eastAsia="Arial" w:hAnsi="Arial"/>
          <w:sz w:val="18"/>
          <w:szCs w:val="18"/>
          <w:b w:val="1"/>
          <w:bCs w:val="1"/>
          <w:color w:val="auto"/>
        </w:rPr>
        <w:t>TO THIS AGREEMENT, EACH PARTY WAIVES THE RIGHT TO TRIAL BY JURY.</w:t>
      </w:r>
    </w:p>
    <w:p>
      <w:pPr>
        <w:spacing w:after="0" w:line="210" w:lineRule="exact"/>
        <w:rPr>
          <w:rFonts w:ascii="Arial" w:cs="Arial" w:eastAsia="Arial" w:hAnsi="Arial"/>
          <w:sz w:val="17"/>
          <w:szCs w:val="17"/>
          <w:color w:val="auto"/>
        </w:rPr>
      </w:pPr>
    </w:p>
    <w:p>
      <w:pPr>
        <w:ind w:firstLine="1304"/>
        <w:spacing w:after="0" w:line="342" w:lineRule="auto"/>
        <w:tabs>
          <w:tab w:leader="none" w:pos="1826" w:val="left"/>
        </w:tabs>
        <w:numPr>
          <w:ilvl w:val="0"/>
          <w:numId w:val="194"/>
        </w:numPr>
        <w:rPr>
          <w:rFonts w:ascii="Arial" w:cs="Arial" w:eastAsia="Arial" w:hAnsi="Arial"/>
          <w:sz w:val="16"/>
          <w:szCs w:val="16"/>
          <w:color w:val="auto"/>
        </w:rPr>
      </w:pPr>
      <w:r>
        <w:rPr>
          <w:rFonts w:ascii="Arial" w:cs="Arial" w:eastAsia="Arial" w:hAnsi="Arial"/>
          <w:sz w:val="16"/>
          <w:szCs w:val="16"/>
          <w:color w:val="auto"/>
        </w:rPr>
        <w:t>Any notice, consent or request to be given in connection with any of the terms or provisions of this Agreement shall be in writing and shall be sent by express mail or similar private courier service, by certified mail (return receipt requested), by hand delivery or by electronic mail:</w:t>
      </w:r>
    </w:p>
    <w:p>
      <w:pPr>
        <w:spacing w:after="0" w:line="12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if to the Trustee, to:</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Continental Stock Transfer &amp; Trust Company</w:t>
      </w:r>
    </w:p>
    <w:p>
      <w:pPr>
        <w:ind w:left="580"/>
        <w:spacing w:after="0" w:line="202" w:lineRule="auto"/>
        <w:rPr>
          <w:sz w:val="20"/>
          <w:szCs w:val="20"/>
          <w:color w:val="auto"/>
        </w:rPr>
      </w:pPr>
      <w:r>
        <w:rPr>
          <w:rFonts w:ascii="Arial" w:cs="Arial" w:eastAsia="Arial" w:hAnsi="Arial"/>
          <w:sz w:val="18"/>
          <w:szCs w:val="18"/>
          <w:color w:val="auto"/>
        </w:rPr>
        <w:t>1 State Street, 30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New York, New York 10004</w:t>
      </w:r>
    </w:p>
    <w:p>
      <w:pPr>
        <w:spacing w:after="0" w:line="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Attn: Francis Wolf &amp; Celeste Gonzalez</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0000FF"/>
        </w:rPr>
        <w:t>fwolf@continentalstock.com</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0000FF"/>
        </w:rPr>
        <w:t>cgonzalez@continentalstock.com</w:t>
      </w:r>
    </w:p>
    <w:p>
      <w:pPr>
        <w:spacing w:after="0" w:line="21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if to the Company, to:</w:t>
      </w:r>
    </w:p>
    <w:p>
      <w:pPr>
        <w:spacing w:after="0" w:line="225"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Freedom Acquisition I Corp.</w:t>
      </w:r>
    </w:p>
    <w:p>
      <w:pPr>
        <w:ind w:left="1220"/>
        <w:spacing w:after="0" w:line="202" w:lineRule="auto"/>
        <w:rPr>
          <w:sz w:val="20"/>
          <w:szCs w:val="20"/>
          <w:color w:val="auto"/>
        </w:rPr>
      </w:pPr>
      <w:r>
        <w:rPr>
          <w:rFonts w:ascii="Arial" w:cs="Arial" w:eastAsia="Arial" w:hAnsi="Arial"/>
          <w:sz w:val="18"/>
          <w:szCs w:val="18"/>
          <w:color w:val="auto"/>
        </w:rPr>
        <w:t>14 Wall Street, 20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New York, NY 10005</w:t>
      </w:r>
    </w:p>
    <w:p>
      <w:pPr>
        <w:spacing w:after="0" w:line="7"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Attn: Adam Gishen</w:t>
      </w:r>
    </w:p>
    <w:p>
      <w:pPr>
        <w:spacing w:after="0" w:line="21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in each case, with copies to:</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Davis Polk &amp; Wardwell LLP</w:t>
      </w:r>
    </w:p>
    <w:p>
      <w:pPr>
        <w:spacing w:after="0" w:line="2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450 Lexington Avenue</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New York, NY 10017</w:t>
      </w:r>
    </w:p>
    <w:p>
      <w:pPr>
        <w:spacing w:after="0" w:line="9" w:lineRule="exact"/>
        <w:rPr>
          <w:sz w:val="20"/>
          <w:szCs w:val="20"/>
          <w:color w:val="auto"/>
        </w:rPr>
      </w:pPr>
    </w:p>
    <w:p>
      <w:pPr>
        <w:jc w:val="center"/>
        <w:ind w:right="7660"/>
        <w:spacing w:after="0"/>
        <w:rPr>
          <w:sz w:val="20"/>
          <w:szCs w:val="20"/>
          <w:color w:val="auto"/>
        </w:rPr>
      </w:pPr>
      <w:r>
        <w:rPr>
          <w:rFonts w:ascii="Arial" w:cs="Arial" w:eastAsia="Arial" w:hAnsi="Arial"/>
          <w:sz w:val="18"/>
          <w:szCs w:val="18"/>
          <w:color w:val="auto"/>
        </w:rPr>
        <w:t>Attn: Deanna L. Kirkpatrick, Esq.</w:t>
      </w:r>
    </w:p>
    <w:p>
      <w:pPr>
        <w:spacing w:after="0" w:line="9" w:lineRule="exact"/>
        <w:rPr>
          <w:sz w:val="20"/>
          <w:szCs w:val="20"/>
          <w:color w:val="auto"/>
        </w:rPr>
      </w:pPr>
    </w:p>
    <w:p>
      <w:pPr>
        <w:jc w:val="center"/>
        <w:ind w:right="7660"/>
        <w:spacing w:after="0"/>
        <w:rPr>
          <w:sz w:val="20"/>
          <w:szCs w:val="20"/>
          <w:color w:val="auto"/>
        </w:rPr>
      </w:pPr>
      <w:r>
        <w:rPr>
          <w:rFonts w:ascii="Arial" w:cs="Arial" w:eastAsia="Arial" w:hAnsi="Arial"/>
          <w:sz w:val="18"/>
          <w:szCs w:val="18"/>
          <w:color w:val="auto"/>
        </w:rPr>
        <w:t>Pedro J. Bermeo, Esq.</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Email: deanna.kirkpatrick@davispolk.com</w:t>
      </w:r>
    </w:p>
    <w:p>
      <w:pPr>
        <w:spacing w:after="0" w:line="9"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pedro.bermeo@davispolk.com</w:t>
      </w:r>
    </w:p>
    <w:p>
      <w:pPr>
        <w:spacing w:after="0" w:line="21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J.P. Morgan Securities LLC</w:t>
      </w:r>
    </w:p>
    <w:p>
      <w:pPr>
        <w:spacing w:after="0" w:line="2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383 Madison Avenue</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New York, NY 10179</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Attn: Equity Syndicate Desk</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Fax: (212) 622-8358</w:t>
      </w:r>
    </w:p>
    <w:p>
      <w:pPr>
        <w:spacing w:after="0" w:line="21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Skadden, Arps, Slate, Meagher &amp; Flom LLP</w:t>
      </w:r>
    </w:p>
    <w:p>
      <w:pPr>
        <w:spacing w:after="0" w:line="2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300 South Grand Avenue, Suite 3400</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Los Angeles, CA 90071</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Attn: Gregg A. Noel, Esq.</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Email: gregg.noel@skadden.com</w:t>
      </w:r>
    </w:p>
    <w:p>
      <w:pPr>
        <w:spacing w:after="0" w:line="200" w:lineRule="exact"/>
        <w:rPr>
          <w:sz w:val="20"/>
          <w:szCs w:val="20"/>
          <w:color w:val="auto"/>
        </w:rPr>
      </w:pPr>
    </w:p>
    <w:p>
      <w:pPr>
        <w:spacing w:after="0" w:line="33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287" w:name="page288"/>
    <w:bookmarkEnd w:id="287"/>
    <w:p>
      <w:pPr>
        <w:jc w:val="both"/>
        <w:ind w:firstLine="1304"/>
        <w:spacing w:after="0" w:line="259" w:lineRule="auto"/>
        <w:tabs>
          <w:tab w:leader="none" w:pos="1835" w:val="left"/>
        </w:tabs>
        <w:numPr>
          <w:ilvl w:val="0"/>
          <w:numId w:val="195"/>
        </w:numPr>
        <w:rPr>
          <w:rFonts w:ascii="Arial" w:cs="Arial" w:eastAsia="Arial" w:hAnsi="Arial"/>
          <w:sz w:val="18"/>
          <w:szCs w:val="18"/>
          <w:color w:val="auto"/>
        </w:rPr>
      </w:pPr>
      <w:r>
        <w:rPr>
          <w:rFonts w:ascii="Arial" w:cs="Arial" w:eastAsia="Arial" w:hAnsi="Arial"/>
          <w:sz w:val="18"/>
          <w:szCs w:val="18"/>
          <w:color w:val="auto"/>
        </w:rPr>
        <w:t>Each of the Company and the Trustee hereby represents that it has the full right and power and has been duly authorized to enter into this Agreement and to perform its respective obligations as contemplated hereunder. The Trustee acknowledges and agrees that it shall not make any claims or proceed against the Trust Account, including by way of set-off, and shall not be entitled to any funds in the Trust Account under any circumstance.</w:t>
      </w:r>
    </w:p>
    <w:p>
      <w:pPr>
        <w:spacing w:after="0" w:line="186" w:lineRule="exact"/>
        <w:rPr>
          <w:rFonts w:ascii="Arial" w:cs="Arial" w:eastAsia="Arial" w:hAnsi="Arial"/>
          <w:sz w:val="18"/>
          <w:szCs w:val="18"/>
          <w:color w:val="auto"/>
        </w:rPr>
      </w:pPr>
    </w:p>
    <w:p>
      <w:pPr>
        <w:ind w:firstLine="1304"/>
        <w:spacing w:after="0" w:line="277" w:lineRule="auto"/>
        <w:tabs>
          <w:tab w:leader="none" w:pos="1912" w:val="left"/>
        </w:tabs>
        <w:numPr>
          <w:ilvl w:val="0"/>
          <w:numId w:val="195"/>
        </w:numPr>
        <w:rPr>
          <w:rFonts w:ascii="Arial" w:cs="Arial" w:eastAsia="Arial" w:hAnsi="Arial"/>
          <w:sz w:val="18"/>
          <w:szCs w:val="18"/>
          <w:color w:val="auto"/>
        </w:rPr>
      </w:pPr>
      <w:r>
        <w:rPr>
          <w:rFonts w:ascii="Arial" w:cs="Arial" w:eastAsia="Arial" w:hAnsi="Arial"/>
          <w:sz w:val="18"/>
          <w:szCs w:val="18"/>
          <w:color w:val="auto"/>
        </w:rPr>
        <w:t>This Agreement is the joint product of the Trustee and the Company and each provision hereof has been subject to the mutual consultation, negotiation and agreement of such parties and shall not be construed for or against any party hereto.</w:t>
      </w:r>
    </w:p>
    <w:p>
      <w:pPr>
        <w:spacing w:after="0" w:line="170" w:lineRule="exact"/>
        <w:rPr>
          <w:rFonts w:ascii="Arial" w:cs="Arial" w:eastAsia="Arial" w:hAnsi="Arial"/>
          <w:sz w:val="18"/>
          <w:szCs w:val="18"/>
          <w:color w:val="auto"/>
        </w:rPr>
      </w:pPr>
    </w:p>
    <w:p>
      <w:pPr>
        <w:jc w:val="both"/>
        <w:ind w:firstLine="1304"/>
        <w:spacing w:after="0" w:line="263" w:lineRule="auto"/>
        <w:tabs>
          <w:tab w:leader="none" w:pos="1902" w:val="left"/>
        </w:tabs>
        <w:numPr>
          <w:ilvl w:val="0"/>
          <w:numId w:val="195"/>
        </w:numPr>
        <w:rPr>
          <w:rFonts w:ascii="Arial" w:cs="Arial" w:eastAsia="Arial" w:hAnsi="Arial"/>
          <w:sz w:val="18"/>
          <w:szCs w:val="18"/>
          <w:color w:val="auto"/>
        </w:rPr>
      </w:pPr>
      <w:r>
        <w:rPr>
          <w:rFonts w:ascii="Arial" w:cs="Arial" w:eastAsia="Arial" w:hAnsi="Arial"/>
          <w:sz w:val="18"/>
          <w:szCs w:val="18"/>
          <w:color w:val="auto"/>
        </w:rPr>
        <w:t>This Agreement may be executed in any number of counterparts, each of which shall be deemed to be an original, but all such counterparts shall together constitute one and the same instrument. Delivery of a signed counterpart of this Agreement by facsimile or electronic transmission shall constitute valid and sufficient delivery thereof.</w:t>
      </w:r>
    </w:p>
    <w:p>
      <w:pPr>
        <w:spacing w:after="0" w:line="183" w:lineRule="exact"/>
        <w:rPr>
          <w:rFonts w:ascii="Arial" w:cs="Arial" w:eastAsia="Arial" w:hAnsi="Arial"/>
          <w:sz w:val="18"/>
          <w:szCs w:val="18"/>
          <w:color w:val="auto"/>
        </w:rPr>
      </w:pPr>
    </w:p>
    <w:p>
      <w:pPr>
        <w:ind w:right="20" w:firstLine="1304"/>
        <w:spacing w:after="0" w:line="277" w:lineRule="auto"/>
        <w:tabs>
          <w:tab w:leader="none" w:pos="1823" w:val="left"/>
        </w:tabs>
        <w:numPr>
          <w:ilvl w:val="0"/>
          <w:numId w:val="195"/>
        </w:numPr>
        <w:rPr>
          <w:rFonts w:ascii="Arial" w:cs="Arial" w:eastAsia="Arial" w:hAnsi="Arial"/>
          <w:sz w:val="18"/>
          <w:szCs w:val="18"/>
          <w:color w:val="auto"/>
        </w:rPr>
      </w:pPr>
      <w:r>
        <w:rPr>
          <w:rFonts w:ascii="Arial" w:cs="Arial" w:eastAsia="Arial" w:hAnsi="Arial"/>
          <w:sz w:val="18"/>
          <w:szCs w:val="18"/>
          <w:color w:val="auto"/>
        </w:rPr>
        <w:t>Each of the Company and the Trustee hereby acknowledges and agrees that the Representative on behalf of the Underwriters is a third-party beneficiary of this Agreement.</w:t>
      </w:r>
    </w:p>
    <w:p>
      <w:pPr>
        <w:spacing w:after="0" w:line="170" w:lineRule="exact"/>
        <w:rPr>
          <w:rFonts w:ascii="Arial" w:cs="Arial" w:eastAsia="Arial" w:hAnsi="Arial"/>
          <w:sz w:val="18"/>
          <w:szCs w:val="18"/>
          <w:color w:val="auto"/>
        </w:rPr>
      </w:pPr>
    </w:p>
    <w:p>
      <w:pPr>
        <w:ind w:left="1900" w:hanging="596"/>
        <w:spacing w:after="0"/>
        <w:tabs>
          <w:tab w:leader="none" w:pos="1900" w:val="left"/>
        </w:tabs>
        <w:numPr>
          <w:ilvl w:val="0"/>
          <w:numId w:val="195"/>
        </w:numPr>
        <w:rPr>
          <w:rFonts w:ascii="Arial" w:cs="Arial" w:eastAsia="Arial" w:hAnsi="Arial"/>
          <w:sz w:val="16"/>
          <w:szCs w:val="16"/>
          <w:color w:val="auto"/>
        </w:rPr>
      </w:pPr>
      <w:r>
        <w:rPr>
          <w:rFonts w:ascii="Arial" w:cs="Arial" w:eastAsia="Arial" w:hAnsi="Arial"/>
          <w:sz w:val="16"/>
          <w:szCs w:val="16"/>
          <w:color w:val="auto"/>
        </w:rPr>
        <w:t>Except as specified herein, no party to this Agreement may assign its rights or delegate its obligations hereunder to any other</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person or entity.</w:t>
      </w:r>
    </w:p>
    <w:p>
      <w:pPr>
        <w:spacing w:after="0" w:line="200" w:lineRule="exact"/>
        <w:rPr>
          <w:sz w:val="20"/>
          <w:szCs w:val="20"/>
          <w:color w:val="auto"/>
        </w:rPr>
      </w:pPr>
    </w:p>
    <w:p>
      <w:pPr>
        <w:spacing w:after="0" w:line="22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33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288" w:name="page289"/>
    <w:bookmarkEnd w:id="288"/>
    <w:p>
      <w:pPr>
        <w:spacing w:after="0"/>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the parties have duly executed this Investment Management Trust Agreement as of the date first written above.</w:t>
      </w:r>
    </w:p>
    <w:p>
      <w:pPr>
        <w:spacing w:after="0" w:line="248" w:lineRule="exact"/>
        <w:rPr>
          <w:sz w:val="20"/>
          <w:szCs w:val="20"/>
          <w:color w:val="auto"/>
        </w:rPr>
      </w:pPr>
    </w:p>
    <w:p>
      <w:pPr>
        <w:ind w:left="6100"/>
        <w:spacing w:after="0"/>
        <w:rPr>
          <w:sz w:val="20"/>
          <w:szCs w:val="20"/>
          <w:color w:val="auto"/>
        </w:rPr>
      </w:pPr>
      <w:r>
        <w:rPr>
          <w:rFonts w:ascii="Arial" w:cs="Arial" w:eastAsia="Arial" w:hAnsi="Arial"/>
          <w:sz w:val="18"/>
          <w:szCs w:val="18"/>
          <w:b w:val="1"/>
          <w:bCs w:val="1"/>
          <w:color w:val="auto"/>
        </w:rPr>
        <w:t>CONTINENTAL STOCK TRANSFER &amp; TRUST</w:t>
      </w:r>
    </w:p>
    <w:p>
      <w:pPr>
        <w:spacing w:after="0" w:line="27" w:lineRule="exact"/>
        <w:rPr>
          <w:sz w:val="20"/>
          <w:szCs w:val="20"/>
          <w:color w:val="auto"/>
        </w:rPr>
      </w:pPr>
    </w:p>
    <w:p>
      <w:pPr>
        <w:ind w:left="6100"/>
        <w:spacing w:after="0"/>
        <w:rPr>
          <w:sz w:val="20"/>
          <w:szCs w:val="20"/>
          <w:color w:val="auto"/>
        </w:rPr>
      </w:pPr>
      <w:r>
        <w:rPr>
          <w:rFonts w:ascii="Arial" w:cs="Arial" w:eastAsia="Arial" w:hAnsi="Arial"/>
          <w:sz w:val="18"/>
          <w:szCs w:val="18"/>
          <w:b w:val="1"/>
          <w:bCs w:val="1"/>
          <w:color w:val="auto"/>
        </w:rPr>
        <w:t>COMPANY</w:t>
      </w:r>
      <w:r>
        <w:rPr>
          <w:rFonts w:ascii="Arial" w:cs="Arial" w:eastAsia="Arial" w:hAnsi="Arial"/>
          <w:sz w:val="18"/>
          <w:szCs w:val="18"/>
          <w:color w:val="auto"/>
        </w:rPr>
        <w:t>, as Trustee</w:t>
      </w:r>
    </w:p>
    <w:p>
      <w:pPr>
        <w:spacing w:after="0" w:line="211"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4163695</wp:posOffset>
            </wp:positionH>
            <wp:positionV relativeFrom="paragraph">
              <wp:posOffset>14605</wp:posOffset>
            </wp:positionV>
            <wp:extent cx="2554605"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82">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3"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3" w:lineRule="exact"/>
        <w:rPr>
          <w:sz w:val="20"/>
          <w:szCs w:val="20"/>
          <w:color w:val="auto"/>
        </w:rPr>
      </w:pPr>
    </w:p>
    <w:p>
      <w:pPr>
        <w:ind w:left="6100"/>
        <w:spacing w:after="0"/>
        <w:rPr>
          <w:sz w:val="20"/>
          <w:szCs w:val="20"/>
          <w:color w:val="auto"/>
        </w:rPr>
      </w:pPr>
      <w:r>
        <w:rPr>
          <w:rFonts w:ascii="Arial" w:cs="Arial" w:eastAsia="Arial" w:hAnsi="Arial"/>
          <w:sz w:val="18"/>
          <w:szCs w:val="18"/>
          <w:b w:val="1"/>
          <w:bCs w:val="1"/>
          <w:color w:val="auto"/>
        </w:rPr>
        <w:t>FREEDOM ACQUISITION I CORP.</w:t>
      </w:r>
    </w:p>
    <w:p>
      <w:pPr>
        <w:spacing w:after="0" w:line="229"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4163695</wp:posOffset>
            </wp:positionH>
            <wp:positionV relativeFrom="paragraph">
              <wp:posOffset>14605</wp:posOffset>
            </wp:positionV>
            <wp:extent cx="2554605"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83">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3"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Investment Management Trust Agreement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374650</wp:posOffset>
            </wp:positionV>
            <wp:extent cx="7132320"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980" w:top="796" w:right="799" w:bottom="1440" w:gutter="0" w:footer="0" w:header="0"/>
        </w:sectPr>
      </w:pPr>
    </w:p>
    <w:bookmarkStart w:id="289" w:name="page290"/>
    <w:bookmarkEnd w:id="289"/>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Fee Item</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Initial set-up fee.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Trustee administration fee</w:t>
      </w:r>
    </w:p>
    <w:p>
      <w:pPr>
        <w:spacing w:after="0" w:line="200" w:lineRule="exact"/>
        <w:rPr>
          <w:sz w:val="20"/>
          <w:szCs w:val="20"/>
          <w:color w:val="auto"/>
        </w:rPr>
      </w:pPr>
    </w:p>
    <w:p>
      <w:pPr>
        <w:spacing w:after="0" w:line="227" w:lineRule="exact"/>
        <w:rPr>
          <w:sz w:val="20"/>
          <w:szCs w:val="20"/>
          <w:color w:val="auto"/>
        </w:rPr>
      </w:pPr>
    </w:p>
    <w:p>
      <w:pPr>
        <w:ind w:right="200"/>
        <w:spacing w:after="0" w:line="258" w:lineRule="auto"/>
        <w:rPr>
          <w:sz w:val="20"/>
          <w:szCs w:val="20"/>
          <w:color w:val="auto"/>
        </w:rPr>
      </w:pPr>
      <w:r>
        <w:rPr>
          <w:rFonts w:ascii="Arial" w:cs="Arial" w:eastAsia="Arial" w:hAnsi="Arial"/>
          <w:sz w:val="18"/>
          <w:szCs w:val="18"/>
          <w:color w:val="auto"/>
        </w:rPr>
        <w:t xml:space="preserve">Transaction processing fee for disbursements to Company under </w:t>
      </w:r>
      <w:r>
        <w:rPr>
          <w:rFonts w:ascii="Arial" w:cs="Arial" w:eastAsia="Arial" w:hAnsi="Arial"/>
          <w:sz w:val="18"/>
          <w:szCs w:val="18"/>
          <w:u w:val="single" w:color="auto"/>
          <w:color w:val="auto"/>
        </w:rPr>
        <w:t>Section 1</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Paying Agent services as required pursuant to </w:t>
      </w:r>
      <w:r>
        <w:rPr>
          <w:rFonts w:ascii="Arial" w:cs="Arial" w:eastAsia="Arial" w:hAnsi="Arial"/>
          <w:sz w:val="16"/>
          <w:szCs w:val="16"/>
          <w:u w:val="single" w:color="auto"/>
          <w:color w:val="auto"/>
        </w:rPr>
        <w:t>Section 1(i) and 1(k)</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4520" w:type="dxa"/>
            <w:vAlign w:val="bottom"/>
            <w:gridSpan w:val="6"/>
          </w:tcPr>
          <w:p>
            <w:pPr>
              <w:spacing w:after="0"/>
              <w:rPr>
                <w:sz w:val="20"/>
                <w:szCs w:val="20"/>
                <w:color w:val="auto"/>
              </w:rPr>
            </w:pPr>
            <w:r>
              <w:rPr>
                <w:rFonts w:ascii="Arial" w:cs="Arial" w:eastAsia="Arial" w:hAnsi="Arial"/>
                <w:sz w:val="18"/>
                <w:szCs w:val="18"/>
                <w:b w:val="1"/>
                <w:bCs w:val="1"/>
                <w:color w:val="auto"/>
              </w:rPr>
              <w:t>SCHEDULE A</w:t>
            </w:r>
          </w:p>
        </w:tc>
        <w:tc>
          <w:tcPr>
            <w:tcW w:w="2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32"/>
        </w:trPr>
        <w:tc>
          <w:tcPr>
            <w:tcW w:w="40" w:type="dxa"/>
            <w:vAlign w:val="bottom"/>
          </w:tcPr>
          <w:p>
            <w:pPr>
              <w:spacing w:after="0"/>
              <w:rPr>
                <w:sz w:val="24"/>
                <w:szCs w:val="24"/>
                <w:color w:val="auto"/>
              </w:rPr>
            </w:pPr>
          </w:p>
        </w:tc>
        <w:tc>
          <w:tcPr>
            <w:tcW w:w="4480" w:type="dxa"/>
            <w:vAlign w:val="bottom"/>
            <w:gridSpan w:val="5"/>
          </w:tcPr>
          <w:p>
            <w:pPr>
              <w:ind w:left="1060"/>
              <w:spacing w:after="0"/>
              <w:rPr>
                <w:sz w:val="20"/>
                <w:szCs w:val="20"/>
                <w:color w:val="auto"/>
              </w:rPr>
            </w:pPr>
            <w:r>
              <w:rPr>
                <w:rFonts w:ascii="Arial" w:cs="Arial" w:eastAsia="Arial" w:hAnsi="Arial"/>
                <w:sz w:val="18"/>
                <w:szCs w:val="18"/>
                <w:b w:val="1"/>
                <w:bCs w:val="1"/>
                <w:color w:val="auto"/>
              </w:rPr>
              <w:t>Time and method of payment</w:t>
            </w:r>
          </w:p>
        </w:tc>
        <w:tc>
          <w:tcPr>
            <w:tcW w:w="280" w:type="dxa"/>
            <w:vAlign w:val="bottom"/>
          </w:tcPr>
          <w:p>
            <w:pPr>
              <w:spacing w:after="0"/>
              <w:rPr>
                <w:sz w:val="24"/>
                <w:szCs w:val="24"/>
                <w:color w:val="auto"/>
              </w:rPr>
            </w:pPr>
          </w:p>
        </w:tc>
        <w:tc>
          <w:tcPr>
            <w:tcW w:w="1320" w:type="dxa"/>
            <w:vAlign w:val="bottom"/>
            <w:gridSpan w:val="2"/>
          </w:tcPr>
          <w:p>
            <w:pPr>
              <w:ind w:left="200"/>
              <w:spacing w:after="0"/>
              <w:rPr>
                <w:sz w:val="20"/>
                <w:szCs w:val="20"/>
                <w:color w:val="auto"/>
              </w:rPr>
            </w:pPr>
            <w:r>
              <w:rPr>
                <w:rFonts w:ascii="Arial" w:cs="Arial" w:eastAsia="Arial" w:hAnsi="Arial"/>
                <w:sz w:val="18"/>
                <w:szCs w:val="18"/>
                <w:b w:val="1"/>
                <w:bCs w:val="1"/>
                <w:color w:val="auto"/>
              </w:rPr>
              <w:t>Amount</w:t>
            </w:r>
          </w:p>
        </w:tc>
      </w:tr>
      <w:tr>
        <w:trPr>
          <w:trHeight w:val="195"/>
        </w:trPr>
        <w:tc>
          <w:tcPr>
            <w:tcW w:w="40" w:type="dxa"/>
            <w:vAlign w:val="bottom"/>
          </w:tcPr>
          <w:p>
            <w:pPr>
              <w:spacing w:after="0"/>
              <w:rPr>
                <w:sz w:val="16"/>
                <w:szCs w:val="16"/>
                <w:color w:val="auto"/>
              </w:rPr>
            </w:pPr>
          </w:p>
        </w:tc>
        <w:tc>
          <w:tcPr>
            <w:tcW w:w="4380" w:type="dxa"/>
            <w:vAlign w:val="bottom"/>
            <w:tcBorders>
              <w:top w:val="single" w:sz="8" w:color="auto"/>
            </w:tcBorders>
            <w:gridSpan w:val="4"/>
          </w:tcPr>
          <w:p>
            <w:pPr>
              <w:spacing w:after="0" w:line="195" w:lineRule="exact"/>
              <w:rPr>
                <w:sz w:val="20"/>
                <w:szCs w:val="20"/>
                <w:color w:val="auto"/>
              </w:rPr>
            </w:pPr>
            <w:r>
              <w:rPr>
                <w:rFonts w:ascii="Arial" w:cs="Arial" w:eastAsia="Arial" w:hAnsi="Arial"/>
                <w:sz w:val="18"/>
                <w:szCs w:val="18"/>
                <w:color w:val="auto"/>
              </w:rPr>
              <w:t>Initial closing of Offering by wire transfer.</w:t>
            </w:r>
          </w:p>
        </w:tc>
        <w:tc>
          <w:tcPr>
            <w:tcW w:w="100" w:type="dxa"/>
            <w:vAlign w:val="bottom"/>
          </w:tcPr>
          <w:p>
            <w:pPr>
              <w:spacing w:after="0"/>
              <w:rPr>
                <w:sz w:val="16"/>
                <w:szCs w:val="16"/>
                <w:color w:val="auto"/>
              </w:rPr>
            </w:pPr>
          </w:p>
        </w:tc>
        <w:tc>
          <w:tcPr>
            <w:tcW w:w="280" w:type="dxa"/>
            <w:vAlign w:val="bottom"/>
            <w:tcBorders>
              <w:top w:val="single" w:sz="8" w:color="auto"/>
            </w:tcBorders>
          </w:tcPr>
          <w:p>
            <w:pPr>
              <w:jc w:val="right"/>
              <w:ind w:right="90"/>
              <w:spacing w:after="0" w:line="195" w:lineRule="exact"/>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3,500.00</w:t>
            </w:r>
          </w:p>
        </w:tc>
        <w:tc>
          <w:tcPr>
            <w:tcW w:w="20" w:type="dxa"/>
            <w:vAlign w:val="bottom"/>
          </w:tcPr>
          <w:p>
            <w:pPr>
              <w:spacing w:after="0"/>
              <w:rPr>
                <w:sz w:val="16"/>
                <w:szCs w:val="16"/>
                <w:color w:val="auto"/>
              </w:rPr>
            </w:pPr>
          </w:p>
        </w:tc>
      </w:tr>
      <w:tr>
        <w:trPr>
          <w:trHeight w:val="216"/>
        </w:trPr>
        <w:tc>
          <w:tcPr>
            <w:tcW w:w="40" w:type="dxa"/>
            <w:vAlign w:val="bottom"/>
          </w:tcPr>
          <w:p>
            <w:pPr>
              <w:spacing w:after="0"/>
              <w:rPr>
                <w:sz w:val="18"/>
                <w:szCs w:val="18"/>
                <w:color w:val="auto"/>
              </w:rPr>
            </w:pPr>
          </w:p>
        </w:tc>
        <w:tc>
          <w:tcPr>
            <w:tcW w:w="4480" w:type="dxa"/>
            <w:vAlign w:val="bottom"/>
            <w:gridSpan w:val="5"/>
          </w:tcPr>
          <w:p>
            <w:pPr>
              <w:spacing w:after="0"/>
              <w:rPr>
                <w:sz w:val="20"/>
                <w:szCs w:val="20"/>
                <w:color w:val="auto"/>
              </w:rPr>
            </w:pPr>
            <w:r>
              <w:rPr>
                <w:rFonts w:ascii="Arial" w:cs="Arial" w:eastAsia="Arial" w:hAnsi="Arial"/>
                <w:sz w:val="18"/>
                <w:szCs w:val="18"/>
                <w:color w:val="auto"/>
                <w:w w:val="94"/>
              </w:rPr>
              <w:t>Payable annually. First year fee payable, at initial closing of</w:t>
            </w: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4480" w:type="dxa"/>
            <w:vAlign w:val="bottom"/>
            <w:gridSpan w:val="5"/>
          </w:tcPr>
          <w:p>
            <w:pPr>
              <w:spacing w:after="0"/>
              <w:rPr>
                <w:sz w:val="20"/>
                <w:szCs w:val="20"/>
                <w:color w:val="auto"/>
              </w:rPr>
            </w:pPr>
            <w:r>
              <w:rPr>
                <w:rFonts w:ascii="Arial" w:cs="Arial" w:eastAsia="Arial" w:hAnsi="Arial"/>
                <w:sz w:val="18"/>
                <w:szCs w:val="18"/>
                <w:color w:val="auto"/>
              </w:rPr>
              <w:t>Offering by wire transfer, thereafter by wire transfer or</w:t>
            </w: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4480" w:type="dxa"/>
            <w:vAlign w:val="bottom"/>
            <w:gridSpan w:val="5"/>
          </w:tcPr>
          <w:p>
            <w:pPr>
              <w:spacing w:after="0"/>
              <w:rPr>
                <w:sz w:val="20"/>
                <w:szCs w:val="20"/>
                <w:color w:val="auto"/>
              </w:rPr>
            </w:pPr>
            <w:r>
              <w:rPr>
                <w:rFonts w:ascii="Arial" w:cs="Arial" w:eastAsia="Arial" w:hAnsi="Arial"/>
                <w:sz w:val="18"/>
                <w:szCs w:val="18"/>
                <w:color w:val="auto"/>
              </w:rPr>
              <w:t>check.</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10,000.00</w:t>
            </w:r>
          </w:p>
        </w:tc>
      </w:tr>
      <w:tr>
        <w:trPr>
          <w:trHeight w:val="216"/>
        </w:trPr>
        <w:tc>
          <w:tcPr>
            <w:tcW w:w="40" w:type="dxa"/>
            <w:vAlign w:val="bottom"/>
          </w:tcPr>
          <w:p>
            <w:pPr>
              <w:spacing w:after="0"/>
              <w:rPr>
                <w:sz w:val="18"/>
                <w:szCs w:val="18"/>
                <w:color w:val="auto"/>
              </w:rPr>
            </w:pPr>
          </w:p>
        </w:tc>
        <w:tc>
          <w:tcPr>
            <w:tcW w:w="4480" w:type="dxa"/>
            <w:vAlign w:val="bottom"/>
            <w:gridSpan w:val="5"/>
          </w:tcPr>
          <w:p>
            <w:pPr>
              <w:spacing w:after="0"/>
              <w:rPr>
                <w:sz w:val="20"/>
                <w:szCs w:val="20"/>
                <w:color w:val="auto"/>
              </w:rPr>
            </w:pPr>
            <w:r>
              <w:rPr>
                <w:rFonts w:ascii="Arial" w:cs="Arial" w:eastAsia="Arial" w:hAnsi="Arial"/>
                <w:sz w:val="18"/>
                <w:szCs w:val="18"/>
                <w:color w:val="auto"/>
              </w:rPr>
              <w:t>Billed to Company following disbursement made to</w:t>
            </w: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90"/>
        </w:trPr>
        <w:tc>
          <w:tcPr>
            <w:tcW w:w="40" w:type="dxa"/>
            <w:vAlign w:val="bottom"/>
          </w:tcPr>
          <w:p>
            <w:pPr>
              <w:spacing w:after="0"/>
              <w:rPr>
                <w:sz w:val="16"/>
                <w:szCs w:val="16"/>
                <w:color w:val="auto"/>
              </w:rPr>
            </w:pPr>
          </w:p>
        </w:tc>
        <w:tc>
          <w:tcPr>
            <w:tcW w:w="4480" w:type="dxa"/>
            <w:vAlign w:val="bottom"/>
            <w:gridSpan w:val="5"/>
          </w:tcPr>
          <w:p>
            <w:pPr>
              <w:spacing w:after="0" w:line="190" w:lineRule="exact"/>
              <w:rPr>
                <w:sz w:val="20"/>
                <w:szCs w:val="20"/>
                <w:color w:val="auto"/>
              </w:rPr>
            </w:pPr>
            <w:r>
              <w:rPr>
                <w:rFonts w:ascii="Arial" w:cs="Arial" w:eastAsia="Arial" w:hAnsi="Arial"/>
                <w:sz w:val="18"/>
                <w:szCs w:val="18"/>
                <w:color w:val="auto"/>
              </w:rPr>
              <w:t>Company under Section 1</w:t>
            </w:r>
          </w:p>
        </w:tc>
        <w:tc>
          <w:tcPr>
            <w:tcW w:w="280" w:type="dxa"/>
            <w:vAlign w:val="bottom"/>
          </w:tcPr>
          <w:p>
            <w:pPr>
              <w:jc w:val="right"/>
              <w:ind w:right="90"/>
              <w:spacing w:after="0" w:line="190" w:lineRule="exact"/>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20"/>
              <w:spacing w:after="0" w:line="190" w:lineRule="exact"/>
              <w:rPr>
                <w:sz w:val="20"/>
                <w:szCs w:val="20"/>
                <w:color w:val="auto"/>
              </w:rPr>
            </w:pPr>
            <w:r>
              <w:rPr>
                <w:rFonts w:ascii="Arial" w:cs="Arial" w:eastAsia="Arial" w:hAnsi="Arial"/>
                <w:sz w:val="18"/>
                <w:szCs w:val="18"/>
                <w:color w:val="auto"/>
              </w:rPr>
              <w:t>250.00</w:t>
            </w:r>
          </w:p>
        </w:tc>
      </w:tr>
      <w:tr>
        <w:trPr>
          <w:trHeight w:val="20"/>
        </w:trPr>
        <w:tc>
          <w:tcPr>
            <w:tcW w:w="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6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2"/>
        </w:trPr>
        <w:tc>
          <w:tcPr>
            <w:tcW w:w="40" w:type="dxa"/>
            <w:vAlign w:val="bottom"/>
          </w:tcPr>
          <w:p>
            <w:pPr>
              <w:spacing w:after="0"/>
              <w:rPr>
                <w:sz w:val="19"/>
                <w:szCs w:val="19"/>
                <w:color w:val="auto"/>
              </w:rPr>
            </w:pPr>
          </w:p>
        </w:tc>
        <w:tc>
          <w:tcPr>
            <w:tcW w:w="4480" w:type="dxa"/>
            <w:vAlign w:val="bottom"/>
            <w:gridSpan w:val="5"/>
          </w:tcPr>
          <w:p>
            <w:pPr>
              <w:spacing w:after="0"/>
              <w:rPr>
                <w:sz w:val="20"/>
                <w:szCs w:val="20"/>
                <w:color w:val="auto"/>
              </w:rPr>
            </w:pPr>
            <w:r>
              <w:rPr>
                <w:rFonts w:ascii="Arial" w:cs="Arial" w:eastAsia="Arial" w:hAnsi="Arial"/>
                <w:sz w:val="18"/>
                <w:szCs w:val="18"/>
                <w:color w:val="auto"/>
              </w:rPr>
              <w:t>Billed to Company upon delivery of service pursuant to</w:t>
            </w: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90"/>
        </w:trPr>
        <w:tc>
          <w:tcPr>
            <w:tcW w:w="40" w:type="dxa"/>
            <w:vAlign w:val="bottom"/>
          </w:tcPr>
          <w:p>
            <w:pPr>
              <w:spacing w:after="0"/>
              <w:rPr>
                <w:sz w:val="16"/>
                <w:szCs w:val="16"/>
                <w:color w:val="auto"/>
              </w:rPr>
            </w:pPr>
          </w:p>
        </w:tc>
        <w:tc>
          <w:tcPr>
            <w:tcW w:w="1500" w:type="dxa"/>
            <w:vAlign w:val="bottom"/>
            <w:tcBorders>
              <w:bottom w:val="single" w:sz="8" w:color="auto"/>
            </w:tcBorders>
            <w:gridSpan w:val="2"/>
          </w:tcPr>
          <w:p>
            <w:pPr>
              <w:spacing w:after="0" w:line="190" w:lineRule="exact"/>
              <w:rPr>
                <w:sz w:val="20"/>
                <w:szCs w:val="20"/>
                <w:color w:val="auto"/>
              </w:rPr>
            </w:pPr>
            <w:r>
              <w:rPr>
                <w:rFonts w:ascii="Arial" w:cs="Arial" w:eastAsia="Arial" w:hAnsi="Arial"/>
                <w:sz w:val="18"/>
                <w:szCs w:val="18"/>
                <w:color w:val="auto"/>
                <w:w w:val="91"/>
              </w:rPr>
              <w:t>Section 1(i) and 1(k)</w:t>
            </w:r>
          </w:p>
        </w:tc>
        <w:tc>
          <w:tcPr>
            <w:tcW w:w="2980" w:type="dxa"/>
            <w:vAlign w:val="bottom"/>
            <w:gridSpan w:val="3"/>
          </w:tcPr>
          <w:p>
            <w:pPr>
              <w:spacing w:after="0"/>
              <w:rPr>
                <w:sz w:val="16"/>
                <w:szCs w:val="16"/>
                <w:color w:val="auto"/>
              </w:rPr>
            </w:pPr>
          </w:p>
        </w:tc>
        <w:tc>
          <w:tcPr>
            <w:tcW w:w="280" w:type="dxa"/>
            <w:vAlign w:val="bottom"/>
          </w:tcPr>
          <w:p>
            <w:pPr>
              <w:spacing w:after="0"/>
              <w:rPr>
                <w:sz w:val="16"/>
                <w:szCs w:val="16"/>
                <w:color w:val="auto"/>
              </w:rPr>
            </w:pPr>
          </w:p>
        </w:tc>
        <w:tc>
          <w:tcPr>
            <w:tcW w:w="1320" w:type="dxa"/>
            <w:vAlign w:val="bottom"/>
            <w:gridSpan w:val="2"/>
          </w:tcPr>
          <w:p>
            <w:pPr>
              <w:ind w:left="160"/>
              <w:spacing w:after="0" w:line="190" w:lineRule="exact"/>
              <w:rPr>
                <w:sz w:val="20"/>
                <w:szCs w:val="20"/>
                <w:color w:val="auto"/>
              </w:rPr>
            </w:pPr>
            <w:r>
              <w:rPr>
                <w:rFonts w:ascii="Arial" w:cs="Arial" w:eastAsia="Arial" w:hAnsi="Arial"/>
                <w:sz w:val="18"/>
                <w:szCs w:val="18"/>
                <w:color w:val="auto"/>
                <w:w w:val="91"/>
              </w:rPr>
              <w:t>Prevailing rates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-3194685</wp:posOffset>
            </wp:positionH>
            <wp:positionV relativeFrom="paragraph">
              <wp:posOffset>-530860</wp:posOffset>
            </wp:positionV>
            <wp:extent cx="7132320" cy="27432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85">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-3194685</wp:posOffset>
            </wp:positionH>
            <wp:positionV relativeFrom="paragraph">
              <wp:posOffset>-1087755</wp:posOffset>
            </wp:positionV>
            <wp:extent cx="7132320" cy="14541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8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-3194685</wp:posOffset>
            </wp:positionH>
            <wp:positionV relativeFrom="paragraph">
              <wp:posOffset>514350</wp:posOffset>
            </wp:positionV>
            <wp:extent cx="7132320"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2">
            <w:col w:w="4840" w:space="200"/>
            <w:col w:w="6100"/>
          </w:cols>
          <w:pgMar w:left="320" w:top="796" w:right="439" w:bottom="1440" w:gutter="0" w:footer="0" w:header="0"/>
        </w:sectPr>
      </w:pPr>
    </w:p>
    <w:bookmarkStart w:id="290" w:name="page291"/>
    <w:bookmarkEnd w:id="290"/>
    <w:p>
      <w:pPr>
        <w:jc w:val="center"/>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[Letterhead of Company]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[Insert date]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Continental Stock Transfer &amp; Trust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 State Street, 30th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10004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Francis Wolf &amp; Celeste Gonzalez</w:t>
      </w:r>
    </w:p>
    <w:p>
      <w:pPr>
        <w:spacing w:after="0" w:line="21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u w:val="single" w:color="auto"/>
          <w:color w:val="auto"/>
        </w:rPr>
        <w:t>Trust Account - Termination Letter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Mr. Wolf and Ms. Gonzalez:</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 xml:space="preserve">Pursuant to </w:t>
      </w:r>
      <w:r>
        <w:rPr>
          <w:rFonts w:ascii="Arial" w:cs="Arial" w:eastAsia="Arial" w:hAnsi="Arial"/>
          <w:sz w:val="16"/>
          <w:szCs w:val="16"/>
          <w:u w:val="single" w:color="auto"/>
          <w:color w:val="auto"/>
        </w:rPr>
        <w:t>Section 1(i)</w:t>
      </w:r>
      <w:r>
        <w:rPr>
          <w:rFonts w:ascii="Arial" w:cs="Arial" w:eastAsia="Arial" w:hAnsi="Arial"/>
          <w:sz w:val="16"/>
          <w:szCs w:val="16"/>
          <w:color w:val="auto"/>
        </w:rPr>
        <w:t xml:space="preserve"> of the Investment Management Trust Agreement between Freedom Acquisition I Corp.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and Continental Stock Transfer &amp; Trust Company (“</w:t>
      </w:r>
      <w:r>
        <w:rPr>
          <w:rFonts w:ascii="Arial" w:cs="Arial" w:eastAsia="Arial" w:hAnsi="Arial"/>
          <w:sz w:val="16"/>
          <w:szCs w:val="16"/>
          <w:b w:val="1"/>
          <w:bCs w:val="1"/>
          <w:i w:val="1"/>
          <w:iCs w:val="1"/>
          <w:color w:val="auto"/>
        </w:rPr>
        <w:t>Trustee</w:t>
      </w:r>
      <w:r>
        <w:rPr>
          <w:rFonts w:ascii="Arial" w:cs="Arial" w:eastAsia="Arial" w:hAnsi="Arial"/>
          <w:sz w:val="16"/>
          <w:szCs w:val="16"/>
          <w:color w:val="auto"/>
        </w:rPr>
        <w:t>”), dated as of __________, 2021 (the “</w:t>
      </w:r>
      <w:r>
        <w:rPr>
          <w:rFonts w:ascii="Arial" w:cs="Arial" w:eastAsia="Arial" w:hAnsi="Arial"/>
          <w:sz w:val="16"/>
          <w:szCs w:val="16"/>
          <w:b w:val="1"/>
          <w:bCs w:val="1"/>
          <w:i w:val="1"/>
          <w:iCs w:val="1"/>
          <w:color w:val="auto"/>
        </w:rPr>
        <w:t>Trust Agreement</w:t>
      </w:r>
      <w:r>
        <w:rPr>
          <w:rFonts w:ascii="Arial" w:cs="Arial" w:eastAsia="Arial" w:hAnsi="Arial"/>
          <w:sz w:val="16"/>
          <w:szCs w:val="16"/>
          <w:color w:val="auto"/>
        </w:rPr>
        <w:t>”), this is to advise you that the Company has entered</w:t>
      </w:r>
    </w:p>
    <w:p>
      <w:pPr>
        <w:spacing w:after="0"/>
        <w:rPr>
          <w:sz w:val="20"/>
          <w:szCs w:val="20"/>
          <w:color w:val="auto"/>
        </w:rPr>
      </w:pPr>
      <w:r>
        <w:rPr>
          <w:rFonts w:ascii="Arial" w:cs="Arial" w:eastAsia="Arial" w:hAnsi="Arial"/>
          <w:sz w:val="17"/>
          <w:szCs w:val="17"/>
          <w:color w:val="auto"/>
        </w:rPr>
        <w:t>into an agreement with ___________ (the “</w:t>
      </w:r>
      <w:r>
        <w:rPr>
          <w:rFonts w:ascii="Arial" w:cs="Arial" w:eastAsia="Arial" w:hAnsi="Arial"/>
          <w:sz w:val="17"/>
          <w:szCs w:val="17"/>
          <w:b w:val="1"/>
          <w:bCs w:val="1"/>
          <w:i w:val="1"/>
          <w:iCs w:val="1"/>
          <w:color w:val="auto"/>
        </w:rPr>
        <w:t>Target Business</w:t>
      </w:r>
      <w:r>
        <w:rPr>
          <w:rFonts w:ascii="Arial" w:cs="Arial" w:eastAsia="Arial" w:hAnsi="Arial"/>
          <w:sz w:val="17"/>
          <w:szCs w:val="17"/>
          <w:color w:val="auto"/>
        </w:rPr>
        <w:t>”) to consummate a business combination with the Target Business (the “</w:t>
      </w:r>
      <w:r>
        <w:rPr>
          <w:rFonts w:ascii="Arial" w:cs="Arial" w:eastAsia="Arial" w:hAnsi="Arial"/>
          <w:sz w:val="17"/>
          <w:szCs w:val="17"/>
          <w:b w:val="1"/>
          <w:bCs w:val="1"/>
          <w:i w:val="1"/>
          <w:iCs w:val="1"/>
          <w:color w:val="auto"/>
        </w:rPr>
        <w:t>Business</w:t>
      </w:r>
    </w:p>
    <w:p>
      <w:pPr>
        <w:spacing w:after="0" w:line="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Combination</w:t>
      </w:r>
      <w:r>
        <w:rPr>
          <w:rFonts w:ascii="Arial" w:cs="Arial" w:eastAsia="Arial" w:hAnsi="Arial"/>
          <w:sz w:val="18"/>
          <w:szCs w:val="18"/>
          <w:color w:val="auto"/>
        </w:rPr>
        <w:t>”) on or about</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[insert date]</w:t>
      </w:r>
      <w:r>
        <w:rPr>
          <w:rFonts w:ascii="Arial" w:cs="Arial" w:eastAsia="Arial" w:hAnsi="Arial"/>
          <w:sz w:val="18"/>
          <w:szCs w:val="18"/>
          <w:color w:val="auto"/>
        </w:rPr>
        <w:t>. The Company shall notify you at least seventy-two (72) hours in advance of the actual date (or such shorter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period as you may agree) of the consummation of the Business Combination (the “</w:t>
      </w:r>
      <w:r>
        <w:rPr>
          <w:rFonts w:ascii="Arial" w:cs="Arial" w:eastAsia="Arial" w:hAnsi="Arial"/>
          <w:sz w:val="18"/>
          <w:szCs w:val="18"/>
          <w:b w:val="1"/>
          <w:bCs w:val="1"/>
          <w:i w:val="1"/>
          <w:iCs w:val="1"/>
          <w:color w:val="auto"/>
        </w:rPr>
        <w:t>Consummation Date</w:t>
      </w:r>
      <w:r>
        <w:rPr>
          <w:rFonts w:ascii="Arial" w:cs="Arial" w:eastAsia="Arial" w:hAnsi="Arial"/>
          <w:sz w:val="18"/>
          <w:szCs w:val="18"/>
          <w:color w:val="auto"/>
        </w:rPr>
        <w:t>”). Capitalized terms used but not defined herein shall have the meanings set forth in the Trust Agreement.</w:t>
      </w:r>
    </w:p>
    <w:p>
      <w:pPr>
        <w:spacing w:after="0" w:line="19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accordance with the terms of the Trust Agreement, we hereby authorize you to commence to liquidate all of the assets of the Trust Account, and to transfer the proceeds to a segregated account held by you on behalf of the Beneficiaries to the effect that, on the Consummation Date, all of the funds held in the Trust Account will be immediately available for transfer to the account or accounts that the Company shall direct on the Consummation Date (including as directed to it by the Representative on behalf of the Underwriters (with respect to the Deferred Discount)).</w:t>
      </w:r>
    </w:p>
    <w:p>
      <w:pPr>
        <w:spacing w:after="0" w:line="171"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On the Consummation Date (i) counsel for the Company shall deliver to you written notification that the Business Combination has been consummated, or will be consummated substantially concurrently with your transfer of funds to the accounts as directed by the Company (the “</w:t>
      </w:r>
      <w:r>
        <w:rPr>
          <w:rFonts w:ascii="Arial" w:cs="Arial" w:eastAsia="Arial" w:hAnsi="Arial"/>
          <w:sz w:val="16"/>
          <w:szCs w:val="16"/>
          <w:b w:val="1"/>
          <w:bCs w:val="1"/>
          <w:i w:val="1"/>
          <w:iCs w:val="1"/>
          <w:color w:val="auto"/>
        </w:rPr>
        <w:t>Notification</w:t>
      </w:r>
      <w:r>
        <w:rPr>
          <w:rFonts w:ascii="Arial" w:cs="Arial" w:eastAsia="Arial" w:hAnsi="Arial"/>
          <w:sz w:val="16"/>
          <w:szCs w:val="16"/>
          <w:color w:val="auto"/>
        </w:rPr>
        <w:t>”), and (ii) the Company shall deliver to you (a) a certificate of the Chief Executive Officer, Chief Financial Officer, Co-Executive Chairman or Vice Chairman, which verifies that the Business Combination has been approved by a vote of the Company’s shareholders, if a vote is held and (b) a joint written instruction signed by the Company and the Representative with respect to the transfer of the funds held in the Trust Account, including payment of amounts owed to public shareholders who have properly exercised their redemption rights and payment of the Deferred Discount directly to the account or accounts directed by the Representative from the Trust Account (the “</w:t>
      </w:r>
      <w:r>
        <w:rPr>
          <w:rFonts w:ascii="Arial" w:cs="Arial" w:eastAsia="Arial" w:hAnsi="Arial"/>
          <w:sz w:val="16"/>
          <w:szCs w:val="16"/>
          <w:b w:val="1"/>
          <w:bCs w:val="1"/>
          <w:i w:val="1"/>
          <w:iCs w:val="1"/>
          <w:color w:val="auto"/>
        </w:rPr>
        <w:t>Instruction Letter</w:t>
      </w:r>
      <w:r>
        <w:rPr>
          <w:rFonts w:ascii="Arial" w:cs="Arial" w:eastAsia="Arial" w:hAnsi="Arial"/>
          <w:sz w:val="16"/>
          <w:szCs w:val="16"/>
          <w:color w:val="auto"/>
        </w:rPr>
        <w:t>”). You are hereby directed and authorized to transfer the funds held in the Trust Account immediately upon your receipt of the Notification and the Instruction Letter, in accordance with the terms of the Instruction Letter. In the event that certain deposits held in the Trust Account may not be liquidated by the Consummation Date without penalty, you will notify the Company in writing of the same and the Company shall direct you as to whether such funds should remain in the Trust Account and be distributed after the Consummation Date to the Company. Upon the distribution of all the funds, net of any payments necessary for reasonable unreimbursed expenses related to liquidating the Trust Account, your obligations under the Trust Agreement shall be terminated.</w:t>
      </w:r>
    </w:p>
    <w:p>
      <w:pPr>
        <w:spacing w:after="0" w:line="16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the event that the Business Combination is not consummated on the Consummation Date described in the notice thereof and we have not notified you on or before the original Consummation Date of a new Consummation Date, then upon receipt by the Trustee of written instructions from the Company, the funds held in the Trust Account shall be reinvested as provided in Section 1(c) of the Trust Agreement on the business day immediately following the Consummation Date as set forth in such notice as soon thereafter as possible.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350520</wp:posOffset>
            </wp:positionV>
            <wp:extent cx="7132320"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91" w:name="page292"/>
    <w:bookmarkEnd w:id="291"/>
    <w:p>
      <w:pPr>
        <w:ind w:left="5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Freedom Acquisition I Corp.</w:t>
      </w:r>
    </w:p>
    <w:p>
      <w:pPr>
        <w:spacing w:after="0" w:line="248"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4076700</wp:posOffset>
            </wp:positionH>
            <wp:positionV relativeFrom="paragraph">
              <wp:posOffset>14605</wp:posOffset>
            </wp:positionV>
            <wp:extent cx="3060065"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89">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line="3"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Agreed and acknowledged by: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J.P. Morgan Securities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2562860"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9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827" w:right="1440" w:bottom="1440" w:gutter="0" w:footer="0" w:header="0"/>
        </w:sectPr>
      </w:pPr>
    </w:p>
    <w:bookmarkStart w:id="292" w:name="page293"/>
    <w:bookmarkEnd w:id="292"/>
    <w:p>
      <w:pPr>
        <w:jc w:val="center"/>
        <w:ind w:right="-19"/>
        <w:spacing w:after="0"/>
        <w:rPr>
          <w:sz w:val="20"/>
          <w:szCs w:val="20"/>
          <w:color w:val="auto"/>
        </w:rPr>
      </w:pPr>
      <w:r>
        <w:rPr>
          <w:rFonts w:ascii="Arial" w:cs="Arial" w:eastAsia="Arial" w:hAnsi="Arial"/>
          <w:sz w:val="18"/>
          <w:szCs w:val="18"/>
          <w:b w:val="1"/>
          <w:bCs w:val="1"/>
          <w:color w:val="auto"/>
        </w:rPr>
        <w:t>EXHIBIT B</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[Letterhead of Company]</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[Insert date]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Continental Stock Transfer &amp; Trust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 State Street, 30th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10004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Francis Wolf &amp; Celeste Gonzalez</w:t>
      </w:r>
    </w:p>
    <w:p>
      <w:pPr>
        <w:spacing w:after="0" w:line="21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u w:val="single" w:color="auto"/>
          <w:color w:val="auto"/>
        </w:rPr>
        <w:t>Trust Account - Termination Letter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Mr. Wolf and Ms. Gonzalez:</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 xml:space="preserve">Pursuant to </w:t>
      </w:r>
      <w:r>
        <w:rPr>
          <w:rFonts w:ascii="Arial" w:cs="Arial" w:eastAsia="Arial" w:hAnsi="Arial"/>
          <w:sz w:val="16"/>
          <w:szCs w:val="16"/>
          <w:u w:val="single" w:color="auto"/>
          <w:color w:val="auto"/>
        </w:rPr>
        <w:t>Section 1(i)</w:t>
      </w:r>
      <w:r>
        <w:rPr>
          <w:rFonts w:ascii="Arial" w:cs="Arial" w:eastAsia="Arial" w:hAnsi="Arial"/>
          <w:sz w:val="16"/>
          <w:szCs w:val="16"/>
          <w:color w:val="auto"/>
        </w:rPr>
        <w:t xml:space="preserve"> of the Investment Management Trust Agreement between Freedom Acquisition I Corp.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and Continental Stock Transfer &amp; Trust Company (the “</w:t>
      </w:r>
      <w:r>
        <w:rPr>
          <w:rFonts w:ascii="Arial" w:cs="Arial" w:eastAsia="Arial" w:hAnsi="Arial"/>
          <w:sz w:val="16"/>
          <w:szCs w:val="16"/>
          <w:b w:val="1"/>
          <w:bCs w:val="1"/>
          <w:i w:val="1"/>
          <w:iCs w:val="1"/>
          <w:color w:val="auto"/>
        </w:rPr>
        <w:t>Trustee</w:t>
      </w:r>
      <w:r>
        <w:rPr>
          <w:rFonts w:ascii="Arial" w:cs="Arial" w:eastAsia="Arial" w:hAnsi="Arial"/>
          <w:sz w:val="16"/>
          <w:szCs w:val="16"/>
          <w:color w:val="auto"/>
        </w:rPr>
        <w:t>”), dated as of _________, 2021 (the “</w:t>
      </w:r>
      <w:r>
        <w:rPr>
          <w:rFonts w:ascii="Arial" w:cs="Arial" w:eastAsia="Arial" w:hAnsi="Arial"/>
          <w:sz w:val="16"/>
          <w:szCs w:val="16"/>
          <w:b w:val="1"/>
          <w:bCs w:val="1"/>
          <w:i w:val="1"/>
          <w:iCs w:val="1"/>
          <w:color w:val="auto"/>
        </w:rPr>
        <w:t>Trust Agreement</w:t>
      </w:r>
      <w:r>
        <w:rPr>
          <w:rFonts w:ascii="Arial" w:cs="Arial" w:eastAsia="Arial" w:hAnsi="Arial"/>
          <w:sz w:val="16"/>
          <w:szCs w:val="16"/>
          <w:color w:val="auto"/>
        </w:rPr>
        <w:t>”), this is to advise you that the Company has been</w:t>
      </w:r>
    </w:p>
    <w:p>
      <w:pPr>
        <w:jc w:val="both"/>
        <w:spacing w:after="0" w:line="255" w:lineRule="auto"/>
        <w:rPr>
          <w:sz w:val="20"/>
          <w:szCs w:val="20"/>
          <w:color w:val="auto"/>
        </w:rPr>
      </w:pPr>
      <w:r>
        <w:rPr>
          <w:rFonts w:ascii="Arial" w:cs="Arial" w:eastAsia="Arial" w:hAnsi="Arial"/>
          <w:sz w:val="18"/>
          <w:szCs w:val="18"/>
          <w:color w:val="auto"/>
        </w:rPr>
        <w:t>unable to effect a business combination with a Target Business (the “</w:t>
      </w:r>
      <w:r>
        <w:rPr>
          <w:rFonts w:ascii="Arial" w:cs="Arial" w:eastAsia="Arial" w:hAnsi="Arial"/>
          <w:sz w:val="18"/>
          <w:szCs w:val="18"/>
          <w:b w:val="1"/>
          <w:bCs w:val="1"/>
          <w:i w:val="1"/>
          <w:iCs w:val="1"/>
          <w:color w:val="auto"/>
        </w:rPr>
        <w:t>Business Combination</w:t>
      </w:r>
      <w:r>
        <w:rPr>
          <w:rFonts w:ascii="Arial" w:cs="Arial" w:eastAsia="Arial" w:hAnsi="Arial"/>
          <w:sz w:val="18"/>
          <w:szCs w:val="18"/>
          <w:color w:val="auto"/>
        </w:rPr>
        <w:t>”) within the time frame specified in the Company’s Amended and Restated Memorandum and Articles of Association, as described in the Company’s Prospectus relating to the Offering. Capitalized terms used but not defined herein shall have the meanings set forth in the Trust Agreement.</w:t>
      </w:r>
    </w:p>
    <w:p>
      <w:pPr>
        <w:spacing w:after="0" w:line="19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In accordance with the terms of the Trust Agreement, we hereby authorize you to liquidate all of the assets in the Trust Account and to transfer the total proceeds into a segregated account held by you on behalf of the Beneficiaries to await distribution to the Public Shareholders. The Company has selected __________</w:t>
      </w:r>
      <w:r>
        <w:rPr>
          <w:rFonts w:ascii="Arial" w:cs="Arial" w:eastAsia="Arial" w:hAnsi="Arial"/>
          <w:sz w:val="10"/>
          <w:szCs w:val="10"/>
          <w:u w:val="single" w:color="auto"/>
          <w:color w:val="0000EE"/>
        </w:rPr>
        <w:t>1</w:t>
      </w:r>
      <w:r>
        <w:rPr>
          <w:rFonts w:ascii="Arial" w:cs="Arial" w:eastAsia="Arial" w:hAnsi="Arial"/>
          <w:sz w:val="16"/>
          <w:szCs w:val="16"/>
          <w:color w:val="auto"/>
        </w:rPr>
        <w:t xml:space="preserve"> as the effective date for the purpose of determining when the Public Shareholders will be entitled to receive their share of the</w:t>
      </w:r>
    </w:p>
    <w:p>
      <w:pPr>
        <w:spacing w:after="0" w:line="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liquidation proceeds. You agree to be the Paying Agent of record and, in your separate capacity as Paying Agent, agree to distribute said funds directly to the Company’s Public Shareholders in accordance with the terms of the Trust Agreement and the Amended and Restated Memorandum and Articles of Association of the Company. Upon the distribution of all the funds, net of any payments necessary for reasonable unreimbursed expenses related to liquidating the Trust Account, your obligations under the Trust Agreement shall be terminated, except to the extent otherwise provided in </w:t>
      </w:r>
      <w:r>
        <w:rPr>
          <w:rFonts w:ascii="Arial" w:cs="Arial" w:eastAsia="Arial" w:hAnsi="Arial"/>
          <w:sz w:val="18"/>
          <w:szCs w:val="18"/>
          <w:u w:val="single" w:color="auto"/>
          <w:color w:val="auto"/>
        </w:rPr>
        <w:t>Section 1(i)</w:t>
      </w:r>
      <w:r>
        <w:rPr>
          <w:rFonts w:ascii="Arial" w:cs="Arial" w:eastAsia="Arial" w:hAnsi="Arial"/>
          <w:sz w:val="18"/>
          <w:szCs w:val="18"/>
          <w:color w:val="auto"/>
        </w:rPr>
        <w:t xml:space="preserve"> of the Trust Agreement.</w:t>
      </w:r>
    </w:p>
    <w:p>
      <w:pPr>
        <w:spacing w:after="0" w:line="191"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Freedom Acquisition I Corp.</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14605</wp:posOffset>
            </wp:positionV>
            <wp:extent cx="2554605"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92">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3"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Title:</w:t>
      </w:r>
    </w:p>
    <w:p>
      <w:pPr>
        <w:spacing w:after="0" w:line="9" w:lineRule="exact"/>
        <w:rPr>
          <w:sz w:val="20"/>
          <w:szCs w:val="20"/>
          <w:color w:val="auto"/>
        </w:rPr>
      </w:pPr>
    </w:p>
    <w:p>
      <w:pPr>
        <w:ind w:left="260" w:hanging="252"/>
        <w:spacing w:after="0"/>
        <w:tabs>
          <w:tab w:leader="none" w:pos="26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J.P. Morgan Securities LLC</w:t>
      </w:r>
    </w:p>
    <w:p>
      <w:pPr>
        <w:spacing w:after="0" w:line="210" w:lineRule="exact"/>
        <w:rPr>
          <w:rFonts w:ascii="Arial" w:cs="Arial" w:eastAsia="Arial" w:hAnsi="Arial"/>
          <w:sz w:val="18"/>
          <w:szCs w:val="18"/>
          <w:color w:val="auto"/>
        </w:rPr>
      </w:pPr>
    </w:p>
    <w:p>
      <w:pPr>
        <w:ind w:left="60"/>
        <w:spacing w:after="0"/>
        <w:rPr>
          <w:rFonts w:ascii="Arial" w:cs="Arial" w:eastAsia="Arial" w:hAnsi="Arial"/>
          <w:sz w:val="18"/>
          <w:szCs w:val="18"/>
          <w:color w:val="auto"/>
        </w:rPr>
      </w:pPr>
      <w:r>
        <w:rPr>
          <w:rFonts w:ascii="Arial" w:cs="Arial" w:eastAsia="Arial" w:hAnsi="Arial"/>
          <w:sz w:val="18"/>
          <w:szCs w:val="18"/>
          <w:color w:val="auto"/>
        </w:rPr>
        <w:t>___________________</w:t>
      </w:r>
    </w:p>
    <w:p>
      <w:pPr>
        <w:spacing w:after="0" w:line="151" w:lineRule="exact"/>
        <w:rPr>
          <w:sz w:val="20"/>
          <w:szCs w:val="20"/>
          <w:color w:val="auto"/>
        </w:rPr>
      </w:pPr>
    </w:p>
    <w:p>
      <w:pPr>
        <w:ind w:left="120" w:hanging="112"/>
        <w:spacing w:after="0"/>
        <w:tabs>
          <w:tab w:leader="none" w:pos="120" w:val="left"/>
        </w:tabs>
        <w:numPr>
          <w:ilvl w:val="0"/>
          <w:numId w:val="197"/>
        </w:numPr>
        <w:rPr>
          <w:rFonts w:ascii="Arial" w:cs="Arial" w:eastAsia="Arial" w:hAnsi="Arial"/>
          <w:sz w:val="30"/>
          <w:szCs w:val="30"/>
          <w:color w:val="auto"/>
          <w:vertAlign w:val="superscript"/>
        </w:rPr>
      </w:pPr>
      <w:r>
        <w:rPr>
          <w:rFonts w:ascii="Arial" w:cs="Arial" w:eastAsia="Arial" w:hAnsi="Arial"/>
          <w:sz w:val="18"/>
          <w:szCs w:val="18"/>
          <w:color w:val="auto"/>
        </w:rPr>
        <w:t>24 months from the closing of the Offering, or at a later date, if extended.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360045</wp:posOffset>
            </wp:positionV>
            <wp:extent cx="7132320"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93" w:name="page294"/>
    <w:bookmarkEnd w:id="293"/>
    <w:p>
      <w:pPr>
        <w:jc w:val="center"/>
        <w:spacing w:after="0"/>
        <w:rPr>
          <w:sz w:val="20"/>
          <w:szCs w:val="20"/>
          <w:color w:val="auto"/>
        </w:rPr>
      </w:pPr>
      <w:r>
        <w:rPr>
          <w:rFonts w:ascii="Arial" w:cs="Arial" w:eastAsia="Arial" w:hAnsi="Arial"/>
          <w:sz w:val="18"/>
          <w:szCs w:val="18"/>
          <w:b w:val="1"/>
          <w:bCs w:val="1"/>
          <w:color w:val="auto"/>
        </w:rPr>
        <w:t>EXHIBIT 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[Letterhead of Company]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[Insert date]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Continental Stock Transfer &amp; Trust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 State Street, 30th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10004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Francis Wolf &amp; Celeste Gonzalez</w:t>
      </w:r>
    </w:p>
    <w:p>
      <w:pPr>
        <w:spacing w:after="0" w:line="21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u w:val="single" w:color="auto"/>
          <w:color w:val="auto"/>
        </w:rPr>
        <w:t>Trust Account -Tax Payment Withdrawal Instruction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Mr. Wolf and Ms. Gonzalez:</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 xml:space="preserve">Pursuant to </w:t>
      </w:r>
      <w:r>
        <w:rPr>
          <w:rFonts w:ascii="Arial" w:cs="Arial" w:eastAsia="Arial" w:hAnsi="Arial"/>
          <w:sz w:val="16"/>
          <w:szCs w:val="16"/>
          <w:u w:val="single" w:color="auto"/>
          <w:color w:val="auto"/>
        </w:rPr>
        <w:t>Section 1(j)</w:t>
      </w:r>
      <w:r>
        <w:rPr>
          <w:rFonts w:ascii="Arial" w:cs="Arial" w:eastAsia="Arial" w:hAnsi="Arial"/>
          <w:sz w:val="16"/>
          <w:szCs w:val="16"/>
          <w:color w:val="auto"/>
        </w:rPr>
        <w:t xml:space="preserve"> of the Investment Management Trust Agreement between Freedom Acquisition I Corp.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and Continental Stock Transfer &amp; Trust Company (the “</w:t>
      </w:r>
      <w:r>
        <w:rPr>
          <w:rFonts w:ascii="Arial" w:cs="Arial" w:eastAsia="Arial" w:hAnsi="Arial"/>
          <w:sz w:val="16"/>
          <w:szCs w:val="16"/>
          <w:b w:val="1"/>
          <w:bCs w:val="1"/>
          <w:i w:val="1"/>
          <w:iCs w:val="1"/>
          <w:color w:val="auto"/>
        </w:rPr>
        <w:t>Trustee</w:t>
      </w:r>
      <w:r>
        <w:rPr>
          <w:rFonts w:ascii="Arial" w:cs="Arial" w:eastAsia="Arial" w:hAnsi="Arial"/>
          <w:sz w:val="16"/>
          <w:szCs w:val="16"/>
          <w:color w:val="auto"/>
        </w:rPr>
        <w:t>”), dated as of ________, 2021 (the “</w:t>
      </w:r>
      <w:r>
        <w:rPr>
          <w:rFonts w:ascii="Arial" w:cs="Arial" w:eastAsia="Arial" w:hAnsi="Arial"/>
          <w:sz w:val="16"/>
          <w:szCs w:val="16"/>
          <w:b w:val="1"/>
          <w:bCs w:val="1"/>
          <w:i w:val="1"/>
          <w:iCs w:val="1"/>
          <w:color w:val="auto"/>
        </w:rPr>
        <w:t>Trust Agreement</w:t>
      </w:r>
      <w:r>
        <w:rPr>
          <w:rFonts w:ascii="Arial" w:cs="Arial" w:eastAsia="Arial" w:hAnsi="Arial"/>
          <w:sz w:val="16"/>
          <w:szCs w:val="16"/>
          <w:color w:val="auto"/>
        </w:rPr>
        <w:t>”), the Company hereby requests that you deliver to</w:t>
      </w:r>
    </w:p>
    <w:p>
      <w:pPr>
        <w:spacing w:after="0"/>
        <w:tabs>
          <w:tab w:leader="none" w:pos="1880" w:val="left"/>
        </w:tabs>
        <w:rPr>
          <w:sz w:val="20"/>
          <w:szCs w:val="20"/>
          <w:color w:val="auto"/>
        </w:rPr>
      </w:pPr>
      <w:r>
        <w:rPr>
          <w:rFonts w:ascii="Arial" w:cs="Arial" w:eastAsia="Arial" w:hAnsi="Arial"/>
          <w:sz w:val="18"/>
          <w:szCs w:val="18"/>
          <w:color w:val="auto"/>
        </w:rPr>
        <w:t>the Company $_______</w:t>
      </w:r>
      <w:r>
        <w:rPr>
          <w:sz w:val="20"/>
          <w:szCs w:val="20"/>
          <w:color w:val="auto"/>
        </w:rPr>
        <w:tab/>
      </w:r>
      <w:r>
        <w:rPr>
          <w:rFonts w:ascii="Arial" w:cs="Arial" w:eastAsia="Arial" w:hAnsi="Arial"/>
          <w:sz w:val="16"/>
          <w:szCs w:val="16"/>
          <w:color w:val="auto"/>
        </w:rPr>
        <w:t>of the interest income earned on the Property as of the date hereof. Capitalized terms used but not defined herein shall have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meanings set forth in the Trust Agreement.</w:t>
      </w:r>
    </w:p>
    <w:p>
      <w:pPr>
        <w:spacing w:after="0" w:line="21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needs such funds to pay for the tax obligations as set forth on the attached tax return or tax statement. In accordance with the terms of the Trust Agreement, you are hereby directed and authorized to transfer (via wire transfer) such funds promptly upon your receipt of this letter to the Company’s operating account at: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[WIRE INSTRUCTION INFORMATION]</w:t>
      </w:r>
    </w:p>
    <w:p>
      <w:pPr>
        <w:spacing w:after="0" w:line="22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Freedom Acquisition I Corp.</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14605</wp:posOffset>
            </wp:positionV>
            <wp:extent cx="2554605"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94">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3"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7" w:lineRule="exact"/>
        <w:rPr>
          <w:sz w:val="20"/>
          <w:szCs w:val="20"/>
          <w:color w:val="auto"/>
        </w:rPr>
      </w:pPr>
    </w:p>
    <w:p>
      <w:pPr>
        <w:ind w:left="440" w:hanging="432"/>
        <w:spacing w:after="0"/>
        <w:tabs>
          <w:tab w:leader="none" w:pos="44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J.P. Morgan Securities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511810</wp:posOffset>
            </wp:positionV>
            <wp:extent cx="7132320"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94" w:name="page295"/>
    <w:bookmarkEnd w:id="294"/>
    <w:p>
      <w:pPr>
        <w:jc w:val="center"/>
        <w:spacing w:after="0"/>
        <w:rPr>
          <w:sz w:val="20"/>
          <w:szCs w:val="20"/>
          <w:color w:val="auto"/>
        </w:rPr>
      </w:pPr>
      <w:r>
        <w:rPr>
          <w:rFonts w:ascii="Arial" w:cs="Arial" w:eastAsia="Arial" w:hAnsi="Arial"/>
          <w:sz w:val="18"/>
          <w:szCs w:val="18"/>
          <w:b w:val="1"/>
          <w:bCs w:val="1"/>
          <w:color w:val="auto"/>
        </w:rPr>
        <w:t>EXHIBIT 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[Letterhead of Company]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[Insert date]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Continental Stock Transfer &amp; Trust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 State Street, 30th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10004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Francis Wolf &amp; Celeste Gonzalez</w:t>
      </w:r>
    </w:p>
    <w:p>
      <w:pPr>
        <w:spacing w:after="0" w:line="21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u w:val="single" w:color="auto"/>
          <w:color w:val="auto"/>
        </w:rPr>
        <w:t>Trust Account - Shareholder Redemption Withdrawal Instruction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Mr. Wolf and Ms. Gonzalez:</w:t>
      </w:r>
    </w:p>
    <w:p>
      <w:pPr>
        <w:spacing w:after="0" w:line="225"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 xml:space="preserve">Pursuant to </w:t>
      </w:r>
      <w:r>
        <w:rPr>
          <w:rFonts w:ascii="Arial" w:cs="Arial" w:eastAsia="Arial" w:hAnsi="Arial"/>
          <w:sz w:val="16"/>
          <w:szCs w:val="16"/>
          <w:u w:val="single" w:color="auto"/>
          <w:color w:val="auto"/>
        </w:rPr>
        <w:t>Section 1(k)</w:t>
      </w:r>
      <w:r>
        <w:rPr>
          <w:rFonts w:ascii="Arial" w:cs="Arial" w:eastAsia="Arial" w:hAnsi="Arial"/>
          <w:sz w:val="16"/>
          <w:szCs w:val="16"/>
          <w:color w:val="auto"/>
        </w:rPr>
        <w:t xml:space="preserve"> of the Investment Management Trust Agreement between Freedom Acquisition I Corp.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and Continental Stock Transfer &amp; Trust Company (the “</w:t>
      </w:r>
      <w:r>
        <w:rPr>
          <w:rFonts w:ascii="Arial" w:cs="Arial" w:eastAsia="Arial" w:hAnsi="Arial"/>
          <w:sz w:val="16"/>
          <w:szCs w:val="16"/>
          <w:b w:val="1"/>
          <w:bCs w:val="1"/>
          <w:i w:val="1"/>
          <w:iCs w:val="1"/>
          <w:color w:val="auto"/>
        </w:rPr>
        <w:t>Trustee</w:t>
      </w:r>
      <w:r>
        <w:rPr>
          <w:rFonts w:ascii="Arial" w:cs="Arial" w:eastAsia="Arial" w:hAnsi="Arial"/>
          <w:sz w:val="16"/>
          <w:szCs w:val="16"/>
          <w:color w:val="auto"/>
        </w:rPr>
        <w:t>”), dated as of _____, 2021 (the “</w:t>
      </w:r>
      <w:r>
        <w:rPr>
          <w:rFonts w:ascii="Arial" w:cs="Arial" w:eastAsia="Arial" w:hAnsi="Arial"/>
          <w:sz w:val="16"/>
          <w:szCs w:val="16"/>
          <w:b w:val="1"/>
          <w:bCs w:val="1"/>
          <w:i w:val="1"/>
          <w:iCs w:val="1"/>
          <w:color w:val="auto"/>
        </w:rPr>
        <w:t>Trust Agreement</w:t>
      </w:r>
      <w:r>
        <w:rPr>
          <w:rFonts w:ascii="Arial" w:cs="Arial" w:eastAsia="Arial" w:hAnsi="Arial"/>
          <w:sz w:val="16"/>
          <w:szCs w:val="16"/>
          <w:color w:val="auto"/>
        </w:rPr>
        <w:t>”), the Company hereby requests that you deliver to the</w:t>
      </w:r>
    </w:p>
    <w:p>
      <w:pPr>
        <w:spacing w:after="0"/>
        <w:rPr>
          <w:sz w:val="20"/>
          <w:szCs w:val="20"/>
          <w:color w:val="auto"/>
        </w:rPr>
      </w:pPr>
      <w:r>
        <w:rPr>
          <w:rFonts w:ascii="Arial" w:cs="Arial" w:eastAsia="Arial" w:hAnsi="Arial"/>
          <w:sz w:val="16"/>
          <w:szCs w:val="16"/>
          <w:color w:val="auto"/>
        </w:rPr>
        <w:t>redeeming Public Shareholders of the Company $____ of the principal and interest income earned on the Property as of the date hereof to a segregated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account held by you on behalf of the Beneficiaries for distribution to the Public Shareholders who have requested redemption of their Ordinary Shares.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Capitalized terms used but not defined herein shall have the meanings set forth in the Trust Agreement.</w:t>
      </w:r>
    </w:p>
    <w:p>
      <w:pPr>
        <w:spacing w:after="0" w:line="211"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The Company needs such funds to pay its Public Shareholders who have properly elected to have their Ordinary Shares redeemed by the Company in connection with a shareholder vote to approve an amendment to the Company’s amended and restated memorandum and articles of association (A) to modify the substance or timing of the Company’s obligation to allow redemption in connection with its initial business combination or to redeem 100% of its public shares if the Company has not consummated an initial Business Combination within such time as is described in the Company’s amended and restated memorandum and articles of association or (B) with respect to any other material provisions relating to shareholders’ rights or pre-initial Business Combination activity. As such, you are hereby directed and authorized to transfer (via wire transfer) such funds promptly upon your receipt of this letter.</w:t>
      </w:r>
    </w:p>
    <w:p>
      <w:pPr>
        <w:spacing w:after="0" w:line="164"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Freedom Acquisition I Corp.</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14605</wp:posOffset>
            </wp:positionV>
            <wp:extent cx="2554605"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96">
                      <a:extLst>
                        <a:ext uri="{28A0092B-C50C-407E-A947-70E740481C1C}"/>
                      </a:extLst>
                    </a:blip>
                    <a:srcRect/>
                    <a:stretch>
                      <a:fillRect/>
                    </a:stretch>
                  </pic:blipFill>
                  <pic:spPr bwMode="auto">
                    <a:xfrm>
                      <a:off x="0" y="0"/>
                      <a:ext cx="2554605" cy="8890"/>
                    </a:xfrm>
                    <a:prstGeom prst="rect">
                      <a:avLst/>
                    </a:prstGeom>
                    <a:noFill/>
                  </pic:spPr>
                </pic:pic>
              </a:graphicData>
            </a:graphic>
          </wp:anchor>
        </w:drawing>
      </w:r>
    </w:p>
    <w:p>
      <w:pPr>
        <w:spacing w:after="0" w:line="3"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7"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cc:</w:t>
      </w:r>
      <w:r>
        <w:rPr>
          <w:sz w:val="20"/>
          <w:szCs w:val="20"/>
          <w:color w:val="auto"/>
        </w:rPr>
        <w:tab/>
      </w:r>
      <w:r>
        <w:rPr>
          <w:rFonts w:ascii="Arial" w:cs="Arial" w:eastAsia="Arial" w:hAnsi="Arial"/>
          <w:sz w:val="16"/>
          <w:szCs w:val="16"/>
          <w:color w:val="auto"/>
        </w:rPr>
        <w:t>J.P. Morgan Securities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95" w:name="page296"/>
    <w:bookmarkEnd w:id="295"/>
    <w:p>
      <w:pPr>
        <w:jc w:val="right"/>
        <w:spacing w:after="0"/>
        <w:rPr>
          <w:sz w:val="20"/>
          <w:szCs w:val="20"/>
          <w:color w:val="auto"/>
        </w:rPr>
      </w:pPr>
      <w:r>
        <w:rPr>
          <w:rFonts w:ascii="Arial" w:cs="Arial" w:eastAsia="Arial" w:hAnsi="Arial"/>
          <w:sz w:val="22"/>
          <w:szCs w:val="22"/>
          <w:b w:val="1"/>
          <w:bCs w:val="1"/>
          <w:color w:val="auto"/>
        </w:rPr>
        <w:t>Exhibit 10.4</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PRIVATE PLACEMENT WARRANTS PURCHASE AGREEMENT</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THIS PRIVATE PLACEMENT WARRANTS PURCHASE AGREEMENT, dated as of [●], 2021 (as it may from time to time be amended, this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is entered into by and between Freedom Acquisition I Corp., a Cayman Islands exempted company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and Freedom Acquisition I LLC, a Cayman Islands limited liability company (the “</w:t>
      </w:r>
      <w:r>
        <w:rPr>
          <w:rFonts w:ascii="Arial" w:cs="Arial" w:eastAsia="Arial" w:hAnsi="Arial"/>
          <w:sz w:val="18"/>
          <w:szCs w:val="18"/>
          <w:b w:val="1"/>
          <w:bCs w:val="1"/>
          <w:i w:val="1"/>
          <w:iCs w:val="1"/>
          <w:color w:val="auto"/>
        </w:rPr>
        <w:t>Purchaser</w:t>
      </w:r>
      <w:r>
        <w:rPr>
          <w:rFonts w:ascii="Arial" w:cs="Arial" w:eastAsia="Arial" w:hAnsi="Arial"/>
          <w:sz w:val="18"/>
          <w:szCs w:val="18"/>
          <w:color w:val="auto"/>
        </w:rPr>
        <w:t>”).</w:t>
      </w:r>
    </w:p>
    <w:p>
      <w:pPr>
        <w:spacing w:after="0" w:line="18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WHEREAS, the Company intends to consummate an initial public offering of the Company’s units (the “</w:t>
      </w:r>
      <w:r>
        <w:rPr>
          <w:rFonts w:ascii="Arial" w:cs="Arial" w:eastAsia="Arial" w:hAnsi="Arial"/>
          <w:sz w:val="18"/>
          <w:szCs w:val="18"/>
          <w:b w:val="1"/>
          <w:bCs w:val="1"/>
          <w:i w:val="1"/>
          <w:iCs w:val="1"/>
          <w:color w:val="auto"/>
        </w:rPr>
        <w:t>Public Offering</w:t>
      </w:r>
      <w:r>
        <w:rPr>
          <w:rFonts w:ascii="Arial" w:cs="Arial" w:eastAsia="Arial" w:hAnsi="Arial"/>
          <w:sz w:val="18"/>
          <w:szCs w:val="18"/>
          <w:color w:val="auto"/>
        </w:rPr>
        <w:t>”), each unit consisting of one Class A Ordinary Share, par value $0.0001 per share, of the Company (an “</w:t>
      </w:r>
      <w:r>
        <w:rPr>
          <w:rFonts w:ascii="Arial" w:cs="Arial" w:eastAsia="Arial" w:hAnsi="Arial"/>
          <w:sz w:val="18"/>
          <w:szCs w:val="18"/>
          <w:b w:val="1"/>
          <w:bCs w:val="1"/>
          <w:i w:val="1"/>
          <w:iCs w:val="1"/>
          <w:color w:val="auto"/>
        </w:rPr>
        <w:t>Ordinary Share</w:t>
      </w:r>
      <w:r>
        <w:rPr>
          <w:rFonts w:ascii="Arial" w:cs="Arial" w:eastAsia="Arial" w:hAnsi="Arial"/>
          <w:sz w:val="18"/>
          <w:szCs w:val="18"/>
          <w:color w:val="auto"/>
        </w:rPr>
        <w:t>”), and one-fourth of one redeemable warrant. Each whole warrant entitles the holder to purchase one Ordinary Share at an exercise price of $11.50 per Ordinary Share. The Purchaser has agreed to purchase an aggregate of 5,000,000 warrants (or up to 5,500,000 in the aggregate depending on the extent to which the over-allotment option in connection with the Public Offering is exercised) (the “</w:t>
      </w:r>
      <w:r>
        <w:rPr>
          <w:rFonts w:ascii="Arial" w:cs="Arial" w:eastAsia="Arial" w:hAnsi="Arial"/>
          <w:sz w:val="18"/>
          <w:szCs w:val="18"/>
          <w:b w:val="1"/>
          <w:bCs w:val="1"/>
          <w:i w:val="1"/>
          <w:iCs w:val="1"/>
          <w:color w:val="auto"/>
        </w:rPr>
        <w:t>Private Placement Warrants</w:t>
      </w:r>
      <w:r>
        <w:rPr>
          <w:rFonts w:ascii="Arial" w:cs="Arial" w:eastAsia="Arial" w:hAnsi="Arial"/>
          <w:sz w:val="18"/>
          <w:szCs w:val="18"/>
          <w:color w:val="auto"/>
        </w:rPr>
        <w:t>”), each Private Placement Warrant entitling the holder to purchase one Ordinary Share at an exercise price of $11.50 per Share.</w:t>
      </w:r>
    </w:p>
    <w:p>
      <w:pPr>
        <w:spacing w:after="0" w:line="192"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NOW THEREFORE, in consideration of the mutual promises contained in this Agreement and other good and valuable consideration, the receipt and sufficiency of which are hereby acknowledged, the parties to this Agreement hereby, intending legally to be bound, agree as follows: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AGREEMENT</w:t>
      </w:r>
    </w:p>
    <w:p>
      <w:pPr>
        <w:spacing w:after="0" w:line="221"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18"/>
          <w:szCs w:val="18"/>
          <w:b w:val="1"/>
          <w:bCs w:val="1"/>
          <w:color w:val="auto"/>
        </w:rPr>
        <w:t>Section 1.</w:t>
      </w:r>
      <w:r>
        <w:rPr>
          <w:sz w:val="20"/>
          <w:szCs w:val="20"/>
          <w:color w:val="auto"/>
        </w:rPr>
        <w:tab/>
      </w:r>
      <w:r>
        <w:rPr>
          <w:rFonts w:ascii="Arial" w:cs="Arial" w:eastAsia="Arial" w:hAnsi="Arial"/>
          <w:sz w:val="16"/>
          <w:szCs w:val="16"/>
          <w:b w:val="1"/>
          <w:bCs w:val="1"/>
          <w:color w:val="auto"/>
        </w:rPr>
        <w:t>Authorization, Purchase and Sale; Terms of the Private Placement Warrants.</w:t>
      </w:r>
    </w:p>
    <w:p>
      <w:pPr>
        <w:spacing w:after="0" w:line="229" w:lineRule="exact"/>
        <w:rPr>
          <w:sz w:val="20"/>
          <w:szCs w:val="20"/>
          <w:color w:val="auto"/>
        </w:rPr>
      </w:pPr>
    </w:p>
    <w:p>
      <w:pPr>
        <w:ind w:firstLine="656"/>
        <w:spacing w:after="0" w:line="277" w:lineRule="auto"/>
        <w:tabs>
          <w:tab w:leader="none" w:pos="1493" w:val="left"/>
        </w:tabs>
        <w:numPr>
          <w:ilvl w:val="0"/>
          <w:numId w:val="199"/>
        </w:numPr>
        <w:rPr>
          <w:rFonts w:ascii="Arial" w:cs="Arial" w:eastAsia="Arial" w:hAnsi="Arial"/>
          <w:sz w:val="18"/>
          <w:szCs w:val="18"/>
          <w:color w:val="auto"/>
        </w:rPr>
      </w:pPr>
      <w:r>
        <w:rPr>
          <w:rFonts w:ascii="Arial" w:cs="Arial" w:eastAsia="Arial" w:hAnsi="Arial"/>
          <w:sz w:val="18"/>
          <w:szCs w:val="18"/>
          <w:u w:val="single" w:color="auto"/>
          <w:color w:val="auto"/>
        </w:rPr>
        <w:t>Authorization of the Private Placement Warrants</w:t>
      </w:r>
      <w:r>
        <w:rPr>
          <w:rFonts w:ascii="Arial" w:cs="Arial" w:eastAsia="Arial" w:hAnsi="Arial"/>
          <w:sz w:val="18"/>
          <w:szCs w:val="18"/>
          <w:color w:val="auto"/>
        </w:rPr>
        <w:t>. The Company has duly authorized the issuance and sale of the Private Placement Warrants to the Purchaser.</w:t>
      </w:r>
    </w:p>
    <w:p>
      <w:pPr>
        <w:spacing w:after="0" w:line="170" w:lineRule="exact"/>
        <w:rPr>
          <w:rFonts w:ascii="Arial" w:cs="Arial" w:eastAsia="Arial" w:hAnsi="Arial"/>
          <w:sz w:val="18"/>
          <w:szCs w:val="18"/>
          <w:color w:val="auto"/>
        </w:rPr>
      </w:pPr>
    </w:p>
    <w:p>
      <w:pPr>
        <w:ind w:left="1320" w:hanging="664"/>
        <w:spacing w:after="0"/>
        <w:tabs>
          <w:tab w:leader="none" w:pos="1320" w:val="left"/>
        </w:tabs>
        <w:numPr>
          <w:ilvl w:val="0"/>
          <w:numId w:val="199"/>
        </w:numPr>
        <w:rPr>
          <w:rFonts w:ascii="Arial" w:cs="Arial" w:eastAsia="Arial" w:hAnsi="Arial"/>
          <w:sz w:val="18"/>
          <w:szCs w:val="18"/>
          <w:color w:val="auto"/>
        </w:rPr>
      </w:pPr>
      <w:r>
        <w:rPr>
          <w:rFonts w:ascii="Arial" w:cs="Arial" w:eastAsia="Arial" w:hAnsi="Arial"/>
          <w:sz w:val="18"/>
          <w:szCs w:val="18"/>
          <w:u w:val="single" w:color="auto"/>
          <w:color w:val="auto"/>
        </w:rPr>
        <w:t>Purchase and Sale of the Private Placement Warrants</w:t>
      </w:r>
      <w:r>
        <w:rPr>
          <w:rFonts w:ascii="Arial" w:cs="Arial" w:eastAsia="Arial" w:hAnsi="Arial"/>
          <w:sz w:val="18"/>
          <w:szCs w:val="18"/>
          <w:color w:val="auto"/>
        </w:rPr>
        <w:t>.</w:t>
      </w:r>
    </w:p>
    <w:p>
      <w:pPr>
        <w:spacing w:after="0" w:line="225" w:lineRule="exact"/>
        <w:rPr>
          <w:sz w:val="20"/>
          <w:szCs w:val="20"/>
          <w:color w:val="auto"/>
        </w:rPr>
      </w:pPr>
    </w:p>
    <w:p>
      <w:pPr>
        <w:jc w:val="both"/>
        <w:ind w:firstLine="656"/>
        <w:spacing w:after="0" w:line="272" w:lineRule="auto"/>
        <w:tabs>
          <w:tab w:leader="none" w:pos="1299" w:val="left"/>
        </w:tabs>
        <w:numPr>
          <w:ilvl w:val="0"/>
          <w:numId w:val="200"/>
        </w:numPr>
        <w:rPr>
          <w:rFonts w:ascii="Arial" w:cs="Arial" w:eastAsia="Arial" w:hAnsi="Arial"/>
          <w:sz w:val="17"/>
          <w:szCs w:val="17"/>
          <w:color w:val="auto"/>
        </w:rPr>
      </w:pPr>
      <w:r>
        <w:rPr>
          <w:rFonts w:ascii="Arial" w:cs="Arial" w:eastAsia="Arial" w:hAnsi="Arial"/>
          <w:sz w:val="17"/>
          <w:szCs w:val="17"/>
          <w:color w:val="auto"/>
        </w:rPr>
        <w:t>On the date of the consummation of the Public Offering or on such earlier time and date as may be mutually agreed by the Purchaser and the Company (the “</w:t>
      </w:r>
      <w:r>
        <w:rPr>
          <w:rFonts w:ascii="Arial" w:cs="Arial" w:eastAsia="Arial" w:hAnsi="Arial"/>
          <w:sz w:val="17"/>
          <w:szCs w:val="17"/>
          <w:b w:val="1"/>
          <w:bCs w:val="1"/>
          <w:i w:val="1"/>
          <w:iCs w:val="1"/>
          <w:color w:val="auto"/>
        </w:rPr>
        <w:t>Initial Closing Date</w:t>
      </w:r>
      <w:r>
        <w:rPr>
          <w:rFonts w:ascii="Arial" w:cs="Arial" w:eastAsia="Arial" w:hAnsi="Arial"/>
          <w:sz w:val="17"/>
          <w:szCs w:val="17"/>
          <w:color w:val="auto"/>
        </w:rPr>
        <w:t>”), the Company shall issue and sell to the Purchaser, and the Purchaser shall purchase from the Company, an aggregate of 5,000,000 Private Placement Warrants at a price of $1.50 per warrant for an aggregate purchase price of $7,500,000 (the “</w:t>
      </w:r>
      <w:r>
        <w:rPr>
          <w:rFonts w:ascii="Arial" w:cs="Arial" w:eastAsia="Arial" w:hAnsi="Arial"/>
          <w:sz w:val="17"/>
          <w:szCs w:val="17"/>
          <w:b w:val="1"/>
          <w:bCs w:val="1"/>
          <w:i w:val="1"/>
          <w:iCs w:val="1"/>
          <w:color w:val="auto"/>
        </w:rPr>
        <w:t>Purchase Price</w:t>
      </w:r>
      <w:r>
        <w:rPr>
          <w:rFonts w:ascii="Arial" w:cs="Arial" w:eastAsia="Arial" w:hAnsi="Arial"/>
          <w:sz w:val="17"/>
          <w:szCs w:val="17"/>
          <w:color w:val="auto"/>
        </w:rPr>
        <w:t>”), which shall be paid by wire transfer of immediately available funds to the Company at least one business day prior to the Initial Closing Date in accordance with the Company’s wiring instructions. On the Initial Closing Date, upon the payment by the Purchaser of the Purchase Price, the Company, at its option, shall deliver a certificate evidencing the Private Placement Warrants purchased by the Purchaser on such date duly registered in the Purchaser’s name to the Purchaser, or effect such delivery in book-entry form.</w:t>
      </w:r>
    </w:p>
    <w:p>
      <w:pPr>
        <w:spacing w:after="0" w:line="177" w:lineRule="exact"/>
        <w:rPr>
          <w:rFonts w:ascii="Arial" w:cs="Arial" w:eastAsia="Arial" w:hAnsi="Arial"/>
          <w:sz w:val="17"/>
          <w:szCs w:val="17"/>
          <w:color w:val="auto"/>
        </w:rPr>
      </w:pPr>
    </w:p>
    <w:p>
      <w:pPr>
        <w:jc w:val="both"/>
        <w:ind w:firstLine="656"/>
        <w:spacing w:after="0" w:line="288" w:lineRule="auto"/>
        <w:tabs>
          <w:tab w:leader="none" w:pos="1375" w:val="left"/>
        </w:tabs>
        <w:numPr>
          <w:ilvl w:val="0"/>
          <w:numId w:val="200"/>
        </w:numPr>
        <w:rPr>
          <w:rFonts w:ascii="Arial" w:cs="Arial" w:eastAsia="Arial" w:hAnsi="Arial"/>
          <w:sz w:val="16"/>
          <w:szCs w:val="16"/>
          <w:color w:val="auto"/>
        </w:rPr>
      </w:pPr>
      <w:r>
        <w:rPr>
          <w:rFonts w:ascii="Arial" w:cs="Arial" w:eastAsia="Arial" w:hAnsi="Arial"/>
          <w:sz w:val="16"/>
          <w:szCs w:val="16"/>
          <w:color w:val="auto"/>
        </w:rPr>
        <w:t>On the date of the consummation of the closing of the over-allotment option in connection with the Public Offering or on such earlier time and date as may be mutually agreed by the Purchaser and the Company (each such date, an “</w:t>
      </w:r>
      <w:r>
        <w:rPr>
          <w:rFonts w:ascii="Arial" w:cs="Arial" w:eastAsia="Arial" w:hAnsi="Arial"/>
          <w:sz w:val="16"/>
          <w:szCs w:val="16"/>
          <w:b w:val="1"/>
          <w:bCs w:val="1"/>
          <w:i w:val="1"/>
          <w:iCs w:val="1"/>
          <w:color w:val="auto"/>
        </w:rPr>
        <w:t>Over-allotment Closing Date</w:t>
      </w:r>
      <w:r>
        <w:rPr>
          <w:rFonts w:ascii="Arial" w:cs="Arial" w:eastAsia="Arial" w:hAnsi="Arial"/>
          <w:sz w:val="16"/>
          <w:szCs w:val="16"/>
          <w:color w:val="auto"/>
        </w:rPr>
        <w:t>”, and each Over-allotment Closing Date (if any) and the Initial Closing Date being sometimes referred to herein as a “</w:t>
      </w:r>
      <w:r>
        <w:rPr>
          <w:rFonts w:ascii="Arial" w:cs="Arial" w:eastAsia="Arial" w:hAnsi="Arial"/>
          <w:sz w:val="16"/>
          <w:szCs w:val="16"/>
          <w:b w:val="1"/>
          <w:bCs w:val="1"/>
          <w:i w:val="1"/>
          <w:iCs w:val="1"/>
          <w:color w:val="auto"/>
        </w:rPr>
        <w:t>Closing Date</w:t>
      </w:r>
      <w:r>
        <w:rPr>
          <w:rFonts w:ascii="Arial" w:cs="Arial" w:eastAsia="Arial" w:hAnsi="Arial"/>
          <w:sz w:val="16"/>
          <w:szCs w:val="16"/>
          <w:color w:val="auto"/>
        </w:rPr>
        <w:t>”), the Company shall issue and sell to the Purchaser, and the Purchaser shall purchase from the Company, up to an aggregate of 500,000 additional Private Placement Warrants at a price of $1.50 per warrant in the same proportion as the amount of the over-allotment option is then so exercised for an aggregate purchase price of up to $750,000 (if the over-allotment option in connection with the Public Offering is exercised in full) (the “</w:t>
      </w:r>
      <w:r>
        <w:rPr>
          <w:rFonts w:ascii="Arial" w:cs="Arial" w:eastAsia="Arial" w:hAnsi="Arial"/>
          <w:sz w:val="16"/>
          <w:szCs w:val="16"/>
          <w:b w:val="1"/>
          <w:bCs w:val="1"/>
          <w:i w:val="1"/>
          <w:iCs w:val="1"/>
          <w:color w:val="auto"/>
        </w:rPr>
        <w:t>Over-allotment Purchase Price</w:t>
      </w:r>
      <w:r>
        <w:rPr>
          <w:rFonts w:ascii="Arial" w:cs="Arial" w:eastAsia="Arial" w:hAnsi="Arial"/>
          <w:sz w:val="16"/>
          <w:szCs w:val="16"/>
          <w:color w:val="auto"/>
        </w:rPr>
        <w:t>”). The Purchaser shall pay the Over-allotment Purchase Price by wire transfer of immediately available funds to the Company at least one business day prior to the Over-Allotment Closing Date in accordance with the Company’s wiring instructions. On the Over-allotment Closing Date, upon the payment by the Purchaser of the Over-allotment Purchase Price, the Company shall, at its option, deliver a certificate evidencing the Private Placement Warrants purchased by the Purchaser on such date duly registered in the Purchaser’s name to the Purchaser, or effect such delivery in book-entry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339090</wp:posOffset>
            </wp:positionV>
            <wp:extent cx="7132320"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9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296" w:name="page297"/>
    <w:bookmarkEnd w:id="296"/>
    <w:p>
      <w:pPr>
        <w:ind w:left="1280" w:hanging="624"/>
        <w:spacing w:after="0"/>
        <w:tabs>
          <w:tab w:leader="none" w:pos="1280" w:val="left"/>
        </w:tabs>
        <w:numPr>
          <w:ilvl w:val="0"/>
          <w:numId w:val="201"/>
        </w:numPr>
        <w:rPr>
          <w:rFonts w:ascii="Arial" w:cs="Arial" w:eastAsia="Arial" w:hAnsi="Arial"/>
          <w:sz w:val="18"/>
          <w:szCs w:val="18"/>
          <w:color w:val="auto"/>
        </w:rPr>
      </w:pPr>
      <w:r>
        <w:rPr>
          <w:rFonts w:ascii="Arial" w:cs="Arial" w:eastAsia="Arial" w:hAnsi="Arial"/>
          <w:sz w:val="18"/>
          <w:szCs w:val="18"/>
          <w:u w:val="single" w:color="auto"/>
          <w:color w:val="auto"/>
        </w:rPr>
        <w:t>Terms of the Private Placement Warrants</w:t>
      </w:r>
      <w:r>
        <w:rPr>
          <w:rFonts w:ascii="Arial" w:cs="Arial" w:eastAsia="Arial" w:hAnsi="Arial"/>
          <w:sz w:val="18"/>
          <w:szCs w:val="18"/>
          <w:color w:val="auto"/>
        </w:rPr>
        <w:t>.</w:t>
      </w:r>
    </w:p>
    <w:p>
      <w:pPr>
        <w:spacing w:after="0" w:line="225" w:lineRule="exact"/>
        <w:rPr>
          <w:sz w:val="20"/>
          <w:szCs w:val="20"/>
          <w:color w:val="auto"/>
        </w:rPr>
      </w:pPr>
    </w:p>
    <w:p>
      <w:pPr>
        <w:ind w:right="20" w:firstLine="656"/>
        <w:spacing w:after="0" w:line="277" w:lineRule="auto"/>
        <w:tabs>
          <w:tab w:leader="none" w:pos="1321" w:val="left"/>
        </w:tabs>
        <w:numPr>
          <w:ilvl w:val="0"/>
          <w:numId w:val="202"/>
        </w:numPr>
        <w:rPr>
          <w:rFonts w:ascii="Arial" w:cs="Arial" w:eastAsia="Arial" w:hAnsi="Arial"/>
          <w:sz w:val="18"/>
          <w:szCs w:val="18"/>
          <w:color w:val="auto"/>
        </w:rPr>
      </w:pPr>
      <w:r>
        <w:rPr>
          <w:rFonts w:ascii="Arial" w:cs="Arial" w:eastAsia="Arial" w:hAnsi="Arial"/>
          <w:sz w:val="18"/>
          <w:szCs w:val="18"/>
          <w:color w:val="auto"/>
        </w:rPr>
        <w:t>Each Private Placement Warrant shall have the terms set forth in a Warrant Agreement to be entered into by the Company and a warrant agent in connection with the Public Offering (a “</w:t>
      </w:r>
      <w:r>
        <w:rPr>
          <w:rFonts w:ascii="Arial" w:cs="Arial" w:eastAsia="Arial" w:hAnsi="Arial"/>
          <w:sz w:val="18"/>
          <w:szCs w:val="18"/>
          <w:b w:val="1"/>
          <w:bCs w:val="1"/>
          <w:i w:val="1"/>
          <w:iCs w:val="1"/>
          <w:color w:val="auto"/>
        </w:rPr>
        <w:t>Warrant Agreement</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jc w:val="both"/>
        <w:ind w:firstLine="656"/>
        <w:spacing w:after="0" w:line="263" w:lineRule="auto"/>
        <w:tabs>
          <w:tab w:leader="none" w:pos="146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At, or prior to, the time of the closing of the Public Offering, the Company and the Purchaser shall enter into a registration rights agreement (the “</w:t>
      </w:r>
      <w:r>
        <w:rPr>
          <w:rFonts w:ascii="Arial" w:cs="Arial" w:eastAsia="Arial" w:hAnsi="Arial"/>
          <w:sz w:val="18"/>
          <w:szCs w:val="18"/>
          <w:b w:val="1"/>
          <w:bCs w:val="1"/>
          <w:i w:val="1"/>
          <w:iCs w:val="1"/>
          <w:color w:val="auto"/>
        </w:rPr>
        <w:t>Registration Rights Agreement</w:t>
      </w:r>
      <w:r>
        <w:rPr>
          <w:rFonts w:ascii="Arial" w:cs="Arial" w:eastAsia="Arial" w:hAnsi="Arial"/>
          <w:sz w:val="18"/>
          <w:szCs w:val="18"/>
          <w:color w:val="auto"/>
        </w:rPr>
        <w:t>”) pursuant to which the Company will grant certain registration rights to the Purchaser relating to the Private Placement Warrants and the Ordinary Shares underlying the Private Placement Warrants.</w:t>
      </w:r>
    </w:p>
    <w:p>
      <w:pPr>
        <w:spacing w:after="0" w:line="180"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Section 2. Representations and Warranties of the Company. </w:t>
      </w:r>
      <w:r>
        <w:rPr>
          <w:rFonts w:ascii="Arial" w:cs="Arial" w:eastAsia="Arial" w:hAnsi="Arial"/>
          <w:sz w:val="18"/>
          <w:szCs w:val="18"/>
          <w:color w:val="auto"/>
        </w:rPr>
        <w:t>As a material inducement to the Purchaser to enter into this Agreement and</w:t>
      </w:r>
      <w:r>
        <w:rPr>
          <w:rFonts w:ascii="Arial" w:cs="Arial" w:eastAsia="Arial" w:hAnsi="Arial"/>
          <w:sz w:val="18"/>
          <w:szCs w:val="18"/>
          <w:b w:val="1"/>
          <w:bCs w:val="1"/>
          <w:color w:val="auto"/>
        </w:rPr>
        <w:t xml:space="preserve"> </w:t>
      </w:r>
      <w:r>
        <w:rPr>
          <w:rFonts w:ascii="Arial" w:cs="Arial" w:eastAsia="Arial" w:hAnsi="Arial"/>
          <w:sz w:val="18"/>
          <w:szCs w:val="18"/>
          <w:color w:val="auto"/>
        </w:rPr>
        <w:t>purchase the Private Placement Warrants, the Company hereby represents and warrants to the Purchaser (which representations and warranties shall survive the Closing Date) that:</w:t>
      </w:r>
    </w:p>
    <w:p>
      <w:pPr>
        <w:spacing w:after="0" w:line="180" w:lineRule="exact"/>
        <w:rPr>
          <w:sz w:val="20"/>
          <w:szCs w:val="20"/>
          <w:color w:val="auto"/>
        </w:rPr>
      </w:pPr>
    </w:p>
    <w:p>
      <w:pPr>
        <w:jc w:val="both"/>
        <w:ind w:firstLine="656"/>
        <w:spacing w:after="0" w:line="279" w:lineRule="auto"/>
        <w:tabs>
          <w:tab w:leader="none" w:pos="1408" w:val="left"/>
        </w:tabs>
        <w:numPr>
          <w:ilvl w:val="0"/>
          <w:numId w:val="203"/>
        </w:numPr>
        <w:rPr>
          <w:rFonts w:ascii="Arial" w:cs="Arial" w:eastAsia="Arial" w:hAnsi="Arial"/>
          <w:sz w:val="17"/>
          <w:szCs w:val="17"/>
          <w:color w:val="auto"/>
        </w:rPr>
      </w:pPr>
      <w:r>
        <w:rPr>
          <w:rFonts w:ascii="Arial" w:cs="Arial" w:eastAsia="Arial" w:hAnsi="Arial"/>
          <w:sz w:val="17"/>
          <w:szCs w:val="17"/>
          <w:u w:val="single" w:color="auto"/>
          <w:color w:val="auto"/>
        </w:rPr>
        <w:t>Incorporation and Corporate Power</w:t>
      </w:r>
      <w:r>
        <w:rPr>
          <w:rFonts w:ascii="Arial" w:cs="Arial" w:eastAsia="Arial" w:hAnsi="Arial"/>
          <w:sz w:val="17"/>
          <w:szCs w:val="17"/>
          <w:color w:val="auto"/>
        </w:rPr>
        <w:t>. The Company is an exempted company duly incorporated, validly existing and in good standing under the laws of the Cayman Islands and is qualified to do business in every jurisdiction in which the failure to so qualify would reasonably be expected to have a material adverse effect on the financial condition, operating results or assets of the Company. The Company possesses all requisite corporate power and authority necessary to carry out the transactions contemplated by this Agreement and the Warrant Agreement.</w:t>
      </w:r>
    </w:p>
    <w:p>
      <w:pPr>
        <w:spacing w:after="0" w:line="171" w:lineRule="exact"/>
        <w:rPr>
          <w:rFonts w:ascii="Arial" w:cs="Arial" w:eastAsia="Arial" w:hAnsi="Arial"/>
          <w:sz w:val="17"/>
          <w:szCs w:val="17"/>
          <w:color w:val="auto"/>
        </w:rPr>
      </w:pPr>
    </w:p>
    <w:p>
      <w:pPr>
        <w:ind w:left="1220" w:hanging="564"/>
        <w:spacing w:after="0"/>
        <w:tabs>
          <w:tab w:leader="none" w:pos="1220" w:val="left"/>
        </w:tabs>
        <w:numPr>
          <w:ilvl w:val="0"/>
          <w:numId w:val="203"/>
        </w:numPr>
        <w:rPr>
          <w:rFonts w:ascii="Arial" w:cs="Arial" w:eastAsia="Arial" w:hAnsi="Arial"/>
          <w:sz w:val="18"/>
          <w:szCs w:val="18"/>
          <w:color w:val="auto"/>
        </w:rPr>
      </w:pPr>
      <w:r>
        <w:rPr>
          <w:rFonts w:ascii="Arial" w:cs="Arial" w:eastAsia="Arial" w:hAnsi="Arial"/>
          <w:sz w:val="18"/>
          <w:szCs w:val="18"/>
          <w:u w:val="single" w:color="auto"/>
          <w:color w:val="auto"/>
        </w:rPr>
        <w:t>Authorization; No Breach</w:t>
      </w:r>
      <w:r>
        <w:rPr>
          <w:rFonts w:ascii="Arial" w:cs="Arial" w:eastAsia="Arial" w:hAnsi="Arial"/>
          <w:sz w:val="18"/>
          <w:szCs w:val="18"/>
          <w:color w:val="auto"/>
        </w:rPr>
        <w:t>.</w:t>
      </w:r>
    </w:p>
    <w:p>
      <w:pPr>
        <w:spacing w:after="0" w:line="225" w:lineRule="exact"/>
        <w:rPr>
          <w:sz w:val="20"/>
          <w:szCs w:val="20"/>
          <w:color w:val="auto"/>
        </w:rPr>
      </w:pPr>
    </w:p>
    <w:p>
      <w:pPr>
        <w:jc w:val="both"/>
        <w:ind w:firstLine="656"/>
        <w:spacing w:after="0" w:line="279" w:lineRule="auto"/>
        <w:tabs>
          <w:tab w:leader="none" w:pos="1486" w:val="left"/>
        </w:tabs>
        <w:numPr>
          <w:ilvl w:val="0"/>
          <w:numId w:val="204"/>
        </w:numPr>
        <w:rPr>
          <w:rFonts w:ascii="Arial" w:cs="Arial" w:eastAsia="Arial" w:hAnsi="Arial"/>
          <w:sz w:val="17"/>
          <w:szCs w:val="17"/>
          <w:color w:val="auto"/>
        </w:rPr>
      </w:pPr>
      <w:r>
        <w:rPr>
          <w:rFonts w:ascii="Arial" w:cs="Arial" w:eastAsia="Arial" w:hAnsi="Arial"/>
          <w:sz w:val="17"/>
          <w:szCs w:val="17"/>
          <w:color w:val="auto"/>
        </w:rPr>
        <w:t>The execution, delivery and performance of this Agreement and the Private Placement Warrants have been duly authorized by the Company as of the Closing Date. This Agreement constitutes the valid and binding obligation of the Company, enforceable in accordance with its terms. Upon issuance in accordance with, and payment pursuant to, the terms of the Warrant Agreement and this Agreement, the Private Placement Warrants will constitute valid and binding obligations of the Company, enforceable in accordance with their terms as of the Closing Date.</w:t>
      </w:r>
    </w:p>
    <w:p>
      <w:pPr>
        <w:spacing w:after="0" w:line="171" w:lineRule="exact"/>
        <w:rPr>
          <w:rFonts w:ascii="Arial" w:cs="Arial" w:eastAsia="Arial" w:hAnsi="Arial"/>
          <w:sz w:val="17"/>
          <w:szCs w:val="17"/>
          <w:color w:val="auto"/>
        </w:rPr>
      </w:pPr>
    </w:p>
    <w:p>
      <w:pPr>
        <w:jc w:val="both"/>
        <w:ind w:firstLine="656"/>
        <w:spacing w:after="0" w:line="270" w:lineRule="auto"/>
        <w:tabs>
          <w:tab w:leader="none" w:pos="1330" w:val="left"/>
        </w:tabs>
        <w:numPr>
          <w:ilvl w:val="0"/>
          <w:numId w:val="204"/>
        </w:numPr>
        <w:rPr>
          <w:rFonts w:ascii="Arial" w:cs="Arial" w:eastAsia="Arial" w:hAnsi="Arial"/>
          <w:sz w:val="17"/>
          <w:szCs w:val="17"/>
          <w:color w:val="auto"/>
        </w:rPr>
      </w:pPr>
      <w:r>
        <w:rPr>
          <w:rFonts w:ascii="Arial" w:cs="Arial" w:eastAsia="Arial" w:hAnsi="Arial"/>
          <w:sz w:val="17"/>
          <w:szCs w:val="17"/>
          <w:color w:val="auto"/>
        </w:rPr>
        <w:t>The execution and delivery by the Company of this Agreement and the Private Placement Warrants, the issuance and sale of the Private Placement Warrants, the issuance of the Ordinary Shares upon exercise of the Private Placement Warrants and the fulfillment of, and compliance with, the respective terms hereof and thereof by the Company, do not and will not as of the Closing Date (a) conflict with or result in a breach of the terms, conditions or provisions of, (b) constitute a default under, (c) result in the creation of any lien, security interest, charge or encumbrance upon the Company’s equity or assets under, (d) result in a violation of, or (e) require any authorization, consent, approval, exemption or other action by or notice or declaration to, or filing with, any court or administrative or governmental body or agency pursuant to the Amended and Restated Memorandum and Articles of Association of the Company in effect on the date hereof or as may be amended prior to completion of the contemplated Public Offering, or any material law, statute, rule or regulation to which the Company is subject, or any agreement, order, judgment or decree to which the Company is subject, except for any filings required after the date hereof under federal or state securities laws.</w:t>
      </w:r>
    </w:p>
    <w:p>
      <w:pPr>
        <w:spacing w:after="0" w:line="181" w:lineRule="exact"/>
        <w:rPr>
          <w:sz w:val="20"/>
          <w:szCs w:val="20"/>
          <w:color w:val="auto"/>
        </w:rPr>
      </w:pPr>
    </w:p>
    <w:p>
      <w:pPr>
        <w:jc w:val="both"/>
        <w:ind w:firstLine="656"/>
        <w:spacing w:after="0" w:line="272" w:lineRule="auto"/>
        <w:tabs>
          <w:tab w:leader="none" w:pos="1330" w:val="left"/>
        </w:tabs>
        <w:numPr>
          <w:ilvl w:val="0"/>
          <w:numId w:val="205"/>
        </w:numPr>
        <w:rPr>
          <w:rFonts w:ascii="Arial" w:cs="Arial" w:eastAsia="Arial" w:hAnsi="Arial"/>
          <w:sz w:val="17"/>
          <w:szCs w:val="17"/>
          <w:color w:val="auto"/>
        </w:rPr>
      </w:pPr>
      <w:r>
        <w:rPr>
          <w:rFonts w:ascii="Arial" w:cs="Arial" w:eastAsia="Arial" w:hAnsi="Arial"/>
          <w:sz w:val="17"/>
          <w:szCs w:val="17"/>
          <w:u w:val="single" w:color="auto"/>
          <w:color w:val="auto"/>
        </w:rPr>
        <w:t>Title to Securities</w:t>
      </w:r>
      <w:r>
        <w:rPr>
          <w:rFonts w:ascii="Arial" w:cs="Arial" w:eastAsia="Arial" w:hAnsi="Arial"/>
          <w:sz w:val="17"/>
          <w:szCs w:val="17"/>
          <w:color w:val="auto"/>
        </w:rPr>
        <w:t>. Upon issuance in accordance with, and payment pursuant to, the terms hereof and the Warrant Agreement, and upon registration in the Company’s register of members, the Ordinary Shares issuable upon exercise of the Private Placement Warrants will be duly and validly issued, fully paid and nonassessable. Upon issuance in accordance with, and payment pursuant to, the terms hereof and the Warrant Agreement, and upon registration in the Company’s register of members, the Purchaser will have good title to the Private Placement Warrants and the Ordinary Shares issuable upon exercise of such Private Placement Warrants, free and clear of all liens, claims and encumbrances of any kind, other than (i) transfer restrictions hereunder and under the other agreements contemplated hereby, (ii) transfer restrictions under federal and state securities laws, and (iii) liens, claims or encumbrances imposed due to the actions of the Purchaser.</w:t>
      </w:r>
    </w:p>
    <w:p>
      <w:pPr>
        <w:spacing w:after="0" w:line="177" w:lineRule="exact"/>
        <w:rPr>
          <w:rFonts w:ascii="Arial" w:cs="Arial" w:eastAsia="Arial" w:hAnsi="Arial"/>
          <w:sz w:val="17"/>
          <w:szCs w:val="17"/>
          <w:color w:val="auto"/>
        </w:rPr>
      </w:pPr>
    </w:p>
    <w:p>
      <w:pPr>
        <w:jc w:val="both"/>
        <w:ind w:firstLine="656"/>
        <w:spacing w:after="0" w:line="263" w:lineRule="auto"/>
        <w:tabs>
          <w:tab w:leader="none" w:pos="1313" w:val="left"/>
        </w:tabs>
        <w:numPr>
          <w:ilvl w:val="0"/>
          <w:numId w:val="205"/>
        </w:numPr>
        <w:rPr>
          <w:rFonts w:ascii="Arial" w:cs="Arial" w:eastAsia="Arial" w:hAnsi="Arial"/>
          <w:sz w:val="18"/>
          <w:szCs w:val="18"/>
          <w:color w:val="auto"/>
        </w:rPr>
      </w:pPr>
      <w:r>
        <w:rPr>
          <w:rFonts w:ascii="Arial" w:cs="Arial" w:eastAsia="Arial" w:hAnsi="Arial"/>
          <w:sz w:val="18"/>
          <w:szCs w:val="18"/>
          <w:u w:val="single" w:color="auto"/>
          <w:color w:val="auto"/>
        </w:rPr>
        <w:t>Governmental Consents</w:t>
      </w:r>
      <w:r>
        <w:rPr>
          <w:rFonts w:ascii="Arial" w:cs="Arial" w:eastAsia="Arial" w:hAnsi="Arial"/>
          <w:sz w:val="18"/>
          <w:szCs w:val="18"/>
          <w:color w:val="auto"/>
        </w:rPr>
        <w:t>. No permit, consent, approval or authorization of, or declaration to or filing with, any governmental authority is required in connection with the execution, delivery and performance by the Company of this Agreement or the consummation by the Company of any other transactions contemplated hereby.</w:t>
      </w:r>
    </w:p>
    <w:p>
      <w:pPr>
        <w:spacing w:after="0" w:line="29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297" w:name="page298"/>
    <w:bookmarkEnd w:id="297"/>
    <w:p>
      <w:pPr>
        <w:jc w:val="both"/>
        <w:ind w:firstLine="656"/>
        <w:spacing w:after="0" w:line="263" w:lineRule="auto"/>
        <w:tabs>
          <w:tab w:leader="none" w:pos="1406" w:val="left"/>
        </w:tabs>
        <w:numPr>
          <w:ilvl w:val="0"/>
          <w:numId w:val="206"/>
        </w:numPr>
        <w:rPr>
          <w:rFonts w:ascii="Arial" w:cs="Arial" w:eastAsia="Arial" w:hAnsi="Arial"/>
          <w:sz w:val="18"/>
          <w:szCs w:val="18"/>
          <w:color w:val="auto"/>
        </w:rPr>
      </w:pPr>
      <w:r>
        <w:rPr>
          <w:rFonts w:ascii="Arial" w:cs="Arial" w:eastAsia="Arial" w:hAnsi="Arial"/>
          <w:sz w:val="18"/>
          <w:szCs w:val="18"/>
          <w:u w:val="single" w:color="auto"/>
          <w:color w:val="auto"/>
        </w:rPr>
        <w:t>Regulation D Qualification</w:t>
      </w:r>
      <w:r>
        <w:rPr>
          <w:rFonts w:ascii="Arial" w:cs="Arial" w:eastAsia="Arial" w:hAnsi="Arial"/>
          <w:sz w:val="18"/>
          <w:szCs w:val="18"/>
          <w:color w:val="auto"/>
        </w:rPr>
        <w:t>. Neither the Company nor, to its knowledge, any of its affiliates, members, officers, directors or beneficial shareholders of 20% or more of its outstanding securities, has experienced a disqualifying event as enumerated pursuant to Rule 506(d) of Regulation D under the Securities Act of 1933, as amended (the “</w:t>
      </w:r>
      <w:r>
        <w:rPr>
          <w:rFonts w:ascii="Arial" w:cs="Arial" w:eastAsia="Arial" w:hAnsi="Arial"/>
          <w:sz w:val="18"/>
          <w:szCs w:val="18"/>
          <w:b w:val="1"/>
          <w:bCs w:val="1"/>
          <w:i w:val="1"/>
          <w:iCs w:val="1"/>
          <w:color w:val="auto"/>
        </w:rPr>
        <w:t>Securities Act</w:t>
      </w:r>
      <w:r>
        <w:rPr>
          <w:rFonts w:ascii="Arial" w:cs="Arial" w:eastAsia="Arial" w:hAnsi="Arial"/>
          <w:sz w:val="18"/>
          <w:szCs w:val="18"/>
          <w:color w:val="auto"/>
        </w:rPr>
        <w:t>”).</w:t>
      </w:r>
    </w:p>
    <w:p>
      <w:pPr>
        <w:spacing w:after="0" w:line="180"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Section 3. Representations and Warranties of the Purchaser. </w:t>
      </w:r>
      <w:r>
        <w:rPr>
          <w:rFonts w:ascii="Arial" w:cs="Arial" w:eastAsia="Arial" w:hAnsi="Arial"/>
          <w:sz w:val="18"/>
          <w:szCs w:val="18"/>
          <w:color w:val="auto"/>
        </w:rPr>
        <w:t>As a material inducement to the Company to enter into this Agreement and</w:t>
      </w:r>
      <w:r>
        <w:rPr>
          <w:rFonts w:ascii="Arial" w:cs="Arial" w:eastAsia="Arial" w:hAnsi="Arial"/>
          <w:sz w:val="18"/>
          <w:szCs w:val="18"/>
          <w:b w:val="1"/>
          <w:bCs w:val="1"/>
          <w:color w:val="auto"/>
        </w:rPr>
        <w:t xml:space="preserve"> </w:t>
      </w:r>
      <w:r>
        <w:rPr>
          <w:rFonts w:ascii="Arial" w:cs="Arial" w:eastAsia="Arial" w:hAnsi="Arial"/>
          <w:sz w:val="18"/>
          <w:szCs w:val="18"/>
          <w:color w:val="auto"/>
        </w:rPr>
        <w:t>issue and sell the Private Placement Warrants to the Purchaser, the Purchaser hereby represents and warrants to the Company (which representations and warranties shall survive each Closing Date) that:</w:t>
      </w:r>
    </w:p>
    <w:p>
      <w:pPr>
        <w:spacing w:after="0" w:line="180" w:lineRule="exact"/>
        <w:rPr>
          <w:sz w:val="20"/>
          <w:szCs w:val="20"/>
          <w:color w:val="auto"/>
        </w:rPr>
      </w:pPr>
    </w:p>
    <w:p>
      <w:pPr>
        <w:ind w:firstLine="656"/>
        <w:spacing w:after="0" w:line="277" w:lineRule="auto"/>
        <w:tabs>
          <w:tab w:leader="none" w:pos="1354" w:val="left"/>
        </w:tabs>
        <w:numPr>
          <w:ilvl w:val="0"/>
          <w:numId w:val="207"/>
        </w:numPr>
        <w:rPr>
          <w:rFonts w:ascii="Arial" w:cs="Arial" w:eastAsia="Arial" w:hAnsi="Arial"/>
          <w:sz w:val="18"/>
          <w:szCs w:val="18"/>
          <w:color w:val="auto"/>
        </w:rPr>
      </w:pPr>
      <w:r>
        <w:rPr>
          <w:rFonts w:ascii="Arial" w:cs="Arial" w:eastAsia="Arial" w:hAnsi="Arial"/>
          <w:sz w:val="18"/>
          <w:szCs w:val="18"/>
          <w:u w:val="single" w:color="auto"/>
          <w:color w:val="auto"/>
        </w:rPr>
        <w:t>Organization and Requisite Authority</w:t>
      </w:r>
      <w:r>
        <w:rPr>
          <w:rFonts w:ascii="Arial" w:cs="Arial" w:eastAsia="Arial" w:hAnsi="Arial"/>
          <w:sz w:val="18"/>
          <w:szCs w:val="18"/>
          <w:color w:val="auto"/>
        </w:rPr>
        <w:t>. The Purchaser possesses all requisite power and authority necessary to carry out the transactions contemplated by this Agreement.</w:t>
      </w:r>
    </w:p>
    <w:p>
      <w:pPr>
        <w:spacing w:after="0" w:line="170" w:lineRule="exact"/>
        <w:rPr>
          <w:rFonts w:ascii="Arial" w:cs="Arial" w:eastAsia="Arial" w:hAnsi="Arial"/>
          <w:sz w:val="18"/>
          <w:szCs w:val="18"/>
          <w:color w:val="auto"/>
        </w:rPr>
      </w:pPr>
    </w:p>
    <w:p>
      <w:pPr>
        <w:ind w:left="1280" w:hanging="624"/>
        <w:spacing w:after="0"/>
        <w:tabs>
          <w:tab w:leader="none" w:pos="1280" w:val="left"/>
        </w:tabs>
        <w:numPr>
          <w:ilvl w:val="0"/>
          <w:numId w:val="207"/>
        </w:numPr>
        <w:rPr>
          <w:rFonts w:ascii="Arial" w:cs="Arial" w:eastAsia="Arial" w:hAnsi="Arial"/>
          <w:sz w:val="18"/>
          <w:szCs w:val="18"/>
          <w:color w:val="auto"/>
        </w:rPr>
      </w:pPr>
      <w:r>
        <w:rPr>
          <w:rFonts w:ascii="Arial" w:cs="Arial" w:eastAsia="Arial" w:hAnsi="Arial"/>
          <w:sz w:val="18"/>
          <w:szCs w:val="18"/>
          <w:u w:val="single" w:color="auto"/>
          <w:color w:val="auto"/>
        </w:rPr>
        <w:t>Authorization; No Breach</w:t>
      </w:r>
      <w:r>
        <w:rPr>
          <w:rFonts w:ascii="Arial" w:cs="Arial" w:eastAsia="Arial" w:hAnsi="Arial"/>
          <w:sz w:val="18"/>
          <w:szCs w:val="18"/>
          <w:color w:val="auto"/>
        </w:rPr>
        <w:t>.</w:t>
      </w:r>
    </w:p>
    <w:p>
      <w:pPr>
        <w:spacing w:after="0" w:line="225" w:lineRule="exact"/>
        <w:rPr>
          <w:sz w:val="20"/>
          <w:szCs w:val="20"/>
          <w:color w:val="auto"/>
        </w:rPr>
      </w:pPr>
    </w:p>
    <w:p>
      <w:pPr>
        <w:jc w:val="both"/>
        <w:ind w:firstLine="656"/>
        <w:spacing w:after="0" w:line="263" w:lineRule="auto"/>
        <w:tabs>
          <w:tab w:leader="none" w:pos="1554" w:val="left"/>
        </w:tabs>
        <w:numPr>
          <w:ilvl w:val="0"/>
          <w:numId w:val="208"/>
        </w:numPr>
        <w:rPr>
          <w:rFonts w:ascii="Arial" w:cs="Arial" w:eastAsia="Arial" w:hAnsi="Arial"/>
          <w:sz w:val="18"/>
          <w:szCs w:val="18"/>
          <w:color w:val="auto"/>
        </w:rPr>
      </w:pPr>
      <w:r>
        <w:rPr>
          <w:rFonts w:ascii="Arial" w:cs="Arial" w:eastAsia="Arial" w:hAnsi="Arial"/>
          <w:sz w:val="18"/>
          <w:szCs w:val="18"/>
          <w:color w:val="auto"/>
        </w:rPr>
        <w:t>This Agreement constitutes a valid and binding obligation of the Purchaser, enforceable in accordance with its terms, subject to bankruptcy, insolvency, fraudulent conveyance, reorganization, moratorium and other laws of general applicability relating to or affecting creditors’ rights and to general equitable principles (whether considered in a proceeding in equity or law).</w:t>
      </w:r>
    </w:p>
    <w:p>
      <w:pPr>
        <w:spacing w:after="0" w:line="183" w:lineRule="exact"/>
        <w:rPr>
          <w:rFonts w:ascii="Arial" w:cs="Arial" w:eastAsia="Arial" w:hAnsi="Arial"/>
          <w:sz w:val="18"/>
          <w:szCs w:val="18"/>
          <w:color w:val="auto"/>
        </w:rPr>
      </w:pPr>
    </w:p>
    <w:p>
      <w:pPr>
        <w:jc w:val="both"/>
        <w:ind w:firstLine="656"/>
        <w:spacing w:after="0" w:line="263" w:lineRule="auto"/>
        <w:tabs>
          <w:tab w:leader="none" w:pos="1444" w:val="left"/>
        </w:tabs>
        <w:numPr>
          <w:ilvl w:val="0"/>
          <w:numId w:val="208"/>
        </w:numPr>
        <w:rPr>
          <w:rFonts w:ascii="Arial" w:cs="Arial" w:eastAsia="Arial" w:hAnsi="Arial"/>
          <w:sz w:val="18"/>
          <w:szCs w:val="18"/>
          <w:color w:val="auto"/>
        </w:rPr>
      </w:pPr>
      <w:r>
        <w:rPr>
          <w:rFonts w:ascii="Arial" w:cs="Arial" w:eastAsia="Arial" w:hAnsi="Arial"/>
          <w:sz w:val="18"/>
          <w:szCs w:val="18"/>
          <w:color w:val="auto"/>
        </w:rPr>
        <w:t>The execution and delivery by the Purchaser of this Agreement and the fulfillment of and compliance with the terms hereof by the Purchaser does not and shall not as of each Closing Date conflict with or result in a breach by the Purchaser of the terms, conditions or provisions of any agreement, instrument, order, judgment or decree to which the Purchaser is subject.</w:t>
      </w:r>
    </w:p>
    <w:p>
      <w:pPr>
        <w:spacing w:after="0" w:line="184" w:lineRule="exact"/>
        <w:rPr>
          <w:sz w:val="20"/>
          <w:szCs w:val="20"/>
          <w:color w:val="auto"/>
        </w:rPr>
      </w:pPr>
    </w:p>
    <w:p>
      <w:pPr>
        <w:ind w:left="1280" w:hanging="624"/>
        <w:spacing w:after="0"/>
        <w:tabs>
          <w:tab w:leader="none" w:pos="1280" w:val="left"/>
        </w:tabs>
        <w:numPr>
          <w:ilvl w:val="0"/>
          <w:numId w:val="209"/>
        </w:numPr>
        <w:rPr>
          <w:rFonts w:ascii="Arial" w:cs="Arial" w:eastAsia="Arial" w:hAnsi="Arial"/>
          <w:sz w:val="18"/>
          <w:szCs w:val="18"/>
          <w:color w:val="auto"/>
        </w:rPr>
      </w:pPr>
      <w:r>
        <w:rPr>
          <w:rFonts w:ascii="Arial" w:cs="Arial" w:eastAsia="Arial" w:hAnsi="Arial"/>
          <w:sz w:val="18"/>
          <w:szCs w:val="18"/>
          <w:u w:val="single" w:color="auto"/>
          <w:color w:val="auto"/>
        </w:rPr>
        <w:t>Investment Representations</w:t>
      </w:r>
      <w:r>
        <w:rPr>
          <w:rFonts w:ascii="Arial" w:cs="Arial" w:eastAsia="Arial" w:hAnsi="Arial"/>
          <w:sz w:val="18"/>
          <w:szCs w:val="18"/>
          <w:color w:val="auto"/>
        </w:rPr>
        <w:t>.</w:t>
      </w:r>
    </w:p>
    <w:p>
      <w:pPr>
        <w:spacing w:after="0" w:line="225" w:lineRule="exact"/>
        <w:rPr>
          <w:sz w:val="20"/>
          <w:szCs w:val="20"/>
          <w:color w:val="auto"/>
        </w:rPr>
      </w:pPr>
    </w:p>
    <w:p>
      <w:pPr>
        <w:jc w:val="both"/>
        <w:ind w:firstLine="656"/>
        <w:spacing w:after="0" w:line="263" w:lineRule="auto"/>
        <w:tabs>
          <w:tab w:leader="none" w:pos="1375" w:val="left"/>
        </w:tabs>
        <w:numPr>
          <w:ilvl w:val="0"/>
          <w:numId w:val="210"/>
        </w:numPr>
        <w:rPr>
          <w:rFonts w:ascii="Arial" w:cs="Arial" w:eastAsia="Arial" w:hAnsi="Arial"/>
          <w:sz w:val="18"/>
          <w:szCs w:val="18"/>
          <w:color w:val="auto"/>
        </w:rPr>
      </w:pPr>
      <w:r>
        <w:rPr>
          <w:rFonts w:ascii="Arial" w:cs="Arial" w:eastAsia="Arial" w:hAnsi="Arial"/>
          <w:sz w:val="18"/>
          <w:szCs w:val="18"/>
          <w:color w:val="auto"/>
        </w:rPr>
        <w:t>The Purchaser is acquiring the Private Placement Warrants and, upon exercise of the Private Placement Warrants, the Ordinary Shares issuable upon such exercise (collectively, the “</w:t>
      </w:r>
      <w:r>
        <w:rPr>
          <w:rFonts w:ascii="Arial" w:cs="Arial" w:eastAsia="Arial" w:hAnsi="Arial"/>
          <w:sz w:val="18"/>
          <w:szCs w:val="18"/>
          <w:b w:val="1"/>
          <w:bCs w:val="1"/>
          <w:i w:val="1"/>
          <w:iCs w:val="1"/>
          <w:color w:val="auto"/>
        </w:rPr>
        <w:t>Securities</w:t>
      </w:r>
      <w:r>
        <w:rPr>
          <w:rFonts w:ascii="Arial" w:cs="Arial" w:eastAsia="Arial" w:hAnsi="Arial"/>
          <w:sz w:val="18"/>
          <w:szCs w:val="18"/>
          <w:color w:val="auto"/>
        </w:rPr>
        <w:t>”), for the Purchaser’s own account, for investment purposes only and not with a view towards, or for resale in connection with, any public sale or distribution thereof.</w:t>
      </w:r>
    </w:p>
    <w:p>
      <w:pPr>
        <w:spacing w:after="0" w:line="183" w:lineRule="exact"/>
        <w:rPr>
          <w:rFonts w:ascii="Arial" w:cs="Arial" w:eastAsia="Arial" w:hAnsi="Arial"/>
          <w:sz w:val="18"/>
          <w:szCs w:val="18"/>
          <w:color w:val="auto"/>
        </w:rPr>
      </w:pPr>
    </w:p>
    <w:p>
      <w:pPr>
        <w:jc w:val="both"/>
        <w:ind w:firstLine="656"/>
        <w:spacing w:after="0" w:line="342" w:lineRule="auto"/>
        <w:tabs>
          <w:tab w:leader="none" w:pos="1438" w:val="left"/>
        </w:tabs>
        <w:numPr>
          <w:ilvl w:val="0"/>
          <w:numId w:val="210"/>
        </w:numPr>
        <w:rPr>
          <w:rFonts w:ascii="Arial" w:cs="Arial" w:eastAsia="Arial" w:hAnsi="Arial"/>
          <w:sz w:val="16"/>
          <w:szCs w:val="16"/>
          <w:color w:val="auto"/>
        </w:rPr>
      </w:pPr>
      <w:r>
        <w:rPr>
          <w:rFonts w:ascii="Arial" w:cs="Arial" w:eastAsia="Arial" w:hAnsi="Arial"/>
          <w:sz w:val="16"/>
          <w:szCs w:val="16"/>
          <w:color w:val="auto"/>
        </w:rPr>
        <w:t>The ultimate parent of the Purchaser is an “accredited investor” as such term is defined in Rule 501(a)(3) of Regulation D, and the ultimate parent of the Purchaser has not experienced a disqualifying event as enumerated pursuant to Rule 506(d) of Regulation D under the Securities Act.</w:t>
      </w:r>
    </w:p>
    <w:p>
      <w:pPr>
        <w:spacing w:after="0" w:line="123" w:lineRule="exact"/>
        <w:rPr>
          <w:rFonts w:ascii="Arial" w:cs="Arial" w:eastAsia="Arial" w:hAnsi="Arial"/>
          <w:sz w:val="16"/>
          <w:szCs w:val="16"/>
          <w:color w:val="auto"/>
        </w:rPr>
      </w:pPr>
    </w:p>
    <w:p>
      <w:pPr>
        <w:jc w:val="both"/>
        <w:ind w:firstLine="656"/>
        <w:spacing w:after="0" w:line="259" w:lineRule="auto"/>
        <w:tabs>
          <w:tab w:leader="none" w:pos="1476" w:val="left"/>
        </w:tabs>
        <w:numPr>
          <w:ilvl w:val="0"/>
          <w:numId w:val="210"/>
        </w:numPr>
        <w:rPr>
          <w:rFonts w:ascii="Arial" w:cs="Arial" w:eastAsia="Arial" w:hAnsi="Arial"/>
          <w:sz w:val="18"/>
          <w:szCs w:val="18"/>
          <w:color w:val="auto"/>
        </w:rPr>
      </w:pPr>
      <w:r>
        <w:rPr>
          <w:rFonts w:ascii="Arial" w:cs="Arial" w:eastAsia="Arial" w:hAnsi="Arial"/>
          <w:sz w:val="18"/>
          <w:szCs w:val="18"/>
          <w:color w:val="auto"/>
        </w:rPr>
        <w:t>The Purchaser understands that the Securities are being offered and will be sold to it in reliance on specific exemptions from the registration requirements of the United States federal and state securities laws and that the Company is relying upon the truth and accuracy of, and the Purchaser’s compliance with, the representations and warranties of the Purchaser set forth herein in order to determine the availability of such exemptions and the eligibility of the Purchaser to acquire such Securities.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8" w:lineRule="exact"/>
        <w:rPr>
          <w:rFonts w:ascii="Arial" w:cs="Arial" w:eastAsia="Arial" w:hAnsi="Arial"/>
          <w:sz w:val="18"/>
          <w:szCs w:val="18"/>
          <w:color w:val="auto"/>
        </w:rPr>
      </w:pPr>
    </w:p>
    <w:p>
      <w:pPr>
        <w:ind w:firstLine="656"/>
        <w:spacing w:after="0" w:line="277" w:lineRule="auto"/>
        <w:tabs>
          <w:tab w:leader="none" w:pos="1282" w:val="left"/>
        </w:tabs>
        <w:numPr>
          <w:ilvl w:val="0"/>
          <w:numId w:val="210"/>
        </w:numPr>
        <w:rPr>
          <w:rFonts w:ascii="Arial" w:cs="Arial" w:eastAsia="Arial" w:hAnsi="Arial"/>
          <w:sz w:val="18"/>
          <w:szCs w:val="18"/>
          <w:color w:val="auto"/>
        </w:rPr>
      </w:pPr>
      <w:r>
        <w:rPr>
          <w:rFonts w:ascii="Arial" w:cs="Arial" w:eastAsia="Arial" w:hAnsi="Arial"/>
          <w:sz w:val="18"/>
          <w:szCs w:val="18"/>
          <w:color w:val="auto"/>
        </w:rPr>
        <w:t>The Purchaser did not decide to enter into this Agreement as a result of any general solicitation or general advertising within the meaning of Rule 502(c) of Regulation D under the Securities Act.</w:t>
      </w:r>
    </w:p>
    <w:p>
      <w:pPr>
        <w:spacing w:after="0" w:line="170" w:lineRule="exact"/>
        <w:rPr>
          <w:rFonts w:ascii="Arial" w:cs="Arial" w:eastAsia="Arial" w:hAnsi="Arial"/>
          <w:sz w:val="18"/>
          <w:szCs w:val="18"/>
          <w:color w:val="auto"/>
        </w:rPr>
      </w:pPr>
    </w:p>
    <w:p>
      <w:pPr>
        <w:jc w:val="both"/>
        <w:ind w:firstLine="656"/>
        <w:spacing w:after="0" w:line="257" w:lineRule="auto"/>
        <w:tabs>
          <w:tab w:leader="none" w:pos="1433" w:val="left"/>
        </w:tabs>
        <w:numPr>
          <w:ilvl w:val="0"/>
          <w:numId w:val="210"/>
        </w:numPr>
        <w:rPr>
          <w:rFonts w:ascii="Arial" w:cs="Arial" w:eastAsia="Arial" w:hAnsi="Arial"/>
          <w:sz w:val="18"/>
          <w:szCs w:val="18"/>
          <w:color w:val="auto"/>
        </w:rPr>
      </w:pPr>
      <w:r>
        <w:rPr>
          <w:rFonts w:ascii="Arial" w:cs="Arial" w:eastAsia="Arial" w:hAnsi="Arial"/>
          <w:sz w:val="18"/>
          <w:szCs w:val="18"/>
          <w:color w:val="auto"/>
        </w:rPr>
        <w:t>The Purchaser has been furnished with all materials relating to the business, finances and operations of the Company and materials relating to the offer and sale of the Securities which have been requested by the Purchaser. The Purchaser has been afforded the opportunity to ask questions of the executive officers and directors of the Company. The Purchaser understands that its investment in the Securities involves a high degree of risk and it has sought such accounting, legal and tax advice as it has considered necessary to make an informed investment decision with respect to the acquisition of the Securities.</w:t>
      </w:r>
    </w:p>
    <w:p>
      <w:pPr>
        <w:spacing w:after="0" w:line="187" w:lineRule="exact"/>
        <w:rPr>
          <w:rFonts w:ascii="Arial" w:cs="Arial" w:eastAsia="Arial" w:hAnsi="Arial"/>
          <w:sz w:val="18"/>
          <w:szCs w:val="18"/>
          <w:color w:val="auto"/>
        </w:rPr>
      </w:pPr>
    </w:p>
    <w:p>
      <w:pPr>
        <w:jc w:val="both"/>
        <w:ind w:firstLine="656"/>
        <w:spacing w:after="0" w:line="263" w:lineRule="auto"/>
        <w:tabs>
          <w:tab w:leader="none" w:pos="1311" w:val="left"/>
        </w:tabs>
        <w:numPr>
          <w:ilvl w:val="0"/>
          <w:numId w:val="210"/>
        </w:numPr>
        <w:rPr>
          <w:rFonts w:ascii="Arial" w:cs="Arial" w:eastAsia="Arial" w:hAnsi="Arial"/>
          <w:sz w:val="18"/>
          <w:szCs w:val="18"/>
          <w:color w:val="auto"/>
        </w:rPr>
      </w:pPr>
      <w:r>
        <w:rPr>
          <w:rFonts w:ascii="Arial" w:cs="Arial" w:eastAsia="Arial" w:hAnsi="Arial"/>
          <w:sz w:val="18"/>
          <w:szCs w:val="18"/>
          <w:color w:val="auto"/>
        </w:rPr>
        <w:t>The Purchaser understands that no United States federal or state agency or any other government or governmental agency has passed on or made any recommendation or endorsement of the Securities or the fairness or suitability of the investment in the Securities by the Purchaser nor have such authorities passed upon or endorsed the merits of the offering of the Securities.</w:t>
      </w:r>
    </w:p>
    <w:p>
      <w:pPr>
        <w:spacing w:after="0" w:line="29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0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298" w:name="page299"/>
    <w:bookmarkEnd w:id="298"/>
    <w:p>
      <w:pPr>
        <w:jc w:val="both"/>
        <w:ind w:firstLine="656"/>
        <w:spacing w:after="0" w:line="269" w:lineRule="auto"/>
        <w:tabs>
          <w:tab w:leader="none" w:pos="1431" w:val="left"/>
        </w:tabs>
        <w:numPr>
          <w:ilvl w:val="0"/>
          <w:numId w:val="211"/>
        </w:numPr>
        <w:rPr>
          <w:rFonts w:ascii="Arial" w:cs="Arial" w:eastAsia="Arial" w:hAnsi="Arial"/>
          <w:sz w:val="17"/>
          <w:szCs w:val="17"/>
          <w:color w:val="auto"/>
        </w:rPr>
      </w:pPr>
      <w:r>
        <w:rPr>
          <w:rFonts w:ascii="Arial" w:cs="Arial" w:eastAsia="Arial" w:hAnsi="Arial"/>
          <w:sz w:val="17"/>
          <w:szCs w:val="17"/>
          <w:color w:val="auto"/>
        </w:rPr>
        <w:t>The Purchaser understands that: (a) the Securities have not been and are not being registered under the Securities Act or any state securities laws, and may not be offered for sale, sold, assigned or transferred unless (1) subsequently registered thereunder or (2) sold in reliance on an exemption therefrom; and (b) except as specifically set forth in the Registration Rights Agreement, neither the Company nor any other person is under any obligation to register the Securities under the Securities Act or any state securities laws or to comply with the terms and conditions of any exemption thereunder. While the Purchaser understands that Rule 144 is not available for the resale of securities initially issued by shell companies (other than business combination related shell companies) or issuers that have been at any time previously a shell company, the Purchaser understands that Rule 144 includes an exception to this prohibition if the following conditions are met: (i) the issuer of the securities that was formerly a shell company has ceased to be a shell company; (ii) the issuer of the securities is subject to the reporting requirements of Section 13 or 15(d) of the Securities Exchange Act of 1934, as amended (the “</w:t>
      </w:r>
      <w:r>
        <w:rPr>
          <w:rFonts w:ascii="Arial" w:cs="Arial" w:eastAsia="Arial" w:hAnsi="Arial"/>
          <w:sz w:val="17"/>
          <w:szCs w:val="17"/>
          <w:b w:val="1"/>
          <w:bCs w:val="1"/>
          <w:i w:val="1"/>
          <w:iCs w:val="1"/>
          <w:color w:val="auto"/>
        </w:rPr>
        <w:t>Exchange Act</w:t>
      </w:r>
      <w:r>
        <w:rPr>
          <w:rFonts w:ascii="Arial" w:cs="Arial" w:eastAsia="Arial" w:hAnsi="Arial"/>
          <w:sz w:val="17"/>
          <w:szCs w:val="17"/>
          <w:color w:val="auto"/>
        </w:rPr>
        <w:t>”); (iii) the issuer of the securities has filed all Exchange Act reports and material required to be filed, as applicable, during the preceding 12 months (or such shorter period that the issuer was required to file such reports and materials), other than Form 8-K reports; and (iv) at least one year has elapsed from the time that the issuer filed current Form 10 type information with the SEC reflecting its status as an entity that is not a shell company.</w:t>
      </w:r>
    </w:p>
    <w:p>
      <w:pPr>
        <w:spacing w:after="0" w:line="178" w:lineRule="exact"/>
        <w:rPr>
          <w:rFonts w:ascii="Arial" w:cs="Arial" w:eastAsia="Arial" w:hAnsi="Arial"/>
          <w:sz w:val="17"/>
          <w:szCs w:val="17"/>
          <w:color w:val="auto"/>
        </w:rPr>
      </w:pPr>
    </w:p>
    <w:p>
      <w:pPr>
        <w:jc w:val="both"/>
        <w:ind w:firstLine="656"/>
        <w:spacing w:after="0" w:line="296" w:lineRule="auto"/>
        <w:tabs>
          <w:tab w:leader="none" w:pos="1352" w:val="left"/>
        </w:tabs>
        <w:numPr>
          <w:ilvl w:val="0"/>
          <w:numId w:val="211"/>
        </w:numPr>
        <w:rPr>
          <w:rFonts w:ascii="Arial" w:cs="Arial" w:eastAsia="Arial" w:hAnsi="Arial"/>
          <w:sz w:val="16"/>
          <w:szCs w:val="16"/>
          <w:color w:val="auto"/>
        </w:rPr>
      </w:pPr>
      <w:r>
        <w:rPr>
          <w:rFonts w:ascii="Arial" w:cs="Arial" w:eastAsia="Arial" w:hAnsi="Arial"/>
          <w:sz w:val="16"/>
          <w:szCs w:val="16"/>
          <w:color w:val="auto"/>
        </w:rPr>
        <w:t>The Purchaser has such knowledge and experience in financial and business matters, knows of the high degree of risk associated with investments in the securities of companies in the development stage such as the Company, is capable of evaluating the merits and risks of an investment in the Securities and is able to bear the economic risk of an investment in the Securities in the amount contemplated hereunder for an indefinite period of time. The Purchaser has adequate means of providing for its current financial needs and contingencies and will have no current or anticipated future needs for liquidity which would be jeopardized by the investment in the Securities. The Purchaser can afford a complete loss of its investment in the Securities.</w:t>
      </w:r>
    </w:p>
    <w:p>
      <w:pPr>
        <w:spacing w:after="0" w:line="161" w:lineRule="exact"/>
        <w:rPr>
          <w:rFonts w:ascii="Arial" w:cs="Arial" w:eastAsia="Arial" w:hAnsi="Arial"/>
          <w:sz w:val="16"/>
          <w:szCs w:val="16"/>
          <w:color w:val="auto"/>
        </w:rPr>
      </w:pPr>
    </w:p>
    <w:p>
      <w:pPr>
        <w:ind w:left="1280" w:hanging="624"/>
        <w:spacing w:after="0"/>
        <w:tabs>
          <w:tab w:leader="none" w:pos="1280" w:val="left"/>
        </w:tabs>
        <w:numPr>
          <w:ilvl w:val="0"/>
          <w:numId w:val="211"/>
        </w:numPr>
        <w:rPr>
          <w:rFonts w:ascii="Arial" w:cs="Arial" w:eastAsia="Arial" w:hAnsi="Arial"/>
          <w:sz w:val="16"/>
          <w:szCs w:val="16"/>
          <w:color w:val="auto"/>
        </w:rPr>
      </w:pPr>
      <w:r>
        <w:rPr>
          <w:rFonts w:ascii="Arial" w:cs="Arial" w:eastAsia="Arial" w:hAnsi="Arial"/>
          <w:sz w:val="16"/>
          <w:szCs w:val="16"/>
          <w:color w:val="auto"/>
        </w:rPr>
        <w:t>The Purchaser understands that the Private Placement Warrants shall bear the legend substantially in the form set forth in the Warrant</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Agreement.</w:t>
      </w:r>
    </w:p>
    <w:p>
      <w:pPr>
        <w:spacing w:after="0" w:line="207"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b w:val="1"/>
          <w:bCs w:val="1"/>
          <w:color w:val="auto"/>
        </w:rPr>
        <w:t xml:space="preserve">Section 4. Conditions of the Purchaser’s Obligations. </w:t>
      </w:r>
      <w:r>
        <w:rPr>
          <w:rFonts w:ascii="Arial" w:cs="Arial" w:eastAsia="Arial" w:hAnsi="Arial"/>
          <w:sz w:val="18"/>
          <w:szCs w:val="18"/>
          <w:color w:val="auto"/>
        </w:rPr>
        <w:t>The obligation of the Purchaser to purchase and pay for the Private Placement</w:t>
      </w:r>
      <w:r>
        <w:rPr>
          <w:rFonts w:ascii="Arial" w:cs="Arial" w:eastAsia="Arial" w:hAnsi="Arial"/>
          <w:sz w:val="18"/>
          <w:szCs w:val="18"/>
          <w:b w:val="1"/>
          <w:bCs w:val="1"/>
          <w:color w:val="auto"/>
        </w:rPr>
        <w:t xml:space="preserve"> </w:t>
      </w:r>
      <w:r>
        <w:rPr>
          <w:rFonts w:ascii="Arial" w:cs="Arial" w:eastAsia="Arial" w:hAnsi="Arial"/>
          <w:sz w:val="18"/>
          <w:szCs w:val="18"/>
          <w:color w:val="auto"/>
        </w:rPr>
        <w:t>Warrants is subject to the fulfillment, on or before each Closing Date, of each of the following conditions:</w:t>
      </w:r>
    </w:p>
    <w:p>
      <w:pPr>
        <w:spacing w:after="0" w:line="166" w:lineRule="exact"/>
        <w:rPr>
          <w:sz w:val="20"/>
          <w:szCs w:val="20"/>
          <w:color w:val="auto"/>
        </w:rPr>
      </w:pPr>
    </w:p>
    <w:p>
      <w:pPr>
        <w:ind w:firstLine="656"/>
        <w:spacing w:after="0" w:line="277" w:lineRule="auto"/>
        <w:tabs>
          <w:tab w:leader="none" w:pos="1399" w:val="left"/>
        </w:tabs>
        <w:numPr>
          <w:ilvl w:val="0"/>
          <w:numId w:val="212"/>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The representations and warranties of the Company contained in Section 2 shall be true and correct at and as of such Closing Date as though then made.</w:t>
      </w:r>
    </w:p>
    <w:p>
      <w:pPr>
        <w:spacing w:after="0" w:line="170" w:lineRule="exact"/>
        <w:rPr>
          <w:rFonts w:ascii="Arial" w:cs="Arial" w:eastAsia="Arial" w:hAnsi="Arial"/>
          <w:sz w:val="18"/>
          <w:szCs w:val="18"/>
          <w:color w:val="auto"/>
        </w:rPr>
      </w:pPr>
    </w:p>
    <w:p>
      <w:pPr>
        <w:ind w:right="20" w:firstLine="656"/>
        <w:spacing w:after="0" w:line="277" w:lineRule="auto"/>
        <w:tabs>
          <w:tab w:leader="none" w:pos="1564" w:val="left"/>
        </w:tabs>
        <w:numPr>
          <w:ilvl w:val="0"/>
          <w:numId w:val="212"/>
        </w:numPr>
        <w:rPr>
          <w:rFonts w:ascii="Arial" w:cs="Arial" w:eastAsia="Arial" w:hAnsi="Arial"/>
          <w:sz w:val="18"/>
          <w:szCs w:val="18"/>
          <w:color w:val="auto"/>
        </w:rPr>
      </w:pPr>
      <w:r>
        <w:rPr>
          <w:rFonts w:ascii="Arial" w:cs="Arial" w:eastAsia="Arial" w:hAnsi="Arial"/>
          <w:sz w:val="18"/>
          <w:szCs w:val="18"/>
          <w:u w:val="single" w:color="auto"/>
          <w:color w:val="auto"/>
        </w:rPr>
        <w:t>Performance</w:t>
      </w:r>
      <w:r>
        <w:rPr>
          <w:rFonts w:ascii="Arial" w:cs="Arial" w:eastAsia="Arial" w:hAnsi="Arial"/>
          <w:sz w:val="18"/>
          <w:szCs w:val="18"/>
          <w:color w:val="auto"/>
        </w:rPr>
        <w:t>. The Company shall have performed and complied with all agreements, obligations and conditions contained in this Agreement that are required to be performed or complied with by it on or before such Closing Date.</w:t>
      </w:r>
    </w:p>
    <w:p>
      <w:pPr>
        <w:spacing w:after="0" w:line="170" w:lineRule="exact"/>
        <w:rPr>
          <w:rFonts w:ascii="Arial" w:cs="Arial" w:eastAsia="Arial" w:hAnsi="Arial"/>
          <w:sz w:val="18"/>
          <w:szCs w:val="18"/>
          <w:color w:val="auto"/>
        </w:rPr>
      </w:pPr>
    </w:p>
    <w:p>
      <w:pPr>
        <w:jc w:val="both"/>
        <w:ind w:firstLine="656"/>
        <w:spacing w:after="0" w:line="311" w:lineRule="auto"/>
        <w:tabs>
          <w:tab w:leader="none" w:pos="1497" w:val="left"/>
        </w:tabs>
        <w:numPr>
          <w:ilvl w:val="0"/>
          <w:numId w:val="212"/>
        </w:numPr>
        <w:rPr>
          <w:rFonts w:ascii="Arial" w:cs="Arial" w:eastAsia="Arial" w:hAnsi="Arial"/>
          <w:sz w:val="16"/>
          <w:szCs w:val="16"/>
          <w:color w:val="auto"/>
        </w:rPr>
      </w:pPr>
      <w:r>
        <w:rPr>
          <w:rFonts w:ascii="Arial" w:cs="Arial" w:eastAsia="Arial" w:hAnsi="Arial"/>
          <w:sz w:val="16"/>
          <w:szCs w:val="16"/>
          <w:u w:val="single" w:color="auto"/>
          <w:color w:val="auto"/>
        </w:rPr>
        <w:t>No Injunction</w:t>
      </w:r>
      <w:r>
        <w:rPr>
          <w:rFonts w:ascii="Arial" w:cs="Arial" w:eastAsia="Arial" w:hAnsi="Arial"/>
          <w:sz w:val="16"/>
          <w:szCs w:val="16"/>
          <w:color w:val="auto"/>
        </w:rPr>
        <w:t>. No litigation, statute, rule, regulation, executive order, decree, ruling or injunction shall have been enacted, entered, promulgated or endorsed by or in any court or governmental authority of competent jurisdiction or any self-regulatory organization having authority over the matters contemplated hereby, which prohibits the consummation of any of the transactions contemplated by this Agreement or the Warrant Agreement.</w:t>
      </w:r>
    </w:p>
    <w:p>
      <w:pPr>
        <w:spacing w:after="0" w:line="148" w:lineRule="exact"/>
        <w:rPr>
          <w:rFonts w:ascii="Arial" w:cs="Arial" w:eastAsia="Arial" w:hAnsi="Arial"/>
          <w:sz w:val="16"/>
          <w:szCs w:val="16"/>
          <w:color w:val="auto"/>
        </w:rPr>
      </w:pPr>
    </w:p>
    <w:p>
      <w:pPr>
        <w:ind w:left="1500" w:hanging="844"/>
        <w:spacing w:after="0"/>
        <w:tabs>
          <w:tab w:leader="none" w:pos="1500" w:val="left"/>
        </w:tabs>
        <w:numPr>
          <w:ilvl w:val="0"/>
          <w:numId w:val="212"/>
        </w:numPr>
        <w:rPr>
          <w:rFonts w:ascii="Arial" w:cs="Arial" w:eastAsia="Arial" w:hAnsi="Arial"/>
          <w:sz w:val="16"/>
          <w:szCs w:val="16"/>
          <w:color w:val="auto"/>
        </w:rPr>
      </w:pPr>
      <w:r>
        <w:rPr>
          <w:rFonts w:ascii="Arial" w:cs="Arial" w:eastAsia="Arial" w:hAnsi="Arial"/>
          <w:sz w:val="16"/>
          <w:szCs w:val="16"/>
          <w:u w:val="single" w:color="auto"/>
          <w:color w:val="auto"/>
        </w:rPr>
        <w:t>Warrant Agreement</w:t>
      </w:r>
      <w:r>
        <w:rPr>
          <w:rFonts w:ascii="Arial" w:cs="Arial" w:eastAsia="Arial" w:hAnsi="Arial"/>
          <w:sz w:val="16"/>
          <w:szCs w:val="16"/>
          <w:color w:val="auto"/>
        </w:rPr>
        <w:t>. The Company shall have entered into the Warrant Agreement with a warrant agent on terms satisfactory to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Purchaser.</w:t>
      </w:r>
    </w:p>
    <w:p>
      <w:pPr>
        <w:spacing w:after="0" w:line="207"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b w:val="1"/>
          <w:bCs w:val="1"/>
          <w:color w:val="auto"/>
        </w:rPr>
        <w:t xml:space="preserve">Section 5. Conditions of the Company’s Obligations. </w:t>
      </w:r>
      <w:r>
        <w:rPr>
          <w:rFonts w:ascii="Arial" w:cs="Arial" w:eastAsia="Arial" w:hAnsi="Arial"/>
          <w:sz w:val="18"/>
          <w:szCs w:val="18"/>
          <w:color w:val="auto"/>
        </w:rPr>
        <w:t>The obligations of the Company to the Purchaser under this Agreement are subject</w:t>
      </w:r>
      <w:r>
        <w:rPr>
          <w:rFonts w:ascii="Arial" w:cs="Arial" w:eastAsia="Arial" w:hAnsi="Arial"/>
          <w:sz w:val="18"/>
          <w:szCs w:val="18"/>
          <w:b w:val="1"/>
          <w:bCs w:val="1"/>
          <w:color w:val="auto"/>
        </w:rPr>
        <w:t xml:space="preserve"> </w:t>
      </w:r>
      <w:r>
        <w:rPr>
          <w:rFonts w:ascii="Arial" w:cs="Arial" w:eastAsia="Arial" w:hAnsi="Arial"/>
          <w:sz w:val="18"/>
          <w:szCs w:val="18"/>
          <w:color w:val="auto"/>
        </w:rPr>
        <w:t>to the fulfillment, on or before each Closing Date, of each of the following conditions:</w:t>
      </w:r>
    </w:p>
    <w:p>
      <w:pPr>
        <w:spacing w:after="0" w:line="166" w:lineRule="exact"/>
        <w:rPr>
          <w:sz w:val="20"/>
          <w:szCs w:val="20"/>
          <w:color w:val="auto"/>
        </w:rPr>
      </w:pPr>
    </w:p>
    <w:p>
      <w:pPr>
        <w:ind w:right="20" w:firstLine="656"/>
        <w:spacing w:after="0" w:line="277" w:lineRule="auto"/>
        <w:tabs>
          <w:tab w:leader="none" w:pos="1399" w:val="left"/>
        </w:tabs>
        <w:numPr>
          <w:ilvl w:val="0"/>
          <w:numId w:val="213"/>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The representations and warranties of the Purchaser contained in Section 3 shall be true and correct at and as of such Closing Date as though then made.</w:t>
      </w:r>
    </w:p>
    <w:p>
      <w:pPr>
        <w:spacing w:after="0" w:line="170" w:lineRule="exact"/>
        <w:rPr>
          <w:rFonts w:ascii="Arial" w:cs="Arial" w:eastAsia="Arial" w:hAnsi="Arial"/>
          <w:sz w:val="18"/>
          <w:szCs w:val="18"/>
          <w:color w:val="auto"/>
        </w:rPr>
      </w:pPr>
    </w:p>
    <w:p>
      <w:pPr>
        <w:ind w:firstLine="656"/>
        <w:spacing w:after="0" w:line="277" w:lineRule="auto"/>
        <w:tabs>
          <w:tab w:leader="none" w:pos="1551" w:val="left"/>
        </w:tabs>
        <w:numPr>
          <w:ilvl w:val="0"/>
          <w:numId w:val="213"/>
        </w:numPr>
        <w:rPr>
          <w:rFonts w:ascii="Arial" w:cs="Arial" w:eastAsia="Arial" w:hAnsi="Arial"/>
          <w:sz w:val="18"/>
          <w:szCs w:val="18"/>
          <w:color w:val="auto"/>
        </w:rPr>
      </w:pPr>
      <w:r>
        <w:rPr>
          <w:rFonts w:ascii="Arial" w:cs="Arial" w:eastAsia="Arial" w:hAnsi="Arial"/>
          <w:sz w:val="18"/>
          <w:szCs w:val="18"/>
          <w:u w:val="single" w:color="auto"/>
          <w:color w:val="auto"/>
        </w:rPr>
        <w:t>Performance</w:t>
      </w:r>
      <w:r>
        <w:rPr>
          <w:rFonts w:ascii="Arial" w:cs="Arial" w:eastAsia="Arial" w:hAnsi="Arial"/>
          <w:sz w:val="18"/>
          <w:szCs w:val="18"/>
          <w:color w:val="auto"/>
        </w:rPr>
        <w:t>. The Purchaser shall have performed and complied with all agreements, obligations and conditions contained in this Agreement that are required to be performed or complied with by the Purchaser on or before such Closing Date.</w:t>
      </w:r>
    </w:p>
    <w:p>
      <w:pPr>
        <w:spacing w:after="0" w:line="27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0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299" w:name="page300"/>
    <w:bookmarkEnd w:id="299"/>
    <w:p>
      <w:pPr>
        <w:ind w:right="20" w:firstLine="656"/>
        <w:spacing w:after="0" w:line="308" w:lineRule="auto"/>
        <w:tabs>
          <w:tab w:leader="none" w:pos="1470" w:val="left"/>
        </w:tabs>
        <w:numPr>
          <w:ilvl w:val="0"/>
          <w:numId w:val="214"/>
        </w:numPr>
        <w:rPr>
          <w:rFonts w:ascii="Arial" w:cs="Arial" w:eastAsia="Arial" w:hAnsi="Arial"/>
          <w:sz w:val="17"/>
          <w:szCs w:val="17"/>
          <w:color w:val="auto"/>
        </w:rPr>
      </w:pPr>
      <w:r>
        <w:rPr>
          <w:rFonts w:ascii="Arial" w:cs="Arial" w:eastAsia="Arial" w:hAnsi="Arial"/>
          <w:sz w:val="17"/>
          <w:szCs w:val="17"/>
          <w:u w:val="single" w:color="auto"/>
          <w:color w:val="auto"/>
        </w:rPr>
        <w:t>Corporate Consents</w:t>
      </w:r>
      <w:r>
        <w:rPr>
          <w:rFonts w:ascii="Arial" w:cs="Arial" w:eastAsia="Arial" w:hAnsi="Arial"/>
          <w:sz w:val="17"/>
          <w:szCs w:val="17"/>
          <w:color w:val="auto"/>
        </w:rPr>
        <w:t>. The Company shall have obtained the consent of its Board of Directors authorizing the execution, delivery and performance of this Agreement and the Warrant Agreement and the issuance and sale of the Private Placement Warrants hereunder.</w:t>
      </w:r>
    </w:p>
    <w:p>
      <w:pPr>
        <w:spacing w:after="0" w:line="146" w:lineRule="exact"/>
        <w:rPr>
          <w:rFonts w:ascii="Arial" w:cs="Arial" w:eastAsia="Arial" w:hAnsi="Arial"/>
          <w:sz w:val="17"/>
          <w:szCs w:val="17"/>
          <w:color w:val="auto"/>
        </w:rPr>
      </w:pPr>
    </w:p>
    <w:p>
      <w:pPr>
        <w:jc w:val="both"/>
        <w:ind w:firstLine="656"/>
        <w:spacing w:after="0" w:line="311" w:lineRule="auto"/>
        <w:tabs>
          <w:tab w:leader="none" w:pos="1507" w:val="left"/>
        </w:tabs>
        <w:numPr>
          <w:ilvl w:val="0"/>
          <w:numId w:val="214"/>
        </w:numPr>
        <w:rPr>
          <w:rFonts w:ascii="Arial" w:cs="Arial" w:eastAsia="Arial" w:hAnsi="Arial"/>
          <w:sz w:val="16"/>
          <w:szCs w:val="16"/>
          <w:color w:val="auto"/>
        </w:rPr>
      </w:pPr>
      <w:r>
        <w:rPr>
          <w:rFonts w:ascii="Arial" w:cs="Arial" w:eastAsia="Arial" w:hAnsi="Arial"/>
          <w:sz w:val="16"/>
          <w:szCs w:val="16"/>
          <w:u w:val="single" w:color="auto"/>
          <w:color w:val="auto"/>
        </w:rPr>
        <w:t>No Injunction</w:t>
      </w:r>
      <w:r>
        <w:rPr>
          <w:rFonts w:ascii="Arial" w:cs="Arial" w:eastAsia="Arial" w:hAnsi="Arial"/>
          <w:sz w:val="16"/>
          <w:szCs w:val="16"/>
          <w:color w:val="auto"/>
        </w:rPr>
        <w:t>. No litigation, statute, rule, regulation, executive order, decree, ruling or injunction shall have been enacted, entered, promulgated or endorsed by or in any court or governmental authority of competent jurisdiction or any self-regulatory organization having authority over the matters contemplated hereby, which prohibits the consummation of any of the transactions contemplated by this Agreement or the Warrant Agreement.</w:t>
      </w:r>
    </w:p>
    <w:p>
      <w:pPr>
        <w:spacing w:after="0" w:line="148" w:lineRule="exact"/>
        <w:rPr>
          <w:rFonts w:ascii="Arial" w:cs="Arial" w:eastAsia="Arial" w:hAnsi="Arial"/>
          <w:sz w:val="16"/>
          <w:szCs w:val="16"/>
          <w:color w:val="auto"/>
        </w:rPr>
      </w:pPr>
    </w:p>
    <w:p>
      <w:pPr>
        <w:ind w:left="1480" w:hanging="824"/>
        <w:spacing w:after="0"/>
        <w:tabs>
          <w:tab w:leader="none" w:pos="1480" w:val="left"/>
        </w:tabs>
        <w:numPr>
          <w:ilvl w:val="0"/>
          <w:numId w:val="214"/>
        </w:numPr>
        <w:rPr>
          <w:rFonts w:ascii="Arial" w:cs="Arial" w:eastAsia="Arial" w:hAnsi="Arial"/>
          <w:sz w:val="16"/>
          <w:szCs w:val="16"/>
          <w:color w:val="auto"/>
        </w:rPr>
      </w:pPr>
      <w:r>
        <w:rPr>
          <w:rFonts w:ascii="Arial" w:cs="Arial" w:eastAsia="Arial" w:hAnsi="Arial"/>
          <w:sz w:val="16"/>
          <w:szCs w:val="16"/>
          <w:u w:val="single" w:color="auto"/>
          <w:color w:val="auto"/>
        </w:rPr>
        <w:t>Warrant Agreement</w:t>
      </w:r>
      <w:r>
        <w:rPr>
          <w:rFonts w:ascii="Arial" w:cs="Arial" w:eastAsia="Arial" w:hAnsi="Arial"/>
          <w:sz w:val="16"/>
          <w:szCs w:val="16"/>
          <w:color w:val="auto"/>
        </w:rPr>
        <w:t>. The Company shall have entered into the Warrant Agreement with a warrant agent on terms satisfactory to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Company.</w:t>
      </w:r>
    </w:p>
    <w:p>
      <w:pPr>
        <w:spacing w:after="0" w:line="207"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b w:val="1"/>
          <w:bCs w:val="1"/>
          <w:color w:val="auto"/>
        </w:rPr>
        <w:t xml:space="preserve">Section 6. Termination. </w:t>
      </w:r>
      <w:r>
        <w:rPr>
          <w:rFonts w:ascii="Arial" w:cs="Arial" w:eastAsia="Arial" w:hAnsi="Arial"/>
          <w:sz w:val="18"/>
          <w:szCs w:val="18"/>
          <w:color w:val="auto"/>
        </w:rPr>
        <w:t>This Agreement may be terminated at any time after December 31, 2021 upon the election by either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or the Purchaser upon written notice to the other party if the closing of the Public Offering does not occur prior to such date.</w:t>
      </w:r>
    </w:p>
    <w:p>
      <w:pPr>
        <w:spacing w:after="0" w:line="162" w:lineRule="exact"/>
        <w:rPr>
          <w:sz w:val="20"/>
          <w:szCs w:val="20"/>
          <w:color w:val="auto"/>
        </w:rPr>
      </w:pPr>
    </w:p>
    <w:p>
      <w:pPr>
        <w:ind w:right="20" w:firstLine="648"/>
        <w:spacing w:after="0" w:line="282" w:lineRule="auto"/>
        <w:rPr>
          <w:sz w:val="20"/>
          <w:szCs w:val="20"/>
          <w:color w:val="auto"/>
        </w:rPr>
      </w:pPr>
      <w:r>
        <w:rPr>
          <w:rFonts w:ascii="Arial" w:cs="Arial" w:eastAsia="Arial" w:hAnsi="Arial"/>
          <w:sz w:val="18"/>
          <w:szCs w:val="18"/>
          <w:b w:val="1"/>
          <w:bCs w:val="1"/>
          <w:color w:val="auto"/>
        </w:rPr>
        <w:t xml:space="preserve">Section 7. Survival of Representations and Warranties. </w:t>
      </w:r>
      <w:r>
        <w:rPr>
          <w:rFonts w:ascii="Arial" w:cs="Arial" w:eastAsia="Arial" w:hAnsi="Arial"/>
          <w:sz w:val="18"/>
          <w:szCs w:val="18"/>
          <w:color w:val="auto"/>
        </w:rPr>
        <w:t>All of the representations and warranties contained herein shall survive each</w:t>
      </w:r>
      <w:r>
        <w:rPr>
          <w:rFonts w:ascii="Arial" w:cs="Arial" w:eastAsia="Arial" w:hAnsi="Arial"/>
          <w:sz w:val="18"/>
          <w:szCs w:val="18"/>
          <w:b w:val="1"/>
          <w:bCs w:val="1"/>
          <w:color w:val="auto"/>
        </w:rPr>
        <w:t xml:space="preserve"> </w:t>
      </w:r>
      <w:r>
        <w:rPr>
          <w:rFonts w:ascii="Arial" w:cs="Arial" w:eastAsia="Arial" w:hAnsi="Arial"/>
          <w:sz w:val="18"/>
          <w:szCs w:val="18"/>
          <w:color w:val="auto"/>
        </w:rPr>
        <w:t>Closing Date.</w:t>
      </w:r>
    </w:p>
    <w:p>
      <w:pPr>
        <w:spacing w:after="0" w:line="162"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b w:val="1"/>
          <w:bCs w:val="1"/>
          <w:color w:val="auto"/>
        </w:rPr>
        <w:t xml:space="preserve">Section 8. Definitions. </w:t>
      </w:r>
      <w:r>
        <w:rPr>
          <w:rFonts w:ascii="Arial" w:cs="Arial" w:eastAsia="Arial" w:hAnsi="Arial"/>
          <w:sz w:val="18"/>
          <w:szCs w:val="18"/>
          <w:color w:val="auto"/>
        </w:rPr>
        <w:t>Terms used but not otherwise defined in this Agreement shall have the meaning assigned to such terms in the</w:t>
      </w:r>
      <w:r>
        <w:rPr>
          <w:rFonts w:ascii="Arial" w:cs="Arial" w:eastAsia="Arial" w:hAnsi="Arial"/>
          <w:sz w:val="18"/>
          <w:szCs w:val="18"/>
          <w:b w:val="1"/>
          <w:bCs w:val="1"/>
          <w:color w:val="auto"/>
        </w:rPr>
        <w:t xml:space="preserve"> </w:t>
      </w:r>
      <w:r>
        <w:rPr>
          <w:rFonts w:ascii="Arial" w:cs="Arial" w:eastAsia="Arial" w:hAnsi="Arial"/>
          <w:sz w:val="18"/>
          <w:szCs w:val="18"/>
          <w:color w:val="auto"/>
        </w:rPr>
        <w:t>registration statement on Form S-1 the Company has filed with the U.S. Securities and Exchange Commission, under the Securities Act.</w:t>
      </w:r>
    </w:p>
    <w:p>
      <w:pPr>
        <w:spacing w:after="0" w:line="162"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18"/>
          <w:szCs w:val="18"/>
          <w:b w:val="1"/>
          <w:bCs w:val="1"/>
          <w:color w:val="auto"/>
        </w:rPr>
        <w:t>Section 9.</w:t>
      </w:r>
      <w:r>
        <w:rPr>
          <w:sz w:val="20"/>
          <w:szCs w:val="20"/>
          <w:color w:val="auto"/>
        </w:rPr>
        <w:tab/>
      </w:r>
      <w:r>
        <w:rPr>
          <w:rFonts w:ascii="Arial" w:cs="Arial" w:eastAsia="Arial" w:hAnsi="Arial"/>
          <w:sz w:val="16"/>
          <w:szCs w:val="16"/>
          <w:b w:val="1"/>
          <w:bCs w:val="1"/>
          <w:color w:val="auto"/>
        </w:rPr>
        <w:t>Miscellaneous.</w:t>
      </w:r>
    </w:p>
    <w:p>
      <w:pPr>
        <w:spacing w:after="0" w:line="229" w:lineRule="exact"/>
        <w:rPr>
          <w:sz w:val="20"/>
          <w:szCs w:val="20"/>
          <w:color w:val="auto"/>
        </w:rPr>
      </w:pPr>
    </w:p>
    <w:p>
      <w:pPr>
        <w:jc w:val="both"/>
        <w:ind w:firstLine="656"/>
        <w:spacing w:after="0" w:line="259" w:lineRule="auto"/>
        <w:tabs>
          <w:tab w:leader="none" w:pos="1331" w:val="left"/>
        </w:tabs>
        <w:numPr>
          <w:ilvl w:val="0"/>
          <w:numId w:val="215"/>
        </w:numPr>
        <w:rPr>
          <w:rFonts w:ascii="Arial" w:cs="Arial" w:eastAsia="Arial" w:hAnsi="Arial"/>
          <w:sz w:val="18"/>
          <w:szCs w:val="18"/>
          <w:color w:val="auto"/>
        </w:rPr>
      </w:pPr>
      <w:r>
        <w:rPr>
          <w:rFonts w:ascii="Arial" w:cs="Arial" w:eastAsia="Arial" w:hAnsi="Arial"/>
          <w:sz w:val="18"/>
          <w:szCs w:val="18"/>
          <w:u w:val="single" w:color="auto"/>
          <w:color w:val="auto"/>
        </w:rPr>
        <w:t>Successors and Assigns</w:t>
      </w:r>
      <w:r>
        <w:rPr>
          <w:rFonts w:ascii="Arial" w:cs="Arial" w:eastAsia="Arial" w:hAnsi="Arial"/>
          <w:sz w:val="18"/>
          <w:szCs w:val="18"/>
          <w:color w:val="auto"/>
        </w:rPr>
        <w:t>. Except as otherwise expressly provided herein, all covenants and agreements contained in this Agreement by or on behalf of any of the parties hereto shall bind and inure to the benefit of the respective successors of the parties hereto whether so expressed or not. Notwithstanding the foregoing or anything to the contrary herein, the parties may not assign this Agreement, other than assignments by the Purchaser to affiliates thereof (including, without limitation one or more of its members).</w:t>
      </w:r>
    </w:p>
    <w:p>
      <w:pPr>
        <w:spacing w:after="0" w:line="186" w:lineRule="exact"/>
        <w:rPr>
          <w:rFonts w:ascii="Arial" w:cs="Arial" w:eastAsia="Arial" w:hAnsi="Arial"/>
          <w:sz w:val="18"/>
          <w:szCs w:val="18"/>
          <w:color w:val="auto"/>
        </w:rPr>
      </w:pPr>
    </w:p>
    <w:p>
      <w:pPr>
        <w:jc w:val="both"/>
        <w:ind w:firstLine="656"/>
        <w:spacing w:after="0" w:line="263" w:lineRule="auto"/>
        <w:tabs>
          <w:tab w:leader="none" w:pos="1335" w:val="left"/>
        </w:tabs>
        <w:numPr>
          <w:ilvl w:val="0"/>
          <w:numId w:val="215"/>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Whenever possible, each provision of this Agreement shall be interpreted in such manner as to be effective and valid under applicable law, but if any provision of this Agreement is held to be prohibited by or invalid under applicable law, such provision shall be ineffective only to the extent of such prohibition or invalidity, without invalidating the remainder of this Agreement.</w:t>
      </w:r>
    </w:p>
    <w:p>
      <w:pPr>
        <w:spacing w:after="0" w:line="183" w:lineRule="exact"/>
        <w:rPr>
          <w:rFonts w:ascii="Arial" w:cs="Arial" w:eastAsia="Arial" w:hAnsi="Arial"/>
          <w:sz w:val="18"/>
          <w:szCs w:val="18"/>
          <w:color w:val="auto"/>
        </w:rPr>
      </w:pPr>
    </w:p>
    <w:p>
      <w:pPr>
        <w:ind w:firstLine="656"/>
        <w:spacing w:after="0" w:line="277" w:lineRule="auto"/>
        <w:tabs>
          <w:tab w:leader="none" w:pos="1375" w:val="left"/>
        </w:tabs>
        <w:numPr>
          <w:ilvl w:val="0"/>
          <w:numId w:val="215"/>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simultaneously in two or more counterparts, none of which need contain the signatures of more than one party, but all such counterparts taken together shall constitute one and the same agreement.</w:t>
      </w:r>
    </w:p>
    <w:p>
      <w:pPr>
        <w:spacing w:after="0" w:line="170" w:lineRule="exact"/>
        <w:rPr>
          <w:rFonts w:ascii="Arial" w:cs="Arial" w:eastAsia="Arial" w:hAnsi="Arial"/>
          <w:sz w:val="18"/>
          <w:szCs w:val="18"/>
          <w:color w:val="auto"/>
        </w:rPr>
      </w:pPr>
    </w:p>
    <w:p>
      <w:pPr>
        <w:ind w:firstLine="656"/>
        <w:spacing w:after="0" w:line="342" w:lineRule="auto"/>
        <w:tabs>
          <w:tab w:leader="none" w:pos="1331" w:val="left"/>
        </w:tabs>
        <w:numPr>
          <w:ilvl w:val="0"/>
          <w:numId w:val="215"/>
        </w:numPr>
        <w:rPr>
          <w:rFonts w:ascii="Arial" w:cs="Arial" w:eastAsia="Arial" w:hAnsi="Arial"/>
          <w:sz w:val="16"/>
          <w:szCs w:val="16"/>
          <w:color w:val="auto"/>
        </w:rPr>
      </w:pPr>
      <w:r>
        <w:rPr>
          <w:rFonts w:ascii="Arial" w:cs="Arial" w:eastAsia="Arial" w:hAnsi="Arial"/>
          <w:sz w:val="16"/>
          <w:szCs w:val="16"/>
          <w:u w:val="single" w:color="auto"/>
          <w:color w:val="auto"/>
        </w:rPr>
        <w:t>Descriptive Headings; Interpretation</w:t>
      </w:r>
      <w:r>
        <w:rPr>
          <w:rFonts w:ascii="Arial" w:cs="Arial" w:eastAsia="Arial" w:hAnsi="Arial"/>
          <w:sz w:val="16"/>
          <w:szCs w:val="16"/>
          <w:color w:val="auto"/>
        </w:rPr>
        <w:t>. The descriptive headings of this Agreement are inserted for convenience only and do not constitute a substantive part of this Agreement. The use of the word “including” in this Agreement shall be by way of example rather than by limitation.</w:t>
      </w:r>
    </w:p>
    <w:p>
      <w:pPr>
        <w:spacing w:after="0" w:line="123" w:lineRule="exact"/>
        <w:rPr>
          <w:rFonts w:ascii="Arial" w:cs="Arial" w:eastAsia="Arial" w:hAnsi="Arial"/>
          <w:sz w:val="16"/>
          <w:szCs w:val="16"/>
          <w:color w:val="auto"/>
        </w:rPr>
      </w:pPr>
    </w:p>
    <w:p>
      <w:pPr>
        <w:ind w:firstLine="656"/>
        <w:spacing w:after="0" w:line="277" w:lineRule="auto"/>
        <w:tabs>
          <w:tab w:leader="none" w:pos="1406" w:val="left"/>
        </w:tabs>
        <w:numPr>
          <w:ilvl w:val="0"/>
          <w:numId w:val="215"/>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deemed to be a contract made under the laws of the State of New York and for all purposes shall be construed in accordance with the internal laws of the State of New York.</w:t>
      </w:r>
    </w:p>
    <w:p>
      <w:pPr>
        <w:spacing w:after="0" w:line="170" w:lineRule="exact"/>
        <w:rPr>
          <w:rFonts w:ascii="Arial" w:cs="Arial" w:eastAsia="Arial" w:hAnsi="Arial"/>
          <w:sz w:val="18"/>
          <w:szCs w:val="18"/>
          <w:color w:val="auto"/>
        </w:rPr>
      </w:pPr>
    </w:p>
    <w:p>
      <w:pPr>
        <w:ind w:firstLine="656"/>
        <w:spacing w:after="0" w:line="277" w:lineRule="auto"/>
        <w:tabs>
          <w:tab w:leader="none" w:pos="1368" w:val="left"/>
        </w:tabs>
        <w:numPr>
          <w:ilvl w:val="0"/>
          <w:numId w:val="215"/>
        </w:numPr>
        <w:rPr>
          <w:rFonts w:ascii="Arial" w:cs="Arial" w:eastAsia="Arial" w:hAnsi="Arial"/>
          <w:sz w:val="18"/>
          <w:szCs w:val="18"/>
          <w:color w:val="auto"/>
        </w:rPr>
      </w:pPr>
      <w:r>
        <w:rPr>
          <w:rFonts w:ascii="Arial" w:cs="Arial" w:eastAsia="Arial" w:hAnsi="Arial"/>
          <w:sz w:val="18"/>
          <w:szCs w:val="18"/>
          <w:u w:val="single" w:color="auto"/>
          <w:color w:val="auto"/>
        </w:rPr>
        <w:t>Amendments</w:t>
      </w:r>
      <w:r>
        <w:rPr>
          <w:rFonts w:ascii="Arial" w:cs="Arial" w:eastAsia="Arial" w:hAnsi="Arial"/>
          <w:sz w:val="18"/>
          <w:szCs w:val="18"/>
          <w:color w:val="auto"/>
        </w:rPr>
        <w:t>. This Agreement may not be amended, modified or waived as to any particular provision, except by a written instrument executed by all parties hereto.</w:t>
      </w:r>
    </w:p>
    <w:p>
      <w:pPr>
        <w:spacing w:after="0" w:line="386"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33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300" w:name="page301"/>
    <w:bookmarkEnd w:id="300"/>
    <w:p>
      <w:pPr>
        <w:spacing w:after="0"/>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the parties hereto have executed this Agreement to be effective as of the date first set forth above.</w:t>
      </w:r>
    </w:p>
    <w:p>
      <w:pPr>
        <w:spacing w:after="0" w:line="248" w:lineRule="exact"/>
        <w:rPr>
          <w:sz w:val="20"/>
          <w:szCs w:val="20"/>
          <w:color w:val="auto"/>
        </w:rPr>
      </w:pPr>
    </w:p>
    <w:p>
      <w:pPr>
        <w:ind w:left="6100"/>
        <w:spacing w:after="0"/>
        <w:rPr>
          <w:sz w:val="20"/>
          <w:szCs w:val="20"/>
          <w:color w:val="auto"/>
        </w:rPr>
      </w:pPr>
      <w:r>
        <w:rPr>
          <w:rFonts w:ascii="Arial" w:cs="Arial" w:eastAsia="Arial" w:hAnsi="Arial"/>
          <w:sz w:val="18"/>
          <w:szCs w:val="18"/>
          <w:b w:val="1"/>
          <w:bCs w:val="1"/>
          <w:color w:val="auto"/>
        </w:rPr>
        <w:t>COMPANY</w:t>
      </w:r>
      <w:r>
        <w:rPr>
          <w:rFonts w:ascii="Arial" w:cs="Arial" w:eastAsia="Arial" w:hAnsi="Arial"/>
          <w:sz w:val="18"/>
          <w:szCs w:val="18"/>
          <w:color w:val="auto"/>
        </w:rPr>
        <w:t>:</w:t>
      </w:r>
    </w:p>
    <w:p>
      <w:pPr>
        <w:spacing w:after="0" w:line="225" w:lineRule="exact"/>
        <w:rPr>
          <w:sz w:val="20"/>
          <w:szCs w:val="20"/>
          <w:color w:val="auto"/>
        </w:rPr>
      </w:pPr>
    </w:p>
    <w:p>
      <w:pPr>
        <w:ind w:left="6100"/>
        <w:spacing w:after="0"/>
        <w:rPr>
          <w:sz w:val="20"/>
          <w:szCs w:val="20"/>
          <w:color w:val="auto"/>
        </w:rPr>
      </w:pPr>
      <w:r>
        <w:rPr>
          <w:rFonts w:ascii="Arial" w:cs="Arial" w:eastAsia="Arial" w:hAnsi="Arial"/>
          <w:sz w:val="18"/>
          <w:szCs w:val="18"/>
          <w:b w:val="1"/>
          <w:bCs w:val="1"/>
          <w:color w:val="auto"/>
        </w:rPr>
        <w:t>FREEDOM ACQUISITION I CORP.</w:t>
      </w:r>
    </w:p>
    <w:p>
      <w:pPr>
        <w:spacing w:after="0" w:line="229"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4163695</wp:posOffset>
            </wp:positionH>
            <wp:positionV relativeFrom="paragraph">
              <wp:posOffset>14605</wp:posOffset>
            </wp:positionV>
            <wp:extent cx="2554605"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03">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3"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3" w:lineRule="exact"/>
        <w:rPr>
          <w:sz w:val="20"/>
          <w:szCs w:val="20"/>
          <w:color w:val="auto"/>
        </w:rPr>
      </w:pPr>
    </w:p>
    <w:p>
      <w:pPr>
        <w:ind w:left="6100"/>
        <w:spacing w:after="0"/>
        <w:rPr>
          <w:sz w:val="20"/>
          <w:szCs w:val="20"/>
          <w:color w:val="auto"/>
        </w:rPr>
      </w:pPr>
      <w:r>
        <w:rPr>
          <w:rFonts w:ascii="Arial" w:cs="Arial" w:eastAsia="Arial" w:hAnsi="Arial"/>
          <w:sz w:val="18"/>
          <w:szCs w:val="18"/>
          <w:b w:val="1"/>
          <w:bCs w:val="1"/>
          <w:color w:val="auto"/>
        </w:rPr>
        <w:t>PURCHASER</w:t>
      </w:r>
      <w:r>
        <w:rPr>
          <w:rFonts w:ascii="Arial" w:cs="Arial" w:eastAsia="Arial" w:hAnsi="Arial"/>
          <w:sz w:val="18"/>
          <w:szCs w:val="18"/>
          <w:color w:val="auto"/>
        </w:rPr>
        <w:t>:</w:t>
      </w:r>
    </w:p>
    <w:p>
      <w:pPr>
        <w:spacing w:after="0" w:line="225" w:lineRule="exact"/>
        <w:rPr>
          <w:sz w:val="20"/>
          <w:szCs w:val="20"/>
          <w:color w:val="auto"/>
        </w:rPr>
      </w:pPr>
    </w:p>
    <w:p>
      <w:pPr>
        <w:ind w:left="6100"/>
        <w:spacing w:after="0"/>
        <w:rPr>
          <w:sz w:val="20"/>
          <w:szCs w:val="20"/>
          <w:color w:val="auto"/>
        </w:rPr>
      </w:pPr>
      <w:r>
        <w:rPr>
          <w:rFonts w:ascii="Arial" w:cs="Arial" w:eastAsia="Arial" w:hAnsi="Arial"/>
          <w:sz w:val="18"/>
          <w:szCs w:val="18"/>
          <w:b w:val="1"/>
          <w:bCs w:val="1"/>
          <w:color w:val="auto"/>
        </w:rPr>
        <w:t>FREEDOM ACQUISITION I LLC</w:t>
      </w:r>
    </w:p>
    <w:p>
      <w:pPr>
        <w:spacing w:after="0" w:line="229"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4163695</wp:posOffset>
            </wp:positionH>
            <wp:positionV relativeFrom="paragraph">
              <wp:posOffset>14605</wp:posOffset>
            </wp:positionV>
            <wp:extent cx="2554605"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04">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3"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2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Private Placement Warrants Purchase Agreement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374650</wp:posOffset>
            </wp:positionV>
            <wp:extent cx="7132320"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0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479"/>
          </w:cols>
          <w:pgMar w:left="980" w:top="796" w:right="1440" w:bottom="1440" w:gutter="0" w:footer="0" w:header="0"/>
        </w:sectPr>
      </w:pPr>
    </w:p>
    <w:bookmarkStart w:id="301" w:name="page302"/>
    <w:bookmarkEnd w:id="301"/>
    <w:p>
      <w:pPr>
        <w:jc w:val="right"/>
        <w:spacing w:after="0"/>
        <w:rPr>
          <w:sz w:val="20"/>
          <w:szCs w:val="20"/>
          <w:color w:val="auto"/>
        </w:rPr>
      </w:pPr>
      <w:r>
        <w:rPr>
          <w:rFonts w:ascii="Arial" w:cs="Arial" w:eastAsia="Arial" w:hAnsi="Arial"/>
          <w:sz w:val="18"/>
          <w:szCs w:val="18"/>
          <w:b w:val="1"/>
          <w:bCs w:val="1"/>
          <w:color w:val="auto"/>
        </w:rPr>
        <w:t>Exhibit 23.1</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INDEPENDENT REGISTERED PUBLIC ACCOUNTING FIRM’S CONSENT</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consent to the inclusion in this Registration Statement of Freedom Acquisition I Corp. (the “Company”) on Amendment No. 1 to Form S-1, File No. 333-252940</w:t>
      </w:r>
      <w:r>
        <w:rPr>
          <w:rFonts w:ascii="Arial" w:cs="Arial" w:eastAsia="Arial" w:hAnsi="Arial"/>
          <w:sz w:val="18"/>
          <w:szCs w:val="18"/>
          <w:b w:val="1"/>
          <w:bCs w:val="1"/>
          <w:color w:val="auto"/>
        </w:rPr>
        <w:t>,</w:t>
      </w:r>
      <w:r>
        <w:rPr>
          <w:rFonts w:ascii="Arial" w:cs="Arial" w:eastAsia="Arial" w:hAnsi="Arial"/>
          <w:sz w:val="18"/>
          <w:szCs w:val="18"/>
          <w:color w:val="auto"/>
        </w:rPr>
        <w:t xml:space="preserve"> of our report dated January 8, 2021, which includes an explanatory paragraph as to the Company’s ability to continue as a going concern, with respect to our audit of the financial statements of Freedom Acquisition I Corp. as of December 31, 2020 and for the period from December 23, 2020 (inception) through December 31, 2020, which report appears in the Prospectus, which is part of this Registration Statement. We also consent to the reference to our Firm under the heading “Experts” in such Prospectus.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 Marcum </w:t>
      </w:r>
      <w:r>
        <w:rPr>
          <w:rFonts w:ascii="Arial" w:cs="Arial" w:eastAsia="Arial" w:hAnsi="Arial"/>
          <w:sz w:val="12"/>
          <w:szCs w:val="12"/>
          <w:color w:val="auto"/>
        </w:rPr>
        <w:t>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Marcum </w:t>
      </w:r>
      <w:r>
        <w:rPr>
          <w:rFonts w:ascii="Arial" w:cs="Arial" w:eastAsia="Arial" w:hAnsi="Arial"/>
          <w:sz w:val="12"/>
          <w:szCs w:val="12"/>
          <w:color w:val="auto"/>
        </w:rPr>
        <w:t>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New York, 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18,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132320"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0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2" w:name="page303"/>
    <w:bookmarkEnd w:id="302"/>
    <w:p>
      <w:pPr>
        <w:jc w:val="right"/>
        <w:spacing w:after="0"/>
        <w:rPr>
          <w:sz w:val="20"/>
          <w:szCs w:val="20"/>
          <w:color w:val="auto"/>
        </w:rPr>
      </w:pPr>
      <w:r>
        <w:rPr>
          <w:rFonts w:ascii="Arial" w:cs="Arial" w:eastAsia="Arial" w:hAnsi="Arial"/>
          <w:sz w:val="18"/>
          <w:szCs w:val="18"/>
          <w:b w:val="1"/>
          <w:bCs w:val="1"/>
          <w:color w:val="auto"/>
        </w:rPr>
        <w:t>Exhibit 99.2</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to be Named as a Director Nominee</w:t>
      </w:r>
    </w:p>
    <w:p>
      <w:pPr>
        <w:spacing w:after="0" w:line="229"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In connection with the filing by Freedom Acquisition I Corp. of the Registration Statement on Form S-1 with the Securities and Exchange Commission under the Securities Act of 1933, as amended (the “Securities Act”), I hereby consent, pursuant to Rule 438 of the Securities Act, to being named as a nominee to the board of directors of Freedom Acquisition I Corp. in the Registration Statement and any and all amendments and supplements thereto. I also consent to the filing of this consent as an exhibit to such Registration Statement and any amendments thereto.</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60" w:type="dxa"/>
            <w:vAlign w:val="bottom"/>
          </w:tcPr>
          <w:p>
            <w:pPr>
              <w:spacing w:after="0"/>
              <w:rPr>
                <w:sz w:val="20"/>
                <w:szCs w:val="20"/>
                <w:color w:val="auto"/>
              </w:rPr>
            </w:pPr>
            <w:r>
              <w:rPr>
                <w:rFonts w:ascii="Arial" w:cs="Arial" w:eastAsia="Arial" w:hAnsi="Arial"/>
                <w:sz w:val="18"/>
                <w:szCs w:val="18"/>
                <w:color w:val="auto"/>
              </w:rPr>
              <w:t>Dated: February 8, 2021</w:t>
            </w:r>
          </w:p>
        </w:tc>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Noreen Doyle</w:t>
            </w:r>
          </w:p>
        </w:tc>
      </w:tr>
      <w:tr>
        <w:trPr>
          <w:trHeight w:val="224"/>
        </w:trPr>
        <w:tc>
          <w:tcPr>
            <w:tcW w:w="6760" w:type="dxa"/>
            <w:vAlign w:val="bottom"/>
          </w:tcPr>
          <w:p>
            <w:pPr>
              <w:spacing w:after="0"/>
              <w:rPr>
                <w:sz w:val="19"/>
                <w:szCs w:val="19"/>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Signature</w:t>
            </w:r>
          </w:p>
        </w:tc>
      </w:tr>
      <w:tr>
        <w:trPr>
          <w:trHeight w:val="593"/>
        </w:trPr>
        <w:tc>
          <w:tcPr>
            <w:tcW w:w="6760" w:type="dxa"/>
            <w:vAlign w:val="bottom"/>
            <w:tcBorders>
              <w:bottom w:val="single" w:sz="8" w:color="auto"/>
            </w:tcBorders>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303" w:name="page304"/>
    <w:bookmarkEnd w:id="303"/>
    <w:p>
      <w:pPr>
        <w:jc w:val="right"/>
        <w:spacing w:after="0"/>
        <w:rPr>
          <w:sz w:val="20"/>
          <w:szCs w:val="20"/>
          <w:color w:val="auto"/>
        </w:rPr>
      </w:pPr>
      <w:r>
        <w:rPr>
          <w:rFonts w:ascii="Arial" w:cs="Arial" w:eastAsia="Arial" w:hAnsi="Arial"/>
          <w:sz w:val="18"/>
          <w:szCs w:val="18"/>
          <w:b w:val="1"/>
          <w:bCs w:val="1"/>
          <w:color w:val="auto"/>
        </w:rPr>
        <w:t>Exhibit 99.3</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to be Named as a Director Nominee</w:t>
      </w:r>
    </w:p>
    <w:p>
      <w:pPr>
        <w:spacing w:after="0" w:line="229"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In connection with the filing by Freedom Acquisition I Corp. of the Registration Statement on Form S-1 with the Securities and Exchange Commission under the Securities Act of 1933, as amended (the “Securities Act”), I hereby consent, pursuant to Rule 438 of the Securities Act, to being named as a nominee to the board of directors of Freedom Acquisition I Corp. in the Registration Statement and any and all amendments and supplements thereto. I also consent to the filing of this consent as an exhibit to such Registration Statement and any amendments thereto.</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60" w:type="dxa"/>
            <w:vAlign w:val="bottom"/>
          </w:tcPr>
          <w:p>
            <w:pPr>
              <w:spacing w:after="0"/>
              <w:rPr>
                <w:sz w:val="20"/>
                <w:szCs w:val="20"/>
                <w:color w:val="auto"/>
              </w:rPr>
            </w:pPr>
            <w:r>
              <w:rPr>
                <w:rFonts w:ascii="Arial" w:cs="Arial" w:eastAsia="Arial" w:hAnsi="Arial"/>
                <w:sz w:val="18"/>
                <w:szCs w:val="18"/>
                <w:color w:val="auto"/>
              </w:rPr>
              <w:t>Dated: February 8, 2021</w:t>
            </w:r>
          </w:p>
        </w:tc>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William Janetschek</w:t>
            </w:r>
          </w:p>
        </w:tc>
      </w:tr>
      <w:tr>
        <w:trPr>
          <w:trHeight w:val="224"/>
        </w:trPr>
        <w:tc>
          <w:tcPr>
            <w:tcW w:w="6760" w:type="dxa"/>
            <w:vAlign w:val="bottom"/>
          </w:tcPr>
          <w:p>
            <w:pPr>
              <w:spacing w:after="0"/>
              <w:rPr>
                <w:sz w:val="19"/>
                <w:szCs w:val="19"/>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Signature</w:t>
            </w:r>
          </w:p>
        </w:tc>
      </w:tr>
      <w:tr>
        <w:trPr>
          <w:trHeight w:val="566"/>
        </w:trPr>
        <w:tc>
          <w:tcPr>
            <w:tcW w:w="6760" w:type="dxa"/>
            <w:vAlign w:val="bottom"/>
            <w:tcBorders>
              <w:bottom w:val="single" w:sz="8" w:color="auto"/>
            </w:tcBorders>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304" w:name="page305"/>
    <w:bookmarkEnd w:id="304"/>
    <w:p>
      <w:pPr>
        <w:jc w:val="right"/>
        <w:spacing w:after="0"/>
        <w:rPr>
          <w:sz w:val="20"/>
          <w:szCs w:val="20"/>
          <w:color w:val="auto"/>
        </w:rPr>
      </w:pPr>
      <w:r>
        <w:rPr>
          <w:rFonts w:ascii="Arial" w:cs="Arial" w:eastAsia="Arial" w:hAnsi="Arial"/>
          <w:sz w:val="18"/>
          <w:szCs w:val="18"/>
          <w:b w:val="1"/>
          <w:bCs w:val="1"/>
          <w:color w:val="auto"/>
        </w:rPr>
        <w:t>Exhibit 99.4</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to be Named as a Director Nominee</w:t>
      </w:r>
    </w:p>
    <w:p>
      <w:pPr>
        <w:spacing w:after="0" w:line="229"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In connection with the filing by Freedom Acquisition I Corp. of the Registration Statement on Form S-1 with the Securities and Exchange Commission under the Securities Act of 1933, as amended (the “Securities Act”), I hereby consent, pursuant to Rule 438 of the Securities Act, to being named as a nominee to the board of directors of Freedom Acquisition I Corp. in the Registration Statement and any and all amendments and supplements thereto. I also consent to the filing of this consent as an exhibit to such Registration Statement and any amendments thereto.</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60" w:type="dxa"/>
            <w:vAlign w:val="bottom"/>
          </w:tcPr>
          <w:p>
            <w:pPr>
              <w:spacing w:after="0"/>
              <w:rPr>
                <w:sz w:val="20"/>
                <w:szCs w:val="20"/>
                <w:color w:val="auto"/>
              </w:rPr>
            </w:pPr>
            <w:r>
              <w:rPr>
                <w:rFonts w:ascii="Arial" w:cs="Arial" w:eastAsia="Arial" w:hAnsi="Arial"/>
                <w:sz w:val="18"/>
                <w:szCs w:val="18"/>
                <w:color w:val="auto"/>
              </w:rPr>
              <w:t>Dated: February 9, 2021</w:t>
            </w:r>
          </w:p>
        </w:tc>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Poritz</w:t>
            </w:r>
          </w:p>
        </w:tc>
      </w:tr>
      <w:tr>
        <w:trPr>
          <w:trHeight w:val="224"/>
        </w:trPr>
        <w:tc>
          <w:tcPr>
            <w:tcW w:w="6760" w:type="dxa"/>
            <w:vAlign w:val="bottom"/>
          </w:tcPr>
          <w:p>
            <w:pPr>
              <w:spacing w:after="0"/>
              <w:rPr>
                <w:sz w:val="19"/>
                <w:szCs w:val="19"/>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Signature</w:t>
            </w:r>
          </w:p>
        </w:tc>
      </w:tr>
      <w:tr>
        <w:trPr>
          <w:trHeight w:val="566"/>
        </w:trPr>
        <w:tc>
          <w:tcPr>
            <w:tcW w:w="6760" w:type="dxa"/>
            <w:vAlign w:val="bottom"/>
            <w:tcBorders>
              <w:bottom w:val="single" w:sz="8" w:color="auto"/>
            </w:tcBorders>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88F1A34"/>
    <w:multiLevelType w:val="hybridMultilevel"/>
    <w:lvl w:ilvl="0">
      <w:lvlJc w:val="left"/>
      <w:lvlText w:val="(%1)"/>
      <w:numFmt w:val="decimal"/>
      <w:start w:val="1"/>
    </w:lvl>
  </w:abstractNum>
  <w:abstractNum w:abstractNumId="1">
    <w:nsid w:val="2A155DBC"/>
    <w:multiLevelType w:val="hybridMultilevel"/>
    <w:lvl w:ilvl="0">
      <w:lvlJc w:val="left"/>
      <w:lvlText w:val="(%1)"/>
      <w:numFmt w:val="decimal"/>
      <w:start w:val="1"/>
    </w:lvl>
  </w:abstractNum>
  <w:abstractNum w:abstractNumId="2">
    <w:nsid w:val="1D9F6E5F"/>
    <w:multiLevelType w:val="hybridMultilevel"/>
    <w:lvl w:ilvl="0">
      <w:lvlJc w:val="left"/>
      <w:lvlText w:val="·"/>
      <w:numFmt w:val="bullet"/>
      <w:start w:val="1"/>
    </w:lvl>
  </w:abstractNum>
  <w:abstractNum w:abstractNumId="3">
    <w:nsid w:val="97E1B4E"/>
    <w:multiLevelType w:val="hybridMultilevel"/>
    <w:lvl w:ilvl="0">
      <w:lvlJc w:val="left"/>
      <w:lvlText w:val="(%1)"/>
      <w:numFmt w:val="lowerRoman"/>
      <w:start w:val="2"/>
    </w:lvl>
  </w:abstractNum>
  <w:abstractNum w:abstractNumId="4">
    <w:nsid w:val="51088277"/>
    <w:multiLevelType w:val="hybridMultilevel"/>
    <w:lvl w:ilvl="0">
      <w:lvlJc w:val="left"/>
      <w:lvlText w:val="·"/>
      <w:numFmt w:val="bullet"/>
      <w:start w:val="1"/>
    </w:lvl>
  </w:abstractNum>
  <w:abstractNum w:abstractNumId="5">
    <w:nsid w:val="1CA0C5FA"/>
    <w:multiLevelType w:val="hybridMultilevel"/>
    <w:lvl w:ilvl="0">
      <w:lvlJc w:val="left"/>
      <w:lvlText w:val="(%1)"/>
      <w:numFmt w:val="decimal"/>
      <w:start w:val="1"/>
    </w:lvl>
  </w:abstractNum>
  <w:abstractNum w:abstractNumId="6">
    <w:nsid w:val="53584BCB"/>
    <w:multiLevelType w:val="hybridMultilevel"/>
    <w:lvl w:ilvl="0">
      <w:lvlJc w:val="left"/>
      <w:lvlText w:val="·"/>
      <w:numFmt w:val="bullet"/>
      <w:start w:val="1"/>
    </w:lvl>
  </w:abstractNum>
  <w:abstractNum w:abstractNumId="7">
    <w:nsid w:val="415E286C"/>
    <w:multiLevelType w:val="hybridMultilevel"/>
    <w:lvl w:ilvl="0">
      <w:lvlJc w:val="left"/>
      <w:lvlText w:val="·"/>
      <w:numFmt w:val="bullet"/>
      <w:start w:val="1"/>
    </w:lvl>
  </w:abstractNum>
  <w:abstractNum w:abstractNumId="8">
    <w:nsid w:val="7C58FD05"/>
    <w:multiLevelType w:val="hybridMultilevel"/>
    <w:lvl w:ilvl="0">
      <w:lvlJc w:val="left"/>
      <w:lvlText w:val="·"/>
      <w:numFmt w:val="bullet"/>
      <w:start w:val="1"/>
    </w:lvl>
  </w:abstractNum>
  <w:abstractNum w:abstractNumId="9">
    <w:nsid w:val="23D86AAC"/>
    <w:multiLevelType w:val="hybridMultilevel"/>
    <w:lvl w:ilvl="0">
      <w:lvlJc w:val="left"/>
      <w:lvlText w:val="·"/>
      <w:numFmt w:val="bullet"/>
      <w:start w:val="1"/>
    </w:lvl>
  </w:abstractNum>
  <w:abstractNum w:abstractNumId="10">
    <w:nsid w:val="45E6D486"/>
    <w:multiLevelType w:val="hybridMultilevel"/>
    <w:lvl w:ilvl="0">
      <w:lvlJc w:val="left"/>
      <w:lvlText w:val="·"/>
      <w:numFmt w:val="bullet"/>
      <w:start w:val="1"/>
    </w:lvl>
  </w:abstractNum>
  <w:abstractNum w:abstractNumId="11">
    <w:nsid w:val="5C10FE21"/>
    <w:multiLevelType w:val="hybridMultilevel"/>
    <w:lvl w:ilvl="0">
      <w:lvlJc w:val="left"/>
      <w:lvlText w:val="(%1)"/>
      <w:numFmt w:val="lowerRoman"/>
      <w:start w:val="2"/>
    </w:lvl>
  </w:abstractNum>
  <w:abstractNum w:abstractNumId="12">
    <w:nsid w:val="E7FFA2B"/>
    <w:multiLevelType w:val="hybridMultilevel"/>
    <w:lvl w:ilvl="0">
      <w:lvlJc w:val="left"/>
      <w:lvlText w:val="(%1)"/>
      <w:numFmt w:val="decimal"/>
      <w:start w:val="1"/>
    </w:lvl>
  </w:abstractNum>
  <w:abstractNum w:abstractNumId="13">
    <w:nsid w:val="3C5991AA"/>
    <w:multiLevelType w:val="hybridMultilevel"/>
    <w:lvl w:ilvl="0">
      <w:lvlJc w:val="left"/>
      <w:lvlText w:val="·"/>
      <w:numFmt w:val="bullet"/>
      <w:start w:val="1"/>
    </w:lvl>
  </w:abstractNum>
  <w:abstractNum w:abstractNumId="14">
    <w:nsid w:val="4BD8591A"/>
    <w:multiLevelType w:val="hybridMultilevel"/>
    <w:lvl w:ilvl="0">
      <w:lvlJc w:val="left"/>
      <w:lvlText w:val="·"/>
      <w:numFmt w:val="bullet"/>
      <w:start w:val="1"/>
    </w:lvl>
  </w:abstractNum>
  <w:abstractNum w:abstractNumId="15">
    <w:nsid w:val="78DF6A55"/>
    <w:multiLevelType w:val="hybridMultilevel"/>
    <w:lvl w:ilvl="0">
      <w:lvlJc w:val="left"/>
      <w:lvlText w:val="·"/>
      <w:numFmt w:val="bullet"/>
      <w:start w:val="1"/>
    </w:lvl>
  </w:abstractNum>
  <w:abstractNum w:abstractNumId="16">
    <w:nsid w:val="39B7AAA2"/>
    <w:multiLevelType w:val="hybridMultilevel"/>
    <w:lvl w:ilvl="0">
      <w:lvlJc w:val="left"/>
      <w:lvlText w:val="·"/>
      <w:numFmt w:val="bullet"/>
      <w:start w:val="1"/>
    </w:lvl>
  </w:abstractNum>
  <w:abstractNum w:abstractNumId="17">
    <w:nsid w:val="2B0D8DBE"/>
    <w:multiLevelType w:val="hybridMultilevel"/>
    <w:lvl w:ilvl="0">
      <w:lvlJc w:val="left"/>
      <w:lvlText w:val="·"/>
      <w:numFmt w:val="bullet"/>
      <w:start w:val="1"/>
    </w:lvl>
  </w:abstractNum>
  <w:abstractNum w:abstractNumId="18">
    <w:nsid w:val="6C80EC70"/>
    <w:multiLevelType w:val="hybridMultilevel"/>
    <w:lvl w:ilvl="0">
      <w:lvlJc w:val="left"/>
      <w:lvlText w:val="·"/>
      <w:numFmt w:val="bullet"/>
      <w:start w:val="1"/>
    </w:lvl>
  </w:abstractNum>
  <w:abstractNum w:abstractNumId="19">
    <w:nsid w:val="379E21B5"/>
    <w:multiLevelType w:val="hybridMultilevel"/>
    <w:lvl w:ilvl="0">
      <w:lvlJc w:val="left"/>
      <w:lvlText w:val="(%1)"/>
      <w:numFmt w:val="lowerRoman"/>
      <w:start w:val="2"/>
    </w:lvl>
  </w:abstractNum>
  <w:abstractNum w:abstractNumId="20">
    <w:nsid w:val="69E373"/>
    <w:multiLevelType w:val="hybridMultilevel"/>
    <w:lvl w:ilvl="0">
      <w:lvlJc w:val="left"/>
      <w:lvlText w:val="·"/>
      <w:numFmt w:val="bullet"/>
      <w:start w:val="1"/>
    </w:lvl>
  </w:abstractNum>
  <w:abstractNum w:abstractNumId="21">
    <w:nsid w:val="2C27173B"/>
    <w:multiLevelType w:val="hybridMultilevel"/>
    <w:lvl w:ilvl="0">
      <w:lvlJc w:val="left"/>
      <w:lvlText w:val="·"/>
      <w:numFmt w:val="bullet"/>
      <w:start w:val="1"/>
    </w:lvl>
  </w:abstractNum>
  <w:abstractNum w:abstractNumId="22">
    <w:nsid w:val="4C9B0904"/>
    <w:multiLevelType w:val="hybridMultilevel"/>
    <w:lvl w:ilvl="0">
      <w:lvlJc w:val="left"/>
      <w:lvlText w:val="·"/>
      <w:numFmt w:val="bullet"/>
      <w:start w:val="1"/>
    </w:lvl>
  </w:abstractNum>
  <w:abstractNum w:abstractNumId="23">
    <w:nsid w:val="6AA7B75C"/>
    <w:multiLevelType w:val="hybridMultilevel"/>
    <w:lvl w:ilvl="0">
      <w:lvlJc w:val="left"/>
      <w:lvlText w:val="·"/>
      <w:numFmt w:val="bullet"/>
      <w:start w:val="1"/>
    </w:lvl>
  </w:abstractNum>
  <w:abstractNum w:abstractNumId="24">
    <w:nsid w:val="1DF029D3"/>
    <w:multiLevelType w:val="hybridMultilevel"/>
    <w:lvl w:ilvl="0">
      <w:lvlJc w:val="left"/>
      <w:lvlText w:val="·"/>
      <w:numFmt w:val="bullet"/>
      <w:start w:val="1"/>
    </w:lvl>
  </w:abstractNum>
  <w:abstractNum w:abstractNumId="25">
    <w:nsid w:val="5675FF36"/>
    <w:multiLevelType w:val="hybridMultilevel"/>
    <w:lvl w:ilvl="0">
      <w:lvlJc w:val="left"/>
      <w:lvlText w:val="·"/>
      <w:numFmt w:val="bullet"/>
      <w:start w:val="1"/>
    </w:lvl>
  </w:abstractNum>
  <w:abstractNum w:abstractNumId="26">
    <w:nsid w:val="3DD15094"/>
    <w:multiLevelType w:val="hybridMultilevel"/>
    <w:lvl w:ilvl="0">
      <w:lvlJc w:val="left"/>
      <w:lvlText w:val="(%1)"/>
      <w:numFmt w:val="decimal"/>
      <w:start w:val="1"/>
    </w:lvl>
  </w:abstractNum>
  <w:abstractNum w:abstractNumId="27">
    <w:nsid w:val="3DB012B3"/>
    <w:multiLevelType w:val="hybridMultilevel"/>
    <w:lvl w:ilvl="0">
      <w:lvlJc w:val="left"/>
      <w:lvlText w:val="(%1)"/>
      <w:numFmt w:val="decimal"/>
      <w:start w:val="5"/>
    </w:lvl>
  </w:abstractNum>
  <w:abstractNum w:abstractNumId="28">
    <w:nsid w:val="2708C9AF"/>
    <w:multiLevelType w:val="hybridMultilevel"/>
    <w:lvl w:ilvl="0">
      <w:lvlJc w:val="left"/>
      <w:lvlText w:val="(%1)"/>
      <w:numFmt w:val="decimal"/>
      <w:start w:val="1"/>
    </w:lvl>
  </w:abstractNum>
  <w:abstractNum w:abstractNumId="29">
    <w:nsid w:val="5B25ACE2"/>
    <w:multiLevelType w:val="hybridMultilevel"/>
    <w:lvl w:ilvl="0">
      <w:lvlJc w:val="left"/>
      <w:lvlText w:val="(%1)"/>
      <w:numFmt w:val="decimal"/>
      <w:start w:val="1"/>
    </w:lvl>
  </w:abstractNum>
  <w:abstractNum w:abstractNumId="30">
    <w:nsid w:val="175DFCF0"/>
    <w:multiLevelType w:val="hybridMultilevel"/>
    <w:lvl w:ilvl="0">
      <w:lvlJc w:val="left"/>
      <w:lvlText w:val="(%1)"/>
      <w:numFmt w:val="decimal"/>
      <w:start w:val="1"/>
    </w:lvl>
  </w:abstractNum>
  <w:abstractNum w:abstractNumId="31">
    <w:nsid w:val="4F97E3E4"/>
    <w:multiLevelType w:val="hybridMultilevel"/>
    <w:lvl w:ilvl="0">
      <w:lvlJc w:val="left"/>
      <w:lvlText w:val="·"/>
      <w:numFmt w:val="bullet"/>
      <w:start w:val="1"/>
    </w:lvl>
  </w:abstractNum>
  <w:abstractNum w:abstractNumId="32">
    <w:nsid w:val="53B0A9E"/>
    <w:multiLevelType w:val="hybridMultilevel"/>
    <w:lvl w:ilvl="0">
      <w:lvlJc w:val="left"/>
      <w:lvlText w:val="·"/>
      <w:numFmt w:val="bullet"/>
      <w:start w:val="1"/>
    </w:lvl>
  </w:abstractNum>
  <w:abstractNum w:abstractNumId="33">
    <w:nsid w:val="34FD6B4F"/>
    <w:multiLevelType w:val="hybridMultilevel"/>
    <w:lvl w:ilvl="0">
      <w:lvlJc w:val="left"/>
      <w:lvlText w:val="·"/>
      <w:numFmt w:val="bullet"/>
      <w:start w:val="1"/>
    </w:lvl>
  </w:abstractNum>
  <w:abstractNum w:abstractNumId="34">
    <w:nsid w:val="5915FF32"/>
    <w:multiLevelType w:val="hybridMultilevel"/>
    <w:lvl w:ilvl="0">
      <w:lvlJc w:val="left"/>
      <w:lvlText w:val="·"/>
      <w:numFmt w:val="bullet"/>
      <w:start w:val="1"/>
    </w:lvl>
  </w:abstractNum>
  <w:abstractNum w:abstractNumId="35">
    <w:nsid w:val="56438D15"/>
    <w:multiLevelType w:val="hybridMultilevel"/>
    <w:lvl w:ilvl="0">
      <w:lvlJc w:val="left"/>
      <w:lvlText w:val="·"/>
      <w:numFmt w:val="bullet"/>
      <w:start w:val="1"/>
    </w:lvl>
  </w:abstractNum>
  <w:abstractNum w:abstractNumId="36">
    <w:nsid w:val="519E3149"/>
    <w:multiLevelType w:val="hybridMultilevel"/>
    <w:lvl w:ilvl="0">
      <w:lvlJc w:val="left"/>
      <w:lvlText w:val="·"/>
      <w:numFmt w:val="bullet"/>
      <w:start w:val="1"/>
    </w:lvl>
  </w:abstractNum>
  <w:abstractNum w:abstractNumId="37">
    <w:nsid w:val="2C6E4AFD"/>
    <w:multiLevelType w:val="hybridMultilevel"/>
    <w:lvl w:ilvl="0">
      <w:lvlJc w:val="left"/>
      <w:lvlText w:val="·"/>
      <w:numFmt w:val="bullet"/>
      <w:start w:val="1"/>
    </w:lvl>
  </w:abstractNum>
  <w:abstractNum w:abstractNumId="38">
    <w:nsid w:val="17A1B582"/>
    <w:multiLevelType w:val="hybridMultilevel"/>
    <w:lvl w:ilvl="0">
      <w:lvlJc w:val="left"/>
      <w:lvlText w:val="·"/>
      <w:numFmt w:val="bullet"/>
      <w:start w:val="1"/>
    </w:lvl>
  </w:abstractNum>
  <w:abstractNum w:abstractNumId="39">
    <w:nsid w:val="4DF72E4E"/>
    <w:multiLevelType w:val="hybridMultilevel"/>
    <w:lvl w:ilvl="0">
      <w:lvlJc w:val="left"/>
      <w:lvlText w:val="·"/>
      <w:numFmt w:val="bullet"/>
      <w:start w:val="1"/>
    </w:lvl>
  </w:abstractNum>
  <w:abstractNum w:abstractNumId="40">
    <w:nsid w:val="5046B5A9"/>
    <w:multiLevelType w:val="hybridMultilevel"/>
    <w:lvl w:ilvl="0">
      <w:lvlJc w:val="left"/>
      <w:lvlText w:val="·"/>
      <w:numFmt w:val="bullet"/>
      <w:start w:val="1"/>
    </w:lvl>
  </w:abstractNum>
  <w:abstractNum w:abstractNumId="41">
    <w:nsid w:val="5D888A08"/>
    <w:multiLevelType w:val="hybridMultilevel"/>
    <w:lvl w:ilvl="0">
      <w:lvlJc w:val="left"/>
      <w:lvlText w:val="·"/>
      <w:numFmt w:val="bullet"/>
      <w:start w:val="1"/>
    </w:lvl>
  </w:abstractNum>
  <w:abstractNum w:abstractNumId="42">
    <w:nsid w:val="2A082C70"/>
    <w:multiLevelType w:val="hybridMultilevel"/>
    <w:lvl w:ilvl="0">
      <w:lvlJc w:val="left"/>
      <w:lvlText w:val="(%1)"/>
      <w:numFmt w:val="lowerRoman"/>
      <w:start w:val="1"/>
    </w:lvl>
  </w:abstractNum>
  <w:abstractNum w:abstractNumId="43">
    <w:nsid w:val="5EC6AFD4"/>
    <w:multiLevelType w:val="hybridMultilevel"/>
    <w:lvl w:ilvl="0">
      <w:lvlJc w:val="left"/>
      <w:lvlText w:val="(%1)"/>
      <w:numFmt w:val="lowerRoman"/>
      <w:start w:val="5"/>
    </w:lvl>
  </w:abstractNum>
  <w:abstractNum w:abstractNumId="44">
    <w:nsid w:val="19E21BB2"/>
    <w:multiLevelType w:val="hybridMultilevel"/>
    <w:lvl w:ilvl="0">
      <w:lvlJc w:val="left"/>
      <w:lvlText w:val="·"/>
      <w:numFmt w:val="bullet"/>
      <w:start w:val="1"/>
    </w:lvl>
  </w:abstractNum>
  <w:abstractNum w:abstractNumId="45">
    <w:nsid w:val="75E0858A"/>
    <w:multiLevelType w:val="hybridMultilevel"/>
    <w:lvl w:ilvl="0">
      <w:lvlJc w:val="left"/>
      <w:lvlText w:val="·"/>
      <w:numFmt w:val="bullet"/>
      <w:start w:val="1"/>
    </w:lvl>
  </w:abstractNum>
  <w:abstractNum w:abstractNumId="46">
    <w:nsid w:val="57A61A29"/>
    <w:multiLevelType w:val="hybridMultilevel"/>
    <w:lvl w:ilvl="0">
      <w:lvlJc w:val="left"/>
      <w:lvlText w:val="·"/>
      <w:numFmt w:val="bullet"/>
      <w:start w:val="1"/>
    </w:lvl>
  </w:abstractNum>
  <w:abstractNum w:abstractNumId="47">
    <w:nsid w:val="5399C654"/>
    <w:multiLevelType w:val="hybridMultilevel"/>
    <w:lvl w:ilvl="0">
      <w:lvlJc w:val="left"/>
      <w:lvlText w:val="*"/>
      <w:numFmt w:val="bullet"/>
      <w:start w:val="1"/>
    </w:lvl>
  </w:abstractNum>
  <w:abstractNum w:abstractNumId="48">
    <w:nsid w:val="20EE1348"/>
    <w:multiLevelType w:val="hybridMultilevel"/>
    <w:lvl w:ilvl="0">
      <w:lvlJc w:val="left"/>
      <w:lvlText w:val="(%1)"/>
      <w:numFmt w:val="decimal"/>
      <w:start w:val="1"/>
    </w:lvl>
  </w:abstractNum>
  <w:abstractNum w:abstractNumId="49">
    <w:nsid w:val="4427069A"/>
    <w:multiLevelType w:val="hybridMultilevel"/>
    <w:lvl w:ilvl="0">
      <w:lvlJc w:val="left"/>
      <w:lvlText w:val="(%1)"/>
      <w:numFmt w:val="lowerLetter"/>
      <w:start w:val="1"/>
    </w:lvl>
  </w:abstractNum>
  <w:abstractNum w:abstractNumId="50">
    <w:nsid w:val="B37E80A"/>
    <w:multiLevelType w:val="hybridMultilevel"/>
    <w:lvl w:ilvl="0">
      <w:lvlJc w:val="left"/>
      <w:lvlText w:val="(%1)"/>
      <w:numFmt w:val="lowerLetter"/>
      <w:start w:val="6"/>
    </w:lvl>
  </w:abstractNum>
  <w:abstractNum w:abstractNumId="51">
    <w:nsid w:val="2157F6BC"/>
    <w:multiLevelType w:val="hybridMultilevel"/>
    <w:lvl w:ilvl="0">
      <w:lvlJc w:val="left"/>
      <w:lvlText w:val="·"/>
      <w:numFmt w:val="bullet"/>
      <w:start w:val="1"/>
    </w:lvl>
  </w:abstractNum>
  <w:abstractNum w:abstractNumId="52">
    <w:nsid w:val="704E1DD5"/>
    <w:multiLevelType w:val="hybridMultilevel"/>
    <w:lvl w:ilvl="0">
      <w:lvlJc w:val="left"/>
      <w:lvlText w:val="(%1)"/>
      <w:numFmt w:val="lowerRoman"/>
      <w:start w:val="1"/>
    </w:lvl>
  </w:abstractNum>
  <w:abstractNum w:abstractNumId="53">
    <w:nsid w:val="57D2F10E"/>
    <w:multiLevelType w:val="hybridMultilevel"/>
    <w:lvl w:ilvl="0">
      <w:lvlJc w:val="left"/>
      <w:lvlText w:val="·"/>
      <w:numFmt w:val="bullet"/>
      <w:start w:val="1"/>
    </w:lvl>
  </w:abstractNum>
  <w:abstractNum w:abstractNumId="54">
    <w:nsid w:val="BFFAE18"/>
    <w:multiLevelType w:val="hybridMultilevel"/>
    <w:lvl w:ilvl="0">
      <w:lvlJc w:val="left"/>
      <w:lvlText w:val="·"/>
      <w:numFmt w:val="bullet"/>
      <w:start w:val="1"/>
    </w:lvl>
  </w:abstractNum>
  <w:abstractNum w:abstractNumId="55">
    <w:nsid w:val="E3E47A8"/>
    <w:multiLevelType w:val="hybridMultilevel"/>
    <w:lvl w:ilvl="0">
      <w:lvlJc w:val="left"/>
      <w:lvlText w:val="·"/>
      <w:numFmt w:val="bullet"/>
      <w:start w:val="1"/>
    </w:lvl>
  </w:abstractNum>
  <w:abstractNum w:abstractNumId="56">
    <w:nsid w:val="2E48F044"/>
    <w:multiLevelType w:val="hybridMultilevel"/>
    <w:lvl w:ilvl="0">
      <w:lvlJc w:val="left"/>
      <w:lvlText w:val="(%1)"/>
      <w:numFmt w:val="lowerLetter"/>
      <w:start w:val="1"/>
    </w:lvl>
  </w:abstractNum>
  <w:abstractNum w:abstractNumId="57">
    <w:nsid w:val="49D0FEAC"/>
    <w:multiLevelType w:val="hybridMultilevel"/>
    <w:lvl w:ilvl="0">
      <w:lvlJc w:val="left"/>
      <w:lvlText w:val="·"/>
      <w:numFmt w:val="bullet"/>
      <w:start w:val="1"/>
    </w:lvl>
  </w:abstractNum>
  <w:abstractNum w:abstractNumId="58">
    <w:nsid w:val="4BEE5A5B"/>
    <w:multiLevelType w:val="hybridMultilevel"/>
    <w:lvl w:ilvl="0">
      <w:lvlJc w:val="left"/>
      <w:lvlText w:val="·"/>
      <w:numFmt w:val="bullet"/>
      <w:start w:val="1"/>
    </w:lvl>
  </w:abstractNum>
  <w:abstractNum w:abstractNumId="59">
    <w:nsid w:val="5551B9F3"/>
    <w:multiLevelType w:val="hybridMultilevel"/>
    <w:lvl w:ilvl="0">
      <w:lvlJc w:val="left"/>
      <w:lvlText w:val="·"/>
      <w:numFmt w:val="bullet"/>
      <w:start w:val="1"/>
    </w:lvl>
  </w:abstractNum>
  <w:abstractNum w:abstractNumId="60">
    <w:nsid w:val="24F6AB8E"/>
    <w:multiLevelType w:val="hybridMultilevel"/>
    <w:lvl w:ilvl="0">
      <w:lvlJc w:val="left"/>
      <w:lvlText w:val="·"/>
      <w:numFmt w:val="bullet"/>
      <w:start w:val="1"/>
    </w:lvl>
  </w:abstractNum>
  <w:abstractNum w:abstractNumId="61">
    <w:nsid w:val="634C574C"/>
    <w:multiLevelType w:val="hybridMultilevel"/>
    <w:lvl w:ilvl="0">
      <w:lvlJc w:val="left"/>
      <w:lvlText w:val="(%1)"/>
      <w:numFmt w:val="lowerRoman"/>
      <w:start w:val="1"/>
    </w:lvl>
  </w:abstractNum>
  <w:abstractNum w:abstractNumId="62">
    <w:nsid w:val="24E99DD7"/>
    <w:multiLevelType w:val="hybridMultilevel"/>
    <w:lvl w:ilvl="0">
      <w:lvlJc w:val="left"/>
      <w:lvlText w:val="·"/>
      <w:numFmt w:val="bullet"/>
      <w:start w:val="1"/>
    </w:lvl>
  </w:abstractNum>
  <w:abstractNum w:abstractNumId="63">
    <w:nsid w:val="2A31B62D"/>
    <w:multiLevelType w:val="hybridMultilevel"/>
    <w:lvl w:ilvl="0">
      <w:lvlJc w:val="left"/>
      <w:lvlText w:val="·"/>
      <w:numFmt w:val="bullet"/>
      <w:start w:val="1"/>
    </w:lvl>
  </w:abstractNum>
  <w:abstractNum w:abstractNumId="64">
    <w:nsid w:val="1849C29B"/>
    <w:multiLevelType w:val="hybridMultilevel"/>
    <w:lvl w:ilvl="0">
      <w:lvlJc w:val="left"/>
      <w:lvlText w:val="·"/>
      <w:numFmt w:val="bullet"/>
      <w:start w:val="1"/>
    </w:lvl>
  </w:abstractNum>
  <w:abstractNum w:abstractNumId="65">
    <w:nsid w:val="7DFF9D09"/>
    <w:multiLevelType w:val="hybridMultilevel"/>
    <w:lvl w:ilvl="0">
      <w:lvlJc w:val="left"/>
      <w:lvlText w:val="%1."/>
      <w:numFmt w:val="decimal"/>
      <w:start w:val="1"/>
    </w:lvl>
  </w:abstractNum>
  <w:abstractNum w:abstractNumId="66">
    <w:nsid w:val="754342"/>
    <w:multiLevelType w:val="hybridMultilevel"/>
    <w:lvl w:ilvl="0">
      <w:lvlJc w:val="left"/>
      <w:lvlText w:val="·"/>
      <w:numFmt w:val="bullet"/>
      <w:start w:val="1"/>
    </w:lvl>
  </w:abstractNum>
  <w:abstractNum w:abstractNumId="67">
    <w:nsid w:val="69E7F3E5"/>
    <w:multiLevelType w:val="hybridMultilevel"/>
    <w:lvl w:ilvl="0">
      <w:lvlJc w:val="left"/>
      <w:lvlText w:val="·"/>
      <w:numFmt w:val="bullet"/>
      <w:start w:val="1"/>
    </w:lvl>
  </w:abstractNum>
  <w:abstractNum w:abstractNumId="68">
    <w:nsid w:val="2A6DE806"/>
    <w:multiLevelType w:val="hybridMultilevel"/>
    <w:lvl w:ilvl="0">
      <w:lvlJc w:val="left"/>
      <w:lvlText w:val="·"/>
      <w:numFmt w:val="bullet"/>
      <w:start w:val="1"/>
    </w:lvl>
  </w:abstractNum>
  <w:abstractNum w:abstractNumId="69">
    <w:nsid w:val="1816F8C4"/>
    <w:multiLevelType w:val="hybridMultilevel"/>
    <w:lvl w:ilvl="0">
      <w:lvlJc w:val="left"/>
      <w:lvlText w:val="·"/>
      <w:numFmt w:val="bullet"/>
      <w:start w:val="1"/>
    </w:lvl>
  </w:abstractNum>
  <w:abstractNum w:abstractNumId="70">
    <w:nsid w:val="37DF2233"/>
    <w:multiLevelType w:val="hybridMultilevel"/>
    <w:lvl w:ilvl="0">
      <w:lvlJc w:val="left"/>
      <w:lvlText w:val="(%1)"/>
      <w:numFmt w:val="decimal"/>
      <w:start w:val="1"/>
    </w:lvl>
  </w:abstractNum>
  <w:abstractNum w:abstractNumId="71">
    <w:nsid w:val="7AB49DAF"/>
    <w:multiLevelType w:val="hybridMultilevel"/>
    <w:lvl w:ilvl="0">
      <w:lvlJc w:val="left"/>
      <w:lvlText w:val="(%1)"/>
      <w:numFmt w:val="lowerLetter"/>
      <w:start w:val="1"/>
    </w:lvl>
  </w:abstractNum>
  <w:abstractNum w:abstractNumId="72">
    <w:nsid w:val="759F82CD"/>
    <w:multiLevelType w:val="hybridMultilevel"/>
    <w:lvl w:ilvl="0">
      <w:lvlJc w:val="left"/>
      <w:lvlText w:val="(%1)"/>
      <w:numFmt w:val="lowerLetter"/>
      <w:start w:val="1"/>
    </w:lvl>
  </w:abstractNum>
  <w:abstractNum w:abstractNumId="73">
    <w:nsid w:val="61E74EA3"/>
    <w:multiLevelType w:val="hybridMultilevel"/>
    <w:lvl w:ilvl="0">
      <w:lvlJc w:val="left"/>
      <w:lvlText w:val="(%1)"/>
      <w:numFmt w:val="lowerLetter"/>
      <w:start w:val="1"/>
    </w:lvl>
  </w:abstractNum>
  <w:abstractNum w:abstractNumId="74">
    <w:nsid w:val="597B4D84"/>
    <w:multiLevelType w:val="hybridMultilevel"/>
    <w:lvl w:ilvl="0">
      <w:lvlJc w:val="left"/>
      <w:lvlText w:val="(%1)"/>
      <w:numFmt w:val="lowerLetter"/>
      <w:start w:val="2"/>
    </w:lvl>
  </w:abstractNum>
  <w:abstractNum w:abstractNumId="75">
    <w:nsid w:val="F819E7F"/>
    <w:multiLevelType w:val="hybridMultilevel"/>
    <w:lvl w:ilvl="0">
      <w:lvlJc w:val="left"/>
      <w:lvlText w:val="·"/>
      <w:numFmt w:val="bullet"/>
      <w:start w:val="1"/>
    </w:lvl>
  </w:abstractNum>
  <w:abstractNum w:abstractNumId="76">
    <w:nsid w:val="57C7D42D"/>
    <w:multiLevelType w:val="hybridMultilevel"/>
    <w:lvl w:ilvl="0">
      <w:lvlJc w:val="left"/>
      <w:lvlText w:val="o"/>
      <w:numFmt w:val="bullet"/>
      <w:start w:val="1"/>
    </w:lvl>
  </w:abstractNum>
  <w:abstractNum w:abstractNumId="77">
    <w:nsid w:val="312167AD"/>
    <w:multiLevelType w:val="hybridMultilevel"/>
    <w:lvl w:ilvl="0">
      <w:lvlJc w:val="left"/>
      <w:lvlText w:val="·"/>
      <w:numFmt w:val="bullet"/>
      <w:start w:val="1"/>
    </w:lvl>
  </w:abstractNum>
  <w:abstractNum w:abstractNumId="78">
    <w:nsid w:val="631B64D4"/>
    <w:multiLevelType w:val="hybridMultilevel"/>
    <w:lvl w:ilvl="0">
      <w:lvlJc w:val="left"/>
      <w:lvlText w:val="(%1)"/>
      <w:numFmt w:val="decimal"/>
      <w:start w:val="1"/>
    </w:lvl>
  </w:abstractNum>
  <w:abstractNum w:abstractNumId="79">
    <w:nsid w:val="78B5E776"/>
    <w:multiLevelType w:val="hybridMultilevel"/>
    <w:lvl w:ilvl="0">
      <w:lvlJc w:val="left"/>
      <w:lvlText w:val="(%1)"/>
      <w:numFmt w:val="decimal"/>
      <w:start w:val="1"/>
    </w:lvl>
  </w:abstractNum>
  <w:abstractNum w:abstractNumId="80">
    <w:nsid w:val="75486E47"/>
    <w:multiLevelType w:val="hybridMultilevel"/>
    <w:lvl w:ilvl="0">
      <w:lvlJc w:val="left"/>
      <w:lvlText w:val="(%1)"/>
      <w:numFmt w:val="decimal"/>
      <w:start w:val="1"/>
    </w:lvl>
  </w:abstractNum>
  <w:abstractNum w:abstractNumId="81">
    <w:nsid w:val="6E534CDE"/>
    <w:multiLevelType w:val="hybridMultilevel"/>
    <w:lvl w:ilvl="0">
      <w:lvlJc w:val="left"/>
      <w:lvlText w:val="(%1)"/>
      <w:numFmt w:val="lowerRoman"/>
      <w:start w:val="1"/>
    </w:lvl>
  </w:abstractNum>
  <w:abstractNum w:abstractNumId="82">
    <w:nsid w:val="1A0DDE32"/>
    <w:multiLevelType w:val="hybridMultilevel"/>
    <w:lvl w:ilvl="0">
      <w:lvlJc w:val="left"/>
      <w:lvlText w:val="l"/>
      <w:numFmt w:val="bullet"/>
      <w:start w:val="1"/>
    </w:lvl>
  </w:abstractNum>
  <w:abstractNum w:abstractNumId="83">
    <w:nsid w:val="65968C1C"/>
    <w:multiLevelType w:val="hybridMultilevel"/>
    <w:lvl w:ilvl="0">
      <w:lvlJc w:val="left"/>
      <w:lvlText w:val="l"/>
      <w:numFmt w:val="bullet"/>
      <w:start w:val="1"/>
    </w:lvl>
  </w:abstractNum>
  <w:abstractNum w:abstractNumId="84">
    <w:nsid w:val="46263DEC"/>
    <w:multiLevelType w:val="hybridMultilevel"/>
    <w:lvl w:ilvl="0">
      <w:lvlJc w:val="left"/>
      <w:lvlText w:val="l"/>
      <w:numFmt w:val="bullet"/>
      <w:start w:val="1"/>
    </w:lvl>
  </w:abstractNum>
  <w:abstractNum w:abstractNumId="85">
    <w:nsid w:val="260D8C4A"/>
    <w:multiLevelType w:val="hybridMultilevel"/>
    <w:lvl w:ilvl="0">
      <w:lvlJc w:val="left"/>
      <w:lvlText w:val="$"/>
      <w:numFmt w:val="bullet"/>
      <w:start w:val="1"/>
    </w:lvl>
  </w:abstractNum>
  <w:abstractNum w:abstractNumId="86">
    <w:nsid w:val="73D4D3C4"/>
    <w:multiLevelType w:val="hybridMultilevel"/>
    <w:lvl w:ilvl="0">
      <w:lvlJc w:val="left"/>
      <w:lvlText w:val="$"/>
      <w:numFmt w:val="bullet"/>
      <w:start w:val="1"/>
    </w:lvl>
  </w:abstractNum>
  <w:abstractNum w:abstractNumId="87">
    <w:nsid w:val="746F2E30"/>
    <w:multiLevelType w:val="hybridMultilevel"/>
    <w:lvl w:ilvl="0">
      <w:lvlJc w:val="left"/>
      <w:lvlText w:val="(%1)"/>
      <w:numFmt w:val="decimal"/>
      <w:start w:val="1"/>
    </w:lvl>
  </w:abstractNum>
  <w:abstractNum w:abstractNumId="88">
    <w:nsid w:val="6FDE8AF6"/>
    <w:multiLevelType w:val="hybridMultilevel"/>
    <w:lvl w:ilvl="0">
      <w:lvlJc w:val="left"/>
      <w:lvlText w:val="(%1)"/>
      <w:numFmt w:val="lowerLetter"/>
      <w:start w:val="2"/>
    </w:lvl>
  </w:abstractNum>
  <w:abstractNum w:abstractNumId="89">
    <w:nsid w:val="3FC32E20"/>
    <w:multiLevelType w:val="hybridMultilevel"/>
    <w:lvl w:ilvl="0">
      <w:lvlJc w:val="left"/>
      <w:lvlText w:val="(%1)"/>
      <w:numFmt w:val="lowerLetter"/>
      <w:start w:val="1"/>
    </w:lvl>
    <w:lvl w:ilvl="1">
      <w:lvlJc w:val="left"/>
      <w:lvlText w:val="(%2)"/>
      <w:numFmt w:val="decimal"/>
      <w:start w:val="1"/>
    </w:lvl>
  </w:abstractNum>
  <w:abstractNum w:abstractNumId="90">
    <w:nsid w:val="49C0E823"/>
    <w:multiLevelType w:val="hybridMultilevel"/>
    <w:lvl w:ilvl="0">
      <w:lvlJc w:val="left"/>
      <w:lvlText w:val="(%1)"/>
      <w:numFmt w:val="lowerRoman"/>
      <w:start w:val="1"/>
    </w:lvl>
  </w:abstractNum>
  <w:abstractNum w:abstractNumId="91">
    <w:nsid w:val="14D53685"/>
    <w:multiLevelType w:val="hybridMultilevel"/>
    <w:lvl w:ilvl="0">
      <w:lvlJc w:val="left"/>
      <w:lvlText w:val="(%1)"/>
      <w:numFmt w:val="lowerRoman"/>
      <w:start w:val="3"/>
    </w:lvl>
  </w:abstractNum>
  <w:abstractNum w:abstractNumId="92">
    <w:nsid w:val="230F856C"/>
    <w:multiLevelType w:val="hybridMultilevel"/>
    <w:lvl w:ilvl="0">
      <w:lvlJc w:val="left"/>
      <w:lvlText w:val="%1."/>
      <w:numFmt w:val="decimal"/>
      <w:start w:val="1"/>
    </w:lvl>
  </w:abstractNum>
  <w:abstractNum w:abstractNumId="93">
    <w:nsid w:val="6EAA85FB"/>
    <w:multiLevelType w:val="hybridMultilevel"/>
    <w:lvl w:ilvl="0">
      <w:lvlJc w:val="left"/>
      <w:lvlText w:val="%1."/>
      <w:numFmt w:val="decimal"/>
      <w:start w:val="2"/>
    </w:lvl>
    <w:lvl w:ilvl="1">
      <w:lvlJc w:val="left"/>
      <w:lvlText w:val="(%2)"/>
      <w:numFmt w:val="lowerLetter"/>
      <w:start w:val="1"/>
    </w:lvl>
  </w:abstractNum>
  <w:abstractNum w:abstractNumId="94">
    <w:nsid w:val="3F06ECB2"/>
    <w:multiLevelType w:val="hybridMultilevel"/>
    <w:lvl w:ilvl="0">
      <w:lvlJc w:val="left"/>
      <w:lvlText w:val="(%1)"/>
      <w:numFmt w:val="lowerLetter"/>
      <w:start w:val="3"/>
    </w:lvl>
  </w:abstractNum>
  <w:abstractNum w:abstractNumId="95">
    <w:nsid w:val="3B594807"/>
    <w:multiLevelType w:val="hybridMultilevel"/>
    <w:lvl w:ilvl="0">
      <w:lvlJc w:val="left"/>
      <w:lvlText w:val="(%1)"/>
      <w:numFmt w:val="lowerLetter"/>
      <w:start w:val="4"/>
    </w:lvl>
  </w:abstractNum>
  <w:abstractNum w:abstractNumId="96">
    <w:nsid w:val="6CAA2304"/>
    <w:multiLevelType w:val="hybridMultilevel"/>
    <w:lvl w:ilvl="0">
      <w:lvlJc w:val="left"/>
      <w:lvlText w:val="(%1)"/>
      <w:numFmt w:val="lowerLetter"/>
      <w:start w:val="6"/>
    </w:lvl>
  </w:abstractNum>
  <w:abstractNum w:abstractNumId="97">
    <w:nsid w:val="3F7C2FF4"/>
    <w:multiLevelType w:val="hybridMultilevel"/>
    <w:lvl w:ilvl="0">
      <w:lvlJc w:val="left"/>
      <w:lvlText w:val="%1."/>
      <w:numFmt w:val="decimal"/>
      <w:start w:val="3"/>
    </w:lvl>
    <w:lvl w:ilvl="1">
      <w:lvlJc w:val="left"/>
      <w:lvlText w:val="(%2)"/>
      <w:numFmt w:val="lowerLetter"/>
      <w:start w:val="1"/>
    </w:lvl>
  </w:abstractNum>
  <w:abstractNum w:abstractNumId="98">
    <w:nsid w:val="25413BEC"/>
    <w:multiLevelType w:val="hybridMultilevel"/>
    <w:lvl w:ilvl="0">
      <w:lvlJc w:val="left"/>
      <w:lvlText w:val="%1"/>
      <w:numFmt w:val="decimal"/>
      <w:start w:val="1"/>
    </w:lvl>
    <w:lvl w:ilvl="1">
      <w:lvlJc w:val="left"/>
      <w:lvlText w:val="(%2)"/>
      <w:numFmt w:val="lowerLetter"/>
      <w:start w:val="5"/>
    </w:lvl>
  </w:abstractNum>
  <w:abstractNum w:abstractNumId="99">
    <w:nsid w:val="17180B0B"/>
    <w:multiLevelType w:val="hybridMultilevel"/>
    <w:lvl w:ilvl="0">
      <w:lvlJc w:val="left"/>
      <w:lvlText w:val="(%1)"/>
      <w:numFmt w:val="decimal"/>
      <w:start w:val="12"/>
    </w:lvl>
    <w:lvl w:ilvl="1">
      <w:lvlJc w:val="left"/>
      <w:lvlText w:val="(%2)"/>
      <w:numFmt w:val="lowerLetter"/>
      <w:start w:val="7"/>
    </w:lvl>
  </w:abstractNum>
  <w:abstractNum w:abstractNumId="100">
    <w:nsid w:val="579328B9"/>
    <w:multiLevelType w:val="hybridMultilevel"/>
    <w:lvl w:ilvl="0">
      <w:lvlJc w:val="left"/>
      <w:lvlText w:val="(%1)"/>
      <w:numFmt w:val="lowerLetter"/>
      <w:start w:val="8"/>
    </w:lvl>
  </w:abstractNum>
  <w:abstractNum w:abstractNumId="101">
    <w:nsid w:val="5D205E20"/>
    <w:multiLevelType w:val="hybridMultilevel"/>
    <w:lvl w:ilvl="0">
      <w:lvlJc w:val="left"/>
      <w:lvlText w:val="(%1)"/>
      <w:numFmt w:val="lowerLetter"/>
      <w:start w:val="10"/>
    </w:lvl>
  </w:abstractNum>
  <w:abstractNum w:abstractNumId="102">
    <w:nsid w:val="11CCA8BA"/>
    <w:multiLevelType w:val="hybridMultilevel"/>
    <w:lvl w:ilvl="0">
      <w:lvlJc w:val="left"/>
      <w:lvlText w:val="(%1)"/>
      <w:numFmt w:val="lowerLetter"/>
      <w:start w:val="15"/>
    </w:lvl>
  </w:abstractNum>
  <w:abstractNum w:abstractNumId="103">
    <w:nsid w:val="4D32AB86"/>
    <w:multiLevelType w:val="hybridMultilevel"/>
    <w:lvl w:ilvl="0">
      <w:lvlJc w:val="left"/>
      <w:lvlText w:val="(%1)"/>
      <w:numFmt w:val="lowerLetter"/>
      <w:start w:val="21"/>
    </w:lvl>
  </w:abstractNum>
  <w:abstractNum w:abstractNumId="104">
    <w:nsid w:val="3F07ACC3"/>
    <w:multiLevelType w:val="hybridMultilevel"/>
    <w:lvl w:ilvl="0">
      <w:lvlJc w:val="left"/>
      <w:lvlText w:val="(%1)"/>
      <w:numFmt w:val="lowerLetter"/>
      <w:start w:val="27"/>
    </w:lvl>
  </w:abstractNum>
  <w:abstractNum w:abstractNumId="105">
    <w:nsid w:val="6B47F63E"/>
    <w:multiLevelType w:val="hybridMultilevel"/>
    <w:lvl w:ilvl="0">
      <w:lvlJc w:val="left"/>
      <w:lvlText w:val="(%1)"/>
      <w:numFmt w:val="lowerLetter"/>
      <w:start w:val="28"/>
    </w:lvl>
  </w:abstractNum>
  <w:abstractNum w:abstractNumId="106">
    <w:nsid w:val="5CB44A05"/>
    <w:multiLevelType w:val="hybridMultilevel"/>
    <w:lvl w:ilvl="0">
      <w:lvlJc w:val="left"/>
      <w:lvlText w:val="(%1)"/>
      <w:numFmt w:val="lowerLetter"/>
      <w:start w:val="33"/>
    </w:lvl>
  </w:abstractNum>
  <w:abstractNum w:abstractNumId="107">
    <w:nsid w:val="16CF80F1"/>
    <w:multiLevelType w:val="hybridMultilevel"/>
    <w:lvl w:ilvl="0">
      <w:lvlJc w:val="left"/>
      <w:lvlText w:val="(%1)"/>
      <w:numFmt w:val="lowerLetter"/>
      <w:start w:val="38"/>
    </w:lvl>
  </w:abstractNum>
  <w:abstractNum w:abstractNumId="108">
    <w:nsid w:val="1C695DEC"/>
    <w:multiLevelType w:val="hybridMultilevel"/>
    <w:lvl w:ilvl="0">
      <w:lvlJc w:val="left"/>
      <w:lvlText w:val="(%1)"/>
      <w:numFmt w:val="lowerLetter"/>
      <w:start w:val="42"/>
    </w:lvl>
  </w:abstractNum>
  <w:abstractNum w:abstractNumId="109">
    <w:nsid w:val="3FCFAED9"/>
    <w:multiLevelType w:val="hybridMultilevel"/>
    <w:lvl w:ilvl="0">
      <w:lvlJc w:val="left"/>
      <w:lvlText w:val="(%1)"/>
      <w:numFmt w:val="lowerLetter"/>
      <w:start w:val="45"/>
    </w:lvl>
  </w:abstractNum>
  <w:abstractNum w:abstractNumId="110">
    <w:nsid w:val="F856867"/>
    <w:multiLevelType w:val="hybridMultilevel"/>
    <w:lvl w:ilvl="0">
      <w:lvlJc w:val="left"/>
      <w:lvlText w:val="(%1)"/>
      <w:numFmt w:val="lowerLetter"/>
      <w:start w:val="50"/>
    </w:lvl>
  </w:abstractNum>
  <w:abstractNum w:abstractNumId="111">
    <w:nsid w:val="11B1CC33"/>
    <w:multiLevelType w:val="hybridMultilevel"/>
    <w:lvl w:ilvl="0">
      <w:lvlJc w:val="left"/>
      <w:lvlText w:val="(%1)"/>
      <w:numFmt w:val="lowerLetter"/>
      <w:start w:val="53"/>
    </w:lvl>
  </w:abstractNum>
  <w:abstractNum w:abstractNumId="112">
    <w:nsid w:val="2E22FBB7"/>
    <w:multiLevelType w:val="hybridMultilevel"/>
    <w:lvl w:ilvl="0">
      <w:lvlJc w:val="left"/>
      <w:lvlText w:val="(%1)"/>
      <w:numFmt w:val="lowerLetter"/>
      <w:start w:val="57"/>
    </w:lvl>
  </w:abstractNum>
  <w:abstractNum w:abstractNumId="113">
    <w:nsid w:val="29934699"/>
    <w:multiLevelType w:val="hybridMultilevel"/>
    <w:lvl w:ilvl="0">
      <w:lvlJc w:val="left"/>
      <w:lvlText w:val="%1"/>
      <w:numFmt w:val="decimal"/>
      <w:start w:val="1"/>
    </w:lvl>
    <w:lvl w:ilvl="1">
      <w:lvlJc w:val="left"/>
      <w:lvlText w:val="(%2)"/>
      <w:numFmt w:val="lowerLetter"/>
      <w:start w:val="64"/>
    </w:lvl>
  </w:abstractNum>
  <w:abstractNum w:abstractNumId="114">
    <w:nsid w:val="77485850"/>
    <w:multiLevelType w:val="hybridMultilevel"/>
    <w:lvl w:ilvl="0">
      <w:lvlJc w:val="left"/>
      <w:lvlText w:val="%1."/>
      <w:numFmt w:val="decimal"/>
      <w:start w:val="4"/>
    </w:lvl>
    <w:lvl w:ilvl="1">
      <w:lvlJc w:val="left"/>
      <w:lvlText w:val="(%2)"/>
      <w:numFmt w:val="lowerLetter"/>
      <w:start w:val="1"/>
    </w:lvl>
  </w:abstractNum>
  <w:abstractNum w:abstractNumId="115">
    <w:nsid w:val="744939A3"/>
    <w:multiLevelType w:val="hybridMultilevel"/>
    <w:lvl w:ilvl="0">
      <w:lvlJc w:val="left"/>
      <w:lvlText w:val="(%1)"/>
      <w:numFmt w:val="lowerLetter"/>
      <w:start w:val="2"/>
    </w:lvl>
  </w:abstractNum>
  <w:abstractNum w:abstractNumId="116">
    <w:nsid w:val="4FA0D2E3"/>
    <w:multiLevelType w:val="hybridMultilevel"/>
    <w:lvl w:ilvl="0">
      <w:lvlJc w:val="left"/>
      <w:lvlText w:val="(%1)"/>
      <w:numFmt w:val="lowerLetter"/>
      <w:start w:val="5"/>
    </w:lvl>
  </w:abstractNum>
  <w:abstractNum w:abstractNumId="117">
    <w:nsid w:val="6B1D2C14"/>
    <w:multiLevelType w:val="hybridMultilevel"/>
    <w:lvl w:ilvl="0">
      <w:lvlJc w:val="left"/>
      <w:lvlText w:val="(%1)"/>
      <w:numFmt w:val="lowerLetter"/>
      <w:start w:val="9"/>
    </w:lvl>
  </w:abstractNum>
  <w:abstractNum w:abstractNumId="118">
    <w:nsid w:val="68B867D3"/>
    <w:multiLevelType w:val="hybridMultilevel"/>
    <w:lvl w:ilvl="0">
      <w:lvlJc w:val="left"/>
      <w:lvlText w:val="(%1)"/>
      <w:numFmt w:val="lowerLetter"/>
      <w:start w:val="13"/>
    </w:lvl>
  </w:abstractNum>
  <w:abstractNum w:abstractNumId="119">
    <w:nsid w:val="3F7F5DD9"/>
    <w:multiLevelType w:val="hybridMultilevel"/>
    <w:lvl w:ilvl="0">
      <w:lvlJc w:val="left"/>
      <w:lvlText w:val="(%1)"/>
      <w:numFmt w:val="lowerLetter"/>
      <w:start w:val="17"/>
    </w:lvl>
  </w:abstractNum>
  <w:abstractNum w:abstractNumId="120">
    <w:nsid w:val="2AE05A34"/>
    <w:multiLevelType w:val="hybridMultilevel"/>
    <w:lvl w:ilvl="0">
      <w:lvlJc w:val="left"/>
      <w:lvlText w:val="(%1)"/>
      <w:numFmt w:val="lowerLetter"/>
      <w:start w:val="22"/>
    </w:lvl>
  </w:abstractNum>
  <w:abstractNum w:abstractNumId="121">
    <w:nsid w:val="32794FF7"/>
    <w:multiLevelType w:val="hybridMultilevel"/>
    <w:lvl w:ilvl="0">
      <w:lvlJc w:val="left"/>
      <w:lvlText w:val="(%1)"/>
      <w:numFmt w:val="lowerLetter"/>
      <w:start w:val="27"/>
    </w:lvl>
  </w:abstractNum>
  <w:abstractNum w:abstractNumId="122">
    <w:nsid w:val="5454945E"/>
    <w:multiLevelType w:val="hybridMultilevel"/>
    <w:lvl w:ilvl="0">
      <w:lvlJc w:val="left"/>
      <w:lvlText w:val="(%1)"/>
      <w:numFmt w:val="lowerLetter"/>
      <w:start w:val="34"/>
    </w:lvl>
  </w:abstractNum>
  <w:abstractNum w:abstractNumId="123">
    <w:nsid w:val="4DEFDFA0"/>
    <w:multiLevelType w:val="hybridMultilevel"/>
    <w:lvl w:ilvl="0">
      <w:lvlJc w:val="left"/>
      <w:lvlText w:val="%1"/>
      <w:numFmt w:val="decimal"/>
      <w:start w:val="1"/>
    </w:lvl>
    <w:lvl w:ilvl="1">
      <w:lvlJc w:val="left"/>
      <w:lvlText w:val="(%2)"/>
      <w:numFmt w:val="lowerLetter"/>
      <w:start w:val="37"/>
    </w:lvl>
  </w:abstractNum>
  <w:abstractNum w:abstractNumId="124">
    <w:nsid w:val="2123D5F2"/>
    <w:multiLevelType w:val="hybridMultilevel"/>
    <w:lvl w:ilvl="0">
      <w:lvlJc w:val="left"/>
      <w:lvlText w:val="%1."/>
      <w:numFmt w:val="decimal"/>
      <w:start w:val="5"/>
    </w:lvl>
    <w:lvl w:ilvl="1">
      <w:lvlJc w:val="left"/>
      <w:lvlText w:val="%2"/>
      <w:numFmt w:val="lowerLetter"/>
      <w:start w:val="1"/>
    </w:lvl>
  </w:abstractNum>
  <w:abstractNum w:abstractNumId="125">
    <w:nsid w:val="135B8110"/>
    <w:multiLevelType w:val="hybridMultilevel"/>
    <w:lvl w:ilvl="0">
      <w:lvlJc w:val="left"/>
      <w:lvlText w:val="%1"/>
      <w:numFmt w:val="lowerLetter"/>
      <w:start w:val="1"/>
    </w:lvl>
    <w:lvl w:ilvl="1">
      <w:lvlJc w:val="left"/>
      <w:lvlText w:val="(%2)"/>
      <w:numFmt w:val="lowerLetter"/>
      <w:start w:val="1"/>
    </w:lvl>
  </w:abstractNum>
  <w:abstractNum w:abstractNumId="126">
    <w:nsid w:val="94927A8"/>
    <w:multiLevelType w:val="hybridMultilevel"/>
    <w:lvl w:ilvl="0">
      <w:lvlJc w:val="left"/>
      <w:lvlText w:val="(%1)"/>
      <w:numFmt w:val="lowerLetter"/>
      <w:start w:val="3"/>
    </w:lvl>
    <w:lvl w:ilvl="1">
      <w:lvlJc w:val="left"/>
      <w:lvlText w:val="(%2)"/>
      <w:numFmt w:val="lowerLetter"/>
      <w:start w:val="5"/>
    </w:lvl>
  </w:abstractNum>
  <w:abstractNum w:abstractNumId="127">
    <w:nsid w:val="DCDF8F6"/>
    <w:multiLevelType w:val="hybridMultilevel"/>
    <w:lvl w:ilvl="0">
      <w:lvlJc w:val="left"/>
      <w:lvlText w:val="(%1)"/>
      <w:numFmt w:val="lowerLetter"/>
      <w:start w:val="6"/>
    </w:lvl>
  </w:abstractNum>
  <w:abstractNum w:abstractNumId="128">
    <w:nsid w:val="52D7B105"/>
    <w:multiLevelType w:val="hybridMultilevel"/>
    <w:lvl w:ilvl="0">
      <w:lvlJc w:val="left"/>
      <w:lvlText w:val="(%1)"/>
      <w:numFmt w:val="lowerLetter"/>
      <w:start w:val="13"/>
    </w:lvl>
  </w:abstractNum>
  <w:abstractNum w:abstractNumId="129">
    <w:nsid w:val="2E8A6394"/>
    <w:multiLevelType w:val="hybridMultilevel"/>
    <w:lvl w:ilvl="0">
      <w:lvlJc w:val="left"/>
      <w:lvlText w:val="%1."/>
      <w:numFmt w:val="decimal"/>
      <w:start w:val="7"/>
    </w:lvl>
    <w:lvl w:ilvl="1">
      <w:lvlJc w:val="left"/>
      <w:lvlText w:val="(%2)"/>
      <w:numFmt w:val="lowerLetter"/>
      <w:start w:val="1"/>
    </w:lvl>
  </w:abstractNum>
  <w:abstractNum w:abstractNumId="130">
    <w:nsid w:val="24E60401"/>
    <w:multiLevelType w:val="hybridMultilevel"/>
    <w:lvl w:ilvl="0">
      <w:lvlJc w:val="left"/>
      <w:lvlText w:val="(%1)"/>
      <w:numFmt w:val="lowerLetter"/>
      <w:start w:val="3"/>
    </w:lvl>
  </w:abstractNum>
  <w:abstractNum w:abstractNumId="131">
    <w:nsid w:val="2A6AD9BE"/>
    <w:multiLevelType w:val="hybridMultilevel"/>
    <w:lvl w:ilvl="0">
      <w:lvlJc w:val="left"/>
      <w:lvlText w:val="(%1)"/>
      <w:numFmt w:val="lowerLetter"/>
      <w:start w:val="4"/>
    </w:lvl>
  </w:abstractNum>
  <w:abstractNum w:abstractNumId="132">
    <w:nsid w:val="BAAC1B4"/>
    <w:multiLevelType w:val="hybridMultilevel"/>
    <w:lvl w:ilvl="0">
      <w:lvlJc w:val="left"/>
      <w:lvlText w:val="%1"/>
      <w:numFmt w:val="decimal"/>
      <w:start w:val="1"/>
    </w:lvl>
    <w:lvl w:ilvl="1">
      <w:lvlJc w:val="left"/>
      <w:lvlText w:val="(%2)"/>
      <w:numFmt w:val="lowerLetter"/>
      <w:start w:val="6"/>
    </w:lvl>
  </w:abstractNum>
  <w:abstractNum w:abstractNumId="133">
    <w:nsid w:val="36B2ACBC"/>
    <w:multiLevelType w:val="hybridMultilevel"/>
    <w:lvl w:ilvl="0">
      <w:lvlJc w:val="left"/>
      <w:lvlText w:val="%1."/>
      <w:numFmt w:val="decimal"/>
      <w:start w:val="8"/>
    </w:lvl>
    <w:lvl w:ilvl="1">
      <w:lvlJc w:val="left"/>
      <w:lvlText w:val="(%2)"/>
      <w:numFmt w:val="lowerLetter"/>
      <w:start w:val="1"/>
    </w:lvl>
  </w:abstractNum>
  <w:abstractNum w:abstractNumId="134">
    <w:nsid w:val="779D8544"/>
    <w:multiLevelType w:val="hybridMultilevel"/>
    <w:lvl w:ilvl="0">
      <w:lvlJc w:val="left"/>
      <w:lvlText w:val="%1"/>
      <w:numFmt w:val="decimal"/>
      <w:start w:val="1"/>
    </w:lvl>
    <w:lvl w:ilvl="1">
      <w:lvlJc w:val="left"/>
      <w:lvlText w:val="(%2)"/>
      <w:numFmt w:val="lowerLetter"/>
      <w:start w:val="2"/>
    </w:lvl>
  </w:abstractNum>
  <w:abstractNum w:abstractNumId="135">
    <w:nsid w:val="4AB26E78"/>
    <w:multiLevelType w:val="hybridMultilevel"/>
    <w:lvl w:ilvl="0">
      <w:lvlJc w:val="left"/>
      <w:lvlText w:val="%1."/>
      <w:numFmt w:val="decimal"/>
      <w:start w:val="11"/>
    </w:lvl>
    <w:lvl w:ilvl="1">
      <w:lvlJc w:val="left"/>
      <w:lvlText w:val="(%2)"/>
      <w:numFmt w:val="lowerLetter"/>
      <w:start w:val="1"/>
    </w:lvl>
  </w:abstractNum>
  <w:abstractNum w:abstractNumId="136">
    <w:nsid w:val="21FAA2FA"/>
    <w:multiLevelType w:val="hybridMultilevel"/>
    <w:lvl w:ilvl="0">
      <w:lvlJc w:val="left"/>
      <w:lvlText w:val="%1"/>
      <w:numFmt w:val="decimal"/>
      <w:start w:val="1"/>
    </w:lvl>
    <w:lvl w:ilvl="1">
      <w:lvlJc w:val="left"/>
      <w:lvlText w:val="(%2)"/>
      <w:numFmt w:val="lowerLetter"/>
      <w:start w:val="2"/>
    </w:lvl>
  </w:abstractNum>
  <w:abstractNum w:abstractNumId="137">
    <w:nsid w:val="5451CF49"/>
    <w:multiLevelType w:val="hybridMultilevel"/>
    <w:lvl w:ilvl="0">
      <w:lvlJc w:val="left"/>
      <w:lvlText w:val="%1."/>
      <w:numFmt w:val="decimal"/>
      <w:start w:val="12"/>
    </w:lvl>
    <w:lvl w:ilvl="1">
      <w:lvlJc w:val="left"/>
      <w:lvlText w:val="%2"/>
      <w:numFmt w:val="lowerLetter"/>
      <w:start w:val="1"/>
    </w:lvl>
  </w:abstractNum>
  <w:abstractNum w:abstractNumId="138">
    <w:nsid w:val="6181EF69"/>
    <w:multiLevelType w:val="hybridMultilevel"/>
    <w:lvl w:ilvl="0">
      <w:lvlJc w:val="left"/>
      <w:lvlText w:val="%1."/>
      <w:numFmt w:val="decimal"/>
      <w:start w:val="16"/>
    </w:lvl>
    <w:lvl w:ilvl="1">
      <w:lvlJc w:val="left"/>
      <w:lvlText w:val="(%2)"/>
      <w:numFmt w:val="lowerLetter"/>
      <w:start w:val="1"/>
    </w:lvl>
  </w:abstractNum>
  <w:abstractNum w:abstractNumId="139">
    <w:nsid w:val="3E6400E6"/>
    <w:multiLevelType w:val="hybridMultilevel"/>
    <w:lvl w:ilvl="0">
      <w:lvlJc w:val="left"/>
      <w:lvlText w:val="(%1)"/>
      <w:numFmt w:val="lowerLetter"/>
      <w:start w:val="2"/>
    </w:lvl>
  </w:abstractNum>
  <w:abstractNum w:abstractNumId="140">
    <w:nsid w:val="14217E23"/>
    <w:multiLevelType w:val="hybridMultilevel"/>
    <w:lvl w:ilvl="0">
      <w:lvlJc w:val="left"/>
      <w:lvlText w:val="(%1)"/>
      <w:numFmt w:val="lowerLetter"/>
      <w:start w:val="4"/>
    </w:lvl>
    <w:lvl w:ilvl="1">
      <w:lvlJc w:val="left"/>
      <w:lvlText w:val="(%2)"/>
      <w:numFmt w:val="lowerLetter"/>
      <w:start w:val="9"/>
    </w:lvl>
  </w:abstractNum>
  <w:abstractNum w:abstractNumId="141">
    <w:nsid w:val="710757D0"/>
    <w:multiLevelType w:val="hybridMultilevel"/>
    <w:lvl w:ilvl="0">
      <w:lvlJc w:val="left"/>
      <w:lvlText w:val="(%1)"/>
      <w:numFmt w:val="lowerRoman"/>
      <w:start w:val="2"/>
    </w:lvl>
  </w:abstractNum>
  <w:abstractNum w:abstractNumId="142">
    <w:nsid w:val="5015CD1A"/>
    <w:multiLevelType w:val="hybridMultilevel"/>
    <w:lvl w:ilvl="0">
      <w:lvlJc w:val="left"/>
      <w:lvlText w:val="(%1)"/>
      <w:numFmt w:val="lowerRoman"/>
      <w:start w:val="1"/>
    </w:lvl>
  </w:abstractNum>
  <w:abstractNum w:abstractNumId="143">
    <w:nsid w:val="424479DA"/>
    <w:multiLevelType w:val="hybridMultilevel"/>
    <w:lvl w:ilvl="0">
      <w:lvlJc w:val="left"/>
      <w:lvlText w:val="%1"/>
      <w:numFmt w:val="lowerLetter"/>
      <w:start w:val="1"/>
    </w:lvl>
    <w:lvl w:ilvl="1">
      <w:lvlJc w:val="left"/>
      <w:lvlText w:val="(%2)"/>
      <w:numFmt w:val="lowerLetter"/>
      <w:start w:val="35"/>
    </w:lvl>
  </w:abstractNum>
  <w:abstractNum w:abstractNumId="144">
    <w:nsid w:val="1A9A9E69"/>
    <w:multiLevelType w:val="hybridMultilevel"/>
    <w:lvl w:ilvl="0">
      <w:lvlJc w:val="left"/>
      <w:lvlText w:val="(%1)"/>
      <w:numFmt w:val="lowerLetter"/>
      <w:start w:val="8"/>
    </w:lvl>
    <w:lvl w:ilvl="1">
      <w:lvlJc w:val="left"/>
      <w:lvlText w:val="%2"/>
      <w:numFmt w:val="lowerLetter"/>
      <w:start w:val="1"/>
    </w:lvl>
  </w:abstractNum>
  <w:abstractNum w:abstractNumId="145">
    <w:nsid w:val="475E256A"/>
    <w:multiLevelType w:val="hybridMultilevel"/>
    <w:lvl w:ilvl="0">
      <w:lvlJc w:val="left"/>
      <w:lvlText w:val="(%1)"/>
      <w:numFmt w:val="lowerLetter"/>
      <w:start w:val="11"/>
    </w:lvl>
  </w:abstractNum>
  <w:abstractNum w:abstractNumId="146">
    <w:nsid w:val="368DB37E"/>
    <w:multiLevelType w:val="hybridMultilevel"/>
    <w:lvl w:ilvl="0">
      <w:lvlJc w:val="left"/>
      <w:lvlText w:val="(%1)"/>
      <w:numFmt w:val="lowerLetter"/>
      <w:start w:val="25"/>
    </w:lvl>
  </w:abstractNum>
  <w:abstractNum w:abstractNumId="147">
    <w:nsid w:val="6A3B714C"/>
    <w:multiLevelType w:val="hybridMultilevel"/>
    <w:lvl w:ilvl="0">
      <w:lvlJc w:val="left"/>
      <w:lvlText w:val="%1."/>
      <w:numFmt w:val="decimal"/>
      <w:start w:val="1"/>
    </w:lvl>
  </w:abstractNum>
  <w:abstractNum w:abstractNumId="148">
    <w:nsid w:val="327B517E"/>
    <w:multiLevelType w:val="hybridMultilevel"/>
    <w:lvl w:ilvl="0">
      <w:lvlJc w:val="left"/>
      <w:lvlText w:val="(%1)"/>
      <w:numFmt w:val="lowerLetter"/>
      <w:start w:val="1"/>
    </w:lvl>
  </w:abstractNum>
  <w:abstractNum w:abstractNumId="149">
    <w:nsid w:val="1F461B51"/>
    <w:multiLevelType w:val="hybridMultilevel"/>
    <w:lvl w:ilvl="0">
      <w:lvlJc w:val="left"/>
      <w:lvlText w:val="%1."/>
      <w:numFmt w:val="decimal"/>
      <w:start w:val="3"/>
    </w:lvl>
  </w:abstractNum>
  <w:abstractNum w:abstractNumId="150">
    <w:nsid w:val="29BACF25"/>
    <w:multiLevelType w:val="hybridMultilevel"/>
    <w:lvl w:ilvl="0">
      <w:lvlJc w:val="left"/>
      <w:lvlText w:val="(%1)"/>
      <w:numFmt w:val="decimal"/>
      <w:start w:val="5"/>
    </w:lvl>
  </w:abstractNum>
  <w:abstractNum w:abstractNumId="151">
    <w:nsid w:val="5D5BABB3"/>
    <w:multiLevelType w:val="hybridMultilevel"/>
    <w:lvl w:ilvl="0">
      <w:lvlJc w:val="left"/>
      <w:lvlText w:val="(%1)"/>
      <w:numFmt w:val="lowerLetter"/>
      <w:start w:val="1"/>
    </w:lvl>
  </w:abstractNum>
  <w:abstractNum w:abstractNumId="152">
    <w:nsid w:val="51BF6B48"/>
    <w:multiLevelType w:val="hybridMultilevel"/>
    <w:lvl w:ilvl="0">
      <w:lvlJc w:val="left"/>
      <w:lvlText w:val="%1."/>
      <w:numFmt w:val="decimal"/>
      <w:start w:val="4"/>
    </w:lvl>
  </w:abstractNum>
  <w:abstractNum w:abstractNumId="153">
    <w:nsid w:val="7E0F6384"/>
    <w:multiLevelType w:val="hybridMultilevel"/>
    <w:lvl w:ilvl="0">
      <w:lvlJc w:val="left"/>
      <w:lvlText w:val="(%1)"/>
      <w:numFmt w:val="upperLetter"/>
      <w:start w:val="2"/>
    </w:lvl>
  </w:abstractNum>
  <w:abstractNum w:abstractNumId="154">
    <w:nsid w:val="2B4B8B53"/>
    <w:multiLevelType w:val="hybridMultilevel"/>
    <w:lvl w:ilvl="0">
      <w:lvlJc w:val="left"/>
      <w:lvlText w:val="%1."/>
      <w:numFmt w:val="decimal"/>
      <w:start w:val="5"/>
    </w:lvl>
  </w:abstractNum>
  <w:abstractNum w:abstractNumId="155">
    <w:nsid w:val="72E3413A"/>
    <w:multiLevelType w:val="hybridMultilevel"/>
    <w:lvl w:ilvl="0">
      <w:lvlJc w:val="left"/>
      <w:lvlText w:val="%1."/>
      <w:numFmt w:val="decimal"/>
      <w:start w:val="6"/>
    </w:lvl>
  </w:abstractNum>
  <w:abstractNum w:abstractNumId="156">
    <w:nsid w:val="116AE494"/>
    <w:multiLevelType w:val="hybridMultilevel"/>
    <w:lvl w:ilvl="0">
      <w:lvlJc w:val="left"/>
      <w:lvlText w:val="%1."/>
      <w:numFmt w:val="decimal"/>
      <w:start w:val="7"/>
    </w:lvl>
  </w:abstractNum>
  <w:abstractNum w:abstractNumId="157">
    <w:nsid w:val="3494B2FB"/>
    <w:multiLevelType w:val="hybridMultilevel"/>
    <w:lvl w:ilvl="0">
      <w:lvlJc w:val="left"/>
      <w:lvlText w:val="(%1)"/>
      <w:numFmt w:val="decimal"/>
      <w:start w:val="15"/>
    </w:lvl>
  </w:abstractNum>
  <w:abstractNum w:abstractNumId="158">
    <w:nsid w:val="B13A31"/>
    <w:multiLevelType w:val="hybridMultilevel"/>
    <w:lvl w:ilvl="0">
      <w:lvlJc w:val="left"/>
      <w:lvlText w:val="%1."/>
      <w:numFmt w:val="decimal"/>
      <w:start w:val="8"/>
    </w:lvl>
  </w:abstractNum>
  <w:abstractNum w:abstractNumId="159">
    <w:nsid w:val="64429599"/>
    <w:multiLevelType w:val="hybridMultilevel"/>
    <w:lvl w:ilvl="0">
      <w:lvlJc w:val="left"/>
      <w:lvlText w:val="%1."/>
      <w:numFmt w:val="decimal"/>
      <w:start w:val="9"/>
    </w:lvl>
  </w:abstractNum>
  <w:abstractNum w:abstractNumId="160">
    <w:nsid w:val="631F1690"/>
    <w:multiLevelType w:val="hybridMultilevel"/>
    <w:lvl w:ilvl="0">
      <w:lvlJc w:val="left"/>
      <w:lvlText w:val="(%1)"/>
      <w:numFmt w:val="lowerRoman"/>
      <w:start w:val="1"/>
    </w:lvl>
  </w:abstractNum>
  <w:abstractNum w:abstractNumId="161">
    <w:nsid w:val="25973E32"/>
    <w:multiLevelType w:val="hybridMultilevel"/>
    <w:lvl w:ilvl="0">
      <w:lvlJc w:val="left"/>
      <w:lvlText w:val="%1."/>
      <w:numFmt w:val="decimal"/>
      <w:start w:val="1"/>
    </w:lvl>
  </w:abstractNum>
  <w:abstractNum w:abstractNumId="162">
    <w:nsid w:val="EAD6F57"/>
    <w:multiLevelType w:val="hybridMultilevel"/>
    <w:lvl w:ilvl="0">
      <w:lvlJc w:val="left"/>
      <w:lvlText w:val="(%1)"/>
      <w:numFmt w:val="lowerLetter"/>
      <w:start w:val="1"/>
    </w:lvl>
    <w:lvl w:ilvl="1">
      <w:lvlJc w:val="left"/>
      <w:lvlText w:val="(%2)"/>
      <w:numFmt w:val="lowerRoman"/>
      <w:start w:val="1"/>
    </w:lvl>
  </w:abstractNum>
  <w:abstractNum w:abstractNumId="163">
    <w:nsid w:val="6EC9D844"/>
    <w:multiLevelType w:val="hybridMultilevel"/>
    <w:lvl w:ilvl="0">
      <w:lvlJc w:val="left"/>
      <w:lvlText w:val="1"/>
      <w:numFmt w:val="bullet"/>
      <w:start w:val="1"/>
    </w:lvl>
  </w:abstractNum>
  <w:abstractNum w:abstractNumId="164">
    <w:nsid w:val="5C49EAEE"/>
    <w:multiLevelType w:val="hybridMultilevel"/>
    <w:lvl w:ilvl="0">
      <w:lvlJc w:val="left"/>
      <w:lvlText w:val="2"/>
      <w:numFmt w:val="bullet"/>
      <w:start w:val="1"/>
    </w:lvl>
  </w:abstractNum>
  <w:abstractNum w:abstractNumId="165">
    <w:nsid w:val="64AF49B"/>
    <w:multiLevelType w:val="hybridMultilevel"/>
    <w:lvl w:ilvl="0">
      <w:lvlJc w:val="left"/>
      <w:lvlText w:val="3"/>
      <w:numFmt w:val="bullet"/>
      <w:start w:val="1"/>
    </w:lvl>
  </w:abstractNum>
  <w:abstractNum w:abstractNumId="166">
    <w:nsid w:val="397C46BC"/>
    <w:multiLevelType w:val="hybridMultilevel"/>
    <w:lvl w:ilvl="0">
      <w:lvlJc w:val="left"/>
      <w:lvlText w:val="4"/>
      <w:numFmt w:val="bullet"/>
      <w:start w:val="1"/>
    </w:lvl>
  </w:abstractNum>
  <w:abstractNum w:abstractNumId="167">
    <w:nsid w:val="7E448DE9"/>
    <w:multiLevelType w:val="hybridMultilevel"/>
    <w:lvl w:ilvl="0">
      <w:lvlJc w:val="left"/>
      <w:lvlText w:val="(%1)"/>
      <w:numFmt w:val="lowerLetter"/>
      <w:start w:val="1"/>
    </w:lvl>
  </w:abstractNum>
  <w:abstractNum w:abstractNumId="168">
    <w:nsid w:val="5A9CC3E5"/>
    <w:multiLevelType w:val="hybridMultilevel"/>
    <w:lvl w:ilvl="0">
      <w:lvlJc w:val="left"/>
      <w:lvlText w:val="1"/>
      <w:numFmt w:val="bullet"/>
      <w:start w:val="1"/>
    </w:lvl>
  </w:abstractNum>
  <w:abstractNum w:abstractNumId="169">
    <w:nsid w:val="1AFE3625"/>
    <w:multiLevelType w:val="hybridMultilevel"/>
    <w:lvl w:ilvl="0">
      <w:lvlJc w:val="left"/>
      <w:lvlText w:val="2"/>
      <w:numFmt w:val="bullet"/>
      <w:start w:val="1"/>
    </w:lvl>
  </w:abstractNum>
  <w:abstractNum w:abstractNumId="170">
    <w:nsid w:val="3CA88ECF"/>
    <w:multiLevelType w:val="hybridMultilevel"/>
    <w:lvl w:ilvl="0">
      <w:lvlJc w:val="left"/>
      <w:lvlText w:val="3"/>
      <w:numFmt w:val="bullet"/>
      <w:start w:val="1"/>
    </w:lvl>
  </w:abstractNum>
  <w:abstractNum w:abstractNumId="171">
    <w:nsid w:val="6EBE4208"/>
    <w:multiLevelType w:val="hybridMultilevel"/>
    <w:lvl w:ilvl="0">
      <w:lvlJc w:val="left"/>
      <w:lvlText w:val="4"/>
      <w:numFmt w:val="bullet"/>
      <w:start w:val="1"/>
    </w:lvl>
  </w:abstractNum>
  <w:abstractNum w:abstractNumId="172">
    <w:nsid w:val="C058DF5"/>
    <w:multiLevelType w:val="hybridMultilevel"/>
    <w:lvl w:ilvl="0">
      <w:lvlJc w:val="left"/>
      <w:lvlText w:val="5"/>
      <w:numFmt w:val="bullet"/>
      <w:start w:val="1"/>
    </w:lvl>
  </w:abstractNum>
  <w:abstractNum w:abstractNumId="173">
    <w:nsid w:val="CBE5BE9"/>
    <w:multiLevelType w:val="hybridMultilevel"/>
    <w:lvl w:ilvl="0">
      <w:lvlJc w:val="left"/>
      <w:lvlText w:val="6"/>
      <w:numFmt w:val="bullet"/>
      <w:start w:val="1"/>
    </w:lvl>
  </w:abstractNum>
  <w:abstractNum w:abstractNumId="174">
    <w:nsid w:val="3102BBE2"/>
    <w:multiLevelType w:val="hybridMultilevel"/>
    <w:lvl w:ilvl="0">
      <w:lvlJc w:val="left"/>
      <w:lvlText w:val="7"/>
      <w:numFmt w:val="bullet"/>
      <w:start w:val="1"/>
    </w:lvl>
  </w:abstractNum>
  <w:abstractNum w:abstractNumId="175">
    <w:nsid w:val="26A02C5E"/>
    <w:multiLevelType w:val="hybridMultilevel"/>
    <w:lvl w:ilvl="0">
      <w:lvlJc w:val="left"/>
      <w:lvlText w:val="8"/>
      <w:numFmt w:val="bullet"/>
      <w:start w:val="1"/>
    </w:lvl>
  </w:abstractNum>
  <w:abstractNum w:abstractNumId="176">
    <w:nsid w:val="541C8153"/>
    <w:multiLevelType w:val="hybridMultilevel"/>
    <w:lvl w:ilvl="0">
      <w:lvlJc w:val="left"/>
      <w:lvlText w:val="9"/>
      <w:numFmt w:val="bullet"/>
      <w:start w:val="1"/>
    </w:lvl>
  </w:abstractNum>
  <w:abstractNum w:abstractNumId="177">
    <w:nsid w:val="67906F60"/>
    <w:multiLevelType w:val="hybridMultilevel"/>
    <w:lvl w:ilvl="0">
      <w:lvlJc w:val="left"/>
      <w:lvlText w:val="%1"/>
      <w:numFmt w:val="decimal"/>
      <w:start w:val="10"/>
    </w:lvl>
  </w:abstractNum>
  <w:abstractNum w:abstractNumId="178">
    <w:nsid w:val="10DB9DAA"/>
    <w:multiLevelType w:val="hybridMultilevel"/>
    <w:lvl w:ilvl="0">
      <w:lvlJc w:val="left"/>
      <w:lvlText w:val="%1"/>
      <w:numFmt w:val="upperLetter"/>
      <w:start w:val="61"/>
    </w:lvl>
    <w:lvl w:ilvl="1">
      <w:lvlJc w:val="left"/>
      <w:lvlText w:val="%2."/>
      <w:numFmt w:val="decimal"/>
      <w:start w:val="1"/>
    </w:lvl>
  </w:abstractNum>
  <w:abstractNum w:abstractNumId="179">
    <w:nsid w:val="697D2D2"/>
    <w:multiLevelType w:val="hybridMultilevel"/>
    <w:lvl w:ilvl="0">
      <w:lvlJc w:val="left"/>
      <w:lvlText w:val="%1."/>
      <w:numFmt w:val="decimal"/>
      <w:start w:val="4"/>
    </w:lvl>
  </w:abstractNum>
  <w:abstractNum w:abstractNumId="180">
    <w:nsid w:val="6D68AB2"/>
    <w:multiLevelType w:val="hybridMultilevel"/>
    <w:lvl w:ilvl="0">
      <w:lvlJc w:val="left"/>
      <w:lvlText w:val="%1."/>
      <w:numFmt w:val="decimal"/>
      <w:start w:val="7"/>
    </w:lvl>
  </w:abstractNum>
  <w:abstractNum w:abstractNumId="181">
    <w:nsid w:val="3A966CD0"/>
    <w:multiLevelType w:val="hybridMultilevel"/>
    <w:lvl w:ilvl="0">
      <w:lvlJc w:val="left"/>
      <w:lvlText w:val="(%1)"/>
      <w:numFmt w:val="lowerLetter"/>
      <w:start w:val="2"/>
    </w:lvl>
  </w:abstractNum>
  <w:abstractNum w:abstractNumId="182">
    <w:nsid w:val="63F37E85"/>
    <w:multiLevelType w:val="hybridMultilevel"/>
    <w:lvl w:ilvl="0">
      <w:lvlJc w:val="left"/>
      <w:lvlText w:val="%1."/>
      <w:numFmt w:val="decimal"/>
      <w:start w:val="10"/>
    </w:lvl>
  </w:abstractNum>
  <w:abstractNum w:abstractNumId="183">
    <w:nsid w:val="5895F5FA"/>
    <w:multiLevelType w:val="hybridMultilevel"/>
    <w:lvl w:ilvl="0">
      <w:lvlJc w:val="left"/>
      <w:lvlText w:val="%1."/>
      <w:numFmt w:val="decimal"/>
      <w:start w:val="14"/>
    </w:lvl>
  </w:abstractNum>
  <w:abstractNum w:abstractNumId="184">
    <w:nsid w:val="38A5D054"/>
    <w:multiLevelType w:val="hybridMultilevel"/>
    <w:lvl w:ilvl="0">
      <w:lvlJc w:val="left"/>
      <w:lvlText w:val="%1."/>
      <w:numFmt w:val="decimal"/>
      <w:start w:val="19"/>
    </w:lvl>
  </w:abstractNum>
  <w:abstractNum w:abstractNumId="185">
    <w:nsid w:val="F3F09D8"/>
    <w:multiLevelType w:val="hybridMultilevel"/>
    <w:lvl w:ilvl="0">
      <w:lvlJc w:val="left"/>
      <w:lvlText w:val="%1."/>
      <w:numFmt w:val="decimal"/>
      <w:start w:val="1"/>
    </w:lvl>
    <w:lvl w:ilvl="1">
      <w:lvlJc w:val="left"/>
      <w:lvlText w:val="(%2)"/>
      <w:numFmt w:val="lowerLetter"/>
      <w:start w:val="1"/>
    </w:lvl>
  </w:abstractNum>
  <w:abstractNum w:abstractNumId="186">
    <w:nsid w:val="4B793735"/>
    <w:multiLevelType w:val="hybridMultilevel"/>
    <w:lvl w:ilvl="0">
      <w:lvlJc w:val="left"/>
      <w:lvlText w:val="(%1)"/>
      <w:numFmt w:val="lowerLetter"/>
      <w:start w:val="4"/>
    </w:lvl>
  </w:abstractNum>
  <w:abstractNum w:abstractNumId="187">
    <w:nsid w:val="4A10B4E8"/>
    <w:multiLevelType w:val="hybridMultilevel"/>
    <w:lvl w:ilvl="0">
      <w:lvlJc w:val="left"/>
      <w:lvlText w:val="%1"/>
      <w:numFmt w:val="decimal"/>
      <w:start w:val="1"/>
    </w:lvl>
    <w:lvl w:ilvl="1">
      <w:lvlJc w:val="left"/>
      <w:lvlText w:val="(%2)"/>
      <w:numFmt w:val="lowerLetter"/>
      <w:start w:val="12"/>
    </w:lvl>
  </w:abstractNum>
  <w:abstractNum w:abstractNumId="188">
    <w:nsid w:val="43D3BCD4"/>
    <w:multiLevelType w:val="hybridMultilevel"/>
    <w:lvl w:ilvl="0">
      <w:lvlJc w:val="left"/>
      <w:lvlText w:val="%1."/>
      <w:numFmt w:val="decimal"/>
      <w:start w:val="2"/>
    </w:lvl>
    <w:lvl w:ilvl="1">
      <w:lvlJc w:val="left"/>
      <w:lvlText w:val="(%2)"/>
      <w:numFmt w:val="lowerLetter"/>
      <w:start w:val="1"/>
    </w:lvl>
  </w:abstractNum>
  <w:abstractNum w:abstractNumId="189">
    <w:nsid w:val="4C2A7166"/>
    <w:multiLevelType w:val="hybridMultilevel"/>
    <w:lvl w:ilvl="0">
      <w:lvlJc w:val="left"/>
      <w:lvlText w:val="%1"/>
      <w:numFmt w:val="decimal"/>
      <w:start w:val="1"/>
    </w:lvl>
    <w:lvl w:ilvl="1">
      <w:lvlJc w:val="left"/>
      <w:lvlText w:val="(%2)"/>
      <w:numFmt w:val="lowerLetter"/>
      <w:start w:val="7"/>
    </w:lvl>
  </w:abstractNum>
  <w:abstractNum w:abstractNumId="190">
    <w:nsid w:val="2E534A82"/>
    <w:multiLevelType w:val="hybridMultilevel"/>
    <w:lvl w:ilvl="0">
      <w:lvlJc w:val="left"/>
      <w:lvlText w:val="%1."/>
      <w:numFmt w:val="decimal"/>
      <w:start w:val="3"/>
    </w:lvl>
    <w:lvl w:ilvl="1">
      <w:lvlJc w:val="left"/>
      <w:lvlText w:val="(%2)"/>
      <w:numFmt w:val="lowerLetter"/>
      <w:start w:val="1"/>
    </w:lvl>
  </w:abstractNum>
  <w:abstractNum w:abstractNumId="191">
    <w:nsid w:val="26F2D364"/>
    <w:multiLevelType w:val="hybridMultilevel"/>
    <w:lvl w:ilvl="0">
      <w:lvlJc w:val="left"/>
      <w:lvlText w:val="(%1)"/>
      <w:numFmt w:val="lowerLetter"/>
      <w:start w:val="11"/>
    </w:lvl>
  </w:abstractNum>
  <w:abstractNum w:abstractNumId="192">
    <w:nsid w:val="71C1AF98"/>
    <w:multiLevelType w:val="hybridMultilevel"/>
    <w:lvl w:ilvl="0">
      <w:lvlJc w:val="left"/>
      <w:lvlText w:val="%1."/>
      <w:numFmt w:val="decimal"/>
      <w:start w:val="4"/>
    </w:lvl>
    <w:lvl w:ilvl="1">
      <w:lvlJc w:val="left"/>
      <w:lvlText w:val="(%2)"/>
      <w:numFmt w:val="lowerLetter"/>
      <w:start w:val="1"/>
    </w:lvl>
  </w:abstractNum>
  <w:abstractNum w:abstractNumId="193">
    <w:nsid w:val="3D00B9D9"/>
    <w:multiLevelType w:val="hybridMultilevel"/>
    <w:lvl w:ilvl="0">
      <w:lvlJc w:val="left"/>
      <w:lvlText w:val="(%1)"/>
      <w:numFmt w:val="lowerLetter"/>
      <w:start w:val="4"/>
    </w:lvl>
  </w:abstractNum>
  <w:abstractNum w:abstractNumId="194">
    <w:nsid w:val="15BCABA8"/>
    <w:multiLevelType w:val="hybridMultilevel"/>
    <w:lvl w:ilvl="0">
      <w:lvlJc w:val="left"/>
      <w:lvlText w:val="(%1)"/>
      <w:numFmt w:val="lowerLetter"/>
      <w:start w:val="6"/>
    </w:lvl>
  </w:abstractNum>
  <w:abstractNum w:abstractNumId="195">
    <w:nsid w:val="4E0B9A87"/>
    <w:multiLevelType w:val="hybridMultilevel"/>
    <w:lvl w:ilvl="0">
      <w:lvlJc w:val="left"/>
      <w:lvlText w:val="%1:"/>
      <w:numFmt w:val="lowerLetter"/>
      <w:start w:val="29"/>
    </w:lvl>
  </w:abstractNum>
  <w:abstractNum w:abstractNumId="196">
    <w:nsid w:val="434BAE75"/>
    <w:multiLevelType w:val="hybridMultilevel"/>
    <w:lvl w:ilvl="0">
      <w:lvlJc w:val="left"/>
      <w:lvlText w:val="1"/>
      <w:numFmt w:val="bullet"/>
      <w:start w:val="1"/>
    </w:lvl>
  </w:abstractNum>
  <w:abstractNum w:abstractNumId="197">
    <w:nsid w:val="4F38F265"/>
    <w:multiLevelType w:val="hybridMultilevel"/>
    <w:lvl w:ilvl="0">
      <w:lvlJc w:val="left"/>
      <w:lvlText w:val="%1:"/>
      <w:numFmt w:val="lowerLetter"/>
      <w:start w:val="29"/>
    </w:lvl>
  </w:abstractNum>
  <w:abstractNum w:abstractNumId="198">
    <w:nsid w:val="4C502870"/>
    <w:multiLevelType w:val="hybridMultilevel"/>
    <w:lvl w:ilvl="0">
      <w:lvlJc w:val="left"/>
      <w:lvlText w:val="%1."/>
      <w:numFmt w:val="upperLetter"/>
      <w:start w:val="1"/>
    </w:lvl>
  </w:abstractNum>
  <w:abstractNum w:abstractNumId="199">
    <w:nsid w:val="1DE8725A"/>
    <w:multiLevelType w:val="hybridMultilevel"/>
    <w:lvl w:ilvl="0">
      <w:lvlJc w:val="left"/>
      <w:lvlText w:val="(%1)"/>
      <w:numFmt w:val="lowerRoman"/>
      <w:start w:val="1"/>
    </w:lvl>
  </w:abstractNum>
  <w:abstractNum w:abstractNumId="200">
    <w:nsid w:val="6A37288A"/>
    <w:multiLevelType w:val="hybridMultilevel"/>
    <w:lvl w:ilvl="0">
      <w:lvlJc w:val="left"/>
      <w:lvlText w:val="%1."/>
      <w:numFmt w:val="upperLetter"/>
      <w:start w:val="3"/>
    </w:lvl>
  </w:abstractNum>
  <w:abstractNum w:abstractNumId="201">
    <w:nsid w:val="8F8B73F"/>
    <w:multiLevelType w:val="hybridMultilevel"/>
    <w:lvl w:ilvl="0">
      <w:lvlJc w:val="left"/>
      <w:lvlText w:val="(%1)"/>
      <w:numFmt w:val="lowerRoman"/>
      <w:start w:val="1"/>
    </w:lvl>
  </w:abstractNum>
  <w:abstractNum w:abstractNumId="202">
    <w:nsid w:val="CA6B462"/>
    <w:multiLevelType w:val="hybridMultilevel"/>
    <w:lvl w:ilvl="0">
      <w:lvlJc w:val="left"/>
      <w:lvlText w:val="%1."/>
      <w:numFmt w:val="upperLetter"/>
      <w:start w:val="1"/>
    </w:lvl>
  </w:abstractNum>
  <w:abstractNum w:abstractNumId="203">
    <w:nsid w:val="763CB680"/>
    <w:multiLevelType w:val="hybridMultilevel"/>
    <w:lvl w:ilvl="0">
      <w:lvlJc w:val="left"/>
      <w:lvlText w:val="(%1)"/>
      <w:numFmt w:val="lowerRoman"/>
      <w:start w:val="1"/>
    </w:lvl>
  </w:abstractNum>
  <w:abstractNum w:abstractNumId="204">
    <w:nsid w:val="15B71329"/>
    <w:multiLevelType w:val="hybridMultilevel"/>
    <w:lvl w:ilvl="0">
      <w:lvlJc w:val="left"/>
      <w:lvlText w:val="%1."/>
      <w:numFmt w:val="upperLetter"/>
      <w:start w:val="3"/>
    </w:lvl>
  </w:abstractNum>
  <w:abstractNum w:abstractNumId="205">
    <w:nsid w:val="3DA97044"/>
    <w:multiLevelType w:val="hybridMultilevel"/>
    <w:lvl w:ilvl="0">
      <w:lvlJc w:val="left"/>
      <w:lvlText w:val="%1."/>
      <w:numFmt w:val="upperLetter"/>
      <w:start w:val="5"/>
    </w:lvl>
  </w:abstractNum>
  <w:abstractNum w:abstractNumId="206">
    <w:nsid w:val="1CDCE2DE"/>
    <w:multiLevelType w:val="hybridMultilevel"/>
    <w:lvl w:ilvl="0">
      <w:lvlJc w:val="left"/>
      <w:lvlText w:val="%1."/>
      <w:numFmt w:val="upperLetter"/>
      <w:start w:val="1"/>
    </w:lvl>
  </w:abstractNum>
  <w:abstractNum w:abstractNumId="207">
    <w:nsid w:val="69D3947C"/>
    <w:multiLevelType w:val="hybridMultilevel"/>
    <w:lvl w:ilvl="0">
      <w:lvlJc w:val="left"/>
      <w:lvlText w:val="(%1)"/>
      <w:numFmt w:val="lowerRoman"/>
      <w:start w:val="1"/>
    </w:lvl>
  </w:abstractNum>
  <w:abstractNum w:abstractNumId="208">
    <w:nsid w:val="2539DFA5"/>
    <w:multiLevelType w:val="hybridMultilevel"/>
    <w:lvl w:ilvl="0">
      <w:lvlJc w:val="left"/>
      <w:lvlText w:val="%1."/>
      <w:numFmt w:val="upperLetter"/>
      <w:start w:val="3"/>
    </w:lvl>
  </w:abstractNum>
  <w:abstractNum w:abstractNumId="209">
    <w:nsid w:val="2DB88089"/>
    <w:multiLevelType w:val="hybridMultilevel"/>
    <w:lvl w:ilvl="0">
      <w:lvlJc w:val="left"/>
      <w:lvlText w:val="(%1)"/>
      <w:numFmt w:val="lowerRoman"/>
      <w:start w:val="1"/>
    </w:lvl>
  </w:abstractNum>
  <w:abstractNum w:abstractNumId="210">
    <w:nsid w:val="706B674E"/>
    <w:multiLevelType w:val="hybridMultilevel"/>
    <w:lvl w:ilvl="0">
      <w:lvlJc w:val="left"/>
      <w:lvlText w:val="(%1)"/>
      <w:numFmt w:val="lowerRoman"/>
      <w:start w:val="7"/>
    </w:lvl>
  </w:abstractNum>
  <w:abstractNum w:abstractNumId="211">
    <w:nsid w:val="2C106A57"/>
    <w:multiLevelType w:val="hybridMultilevel"/>
    <w:lvl w:ilvl="0">
      <w:lvlJc w:val="left"/>
      <w:lvlText w:val="%1."/>
      <w:numFmt w:val="upperLetter"/>
      <w:start w:val="1"/>
    </w:lvl>
  </w:abstractNum>
  <w:abstractNum w:abstractNumId="212">
    <w:nsid w:val="684EED59"/>
    <w:multiLevelType w:val="hybridMultilevel"/>
    <w:lvl w:ilvl="0">
      <w:lvlJc w:val="left"/>
      <w:lvlText w:val="%1."/>
      <w:numFmt w:val="upperLetter"/>
      <w:start w:val="1"/>
    </w:lvl>
  </w:abstractNum>
  <w:abstractNum w:abstractNumId="213">
    <w:nsid w:val="545EE5D3"/>
    <w:multiLevelType w:val="hybridMultilevel"/>
    <w:lvl w:ilvl="0">
      <w:lvlJc w:val="left"/>
      <w:lvlText w:val="%1."/>
      <w:numFmt w:val="upperLetter"/>
      <w:start w:val="3"/>
    </w:lvl>
  </w:abstractNum>
  <w:abstractNum w:abstractNumId="214">
    <w:nsid w:val="4A66051"/>
    <w:multiLevelType w:val="hybridMultilevel"/>
    <w:lvl w:ilvl="0">
      <w:lvlJc w:val="left"/>
      <w:lvlText w:val="%1."/>
      <w:numFmt w:val="upp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56" Type="http://schemas.openxmlformats.org/officeDocument/2006/relationships/image" Target="media/image237.png"/><Relationship Id="rId257" Type="http://schemas.openxmlformats.org/officeDocument/2006/relationships/image" Target="media/image238.png"/><Relationship Id="rId258" Type="http://schemas.openxmlformats.org/officeDocument/2006/relationships/image" Target="media/image239.png"/><Relationship Id="rId259" Type="http://schemas.openxmlformats.org/officeDocument/2006/relationships/image" Target="media/image240.png"/><Relationship Id="rId260" Type="http://schemas.openxmlformats.org/officeDocument/2006/relationships/image" Target="media/image241.png"/><Relationship Id="rId261" Type="http://schemas.openxmlformats.org/officeDocument/2006/relationships/image" Target="media/image242.png"/><Relationship Id="rId262" Type="http://schemas.openxmlformats.org/officeDocument/2006/relationships/image" Target="media/image243.png"/><Relationship Id="rId263" Type="http://schemas.openxmlformats.org/officeDocument/2006/relationships/image" Target="media/image244.png"/><Relationship Id="rId264" Type="http://schemas.openxmlformats.org/officeDocument/2006/relationships/image" Target="media/image245.png"/><Relationship Id="rId265" Type="http://schemas.openxmlformats.org/officeDocument/2006/relationships/image" Target="media/image246.png"/><Relationship Id="rId266" Type="http://schemas.openxmlformats.org/officeDocument/2006/relationships/image" Target="media/image247.png"/><Relationship Id="rId267" Type="http://schemas.openxmlformats.org/officeDocument/2006/relationships/image" Target="media/image248.png"/><Relationship Id="rId268" Type="http://schemas.openxmlformats.org/officeDocument/2006/relationships/image" Target="media/image249.png"/><Relationship Id="rId269" Type="http://schemas.openxmlformats.org/officeDocument/2006/relationships/image" Target="media/image250.png"/><Relationship Id="rId270" Type="http://schemas.openxmlformats.org/officeDocument/2006/relationships/image" Target="media/image251.png"/><Relationship Id="rId271" Type="http://schemas.openxmlformats.org/officeDocument/2006/relationships/image" Target="media/image252.png"/><Relationship Id="rId272" Type="http://schemas.openxmlformats.org/officeDocument/2006/relationships/image" Target="media/image253.png"/><Relationship Id="rId273" Type="http://schemas.openxmlformats.org/officeDocument/2006/relationships/image" Target="media/image254.png"/><Relationship Id="rId274" Type="http://schemas.openxmlformats.org/officeDocument/2006/relationships/image" Target="media/image255.png"/><Relationship Id="rId275" Type="http://schemas.openxmlformats.org/officeDocument/2006/relationships/image" Target="media/image256.png"/><Relationship Id="rId276" Type="http://schemas.openxmlformats.org/officeDocument/2006/relationships/image" Target="media/image257.png"/><Relationship Id="rId277" Type="http://schemas.openxmlformats.org/officeDocument/2006/relationships/image" Target="media/image258.png"/><Relationship Id="rId278" Type="http://schemas.openxmlformats.org/officeDocument/2006/relationships/image" Target="media/image259.png"/><Relationship Id="rId279" Type="http://schemas.openxmlformats.org/officeDocument/2006/relationships/image" Target="media/image260.png"/><Relationship Id="rId280" Type="http://schemas.openxmlformats.org/officeDocument/2006/relationships/image" Target="media/image261.png"/><Relationship Id="rId281" Type="http://schemas.openxmlformats.org/officeDocument/2006/relationships/image" Target="media/image262.png"/><Relationship Id="rId282" Type="http://schemas.openxmlformats.org/officeDocument/2006/relationships/image" Target="media/image263.png"/><Relationship Id="rId283" Type="http://schemas.openxmlformats.org/officeDocument/2006/relationships/image" Target="media/image264.png"/><Relationship Id="rId284" Type="http://schemas.openxmlformats.org/officeDocument/2006/relationships/image" Target="media/image265.png"/><Relationship Id="rId285" Type="http://schemas.openxmlformats.org/officeDocument/2006/relationships/image" Target="media/image266.png"/><Relationship Id="rId286" Type="http://schemas.openxmlformats.org/officeDocument/2006/relationships/image" Target="media/image267.png"/><Relationship Id="rId287" Type="http://schemas.openxmlformats.org/officeDocument/2006/relationships/image" Target="media/image268.png"/><Relationship Id="rId288" Type="http://schemas.openxmlformats.org/officeDocument/2006/relationships/image" Target="media/image269.png"/><Relationship Id="rId289" Type="http://schemas.openxmlformats.org/officeDocument/2006/relationships/image" Target="media/image270.png"/><Relationship Id="rId290" Type="http://schemas.openxmlformats.org/officeDocument/2006/relationships/image" Target="media/image271.png"/><Relationship Id="rId291" Type="http://schemas.openxmlformats.org/officeDocument/2006/relationships/image" Target="media/image272.png"/><Relationship Id="rId292" Type="http://schemas.openxmlformats.org/officeDocument/2006/relationships/image" Target="media/image273.png"/><Relationship Id="rId293" Type="http://schemas.openxmlformats.org/officeDocument/2006/relationships/image" Target="media/image274.png"/><Relationship Id="rId294" Type="http://schemas.openxmlformats.org/officeDocument/2006/relationships/image" Target="media/image275.png"/><Relationship Id="rId295" Type="http://schemas.openxmlformats.org/officeDocument/2006/relationships/image" Target="media/image276.png"/><Relationship Id="rId296" Type="http://schemas.openxmlformats.org/officeDocument/2006/relationships/image" Target="media/image277.png"/><Relationship Id="rId297" Type="http://schemas.openxmlformats.org/officeDocument/2006/relationships/image" Target="media/image278.png"/><Relationship Id="rId298" Type="http://schemas.openxmlformats.org/officeDocument/2006/relationships/image" Target="media/image279.png"/><Relationship Id="rId299" Type="http://schemas.openxmlformats.org/officeDocument/2006/relationships/image" Target="media/image280.png"/><Relationship Id="rId300" Type="http://schemas.openxmlformats.org/officeDocument/2006/relationships/image" Target="media/image281.png"/><Relationship Id="rId301" Type="http://schemas.openxmlformats.org/officeDocument/2006/relationships/image" Target="media/image282.png"/><Relationship Id="rId302" Type="http://schemas.openxmlformats.org/officeDocument/2006/relationships/image" Target="media/image283.png"/><Relationship Id="rId303" Type="http://schemas.openxmlformats.org/officeDocument/2006/relationships/image" Target="media/image284.png"/><Relationship Id="rId304" Type="http://schemas.openxmlformats.org/officeDocument/2006/relationships/image" Target="media/image285.png"/><Relationship Id="rId305" Type="http://schemas.openxmlformats.org/officeDocument/2006/relationships/image" Target="media/image286.png"/><Relationship Id="rId306" Type="http://schemas.openxmlformats.org/officeDocument/2006/relationships/image" Target="media/image287.png"/><Relationship Id="rId307" Type="http://schemas.openxmlformats.org/officeDocument/2006/relationships/image" Target="media/image288.png"/><Relationship Id="rId308" Type="http://schemas.openxmlformats.org/officeDocument/2006/relationships/image" Target="media/image289.png"/><Relationship Id="rId309" Type="http://schemas.openxmlformats.org/officeDocument/2006/relationships/image" Target="media/image290.png"/><Relationship Id="rId310" Type="http://schemas.openxmlformats.org/officeDocument/2006/relationships/image" Target="media/image291.png"/><Relationship Id="rId311" Type="http://schemas.openxmlformats.org/officeDocument/2006/relationships/image" Target="media/image292.png"/><Relationship Id="rId312" Type="http://schemas.openxmlformats.org/officeDocument/2006/relationships/image" Target="media/image293.png"/><Relationship Id="rId313" Type="http://schemas.openxmlformats.org/officeDocument/2006/relationships/image" Target="media/image294.png"/><Relationship Id="rId314" Type="http://schemas.openxmlformats.org/officeDocument/2006/relationships/image" Target="media/image295.png"/><Relationship Id="rId315" Type="http://schemas.openxmlformats.org/officeDocument/2006/relationships/image" Target="media/image296.png"/><Relationship Id="rId316" Type="http://schemas.openxmlformats.org/officeDocument/2006/relationships/image" Target="media/image297.png"/><Relationship Id="rId317" Type="http://schemas.openxmlformats.org/officeDocument/2006/relationships/image" Target="media/image298.png"/><Relationship Id="rId318" Type="http://schemas.openxmlformats.org/officeDocument/2006/relationships/image" Target="media/image299.png"/><Relationship Id="rId319" Type="http://schemas.openxmlformats.org/officeDocument/2006/relationships/image" Target="media/image300.png"/><Relationship Id="rId320" Type="http://schemas.openxmlformats.org/officeDocument/2006/relationships/image" Target="media/image301.png"/><Relationship Id="rId321" Type="http://schemas.openxmlformats.org/officeDocument/2006/relationships/image" Target="media/image302.png"/><Relationship Id="rId322" Type="http://schemas.openxmlformats.org/officeDocument/2006/relationships/image" Target="media/image303.png"/><Relationship Id="rId323" Type="http://schemas.openxmlformats.org/officeDocument/2006/relationships/image" Target="media/image304.png"/><Relationship Id="rId324" Type="http://schemas.openxmlformats.org/officeDocument/2006/relationships/image" Target="media/image305.png"/><Relationship Id="rId325" Type="http://schemas.openxmlformats.org/officeDocument/2006/relationships/image" Target="media/image306.png"/><Relationship Id="rId326" Type="http://schemas.openxmlformats.org/officeDocument/2006/relationships/image" Target="media/image307.png"/><Relationship Id="rId327" Type="http://schemas.openxmlformats.org/officeDocument/2006/relationships/image" Target="media/image308.png"/><Relationship Id="rId328" Type="http://schemas.openxmlformats.org/officeDocument/2006/relationships/image" Target="media/image309.png"/><Relationship Id="rId329" Type="http://schemas.openxmlformats.org/officeDocument/2006/relationships/image" Target="media/image310.png"/><Relationship Id="rId330" Type="http://schemas.openxmlformats.org/officeDocument/2006/relationships/image" Target="media/image311.png"/><Relationship Id="rId331" Type="http://schemas.openxmlformats.org/officeDocument/2006/relationships/image" Target="media/image312.png"/><Relationship Id="rId332" Type="http://schemas.openxmlformats.org/officeDocument/2006/relationships/image" Target="media/image313.png"/><Relationship Id="rId333" Type="http://schemas.openxmlformats.org/officeDocument/2006/relationships/image" Target="media/image314.png"/><Relationship Id="rId334" Type="http://schemas.openxmlformats.org/officeDocument/2006/relationships/image" Target="media/image315.png"/><Relationship Id="rId335" Type="http://schemas.openxmlformats.org/officeDocument/2006/relationships/image" Target="media/image316.png"/><Relationship Id="rId336" Type="http://schemas.openxmlformats.org/officeDocument/2006/relationships/image" Target="media/image317.png"/><Relationship Id="rId337" Type="http://schemas.openxmlformats.org/officeDocument/2006/relationships/image" Target="media/image318.png"/><Relationship Id="rId338" Type="http://schemas.openxmlformats.org/officeDocument/2006/relationships/image" Target="media/image319.png"/><Relationship Id="rId339" Type="http://schemas.openxmlformats.org/officeDocument/2006/relationships/image" Target="media/image320.png"/><Relationship Id="rId340" Type="http://schemas.openxmlformats.org/officeDocument/2006/relationships/image" Target="media/image321.png"/><Relationship Id="rId341" Type="http://schemas.openxmlformats.org/officeDocument/2006/relationships/image" Target="media/image322.png"/><Relationship Id="rId342" Type="http://schemas.openxmlformats.org/officeDocument/2006/relationships/image" Target="media/image323.png"/><Relationship Id="rId343" Type="http://schemas.openxmlformats.org/officeDocument/2006/relationships/image" Target="media/image324.png"/><Relationship Id="rId344" Type="http://schemas.openxmlformats.org/officeDocument/2006/relationships/image" Target="media/image325.png"/><Relationship Id="rId345" Type="http://schemas.openxmlformats.org/officeDocument/2006/relationships/image" Target="media/image326.jpeg"/><Relationship Id="rId346" Type="http://schemas.openxmlformats.org/officeDocument/2006/relationships/image" Target="media/image327.png"/><Relationship Id="rId347" Type="http://schemas.openxmlformats.org/officeDocument/2006/relationships/image" Target="media/image328.png"/><Relationship Id="rId348" Type="http://schemas.openxmlformats.org/officeDocument/2006/relationships/image" Target="media/image329.png"/><Relationship Id="rId349" Type="http://schemas.openxmlformats.org/officeDocument/2006/relationships/image" Target="media/image330.jpeg"/><Relationship Id="rId350" Type="http://schemas.openxmlformats.org/officeDocument/2006/relationships/image" Target="media/image331.png"/><Relationship Id="rId351" Type="http://schemas.openxmlformats.org/officeDocument/2006/relationships/image" Target="media/image332.jpeg"/><Relationship Id="rId352" Type="http://schemas.openxmlformats.org/officeDocument/2006/relationships/image" Target="media/image333.png"/><Relationship Id="rId353" Type="http://schemas.openxmlformats.org/officeDocument/2006/relationships/image" Target="media/image334.png"/><Relationship Id="rId354" Type="http://schemas.openxmlformats.org/officeDocument/2006/relationships/image" Target="media/image335.png"/><Relationship Id="rId355" Type="http://schemas.openxmlformats.org/officeDocument/2006/relationships/image" Target="media/image336.png"/><Relationship Id="rId356" Type="http://schemas.openxmlformats.org/officeDocument/2006/relationships/image" Target="media/image337.png"/><Relationship Id="rId357" Type="http://schemas.openxmlformats.org/officeDocument/2006/relationships/image" Target="media/image338.png"/><Relationship Id="rId358" Type="http://schemas.openxmlformats.org/officeDocument/2006/relationships/image" Target="media/image339.png"/><Relationship Id="rId359" Type="http://schemas.openxmlformats.org/officeDocument/2006/relationships/image" Target="media/image340.png"/><Relationship Id="rId360" Type="http://schemas.openxmlformats.org/officeDocument/2006/relationships/image" Target="media/image341.png"/><Relationship Id="rId361" Type="http://schemas.openxmlformats.org/officeDocument/2006/relationships/image" Target="media/image342.png"/><Relationship Id="rId362" Type="http://schemas.openxmlformats.org/officeDocument/2006/relationships/image" Target="media/image343.png"/><Relationship Id="rId363" Type="http://schemas.openxmlformats.org/officeDocument/2006/relationships/image" Target="media/image344.png"/><Relationship Id="rId364" Type="http://schemas.openxmlformats.org/officeDocument/2006/relationships/image" Target="media/image345.png"/><Relationship Id="rId365" Type="http://schemas.openxmlformats.org/officeDocument/2006/relationships/image" Target="media/image346.png"/><Relationship Id="rId366" Type="http://schemas.openxmlformats.org/officeDocument/2006/relationships/image" Target="media/image347.png"/><Relationship Id="rId367" Type="http://schemas.openxmlformats.org/officeDocument/2006/relationships/image" Target="media/image348.png"/><Relationship Id="rId368" Type="http://schemas.openxmlformats.org/officeDocument/2006/relationships/image" Target="media/image349.png"/><Relationship Id="rId369" Type="http://schemas.openxmlformats.org/officeDocument/2006/relationships/image" Target="media/image350.png"/><Relationship Id="rId370" Type="http://schemas.openxmlformats.org/officeDocument/2006/relationships/image" Target="media/image351.png"/><Relationship Id="rId371" Type="http://schemas.openxmlformats.org/officeDocument/2006/relationships/image" Target="media/image352.png"/><Relationship Id="rId372" Type="http://schemas.openxmlformats.org/officeDocument/2006/relationships/image" Target="media/image353.png"/><Relationship Id="rId373" Type="http://schemas.openxmlformats.org/officeDocument/2006/relationships/image" Target="media/image354.png"/><Relationship Id="rId374" Type="http://schemas.openxmlformats.org/officeDocument/2006/relationships/image" Target="media/image355.png"/><Relationship Id="rId375" Type="http://schemas.openxmlformats.org/officeDocument/2006/relationships/image" Target="media/image356.png"/><Relationship Id="rId376" Type="http://schemas.openxmlformats.org/officeDocument/2006/relationships/image" Target="media/image357.png"/><Relationship Id="rId377" Type="http://schemas.openxmlformats.org/officeDocument/2006/relationships/image" Target="media/image358.png"/><Relationship Id="rId378" Type="http://schemas.openxmlformats.org/officeDocument/2006/relationships/image" Target="media/image359.png"/><Relationship Id="rId379" Type="http://schemas.openxmlformats.org/officeDocument/2006/relationships/image" Target="media/image360.png"/><Relationship Id="rId380" Type="http://schemas.openxmlformats.org/officeDocument/2006/relationships/image" Target="media/image361.png"/><Relationship Id="rId381" Type="http://schemas.openxmlformats.org/officeDocument/2006/relationships/image" Target="media/image362.png"/><Relationship Id="rId382" Type="http://schemas.openxmlformats.org/officeDocument/2006/relationships/image" Target="media/image363.png"/><Relationship Id="rId383" Type="http://schemas.openxmlformats.org/officeDocument/2006/relationships/image" Target="media/image364.png"/><Relationship Id="rId384" Type="http://schemas.openxmlformats.org/officeDocument/2006/relationships/image" Target="media/image365.png"/><Relationship Id="rId385" Type="http://schemas.openxmlformats.org/officeDocument/2006/relationships/image" Target="media/image366.png"/><Relationship Id="rId386" Type="http://schemas.openxmlformats.org/officeDocument/2006/relationships/image" Target="media/image367.png"/><Relationship Id="rId387" Type="http://schemas.openxmlformats.org/officeDocument/2006/relationships/image" Target="media/image368.png"/><Relationship Id="rId388" Type="http://schemas.openxmlformats.org/officeDocument/2006/relationships/image" Target="media/image369.png"/><Relationship Id="rId389" Type="http://schemas.openxmlformats.org/officeDocument/2006/relationships/image" Target="media/image370.png"/><Relationship Id="rId390" Type="http://schemas.openxmlformats.org/officeDocument/2006/relationships/image" Target="media/image371.png"/><Relationship Id="rId391" Type="http://schemas.openxmlformats.org/officeDocument/2006/relationships/image" Target="media/image372.png"/><Relationship Id="rId392" Type="http://schemas.openxmlformats.org/officeDocument/2006/relationships/image" Target="media/image373.png"/><Relationship Id="rId393" Type="http://schemas.openxmlformats.org/officeDocument/2006/relationships/image" Target="media/image374.png"/><Relationship Id="rId394" Type="http://schemas.openxmlformats.org/officeDocument/2006/relationships/image" Target="media/image375.png"/><Relationship Id="rId395" Type="http://schemas.openxmlformats.org/officeDocument/2006/relationships/image" Target="media/image376.png"/><Relationship Id="rId396" Type="http://schemas.openxmlformats.org/officeDocument/2006/relationships/image" Target="media/image377.png"/><Relationship Id="rId397" Type="http://schemas.openxmlformats.org/officeDocument/2006/relationships/image" Target="media/image378.png"/><Relationship Id="rId398" Type="http://schemas.openxmlformats.org/officeDocument/2006/relationships/image" Target="media/image379.png"/><Relationship Id="rId399" Type="http://schemas.openxmlformats.org/officeDocument/2006/relationships/image" Target="media/image380.png"/><Relationship Id="rId400" Type="http://schemas.openxmlformats.org/officeDocument/2006/relationships/image" Target="media/image381.png"/><Relationship Id="rId401" Type="http://schemas.openxmlformats.org/officeDocument/2006/relationships/image" Target="media/image382.png"/><Relationship Id="rId402" Type="http://schemas.openxmlformats.org/officeDocument/2006/relationships/image" Target="media/image383.png"/><Relationship Id="rId403" Type="http://schemas.openxmlformats.org/officeDocument/2006/relationships/image" Target="media/image384.png"/><Relationship Id="rId404" Type="http://schemas.openxmlformats.org/officeDocument/2006/relationships/image" Target="media/image385.png"/><Relationship Id="rId405" Type="http://schemas.openxmlformats.org/officeDocument/2006/relationships/image" Target="media/image386.png"/><Relationship Id="rId406" Type="http://schemas.openxmlformats.org/officeDocument/2006/relationships/image" Target="media/image387.png"/><Relationship Id="rId244" Type="http://schemas.openxmlformats.org/officeDocument/2006/relationships/hyperlink" Target="https://www.sec.gov/Archives/edgar/data/1838987/000095010321002063/dp145539_ex0301.htm" TargetMode="External"/><Relationship Id="rId245" Type="http://schemas.openxmlformats.org/officeDocument/2006/relationships/hyperlink" Target="https://www.sec.gov/Archives/edgar/data/1838987/000095010321002063/dp145539_ex0302.htm" TargetMode="External"/><Relationship Id="rId246" Type="http://schemas.openxmlformats.org/officeDocument/2006/relationships/hyperlink" Target="https://www.sec.gov/Archives/edgar/data/1838987/000095010321002063/dp145539_ex0402.htm" TargetMode="External"/><Relationship Id="rId247" Type="http://schemas.openxmlformats.org/officeDocument/2006/relationships/hyperlink" Target="https://www.sec.gov/Archives/edgar/data/1838987/000095010321002063/dp145539_ex0403.htm" TargetMode="External"/><Relationship Id="rId248" Type="http://schemas.openxmlformats.org/officeDocument/2006/relationships/hyperlink" Target="https://www.sec.gov/Archives/edgar/data/1838987/000095010321002063/dp145539_ex1003.htm" TargetMode="External"/><Relationship Id="rId249" Type="http://schemas.openxmlformats.org/officeDocument/2006/relationships/hyperlink" Target="https://www.sec.gov/Archives/edgar/data/1838987/000095010321002063/dp145539_ex1005.htm" TargetMode="External"/><Relationship Id="rId250" Type="http://schemas.openxmlformats.org/officeDocument/2006/relationships/hyperlink" Target="https://www.sec.gov/Archives/edgar/data/1838987/000095010321002063/dp145539_ex1006.htm" TargetMode="External"/><Relationship Id="rId251" Type="http://schemas.openxmlformats.org/officeDocument/2006/relationships/hyperlink" Target="https://www.sec.gov/Archives/edgar/data/1838987/000095010321002063/dp145539_ex1007.htm" TargetMode="External"/><Relationship Id="rId252" Type="http://schemas.openxmlformats.org/officeDocument/2006/relationships/hyperlink" Target="https://www.sec.gov/Archives/edgar/data/1838987/000095010321002063/dp145539_ex1008.htm" TargetMode="External"/><Relationship Id="rId253" Type="http://schemas.openxmlformats.org/officeDocument/2006/relationships/hyperlink" Target="https://www.sec.gov/Archives/edgar/data/1838987/000095010321002063/dp145539_ex1401.htm" TargetMode="External"/><Relationship Id="rId254" Type="http://schemas.openxmlformats.org/officeDocument/2006/relationships/hyperlink" Target="https://www.sec.gov/Archives/edgar/data/1838987/000095010321002063/dp145539_s1.htm#poa" TargetMode="External"/><Relationship Id="rId255" Type="http://schemas.openxmlformats.org/officeDocument/2006/relationships/hyperlink" Target="https://www.sec.gov/Archives/edgar/data/1838987/000095010321002063/dp145539_ex99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2021-02-18T15:54:30Z</dcterms:created>
  <dcterms:modified xsi:type="dcterms:W3CDTF">2021-02-18T15:54:30Z</dcterms:modified>
</cp:coreProperties>
</file>