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Janetschek William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Freedom Acquisition I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FACT.U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14 WALL STREET, 20TH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10005</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r>
              <w:rPr>
                <w:rFonts w:ascii="Arial" w:cs="Arial" w:eastAsia="Arial" w:hAnsi="Arial"/>
                <w:sz w:val="25"/>
                <w:szCs w:val="25"/>
                <w:color w:val="008000"/>
                <w:vertAlign w:val="superscript"/>
              </w:rPr>
              <w:t>(1)</w:t>
            </w:r>
          </w:p>
        </w:tc>
        <w:tc>
          <w:tcPr>
            <w:tcW w:w="980" w:type="dxa"/>
            <w:vAlign w:val="bottom"/>
            <w:vMerge w:val="restart"/>
          </w:tcPr>
          <w:p>
            <w:pPr>
              <w:ind w:left="360"/>
              <w:spacing w:after="0"/>
              <w:rPr>
                <w:sz w:val="20"/>
                <w:szCs w:val="20"/>
                <w:color w:val="auto"/>
              </w:rPr>
            </w:pPr>
            <w:r>
              <w:rPr>
                <w:rFonts w:ascii="Arial" w:cs="Arial" w:eastAsia="Arial" w:hAnsi="Arial"/>
                <w:sz w:val="13"/>
                <w:szCs w:val="13"/>
                <w:color w:val="008000"/>
              </w:rPr>
              <w:t>(1)(2)</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(1)(2)</w:t>
            </w:r>
          </w:p>
        </w:tc>
        <w:tc>
          <w:tcPr>
            <w:tcW w:w="1700" w:type="dxa"/>
            <w:vAlign w:val="bottom"/>
          </w:tcPr>
          <w:p>
            <w:pPr>
              <w:ind w:left="220"/>
              <w:spacing w:after="0"/>
              <w:rPr>
                <w:sz w:val="20"/>
                <w:szCs w:val="20"/>
                <w:color w:val="auto"/>
              </w:rPr>
            </w:pPr>
            <w:r>
              <w:rPr>
                <w:rFonts w:ascii="Arial" w:cs="Arial" w:eastAsia="Arial" w:hAnsi="Arial"/>
                <w:sz w:val="20"/>
                <w:szCs w:val="20"/>
                <w:color w:val="0000FF"/>
                <w:w w:val="99"/>
              </w:rPr>
              <w:t>Class A ordinary</w:t>
            </w:r>
          </w:p>
        </w:tc>
        <w:tc>
          <w:tcPr>
            <w:tcW w:w="1060" w:type="dxa"/>
            <w:vAlign w:val="bottom"/>
            <w:vMerge w:val="restart"/>
          </w:tcPr>
          <w:p>
            <w:pPr>
              <w:ind w:left="140"/>
              <w:spacing w:after="0"/>
              <w:rPr>
                <w:sz w:val="20"/>
                <w:szCs w:val="20"/>
                <w:color w:val="auto"/>
              </w:rPr>
            </w:pPr>
            <w:r>
              <w:rPr>
                <w:rFonts w:ascii="Arial" w:cs="Arial" w:eastAsia="Arial" w:hAnsi="Arial"/>
                <w:sz w:val="20"/>
                <w:szCs w:val="20"/>
                <w:color w:val="0000FF"/>
                <w:w w:val="88"/>
              </w:rPr>
              <w:t>25,000</w:t>
            </w:r>
            <w:r>
              <w:rPr>
                <w:rFonts w:ascii="Arial" w:cs="Arial" w:eastAsia="Arial" w:hAnsi="Arial"/>
                <w:sz w:val="25"/>
                <w:szCs w:val="25"/>
                <w:color w:val="008000"/>
                <w:w w:val="88"/>
                <w:vertAlign w:val="superscript"/>
              </w:rPr>
              <w:t>(1)(2)</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(1)(2)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00" w:type="dxa"/>
            <w:vAlign w:val="bottom"/>
            <w:vMerge w:val="restart"/>
          </w:tcPr>
          <w:p>
            <w:pPr>
              <w:ind w:left="560"/>
              <w:spacing w:after="0"/>
              <w:rPr>
                <w:sz w:val="20"/>
                <w:szCs w:val="20"/>
                <w:color w:val="auto"/>
              </w:rPr>
            </w:pPr>
            <w:r>
              <w:rPr>
                <w:rFonts w:ascii="Arial" w:cs="Arial" w:eastAsia="Arial" w:hAnsi="Arial"/>
                <w:sz w:val="20"/>
                <w:szCs w:val="20"/>
                <w:color w:val="0000FF"/>
              </w:rPr>
              <w:t>shares</w:t>
            </w:r>
            <w:r>
              <w:rPr>
                <w:rFonts w:ascii="Arial" w:cs="Arial" w:eastAsia="Arial" w:hAnsi="Arial"/>
                <w:sz w:val="25"/>
                <w:szCs w:val="25"/>
                <w:color w:val="008000"/>
                <w:vertAlign w:val="superscript"/>
              </w:rPr>
              <w:t>(1)</w:t>
            </w:r>
          </w:p>
        </w:tc>
        <w:tc>
          <w:tcPr>
            <w:tcW w:w="10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4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holds 25,000 Class B ordinary shares of the issuer. The Class B Shares will automatically convert into Class A ordinary shares concurrently with or immediately following the consummation of the issuer's initial business combination on a one-for-one basis, subject to adjustment for share sub-divisions, share capitalizations, reorganizations, recapitalizations and the like, as described in the section entitled "Description of Securities" in the issuer's registration statement on Form S-1 (File No. 333-252940) filed with the Securities and Exchange Commission on February 10, 2021, as amended. The Class B ordinary shares have no expiration date.</w:t>
      </w:r>
    </w:p>
    <w:p>
      <w:pPr>
        <w:spacing w:after="0" w:line="22" w:lineRule="exact"/>
        <w:rPr>
          <w:rFonts w:ascii="Arial" w:cs="Arial" w:eastAsia="Arial" w:hAnsi="Arial"/>
          <w:sz w:val="14"/>
          <w:szCs w:val="14"/>
          <w:color w:val="008000"/>
        </w:rPr>
      </w:pPr>
    </w:p>
    <w:p>
      <w:pPr>
        <w:ind w:left="40" w:right="360" w:firstLine="5"/>
        <w:spacing w:after="0" w:line="269"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Class B ordinary shares held by the reporting person are subject to forfeiture if the reporting person is removed as a director, or voluntarily resigns the reporting person's position with the issuer before a merger, share exchange, asset acquisition, share purchase, reorganization or similar business combination involving the issuer.</w:t>
      </w:r>
    </w:p>
    <w:p>
      <w:pPr>
        <w:ind w:left="6580"/>
        <w:spacing w:after="0" w:line="183" w:lineRule="auto"/>
        <w:rPr>
          <w:sz w:val="20"/>
          <w:szCs w:val="20"/>
          <w:color w:val="auto"/>
        </w:rPr>
      </w:pPr>
      <w:r>
        <w:rPr>
          <w:rFonts w:ascii="Arial" w:cs="Arial" w:eastAsia="Arial" w:hAnsi="Arial"/>
          <w:sz w:val="18"/>
          <w:szCs w:val="18"/>
          <w:color w:val="0000FF"/>
        </w:rPr>
        <w:t xml:space="preserve">/s/ Adam Gishen, attorney- </w:t>
      </w:r>
      <w:r>
        <w:rPr>
          <w:rFonts w:ascii="Arial" w:cs="Arial" w:eastAsia="Arial" w:hAnsi="Arial"/>
          <w:sz w:val="36"/>
          <w:szCs w:val="36"/>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417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232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4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ADAM GISHEN as the undersigned’s true and lawful attorney-in-fact to:</w:t>
      </w:r>
    </w:p>
    <w:p>
      <w:pPr>
        <w:spacing w:after="0" w:line="189" w:lineRule="exact"/>
        <w:rPr>
          <w:sz w:val="20"/>
          <w:szCs w:val="20"/>
          <w:color w:val="auto"/>
        </w:rPr>
      </w:pPr>
    </w:p>
    <w:p>
      <w:pPr>
        <w:ind w:left="720" w:hanging="540"/>
        <w:spacing w:after="0" w:line="259"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of Freedom Acquisition I Corp. (the “</w:t>
      </w:r>
      <w:r>
        <w:rPr>
          <w:rFonts w:ascii="Arial" w:cs="Arial" w:eastAsia="Arial" w:hAnsi="Arial"/>
          <w:sz w:val="20"/>
          <w:szCs w:val="20"/>
          <w:b w:val="1"/>
          <w:bCs w:val="1"/>
          <w:color w:val="auto"/>
        </w:rPr>
        <w:t>Company</w:t>
      </w:r>
      <w:r>
        <w:rPr>
          <w:rFonts w:ascii="Arial" w:cs="Arial" w:eastAsia="Arial" w:hAnsi="Arial"/>
          <w:sz w:val="20"/>
          <w:szCs w:val="20"/>
          <w:color w:val="auto"/>
        </w:rPr>
        <w:t>”),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Forms 3, 4 and 5, including any amendments thereto, in accordance with Section 16(a) of the Exchange Act;</w:t>
      </w:r>
    </w:p>
    <w:p>
      <w:pPr>
        <w:spacing w:after="0" w:line="207" w:lineRule="exact"/>
        <w:rPr>
          <w:rFonts w:ascii="Arial" w:cs="Arial" w:eastAsia="Arial" w:hAnsi="Arial"/>
          <w:sz w:val="20"/>
          <w:szCs w:val="20"/>
          <w:color w:val="auto"/>
        </w:rPr>
      </w:pPr>
    </w:p>
    <w:p>
      <w:pPr>
        <w:ind w:left="720" w:right="160" w:hanging="540"/>
        <w:spacing w:after="0" w:line="332"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49" w:lineRule="exact"/>
        <w:rPr>
          <w:rFonts w:ascii="Arial" w:cs="Arial" w:eastAsia="Arial" w:hAnsi="Arial"/>
          <w:sz w:val="17"/>
          <w:szCs w:val="17"/>
          <w:color w:val="auto"/>
        </w:rPr>
      </w:pPr>
    </w:p>
    <w:p>
      <w:pPr>
        <w:ind w:left="720" w:right="120" w:hanging="540"/>
        <w:spacing w:after="0" w:line="277"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his discretion.</w:t>
      </w:r>
    </w:p>
    <w:p>
      <w:pPr>
        <w:spacing w:after="0" w:line="19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substitute or substitutes of the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February, 2021.</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William Janetschek</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Print Name: William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320675</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80"/>
      </w:cols>
      <w:pgMar w:left="600" w:top="35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433005" TargetMode="External"/><Relationship Id="rId11" Type="http://schemas.openxmlformats.org/officeDocument/2006/relationships/hyperlink" Target="http://www.sec.gov/cgi-bin/browse-edgar?action=getcompany&amp;CIK=0001838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2021-02-25T17:01:40Z</dcterms:created>
  <dcterms:modified xsi:type="dcterms:W3CDTF">2021-02-25T17:01:40Z</dcterms:modified>
</cp:coreProperties>
</file>