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April 21, 2026</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SunPower Inc.</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6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001-40117</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93-2279786</w:t>
            </w:r>
          </w:p>
        </w:tc>
      </w:tr>
      <w:tr>
        <w:trPr>
          <w:trHeight w:val="175"/>
        </w:trPr>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2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gridSpan w:val="3"/>
          </w:tcPr>
          <w:p>
            <w:pPr>
              <w:jc w:val="center"/>
              <w:ind w:right="540"/>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438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86"/>
        </w:trPr>
        <w:tc>
          <w:tcPr>
            <w:tcW w:w="4380" w:type="dxa"/>
            <w:vAlign w:val="bottom"/>
            <w:tcBorders>
              <w:bottom w:val="single" w:sz="8" w:color="auto"/>
            </w:tcBorders>
            <w:gridSpan w:val="3"/>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w w:val="98"/>
              </w:rPr>
              <w:t>1403 N. Research Way, Orem, UT</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84097</w:t>
            </w:r>
          </w:p>
        </w:tc>
      </w:tr>
      <w:tr>
        <w:trPr>
          <w:trHeight w:val="208"/>
        </w:trPr>
        <w:tc>
          <w:tcPr>
            <w:tcW w:w="4380" w:type="dxa"/>
            <w:vAlign w:val="bottom"/>
            <w:gridSpan w:val="3"/>
          </w:tcPr>
          <w:p>
            <w:pPr>
              <w:jc w:val="center"/>
              <w:ind w:left="106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Registrant’s telephone number, including area code: (</w:t>
      </w:r>
      <w:r>
        <w:rPr>
          <w:rFonts w:ascii="Times New Roman" w:cs="Times New Roman" w:eastAsia="Times New Roman" w:hAnsi="Times New Roman"/>
          <w:sz w:val="16"/>
          <w:szCs w:val="16"/>
          <w:b w:val="1"/>
          <w:bCs w:val="1"/>
          <w:color w:val="auto"/>
        </w:rPr>
        <w:t>877) 299-4943</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obligations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7" w:lineRule="auto"/>
        <w:tabs>
          <w:tab w:leader="none" w:pos="2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SPWR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Global Market</w:t>
            </w: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73"/>
        </w:trPr>
        <w:tc>
          <w:tcPr>
            <w:tcW w:w="3840" w:type="dxa"/>
            <w:vAlign w:val="bottom"/>
            <w:gridSpan w:val="2"/>
            <w:shd w:val="clear" w:color="auto" w:fill="CCEEFF"/>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Warrants, each whole warrant exercisable for one</w:t>
            </w:r>
          </w:p>
        </w:tc>
        <w:tc>
          <w:tcPr>
            <w:tcW w:w="3820" w:type="dxa"/>
            <w:vAlign w:val="bottom"/>
            <w:gridSpan w:val="2"/>
            <w:shd w:val="clear" w:color="auto" w:fill="CCEEFF"/>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9"/>
              </w:rPr>
              <w:t>SPWRW</w:t>
            </w:r>
          </w:p>
        </w:tc>
        <w:tc>
          <w:tcPr>
            <w:tcW w:w="3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The Nasdaq Capital Market</w:t>
            </w:r>
          </w:p>
        </w:tc>
      </w:tr>
      <w:tr>
        <w:trPr>
          <w:trHeight w:val="191"/>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 of Common Stock at an exercise price of</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r>
      <w:tr>
        <w:trPr>
          <w:trHeight w:val="210"/>
        </w:trPr>
        <w:tc>
          <w:tcPr>
            <w:tcW w:w="3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$11.50 per share</w:t>
            </w: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75"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 Purchase Agreements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April 21, 2026, SunPower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entered into note purchase agreements (the “</w:t>
      </w:r>
      <w:r>
        <w:rPr>
          <w:rFonts w:ascii="Times New Roman" w:cs="Times New Roman" w:eastAsia="Times New Roman" w:hAnsi="Times New Roman"/>
          <w:sz w:val="16"/>
          <w:szCs w:val="16"/>
          <w:b w:val="1"/>
          <w:bCs w:val="1"/>
          <w:i w:val="1"/>
          <w:iCs w:val="1"/>
          <w:color w:val="auto"/>
        </w:rPr>
        <w:t>Note Purchase Agreements</w:t>
      </w:r>
      <w:r>
        <w:rPr>
          <w:rFonts w:ascii="Times New Roman" w:cs="Times New Roman" w:eastAsia="Times New Roman" w:hAnsi="Times New Roman"/>
          <w:sz w:val="16"/>
          <w:szCs w:val="16"/>
          <w:color w:val="auto"/>
        </w:rPr>
        <w:t>”) relating to the private offering (the “</w:t>
      </w:r>
      <w:r>
        <w:rPr>
          <w:rFonts w:ascii="Times New Roman" w:cs="Times New Roman" w:eastAsia="Times New Roman" w:hAnsi="Times New Roman"/>
          <w:sz w:val="16"/>
          <w:szCs w:val="16"/>
          <w:b w:val="1"/>
          <w:bCs w:val="1"/>
          <w:i w:val="1"/>
          <w:iCs w:val="1"/>
          <w:color w:val="auto"/>
        </w:rPr>
        <w:t>Offering</w:t>
      </w:r>
      <w:r>
        <w:rPr>
          <w:rFonts w:ascii="Times New Roman" w:cs="Times New Roman" w:eastAsia="Times New Roman" w:hAnsi="Times New Roman"/>
          <w:sz w:val="16"/>
          <w:szCs w:val="16"/>
          <w:color w:val="auto"/>
        </w:rPr>
        <w:t>”) of $41,000,000 aggregate principal amount of the Company’s 10.00% Convertible Senior Secured Notes due 2029 (the “</w:t>
      </w:r>
      <w:r>
        <w:rPr>
          <w:rFonts w:ascii="Times New Roman" w:cs="Times New Roman" w:eastAsia="Times New Roman" w:hAnsi="Times New Roman"/>
          <w:sz w:val="16"/>
          <w:szCs w:val="16"/>
          <w:b w:val="1"/>
          <w:bCs w:val="1"/>
          <w:i w:val="1"/>
          <w:iCs w:val="1"/>
          <w:color w:val="auto"/>
        </w:rPr>
        <w:t>Notes</w:t>
      </w:r>
      <w:r>
        <w:rPr>
          <w:rFonts w:ascii="Times New Roman" w:cs="Times New Roman" w:eastAsia="Times New Roman" w:hAnsi="Times New Roman"/>
          <w:sz w:val="16"/>
          <w:szCs w:val="16"/>
          <w:color w:val="auto"/>
        </w:rPr>
        <w:t>”), including: (i) $25,000,000 aggregate principal amount of Notes issuable to qualified institutional buyers; (ii) $6,000,000 principal amount of Notes issuable to an entity affiliated with Thurman John “T.J.” Rodgers, the Company’s Chief Executive Officer and Chairman pursuant to a Note Purchase Agreement executed between the Company and such affiliated entity (the “</w:t>
      </w:r>
      <w:r>
        <w:rPr>
          <w:rFonts w:ascii="Times New Roman" w:cs="Times New Roman" w:eastAsia="Times New Roman" w:hAnsi="Times New Roman"/>
          <w:sz w:val="16"/>
          <w:szCs w:val="16"/>
          <w:b w:val="1"/>
          <w:bCs w:val="1"/>
          <w:i w:val="1"/>
          <w:iCs w:val="1"/>
          <w:color w:val="auto"/>
        </w:rPr>
        <w:t>Affiliate 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Purchase Agreement</w:t>
      </w:r>
      <w:r>
        <w:rPr>
          <w:rFonts w:ascii="Times New Roman" w:cs="Times New Roman" w:eastAsia="Times New Roman" w:hAnsi="Times New Roman"/>
          <w:sz w:val="16"/>
          <w:szCs w:val="16"/>
          <w:color w:val="auto"/>
        </w:rPr>
        <w:t>”) and in consideration for $6,000,000 previously funded to the Company pursuant to simple agreements for future equity; and (iii) $10,000,000 aggregate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principal amount of Notes issuable in connection with the exchange of the promissory note originally issued by the Company to Chicken Parm Pizza LLC (“</w:t>
      </w:r>
      <w:r>
        <w:rPr>
          <w:rFonts w:ascii="Times New Roman" w:cs="Times New Roman" w:eastAsia="Times New Roman" w:hAnsi="Times New Roman"/>
          <w:sz w:val="16"/>
          <w:szCs w:val="16"/>
          <w:b w:val="1"/>
          <w:bCs w:val="1"/>
          <w:i w:val="1"/>
          <w:iCs w:val="1"/>
          <w:color w:val="auto"/>
        </w:rPr>
        <w:t>CPP</w:t>
      </w:r>
      <w:r>
        <w:rPr>
          <w:rFonts w:ascii="Times New Roman" w:cs="Times New Roman" w:eastAsia="Times New Roman" w:hAnsi="Times New Roman"/>
          <w:sz w:val="16"/>
          <w:szCs w:val="16"/>
          <w:color w:val="auto"/>
        </w:rPr>
        <w:t>”) on September 24, 2025 in connection with the Company’s acquisition of Sunder Energy (the “</w:t>
      </w:r>
      <w:r>
        <w:rPr>
          <w:rFonts w:ascii="Times New Roman" w:cs="Times New Roman" w:eastAsia="Times New Roman" w:hAnsi="Times New Roman"/>
          <w:sz w:val="16"/>
          <w:szCs w:val="16"/>
          <w:b w:val="1"/>
          <w:bCs w:val="1"/>
          <w:i w:val="1"/>
          <w:iCs w:val="1"/>
          <w:color w:val="auto"/>
        </w:rPr>
        <w:t>Seller Note</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proceeds of the Offering will be used to: (i) prepay $5,000,000 principal amount of the convertible debenture previously issued by the Company to YA II PN, LTD (“</w:t>
      </w:r>
      <w:r>
        <w:rPr>
          <w:rFonts w:ascii="Times New Roman" w:cs="Times New Roman" w:eastAsia="Times New Roman" w:hAnsi="Times New Roman"/>
          <w:sz w:val="16"/>
          <w:szCs w:val="16"/>
          <w:b w:val="1"/>
          <w:bCs w:val="1"/>
          <w:i w:val="1"/>
          <w:iCs w:val="1"/>
          <w:color w:val="auto"/>
        </w:rPr>
        <w:t>YA</w:t>
      </w:r>
      <w:r>
        <w:rPr>
          <w:rFonts w:ascii="Times New Roman" w:cs="Times New Roman" w:eastAsia="Times New Roman" w:hAnsi="Times New Roman"/>
          <w:sz w:val="16"/>
          <w:szCs w:val="16"/>
          <w:color w:val="auto"/>
        </w:rPr>
        <w:t>”) on March 6, 2026 (the “</w:t>
      </w:r>
      <w:r>
        <w:rPr>
          <w:rFonts w:ascii="Times New Roman" w:cs="Times New Roman" w:eastAsia="Times New Roman" w:hAnsi="Times New Roman"/>
          <w:sz w:val="16"/>
          <w:szCs w:val="16"/>
          <w:b w:val="1"/>
          <w:bCs w:val="1"/>
          <w:i w:val="1"/>
          <w:iCs w:val="1"/>
          <w:color w:val="auto"/>
        </w:rPr>
        <w:t>YA Debenture</w:t>
      </w:r>
      <w:r>
        <w:rPr>
          <w:rFonts w:ascii="Times New Roman" w:cs="Times New Roman" w:eastAsia="Times New Roman" w:hAnsi="Times New Roman"/>
          <w:sz w:val="16"/>
          <w:szCs w:val="16"/>
          <w:color w:val="auto"/>
        </w:rPr>
        <w:t>”); (ii) pay $4,750,000 pursuant to the Company’s settlement agreement with Siemens (as amended, the “</w:t>
      </w:r>
      <w:r>
        <w:rPr>
          <w:rFonts w:ascii="Times New Roman" w:cs="Times New Roman" w:eastAsia="Times New Roman" w:hAnsi="Times New Roman"/>
          <w:sz w:val="16"/>
          <w:szCs w:val="16"/>
          <w:b w:val="1"/>
          <w:bCs w:val="1"/>
          <w:i w:val="1"/>
          <w:iCs w:val="1"/>
          <w:color w:val="auto"/>
        </w:rPr>
        <w:t>Siemens Settlement</w:t>
      </w:r>
      <w:r>
        <w:rPr>
          <w:rFonts w:ascii="Times New Roman" w:cs="Times New Roman" w:eastAsia="Times New Roman" w:hAnsi="Times New Roman"/>
          <w:sz w:val="16"/>
          <w:szCs w:val="16"/>
          <w:color w:val="auto"/>
        </w:rPr>
        <w:t>”); (iii) pay $4,000,000 to CPP in connection with the transactions under the CPP Note Purchase Agreement (as defined below); and (iv) pay approximately $1,500,000 of fees and expenses incurred in connection with the Offering. The net proceeds of the Offering, after making the foregoing payments, are expected to be approximately $9,750,000. The Company intends to use the net proceeds of the Offering for working capital and general corporate purposes, including the payoff of the remaining outstanding balance of the YA Debenture.</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Also on April 21, 2026, the Company entered into a Note Purchase Agreement with CPP (the “</w:t>
      </w:r>
      <w:r>
        <w:rPr>
          <w:rFonts w:ascii="Times New Roman" w:cs="Times New Roman" w:eastAsia="Times New Roman" w:hAnsi="Times New Roman"/>
          <w:sz w:val="16"/>
          <w:szCs w:val="16"/>
          <w:b w:val="1"/>
          <w:bCs w:val="1"/>
          <w:i w:val="1"/>
          <w:iCs w:val="1"/>
          <w:color w:val="auto"/>
        </w:rPr>
        <w:t>CPP Note Purchase Agreement</w:t>
      </w:r>
      <w:r>
        <w:rPr>
          <w:rFonts w:ascii="Times New Roman" w:cs="Times New Roman" w:eastAsia="Times New Roman" w:hAnsi="Times New Roman"/>
          <w:sz w:val="16"/>
          <w:szCs w:val="16"/>
          <w:color w:val="auto"/>
        </w:rPr>
        <w:t>”) that provides for the following in exchange for the outstanding Seller Note (in addition to the issuance of $10,000,000 principal amount of Notes to CPP as summarized above): (i) the Company’s payment of $4,000,000 in cash to CPP at the closing under the CPP Note Purchase Agreement and (ii) the amendment and restatement of the outstanding Seller Note as further summarized below (the “</w:t>
      </w:r>
      <w:r>
        <w:rPr>
          <w:rFonts w:ascii="Times New Roman" w:cs="Times New Roman" w:eastAsia="Times New Roman" w:hAnsi="Times New Roman"/>
          <w:sz w:val="16"/>
          <w:szCs w:val="16"/>
          <w:b w:val="1"/>
          <w:bCs w:val="1"/>
          <w:i w:val="1"/>
          <w:iCs w:val="1"/>
          <w:color w:val="auto"/>
        </w:rPr>
        <w:t>A&amp;R Seller Note</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 Purchase Agreements otherwise contain representations and warranties, covenants and other terms customary for an Offering of this type.</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foregoing summaries of the Note Purchase Agreements are qualified in their entirety by reference to the copy of the form of Note Purchase Agreement, the Affiliate Note Purchase Agreement and the CPP Note Purchase Agreement attached as Exhibit 10.1, Exhibit 10.2 and Exhibit 10.3, respectively, to this Current Report on Form 8-K, and such Exhibit 10.1, Exhibit 10.2 and Exhibit 10.3 are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10% Convertible Senior Secured Notes due 2029 and Indenture</w:t>
      </w:r>
    </w:p>
    <w:p>
      <w:pPr>
        <w:spacing w:after="0" w:line="19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will issue the Notes in the Offering pursuant to the terms and conditions of an Indenture (the “</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 among the Company, the guarantor named therein, and U.S. Bank Trust Company, National Association, as trustee (in such capacity,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and as collateral agent (in such capacity, the “</w:t>
      </w:r>
      <w:r>
        <w:rPr>
          <w:rFonts w:ascii="Times New Roman" w:cs="Times New Roman" w:eastAsia="Times New Roman" w:hAnsi="Times New Roman"/>
          <w:sz w:val="16"/>
          <w:szCs w:val="16"/>
          <w:b w:val="1"/>
          <w:bCs w:val="1"/>
          <w:i w:val="1"/>
          <w:iCs w:val="1"/>
          <w:color w:val="auto"/>
        </w:rPr>
        <w:t>Collateral Agent</w:t>
      </w:r>
      <w:r>
        <w:rPr>
          <w:rFonts w:ascii="Times New Roman" w:cs="Times New Roman" w:eastAsia="Times New Roman" w:hAnsi="Times New Roman"/>
          <w:sz w:val="16"/>
          <w:szCs w:val="16"/>
          <w:color w:val="auto"/>
        </w:rPr>
        <w:t>”). The Indenture will be executed in connection with the closing of the transactions under the Note Purchase Agreements. The following is a brief description of the terms of the Indenture and the Notes to be issued pursuant to the Indenture.</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Notes are senior, secured obligations of the Company and will mature on May 1, 2029, unless earlier converted, redeemed, or repurchased. Interest on the Notes will accrue at a rate of 10.00% per year from the first issuance date of the Notes and will be payable quarterly in arrears on April 1, July 1, October 1, and January 1 of each year, beginning on July 1, 2026. Holders of the Notes may convert all or any portion of their Notes at any time, in integral multiples of $1,000 principal amount, for shares of common stock, $0.0001 par value per share, of the Company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at the option of the holder.</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conversion rate for the Notes will initially be 610.3143 shares of Common Stock per $1,000 principal amount of Notes, which is equivalent to an initial conversion price of approximately $1.64 per share of Common Stock. The initial conversion price of the Notes represents a premium of approximately 45% above the last reported sale price of the Common Stock on The Nasdaq Global Select Market on April 21, 2026. The conversion rate for the Notes is subject to adjustment from time to time in accordance with the terms of the Indenture. In addition, following certain corporate events that occur prior to the maturity date of the Notes, the Company will, under certain circumstances, increase the conversion rate of the Notes for a holder who elects to convert its Notes in connection with such a corporate event, subject to a maximum conversion rate of 884.9557 shares of Common Stock per $1,000 principal amount of Notes. The Notes are not redeemable by the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2" w:name="page3"/>
    <w:bookmarkEnd w:id="2"/>
    <w:p>
      <w:pPr>
        <w:jc w:val="both"/>
        <w:spacing w:after="0" w:line="265" w:lineRule="auto"/>
        <w:rPr>
          <w:sz w:val="20"/>
          <w:szCs w:val="20"/>
          <w:color w:val="auto"/>
        </w:rPr>
      </w:pPr>
      <w:r>
        <w:rPr>
          <w:rFonts w:ascii="Times New Roman" w:cs="Times New Roman" w:eastAsia="Times New Roman" w:hAnsi="Times New Roman"/>
          <w:sz w:val="16"/>
          <w:szCs w:val="16"/>
          <w:color w:val="auto"/>
        </w:rPr>
        <w:t>If the Company undergoes a Fundamental Change (as defined in the Indenture), then, subject to certain conditions and except as described in the Indenture, holders of the Notes may require the Company to repurchase for cash all or any portion of their Notes at a fundamental change repurchase price equal to 100% of the principal amount of the Notes to be repurchased, plus accrued and unpaid interest, if any, to, but excluding, the fundamental change repurchase date.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Pursuant to the Indenture, the Company may not effect any conversion that will result in any holder thereof, together with certain persons specified in the Indenture, beneficially owning more than 9.99% of the Common Stock outstanding (the “</w:t>
      </w:r>
      <w:r>
        <w:rPr>
          <w:rFonts w:ascii="Times New Roman" w:cs="Times New Roman" w:eastAsia="Times New Roman" w:hAnsi="Times New Roman"/>
          <w:sz w:val="16"/>
          <w:szCs w:val="16"/>
          <w:b w:val="1"/>
          <w:bCs w:val="1"/>
          <w:i w:val="1"/>
          <w:iCs w:val="1"/>
          <w:color w:val="auto"/>
        </w:rPr>
        <w:t>Exchange Cap</w:t>
      </w:r>
      <w:r>
        <w:rPr>
          <w:rFonts w:ascii="Times New Roman" w:cs="Times New Roman" w:eastAsia="Times New Roman" w:hAnsi="Times New Roman"/>
          <w:sz w:val="16"/>
          <w:szCs w:val="16"/>
          <w:color w:val="auto"/>
        </w:rPr>
        <w:t>”), after giving effect to such conversion.</w:t>
      </w:r>
    </w:p>
    <w:p>
      <w:pPr>
        <w:spacing w:after="0" w:line="14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Notes will be fully and unconditionally guaranteed by Complete Solar, Inc., a Delaware corporation and a wholly owned subsidiary of the Company (the “</w:t>
      </w:r>
      <w:r>
        <w:rPr>
          <w:rFonts w:ascii="Times New Roman" w:cs="Times New Roman" w:eastAsia="Times New Roman" w:hAnsi="Times New Roman"/>
          <w:sz w:val="16"/>
          <w:szCs w:val="16"/>
          <w:b w:val="1"/>
          <w:bCs w:val="1"/>
          <w:i w:val="1"/>
          <w:iCs w:val="1"/>
          <w:color w:val="auto"/>
        </w:rPr>
        <w:t>Guarantor</w:t>
      </w:r>
      <w:r>
        <w:rPr>
          <w:rFonts w:ascii="Times New Roman" w:cs="Times New Roman" w:eastAsia="Times New Roman" w:hAnsi="Times New Roman"/>
          <w:sz w:val="16"/>
          <w:szCs w:val="16"/>
          <w:color w:val="auto"/>
        </w:rPr>
        <w:t>”), subject to the terms of the Indenture. The Notes and related guarantees will be secured by first-priority liens on substantially all of the assets of the Company and the Guarantor, subject to certain exceptions.</w:t>
      </w:r>
    </w:p>
    <w:p>
      <w:pPr>
        <w:spacing w:after="0" w:line="1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Indenture contains customary terms and conditions as well as various affirmative and negative covenants that, among other things, and in each case subject to certain exceptions, restrict the ability of the Company and its subsidiaries to incur additional indebtedness, pay dividends, repurchase stock, prepay junior or unsecured indebtedness or make certain investments. In addition, the Indenture contains limitations on the Company’s and its subsidiaries’ ability to dispose of certain assets, and, in certain circumstances, requires the Company to make an offer to repurchase the Notes using proceeds from certain asset sales at a price of par plus accrued and unpaid interest.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Indenture includes customary covenants and sets forth certain events of default after which the Notes may be declared immediately due and payable and sets forth certain types of bankruptcy or insolvency events of default involving the Company after which the Notes become automatically due and payable, which include the following:</w:t>
      </w:r>
    </w:p>
    <w:p>
      <w:pPr>
        <w:spacing w:after="0" w:line="144" w:lineRule="exact"/>
        <w:rPr>
          <w:sz w:val="20"/>
          <w:szCs w:val="20"/>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payment defaults on the Notes (which, in the case of a default in the payment of interest on the Notes, will be subject to a 30-day cure period);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 to convert the Notes in accordance with the Indenture upon exercise of a holder’s conversion right;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failure to send certain notices under the Indenture within specified periods of time;</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by the Company in its other obligations or agreements under the Indenture or the Notes if such default is not cured or waived within 60 days after notice is given in accordance with the Indenture;</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defaults by the Company or any of its significant subsidiaries with respect to (y) the liens securing the Company’s payment obligations under Siemens Settlement, or (z) indebtedness for borrowed money of at least $10.0 million;</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events of bankruptcy, insolvency or reorganization of the Company or any of the Company’s significant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3" w:name="page4"/>
    <w:bookmarkEnd w:id="3"/>
    <w:p>
      <w:pPr>
        <w:jc w:val="both"/>
        <w:ind w:left="560" w:right="20" w:hanging="278"/>
        <w:spacing w:after="0" w:line="26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155"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interest and liens purported to be created by any collateral document, including the Security Agreement (as defined below), shall cease to be in full force and effect or shall cease to give the Collateral Agent, for the benefit of the Secured Parties, the liens, rights, powers and privileges purported to be created and granted under such collateral documents, subject to certain exceptions; and</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guarantee with respect to the Notes ceases to be in full force and effect or the Company or any Guarantor denies or disaffirms its obligations under the Indenture or any guarantee with respect to the Notes.</w:t>
      </w:r>
    </w:p>
    <w:p>
      <w:pPr>
        <w:spacing w:after="0" w:line="14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If certain bankruptcy and insolvency-related events of default occur with respect to the Company, the principal of, and accrued and unpaid interest, if any, on, all of the Notes then outstanding shall automatically become due and payable. If an event of default with respect to the Notes,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special interest, if any,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Notes.</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among other conditions: (i) the resulting, surviving or transferee person (if not the Company) is a “qualified successor entity” (as defined in the Indenture) organized and existing under the laws of the United States of America, any State thereof or the District of Columbia, and such corporation (if not the Company) expressly assumes by supplemental indenture all of the Company’s obligations under the Notes and the Indenture; (ii) the property and assets of the person which is merged or consolidated with or into the successor entity, as applicable, are treated as after-acquired property, to the extent required under the Indenture, and the successor entity takes all reasonably necessary action to make such property and assets subject to the lien securing the Notes; and (iii) immediately after giving effect to such transaction, no default or event of default has occurred and is continuing under the Indenture.</w:t>
      </w:r>
    </w:p>
    <w:p>
      <w:pPr>
        <w:spacing w:after="0" w:line="16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foregoing summary of the Indenture and the Notes is qualified in its entirety by reference to the copy of the form of Indenture and the form of Note attached as Exhibit 4.1 and Exhibit 4.2, respectively, to this Current Report on Form 8-K, and such Exhibit 4.1 and Exhibit 4.2 are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Pledge and Security Agreement</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In connection with the issuance of the Notes under the Indenture, the Company, the Guarantor and the Collateral Agent will enter into a Pledge and Security Agreement (the “</w:t>
      </w:r>
      <w:r>
        <w:rPr>
          <w:rFonts w:ascii="Times New Roman" w:cs="Times New Roman" w:eastAsia="Times New Roman" w:hAnsi="Times New Roman"/>
          <w:sz w:val="16"/>
          <w:szCs w:val="16"/>
          <w:b w:val="1"/>
          <w:bCs w:val="1"/>
          <w:i w:val="1"/>
          <w:iCs w:val="1"/>
          <w:color w:val="auto"/>
        </w:rPr>
        <w:t>Security Agreement</w:t>
      </w:r>
      <w:r>
        <w:rPr>
          <w:rFonts w:ascii="Times New Roman" w:cs="Times New Roman" w:eastAsia="Times New Roman" w:hAnsi="Times New Roman"/>
          <w:sz w:val="16"/>
          <w:szCs w:val="16"/>
          <w:color w:val="auto"/>
        </w:rPr>
        <w:t>”). Pursuant to the Security Agreement, the Notes will be secured by a first-priority security interest in substantially all of the assets of the Company and any Guarantor, subject to certain exceptions and permitted liens, including the liens granted pursuant to the Siemens Settlement.</w:t>
      </w:r>
    </w:p>
    <w:p>
      <w:pPr>
        <w:spacing w:after="0" w:line="1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description of the Security Agreement is qualified in its entirety by reference to the copy of the form of Security Agreement, attached as Exhibit 10.4 to this Current Report on Form 8-K, and such Exhibit 10.4 is incorporated herein by reference.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A&amp;R Seller Note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Pursuant to the CPP Note Purchase Agreement, CPP and the Company agreed to amend and restate the Seller Note as provided in the A&amp;R Seller Note. The A&amp;R Seller Note will be issued at the closing of the transactions under the CPP Note Purchase Agreement. The A&amp;R Seller Note will have a revised principal amount of $7,000,000 and will bear interest at 7.0% per annum, compounded quarterly; provided, however, the interest rate will increase to 10.0% per annum on May 15, 2026. The outstanding principal and accrued interest under the A&amp;R Seller Note will be paid in four payments in October 15, 2026, November 15, 2026, December 15, 2026 and January 15, 2027, as set forth in the repayment schedule attached to the A&amp;R Seller Note. The A&amp;R Seller Note will mature on the earlier of January 31, 2027 and the date on which all amounts under the A&amp;R Seller Note otherwise become due and payable; provided, however, if certain restrictive provisions under the YA Debenture (the “</w:t>
      </w:r>
      <w:r>
        <w:rPr>
          <w:rFonts w:ascii="Times New Roman" w:cs="Times New Roman" w:eastAsia="Times New Roman" w:hAnsi="Times New Roman"/>
          <w:sz w:val="16"/>
          <w:szCs w:val="16"/>
          <w:b w:val="1"/>
          <w:bCs w:val="1"/>
          <w:i w:val="1"/>
          <w:iCs w:val="1"/>
          <w:color w:val="auto"/>
        </w:rPr>
        <w:t>Restrictive Provisions</w:t>
      </w:r>
      <w:r>
        <w:rPr>
          <w:rFonts w:ascii="Times New Roman" w:cs="Times New Roman" w:eastAsia="Times New Roman" w:hAnsi="Times New Roman"/>
          <w:sz w:val="16"/>
          <w:szCs w:val="16"/>
          <w:color w:val="auto"/>
        </w:rPr>
        <w:t>”) prohibit the Company from making payments on the A&amp;R Seller Note, then the maturity date will be the earlier of (i) the date that is two business days after the date on which the Restrictive Provisions no longer apply and (ii) January 31, 2027. The A&amp;R Seller Note is an unsecured obligation of the Company.</w:t>
      </w:r>
    </w:p>
    <w:p>
      <w:pPr>
        <w:spacing w:after="0" w:line="16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A&amp;R Seller Note must also be repaid in the event of a change of control of the Company or the sale of all or substantially all of the consolidated assets of the Company and its subsidiaries. The A&amp;R Seller Note includes customary events of default, including: (i) the Company’s failure to pay the A&amp;R Seller Note when due; (ii) the Company’s voluntary or involuntary bankruptcy; (iii) the Company’s liquidation or dissolution; (iv) a change of control of the Company; (v) the Company’s material breach of the covenants applicable to the Company under the A&amp;R Seller Note, subject to applicable cure periods; and (vi) if any of the Company’s representations or warranties made in the A&amp;R Seller Note were untrue in any material respect when made.</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foregoing summary of the A&amp;R Seller Note is qualified in its entirety by reference to the form of A&amp;R Seller Note attached as Exhibit 4.3 to this Current Report on Form 8-K, and such Exhibit 4.3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YA Letter</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April 21, 2026, in connection with the Offering, the Company and YA entered into a letter agreement (the “</w:t>
      </w:r>
      <w:r>
        <w:rPr>
          <w:rFonts w:ascii="Times New Roman" w:cs="Times New Roman" w:eastAsia="Times New Roman" w:hAnsi="Times New Roman"/>
          <w:sz w:val="16"/>
          <w:szCs w:val="16"/>
          <w:b w:val="1"/>
          <w:bCs w:val="1"/>
          <w:i w:val="1"/>
          <w:iCs w:val="1"/>
          <w:color w:val="auto"/>
        </w:rPr>
        <w:t>YA Letter</w:t>
      </w:r>
      <w:r>
        <w:rPr>
          <w:rFonts w:ascii="Times New Roman" w:cs="Times New Roman" w:eastAsia="Times New Roman" w:hAnsi="Times New Roman"/>
          <w:sz w:val="16"/>
          <w:szCs w:val="16"/>
          <w:color w:val="auto"/>
        </w:rPr>
        <w:t>”). Pursuant to the YA Letter, the Company agreed to voluntary prepay $5,000,000 of the outstanding principal amount of YA Debenture,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YA further consented to the issuance of the Notes and the grant of the liens pursuant to the Security Agreement.</w:t>
      </w:r>
    </w:p>
    <w:p>
      <w:pPr>
        <w:spacing w:after="0" w:line="16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foregoing summary of the YA Letter is qualified in its entirety by reference to the YA Letter attached as Exhibit 10.5 to this Current Report on Form 8-K, and such Exhibit 10.5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Exchange Agreements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April 21, 2026, the Company entered into separately- and privately- negotiated exchange agreements (the “</w:t>
      </w:r>
      <w:r>
        <w:rPr>
          <w:rFonts w:ascii="Times New Roman" w:cs="Times New Roman" w:eastAsia="Times New Roman" w:hAnsi="Times New Roman"/>
          <w:sz w:val="16"/>
          <w:szCs w:val="16"/>
          <w:b w:val="1"/>
          <w:bCs w:val="1"/>
          <w:i w:val="1"/>
          <w:iCs w:val="1"/>
          <w:color w:val="auto"/>
        </w:rPr>
        <w:t>Exchange Agreements</w:t>
      </w:r>
      <w:r>
        <w:rPr>
          <w:rFonts w:ascii="Times New Roman" w:cs="Times New Roman" w:eastAsia="Times New Roman" w:hAnsi="Times New Roman"/>
          <w:sz w:val="16"/>
          <w:szCs w:val="16"/>
          <w:color w:val="auto"/>
        </w:rPr>
        <w:t>”) with certain holders of its 7.0% Convertible Senior Notes due 2029 (the “</w:t>
      </w:r>
      <w:r>
        <w:rPr>
          <w:rFonts w:ascii="Times New Roman" w:cs="Times New Roman" w:eastAsia="Times New Roman" w:hAnsi="Times New Roman"/>
          <w:sz w:val="16"/>
          <w:szCs w:val="16"/>
          <w:b w:val="1"/>
          <w:bCs w:val="1"/>
          <w:i w:val="1"/>
          <w:iCs w:val="1"/>
          <w:color w:val="auto"/>
        </w:rPr>
        <w:t>7.0% Notes</w:t>
      </w:r>
      <w:r>
        <w:rPr>
          <w:rFonts w:ascii="Times New Roman" w:cs="Times New Roman" w:eastAsia="Times New Roman" w:hAnsi="Times New Roman"/>
          <w:sz w:val="16"/>
          <w:szCs w:val="16"/>
          <w:color w:val="auto"/>
        </w:rPr>
        <w:t>”) to repurchase $21,250,000 aggregate principal amount of outstanding 7.0% Notes in exchange for (i) an aggregate of 18,805,310 shares of Common Stock and (ii) approximately $456,438 of accrued interest payable under the exchanged 7.0% Notes (collectively, the “</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The Exchange Transactions are expected to close concurrently with the closing of the Offering.</w:t>
      </w:r>
    </w:p>
    <w:p>
      <w:pPr>
        <w:spacing w:after="0" w:line="1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foregoing summary of the Exchange Agreements is qualified in its entirety by reference to the copy of the form of Exchange Agreement attached as Exhibit 10.6 to this Current Report on Form 8-K, and such Exhibit 10.6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2.03 Creation of a Direct Financial Obligation or an Obligation under an Off-Balance Sheet Arrangement of a Registrant.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under Item 1.01 of this Current Report on Form 8-K is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under Item 1.01 of this Current Report on Form 8-K is incorporated herein by reference.</w:t>
      </w:r>
    </w:p>
    <w:p>
      <w:pPr>
        <w:spacing w:after="0" w:line="19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Company will issue the Notes, the A&amp;R Seller Note and the shares of Common Stock issuable pursuant to the Exchange Transactions (the “</w:t>
      </w:r>
      <w:r>
        <w:rPr>
          <w:rFonts w:ascii="Times New Roman" w:cs="Times New Roman" w:eastAsia="Times New Roman" w:hAnsi="Times New Roman"/>
          <w:sz w:val="16"/>
          <w:szCs w:val="16"/>
          <w:b w:val="1"/>
          <w:bCs w:val="1"/>
          <w:i w:val="1"/>
          <w:iCs w:val="1"/>
          <w:color w:val="auto"/>
        </w:rPr>
        <w:t>Exchange Shares</w:t>
      </w:r>
      <w:r>
        <w:rPr>
          <w:rFonts w:ascii="Times New Roman" w:cs="Times New Roman" w:eastAsia="Times New Roman" w:hAnsi="Times New Roman"/>
          <w:sz w:val="16"/>
          <w:szCs w:val="16"/>
          <w:color w:val="auto"/>
        </w:rPr>
        <w:t>”) in reliance upon the exemption from registration provided by Section 4(a)(2) of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14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Notes and the shares of Common Stock issuable upon conversion of the Notes, if any, the A&amp;R Seller Note and the Exchange Shares have not been registered under the Securities Act and may not be offered or sold in the United States absent registration or an applicable exemption from registration requirements.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36,283,184 shares of the Common Stock may be issued upon conversion of the Notes based on the initial maximum conversion rate of 884.9557 shares of Common Stock per $1,000 principal amount of Notes, which is subject to customary anti-dilution adjustment provisions.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Offering Press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April 22, 2026, the Company issued a press release announcing the Offering. A copy of the press release is furnished as Exhibit 99.1 to this Current Report on Form 8-K.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Certain Financial Information</w:t>
      </w:r>
    </w:p>
    <w:p>
      <w:pPr>
        <w:spacing w:after="0" w:line="19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In connection with the Offering, the Company provided potential investors with certain supplemental financial information relating to the Company (the “</w:t>
      </w:r>
      <w:r>
        <w:rPr>
          <w:rFonts w:ascii="Times New Roman" w:cs="Times New Roman" w:eastAsia="Times New Roman" w:hAnsi="Times New Roman"/>
          <w:sz w:val="16"/>
          <w:szCs w:val="16"/>
          <w:b w:val="1"/>
          <w:bCs w:val="1"/>
          <w:i w:val="1"/>
          <w:iCs w:val="1"/>
          <w:color w:val="auto"/>
        </w:rPr>
        <w:t>Supplemental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Financial Information</w:t>
      </w:r>
      <w:r>
        <w:rPr>
          <w:rFonts w:ascii="Times New Roman" w:cs="Times New Roman" w:eastAsia="Times New Roman" w:hAnsi="Times New Roman"/>
          <w:sz w:val="16"/>
          <w:szCs w:val="16"/>
          <w:color w:val="auto"/>
        </w:rPr>
        <w:t>”), which is furnished as Exhibit 99.2 to this Current Report on Form 8-K.</w:t>
      </w:r>
    </w:p>
    <w:p>
      <w:pPr>
        <w:spacing w:after="0" w:line="14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information contained in this Item 7.01 and in the accompanying Exhibit 99.1 and Exhibit 99.2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and Exhibit 99.2 shall not be deemed to be “filed” for purposes of Section 18 of the Securities Exchange Act of 1934, as amended, or otherwise subject to the liabilities of that section or Sections 11 and 12(a)(2)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Forward-Looking Statements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Certain statements in this report, including, without limitation, in the Supplemental Financial Information, may be considered “forward-looking statements,” such as statements relating to the Offering. Forward-looking statements include those preceded by, followed by or that include the words “anticipate,” “expect,” “believe,” “could,” “continue,” “ongoing,” “estimate,” “intend,” “may,” “plan,” “potential,” “project,” “should,” “target,” “will,” “would” and similar words. These forward-looking statements speak only as of the date of this report. Although the Company believes that its assumptions upon which such forward-looking statements are based are reasonable, the Company can give no assurance that these forward-looking statements will prove to be correct. Forward-looking statements are subject to risks, uncertainties and other factors that could cause actual results to differ materially from historical experience or from future results expressed or implied by such forward-looking statements. The Company expressly disclaims any obligation or undertaking to disseminate any updates or revisions to any forward-looking statements contained herein to reflect any change in the expectations with regard thereto or any change in events, conditions or circumstances on which any such statement is based, unless required by law.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4"/>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180" w:type="dxa"/>
            <w:vAlign w:val="bottom"/>
            <w:tcBorders>
              <w:top w:val="single" w:sz="8" w:color="auto"/>
              <w:bottom w:val="single" w:sz="8" w:color="0000EE"/>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Indenture to be entered into between SunPower Inc., the Guarantor party thereto and U.S. Bank Trust Company, National Association+</w:t>
            </w:r>
          </w:p>
        </w:tc>
        <w:tc>
          <w:tcPr>
            <w:tcW w:w="940" w:type="dxa"/>
            <w:vAlign w:val="bottom"/>
            <w:tcBorders>
              <w:top w:val="single" w:sz="8" w:color="auto"/>
              <w:bottom w:val="single" w:sz="8" w:color="CCEEFF"/>
            </w:tcBorders>
            <w:gridSpan w:val="2"/>
            <w:shd w:val="clear" w:color="auto" w:fill="CCEEFF"/>
          </w:tcPr>
          <w:p>
            <w:pPr>
              <w:spacing w:after="0"/>
              <w:rPr>
                <w:sz w:val="14"/>
                <w:szCs w:val="14"/>
                <w:color w:val="auto"/>
              </w:rPr>
            </w:pPr>
          </w:p>
        </w:tc>
      </w:tr>
      <w:tr>
        <w:trPr>
          <w:trHeight w:val="163"/>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4"/>
                <w:szCs w:val="14"/>
                <w:color w:val="auto"/>
              </w:rPr>
            </w:pPr>
          </w:p>
        </w:tc>
        <w:tc>
          <w:tcPr>
            <w:tcW w:w="5440" w:type="dxa"/>
            <w:vAlign w:val="bottom"/>
            <w:tcBorders>
              <w:bottom w:val="single" w:sz="8" w:color="0000EE"/>
            </w:tcBorders>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10.00% Convertible Senior Secured Note due 2029 (included in Exhibit 4.1)</w:t>
            </w:r>
          </w:p>
        </w:tc>
        <w:tc>
          <w:tcPr>
            <w:tcW w:w="4680" w:type="dxa"/>
            <w:vAlign w:val="bottom"/>
            <w:gridSpan w:val="5"/>
          </w:tcPr>
          <w:p>
            <w:pPr>
              <w:spacing w:after="0"/>
              <w:rPr>
                <w:sz w:val="14"/>
                <w:szCs w:val="14"/>
                <w:color w:val="auto"/>
              </w:rPr>
            </w:pPr>
          </w:p>
        </w:tc>
      </w:tr>
      <w:tr>
        <w:trPr>
          <w:trHeight w:val="179"/>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5"/>
                <w:szCs w:val="15"/>
                <w:color w:val="auto"/>
              </w:rPr>
            </w:pPr>
          </w:p>
        </w:tc>
        <w:tc>
          <w:tcPr>
            <w:tcW w:w="10120" w:type="dxa"/>
            <w:vAlign w:val="bottom"/>
            <w:gridSpan w:val="13"/>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Amended and Restated Promissory Note to be Issued to Chicken Parm Pizza LLC*</w:t>
            </w:r>
          </w:p>
        </w:tc>
      </w:tr>
      <w:tr>
        <w:trPr>
          <w:trHeight w:val="155"/>
        </w:trPr>
        <w:tc>
          <w:tcPr>
            <w:tcW w:w="1020" w:type="dxa"/>
            <w:vAlign w:val="bottom"/>
            <w:tcBorders>
              <w:top w:val="single" w:sz="8" w:color="CCEEFF"/>
            </w:tcBorders>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top w:val="single" w:sz="8" w:color="CCEEFF"/>
            </w:tcBorders>
          </w:tcPr>
          <w:p>
            <w:pPr>
              <w:spacing w:after="0"/>
              <w:rPr>
                <w:sz w:val="13"/>
                <w:szCs w:val="13"/>
                <w:color w:val="auto"/>
              </w:rPr>
            </w:pPr>
          </w:p>
        </w:tc>
        <w:tc>
          <w:tcPr>
            <w:tcW w:w="5860" w:type="dxa"/>
            <w:vAlign w:val="bottom"/>
            <w:tcBorders>
              <w:top w:val="single" w:sz="8" w:color="0000EE"/>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rPr>
              <w:t>Form of Note Purchase Agreement+*</w:t>
            </w:r>
          </w:p>
        </w:tc>
        <w:tc>
          <w:tcPr>
            <w:tcW w:w="4260" w:type="dxa"/>
            <w:vAlign w:val="bottom"/>
            <w:tcBorders>
              <w:top w:val="single" w:sz="8" w:color="CCEEFF"/>
            </w:tcBorders>
            <w:gridSpan w:val="4"/>
          </w:tcPr>
          <w:p>
            <w:pPr>
              <w:spacing w:after="0"/>
              <w:rPr>
                <w:sz w:val="13"/>
                <w:szCs w:val="13"/>
                <w:color w:val="auto"/>
              </w:rPr>
            </w:pP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9"/>
        </w:trPr>
        <w:tc>
          <w:tcPr>
            <w:tcW w:w="102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0000EE"/>
            </w:tcBorders>
            <w:gridSpan w:val="6"/>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9"/>
              </w:rPr>
              <w:t>Affiliate Note Purchase Agreement, dated April 21, 2026+</w:t>
            </w:r>
          </w:p>
        </w:tc>
        <w:tc>
          <w:tcPr>
            <w:tcW w:w="6380" w:type="dxa"/>
            <w:vAlign w:val="bottom"/>
            <w:tcBorders>
              <w:bottom w:val="single" w:sz="8" w:color="CCEEFF"/>
            </w:tcBorders>
            <w:gridSpan w:val="7"/>
            <w:shd w:val="clear" w:color="auto" w:fill="CCEEFF"/>
          </w:tcPr>
          <w:p>
            <w:pPr>
              <w:spacing w:after="0"/>
              <w:rPr>
                <w:sz w:val="15"/>
                <w:szCs w:val="15"/>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3"/>
                <w:szCs w:val="13"/>
                <w:color w:val="auto"/>
              </w:rPr>
            </w:pPr>
          </w:p>
        </w:tc>
        <w:tc>
          <w:tcPr>
            <w:tcW w:w="10120" w:type="dxa"/>
            <w:vAlign w:val="bottom"/>
            <w:gridSpan w:val="13"/>
          </w:tcPr>
          <w:p>
            <w:pPr>
              <w:spacing w:after="0" w:line="155" w:lineRule="exact"/>
              <w:rPr>
                <w:sz w:val="20"/>
                <w:szCs w:val="20"/>
                <w:color w:val="auto"/>
              </w:rPr>
            </w:pPr>
            <w:r>
              <w:rPr>
                <w:rFonts w:ascii="Times New Roman" w:cs="Times New Roman" w:eastAsia="Times New Roman" w:hAnsi="Times New Roman"/>
                <w:sz w:val="16"/>
                <w:szCs w:val="16"/>
                <w:color w:val="0000EE"/>
              </w:rPr>
              <w:t>Note Purchase and Exchange Agreement, dated April 21, 2026, between SunPower Inc. and Chicken Parm Pizza LLC+</w:t>
            </w: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1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760" w:type="dxa"/>
            <w:vAlign w:val="bottom"/>
            <w:shd w:val="clear" w:color="auto" w:fill="0000EE"/>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63"/>
        </w:trPr>
        <w:tc>
          <w:tcPr>
            <w:tcW w:w="102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shd w:val="clear" w:color="auto" w:fill="CCEEFF"/>
          </w:tcPr>
          <w:p>
            <w:pPr>
              <w:spacing w:after="0"/>
              <w:rPr>
                <w:sz w:val="14"/>
                <w:szCs w:val="14"/>
                <w:color w:val="auto"/>
              </w:rPr>
            </w:pPr>
          </w:p>
        </w:tc>
        <w:tc>
          <w:tcPr>
            <w:tcW w:w="9420" w:type="dxa"/>
            <w:vAlign w:val="bottom"/>
            <w:tcBorders>
              <w:bottom w:val="single" w:sz="8" w:color="0000EE"/>
            </w:tcBorders>
            <w:gridSpan w:val="12"/>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9"/>
              </w:rPr>
              <w:t>Form of Pledge and Security Agreement to be entered between SunPower Inc., the Guarantor party thereto and U.S. Bank Trust Company, National</w:t>
            </w:r>
          </w:p>
        </w:tc>
        <w:tc>
          <w:tcPr>
            <w:tcW w:w="700" w:type="dxa"/>
            <w:vAlign w:val="bottom"/>
            <w:tcBorders>
              <w:bottom w:val="single" w:sz="8" w:color="CCEEFF"/>
            </w:tcBorders>
            <w:shd w:val="clear" w:color="auto" w:fill="CCEEFF"/>
          </w:tcPr>
          <w:p>
            <w:pPr>
              <w:spacing w:after="0"/>
              <w:rPr>
                <w:sz w:val="14"/>
                <w:szCs w:val="14"/>
                <w:color w:val="auto"/>
              </w:rPr>
            </w:pPr>
          </w:p>
        </w:tc>
      </w:tr>
      <w:tr>
        <w:trPr>
          <w:trHeight w:val="171"/>
        </w:trPr>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3"/>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Association+</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r>
        <w:trPr>
          <w:trHeight w:val="163"/>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4"/>
                <w:szCs w:val="14"/>
                <w:color w:val="auto"/>
              </w:rPr>
            </w:pPr>
          </w:p>
        </w:tc>
        <w:tc>
          <w:tcPr>
            <w:tcW w:w="10120" w:type="dxa"/>
            <w:vAlign w:val="bottom"/>
            <w:gridSpan w:val="13"/>
          </w:tcPr>
          <w:p>
            <w:pPr>
              <w:spacing w:after="0" w:line="155" w:lineRule="exact"/>
              <w:rPr>
                <w:sz w:val="20"/>
                <w:szCs w:val="20"/>
                <w:color w:val="auto"/>
              </w:rPr>
            </w:pPr>
            <w:r>
              <w:rPr>
                <w:rFonts w:ascii="Times New Roman" w:cs="Times New Roman" w:eastAsia="Times New Roman" w:hAnsi="Times New Roman"/>
                <w:sz w:val="16"/>
                <w:szCs w:val="16"/>
                <w:color w:val="0000EE"/>
              </w:rPr>
              <w:t>Letter Agreement, dated April 21, 2026, between SunPower Inc. and YA II PN, Ltd.</w:t>
            </w: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4"/>
                <w:szCs w:val="14"/>
                <w:color w:val="auto"/>
              </w:rPr>
            </w:pPr>
          </w:p>
        </w:tc>
        <w:tc>
          <w:tcPr>
            <w:tcW w:w="5360" w:type="dxa"/>
            <w:vAlign w:val="bottom"/>
            <w:tcBorders>
              <w:top w:val="single" w:sz="8" w:color="0000EE"/>
            </w:tcBorders>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Exchange Agreement+*</w:t>
            </w:r>
          </w:p>
        </w:tc>
        <w:tc>
          <w:tcPr>
            <w:tcW w:w="4760" w:type="dxa"/>
            <w:vAlign w:val="bottom"/>
            <w:gridSpan w:val="6"/>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0000EE"/>
          </w:tcPr>
          <w:p>
            <w:pPr>
              <w:spacing w:after="0"/>
              <w:rPr>
                <w:sz w:val="3"/>
                <w:szCs w:val="3"/>
                <w:color w:val="auto"/>
              </w:rPr>
            </w:pPr>
          </w:p>
        </w:tc>
        <w:tc>
          <w:tcPr>
            <w:tcW w:w="1260" w:type="dxa"/>
            <w:vAlign w:val="bottom"/>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r>
        <w:trPr>
          <w:trHeight w:val="163"/>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4"/>
                <w:szCs w:val="14"/>
                <w:color w:val="auto"/>
              </w:rPr>
            </w:pPr>
          </w:p>
        </w:tc>
        <w:tc>
          <w:tcPr>
            <w:tcW w:w="2280" w:type="dxa"/>
            <w:vAlign w:val="bottom"/>
            <w:tcBorders>
              <w:bottom w:val="single" w:sz="8" w:color="0000EE"/>
            </w:tcBorders>
            <w:gridSpan w:val="3"/>
          </w:tcPr>
          <w:p>
            <w:pPr>
              <w:spacing w:after="0" w:line="155" w:lineRule="exact"/>
              <w:rPr>
                <w:sz w:val="20"/>
                <w:szCs w:val="20"/>
                <w:color w:val="auto"/>
              </w:rPr>
            </w:pPr>
            <w:r>
              <w:rPr>
                <w:rFonts w:ascii="Times New Roman" w:cs="Times New Roman" w:eastAsia="Times New Roman" w:hAnsi="Times New Roman"/>
                <w:sz w:val="16"/>
                <w:szCs w:val="16"/>
                <w:color w:val="0000EE"/>
                <w:w w:val="99"/>
              </w:rPr>
              <w:t>Press Release, dated April 22, 2026</w:t>
            </w:r>
          </w:p>
        </w:tc>
        <w:tc>
          <w:tcPr>
            <w:tcW w:w="7840" w:type="dxa"/>
            <w:vAlign w:val="bottom"/>
            <w:gridSpan w:val="10"/>
          </w:tcPr>
          <w:p>
            <w:pPr>
              <w:spacing w:after="0"/>
              <w:rPr>
                <w:sz w:val="14"/>
                <w:szCs w:val="14"/>
                <w:color w:val="auto"/>
              </w:rPr>
            </w:pPr>
          </w:p>
        </w:tc>
      </w:tr>
      <w:tr>
        <w:trPr>
          <w:trHeight w:val="179"/>
        </w:trPr>
        <w:tc>
          <w:tcPr>
            <w:tcW w:w="102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0000EE"/>
            </w:tcBorders>
            <w:gridSpan w:val="4"/>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9"/>
              </w:rPr>
              <w:t>Supplemental Financial Information</w:t>
            </w:r>
          </w:p>
        </w:tc>
        <w:tc>
          <w:tcPr>
            <w:tcW w:w="7800" w:type="dxa"/>
            <w:vAlign w:val="bottom"/>
            <w:tcBorders>
              <w:bottom w:val="single" w:sz="8" w:color="CCEEFF"/>
            </w:tcBorders>
            <w:gridSpan w:val="9"/>
            <w:shd w:val="clear" w:color="auto" w:fill="CCEEFF"/>
          </w:tcPr>
          <w:p>
            <w:pPr>
              <w:spacing w:after="0"/>
              <w:rPr>
                <w:sz w:val="15"/>
                <w:szCs w:val="15"/>
                <w:color w:val="auto"/>
              </w:rPr>
            </w:pPr>
          </w:p>
        </w:tc>
      </w:tr>
    </w:tbl>
    <w:p>
      <w:pPr>
        <w:ind w:left="1144" w:hanging="1132"/>
        <w:spacing w:after="0"/>
        <w:tabs>
          <w:tab w:leader="none" w:pos="1144"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81"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144" w:lineRule="exact"/>
        <w:rPr>
          <w:sz w:val="20"/>
          <w:szCs w:val="20"/>
          <w:color w:val="auto"/>
        </w:rPr>
      </w:pPr>
    </w:p>
    <w:p>
      <w:pPr>
        <w:ind w:left="284" w:hanging="284"/>
        <w:spacing w:after="0"/>
        <w:tabs>
          <w:tab w:leader="none" w:pos="28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are redacted in accordance with Item 601(b)(10)(iv) of Regulation S-K.</w:t>
      </w:r>
    </w:p>
    <w:p>
      <w:pPr>
        <w:spacing w:after="0" w:line="200" w:lineRule="exact"/>
        <w:rPr>
          <w:rFonts w:ascii="Times New Roman" w:cs="Times New Roman" w:eastAsia="Times New Roman" w:hAnsi="Times New Roman"/>
          <w:sz w:val="16"/>
          <w:szCs w:val="16"/>
          <w:color w:val="auto"/>
        </w:rPr>
      </w:pPr>
    </w:p>
    <w:p>
      <w:pPr>
        <w:spacing w:after="0" w:line="201" w:lineRule="exact"/>
        <w:rPr>
          <w:rFonts w:ascii="Times New Roman" w:cs="Times New Roman" w:eastAsia="Times New Roman" w:hAnsi="Times New Roman"/>
          <w:sz w:val="16"/>
          <w:szCs w:val="16"/>
          <w:color w:val="auto"/>
        </w:rPr>
      </w:pPr>
    </w:p>
    <w:p>
      <w:pPr>
        <w:ind w:left="5584"/>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un</w:t>
      </w:r>
      <w:r>
        <w:rPr>
          <w:rFonts w:ascii="Times New Roman" w:cs="Times New Roman" w:eastAsia="Times New Roman" w:hAnsi="Times New Roman"/>
          <w:sz w:val="16"/>
          <w:szCs w:val="16"/>
          <w:b w:val="1"/>
          <w:bCs w:val="1"/>
          <w:color w:val="auto"/>
        </w:rPr>
        <w:t>P</w:t>
      </w:r>
      <w:r>
        <w:rPr>
          <w:rFonts w:ascii="Times New Roman" w:cs="Times New Roman" w:eastAsia="Times New Roman" w:hAnsi="Times New Roman"/>
          <w:sz w:val="10"/>
          <w:szCs w:val="10"/>
          <w:b w:val="1"/>
          <w:bCs w:val="1"/>
          <w:color w:val="auto"/>
        </w:rPr>
        <w:t>ower</w:t>
      </w:r>
      <w:r>
        <w:rPr>
          <w:rFonts w:ascii="Times New Roman" w:cs="Times New Roman" w:eastAsia="Times New Roman" w:hAnsi="Times New Roman"/>
          <w:sz w:val="16"/>
          <w:szCs w:val="16"/>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April 22, 2026</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15240</wp:posOffset>
            </wp:positionV>
            <wp:extent cx="26409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Thurman J. Rodgers</w:t>
      </w:r>
    </w:p>
    <w:p>
      <w:pPr>
        <w:spacing w:after="0" w:line="1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502285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532130</wp:posOffset>
            </wp:positionV>
            <wp:extent cx="71481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SUNPOWER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THE GUARANTORS PARTY HERETO</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U.S. BANK TRUST COMPANY, NATIONAL ASSOCIATION,</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as Trustee and Collateral Agent</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INDENTURE</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Dated as of April [__], 2026</w:t>
      </w:r>
    </w:p>
    <w:p>
      <w:pPr>
        <w:spacing w:after="0" w:line="19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10.00% Convertible Senior 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136525</wp:posOffset>
            </wp:positionV>
            <wp:extent cx="71481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159385</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1160780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7720" w:type="dxa"/>
            <w:vAlign w:val="bottom"/>
            <w:gridSpan w:val="3"/>
          </w:tcPr>
          <w:p>
            <w:pPr>
              <w:ind w:left="23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140" w:type="dxa"/>
            <w:vAlign w:val="bottom"/>
          </w:tcPr>
          <w:p>
            <w:pPr>
              <w:spacing w:after="0"/>
              <w:rPr>
                <w:sz w:val="16"/>
                <w:szCs w:val="16"/>
                <w:color w:val="auto"/>
              </w:rPr>
            </w:pPr>
          </w:p>
        </w:tc>
      </w:tr>
      <w:tr>
        <w:trPr>
          <w:trHeight w:val="414"/>
        </w:trPr>
        <w:tc>
          <w:tcPr>
            <w:tcW w:w="2400" w:type="dxa"/>
            <w:vAlign w:val="bottom"/>
            <w:tcBorders>
              <w:bottom w:val="single" w:sz="8" w:color="CCEEFF"/>
            </w:tcBorders>
          </w:tcPr>
          <w:p>
            <w:pPr>
              <w:spacing w:after="0"/>
              <w:rPr>
                <w:sz w:val="24"/>
                <w:szCs w:val="24"/>
                <w:color w:val="auto"/>
              </w:rPr>
            </w:pPr>
          </w:p>
        </w:tc>
        <w:tc>
          <w:tcPr>
            <w:tcW w:w="238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 DEFINITIONS</w:t>
            </w:r>
          </w:p>
        </w:tc>
        <w:tc>
          <w:tcPr>
            <w:tcW w:w="2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1.01.</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Definitions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1.02.</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References to Interest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101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Article 2. ISSUE, DESCRIPTION, EXECUTION, REGISTRATION AND EXCHANGE OF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2.01.</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Designation and Amount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2.02.</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Form of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2.03.</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Date and Denomination of Notes; Payments of Interest and Defaulted Amounts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2.04.</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Execution, Authentication and Delivery of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2.05.</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Exchange and Registration of Transfer of Notes; Restrictions on Transfer; Depositary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2.06.</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Mutilated, Destroyed, Lost or Stolen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2.07.</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Temporary Notes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2.08.</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Cancellation of Notes Paid, Converted, Etc</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2.09.</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CUSIP Numbers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2.10.</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Additional Notes; Repurchases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0120" w:type="dxa"/>
            <w:vAlign w:val="bottom"/>
            <w:gridSpan w:val="4"/>
            <w:shd w:val="clear" w:color="auto" w:fill="CCEEFF"/>
          </w:tcPr>
          <w:p>
            <w:pPr>
              <w:jc w:val="center"/>
              <w:ind w:right="7040"/>
              <w:spacing w:after="0"/>
              <w:rPr>
                <w:sz w:val="20"/>
                <w:szCs w:val="20"/>
                <w:color w:val="auto"/>
              </w:rPr>
            </w:pPr>
            <w:r>
              <w:rPr>
                <w:rFonts w:ascii="Times New Roman" w:cs="Times New Roman" w:eastAsia="Times New Roman" w:hAnsi="Times New Roman"/>
                <w:sz w:val="16"/>
                <w:szCs w:val="16"/>
                <w:color w:val="auto"/>
                <w:w w:val="98"/>
              </w:rPr>
              <w:t>Article 3. SATISFACTION AND DISCHARGE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3.01.</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Satisfaction and Discharge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191"/>
        </w:trPr>
        <w:tc>
          <w:tcPr>
            <w:tcW w:w="10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4. PARTICULAR COVENANTS OF THE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4.01.</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Payment of Principal and Interest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4.02.</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Maintenance of Office or Agency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4.03.</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Appointments to Fill Vacancies in Trustee’s Office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4.04.</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Provisions as to Paying Agent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4.05.</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Existence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4.06.</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Rule 144A Information Requirement and Annual Reports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4.07.</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Stay, Extension and Usury Laws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4.08.</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Compliance Certificate; Statements as to Defaults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4.09.</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Covenant to Guarantee Obligations and Give Security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4.10.</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Maintenance of Insurance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4.11.</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Impairment of Security Interest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4.12.</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Limitations on Debt and Liens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4.13.</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Limitation on Restricted Payments, Restricted Investments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4.14.</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Post-Closing Covenant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4.15.</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Further Instruments and Acts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4.16.</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Asset Sales.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4.17.</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Limitation on Transfers of Material Intellectual Property</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2400" w:type="dxa"/>
            <w:vAlign w:val="bottom"/>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4.18.</w:t>
            </w:r>
          </w:p>
        </w:tc>
        <w:tc>
          <w:tcPr>
            <w:tcW w:w="77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Control Agreements.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208"/>
        </w:trPr>
        <w:tc>
          <w:tcPr>
            <w:tcW w:w="2400" w:type="dxa"/>
            <w:vAlign w:val="bottom"/>
          </w:tcPr>
          <w:p>
            <w:pPr>
              <w:jc w:val="center"/>
              <w:ind w:left="620"/>
              <w:spacing w:after="0"/>
              <w:rPr>
                <w:sz w:val="20"/>
                <w:szCs w:val="20"/>
                <w:color w:val="auto"/>
              </w:rPr>
            </w:pPr>
            <w:r>
              <w:rPr>
                <w:rFonts w:ascii="Times New Roman" w:cs="Times New Roman" w:eastAsia="Times New Roman" w:hAnsi="Times New Roman"/>
                <w:sz w:val="16"/>
                <w:szCs w:val="16"/>
                <w:color w:val="auto"/>
                <w:w w:val="97"/>
              </w:rPr>
              <w:t>Section 4.19.</w:t>
            </w:r>
          </w:p>
        </w:tc>
        <w:tc>
          <w:tcPr>
            <w:tcW w:w="772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Liability Management Transactions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1"/>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5. LISTS OF HOLDERS AND REPORTS BY THE COMPANY AND THE TRUSTEE</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57</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5.01.</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Lists of Holders</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57</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5.02.</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Preservation and Disclosure of Lists</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57</w:t>
            </w:r>
          </w:p>
        </w:tc>
      </w:tr>
      <w:tr>
        <w:trPr>
          <w:trHeight w:val="191"/>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Article 6. DEFAULTS AND REMEDIES</w:t>
            </w:r>
          </w:p>
        </w:tc>
        <w:tc>
          <w:tcPr>
            <w:tcW w:w="6440" w:type="dxa"/>
            <w:vAlign w:val="bottom"/>
          </w:tcPr>
          <w:p>
            <w:pPr>
              <w:spacing w:after="0"/>
              <w:rPr>
                <w:sz w:val="16"/>
                <w:szCs w:val="16"/>
                <w:color w:val="auto"/>
              </w:rPr>
            </w:pP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6.01.</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Events of Default</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58</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6.02.</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Acceleration; Rescission and Annulment</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6.03.</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Interest</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6.04.</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Notes on Default; Suit Therefor</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60</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6.05.</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Application of Monies Collected by Trustee</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62</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6.06.</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Proceedings by Holders</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63</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6.07.</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Proceedings by Trustee</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63</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6.08.</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Remedies Cumulative and Continuing</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64</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6.09.</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Direction of Proceedings and Waiver of Defaults by Holders</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64</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6.10.</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Notice of Defaults</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6.11.</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Undertaking to Pay Costs</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w w:val="99"/>
              </w:rPr>
              <w:t>Article 7. CONCERNING THE TRUSTEE</w:t>
            </w:r>
          </w:p>
        </w:tc>
        <w:tc>
          <w:tcPr>
            <w:tcW w:w="6440" w:type="dxa"/>
            <w:vAlign w:val="bottom"/>
          </w:tcPr>
          <w:p>
            <w:pPr>
              <w:spacing w:after="0"/>
              <w:rPr>
                <w:sz w:val="16"/>
                <w:szCs w:val="16"/>
                <w:color w:val="auto"/>
              </w:rPr>
            </w:pP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7.01.</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Duties and Responsibilities of Trustee</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65</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7.02.</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Reliance on Documents, Opinions, Etc</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67</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7.03.</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 Responsibility for Recitals, Etc</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69</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7.04.</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Trustee, Paying Agents, Conversion Agents, or Note Registrar May Own Notes</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69</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7.05.</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Monies and Shares of Common Stock to Be Held in Trust</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69</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7.06.</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Expenses of Trustee</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69</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7.07.</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Officer’s Certificate as Evidence</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7.08.</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Eligibility of Trustee</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7.09.</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Resignation or Removal of Trustee</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70</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7.10.</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Acceptance by Successor Trustee</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71</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7.11.</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Succession by Merger, Etc</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72</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7.12.</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Trustee’s Application for Instructions from the Company</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72</w:t>
            </w:r>
          </w:p>
        </w:tc>
      </w:tr>
      <w:tr>
        <w:trPr>
          <w:trHeight w:val="191"/>
        </w:trPr>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8. COLLATERAL DOCUMENTS; COLLATERAL AGENT</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73</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8.01.</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 Documents</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73</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8.02.</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Agent.</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73</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8.03.</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Collateral; Non-Disturbance.</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75</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8.04.</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Suits to Protect the Collateral</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77</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8.05.</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Authorization of Action to be Taken.</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77</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8.06.</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Purchaser Protection</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78</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8.07.</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Powers Exercisable by Receiver or Trustee</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78</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8.08.</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Reserved</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78</w:t>
            </w:r>
          </w:p>
        </w:tc>
      </w:tr>
      <w:tr>
        <w:trPr>
          <w:trHeight w:val="191"/>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8.09.</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 Agent; Collateral Documents</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78</w:t>
            </w:r>
          </w:p>
        </w:tc>
      </w:tr>
      <w:tr>
        <w:trPr>
          <w:trHeight w:val="191"/>
        </w:trPr>
        <w:tc>
          <w:tcPr>
            <w:tcW w:w="28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8.10.</w:t>
            </w: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Replacement of Collateral Agent.</w:t>
            </w:r>
          </w:p>
        </w:tc>
        <w:tc>
          <w:tcPr>
            <w:tcW w:w="20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79</w:t>
            </w:r>
          </w:p>
        </w:tc>
      </w:tr>
      <w:tr>
        <w:trPr>
          <w:trHeight w:val="208"/>
        </w:trPr>
        <w:tc>
          <w:tcPr>
            <w:tcW w:w="28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8.11.</w:t>
            </w:r>
          </w:p>
        </w:tc>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Acceptance by Collateral Agent</w:t>
            </w:r>
          </w:p>
        </w:tc>
        <w:tc>
          <w:tcPr>
            <w:tcW w:w="20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79</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6"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Article 9. CONCERNING THE HOLDERS</w:t>
            </w:r>
          </w:p>
        </w:tc>
        <w:tc>
          <w:tcPr>
            <w:tcW w:w="74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9.01.</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Action by Holders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9.02.</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Proof of Execution by Holders</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9.03.</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Who Are Deemed Absolute Owners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80</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9.04.</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Company-Owned Notes Disregarded</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81</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9.05.</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Revocation of Consents; Future Holders Bound</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81</w:t>
            </w:r>
          </w:p>
        </w:tc>
      </w:tr>
      <w:tr>
        <w:trPr>
          <w:trHeight w:val="19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10. HOLDERS’ MEETINGS</w:t>
            </w:r>
          </w:p>
        </w:tc>
        <w:tc>
          <w:tcPr>
            <w:tcW w:w="74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81</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10.01.</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Purpose of Meetings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81</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10.02.</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Call of Meetings by Trustee</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82</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10.03.</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Call of Meetings by Company or Holders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82</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10.04.</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Qualifications for Voting</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82</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10.05.</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Regulations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82</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10.06.</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Voting</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83</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10.07.</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No Delay of Rights by Meeting</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83</w:t>
            </w:r>
          </w:p>
        </w:tc>
      </w:tr>
      <w:tr>
        <w:trPr>
          <w:trHeight w:val="191"/>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11. SUPPLEMENTAL INDENTURES</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83</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11.01.</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Indentures Without Consent of Holders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83</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11.02.</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Indentures with Consent of Holders</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85</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11.03.</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Effect of Supplemental Indentures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87</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11.04.</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Notation on Notes</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87</w:t>
            </w:r>
          </w:p>
        </w:tc>
      </w:tr>
      <w:tr>
        <w:trPr>
          <w:trHeight w:val="175"/>
        </w:trPr>
        <w:tc>
          <w:tcPr>
            <w:tcW w:w="2820" w:type="dxa"/>
            <w:vAlign w:val="bottom"/>
          </w:tcPr>
          <w:p>
            <w:pPr>
              <w:ind w:left="1140"/>
              <w:spacing w:after="0" w:line="175" w:lineRule="exact"/>
              <w:rPr>
                <w:sz w:val="20"/>
                <w:szCs w:val="20"/>
                <w:color w:val="auto"/>
              </w:rPr>
            </w:pPr>
            <w:r>
              <w:rPr>
                <w:rFonts w:ascii="Times New Roman" w:cs="Times New Roman" w:eastAsia="Times New Roman" w:hAnsi="Times New Roman"/>
                <w:sz w:val="16"/>
                <w:szCs w:val="16"/>
                <w:color w:val="auto"/>
              </w:rPr>
              <w:t>Section 11.05.</w:t>
            </w:r>
          </w:p>
        </w:tc>
        <w:tc>
          <w:tcPr>
            <w:tcW w:w="74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Evidence of Compliance of Amendments and Supplements and Enforceability of the Supplemental Indenture to</w:t>
            </w:r>
          </w:p>
        </w:tc>
        <w:tc>
          <w:tcPr>
            <w:tcW w:w="980" w:type="dxa"/>
            <w:vAlign w:val="bottom"/>
          </w:tcPr>
          <w:p>
            <w:pPr>
              <w:jc w:val="right"/>
              <w:ind w:right="400"/>
              <w:spacing w:after="0" w:line="175" w:lineRule="exact"/>
              <w:rPr>
                <w:sz w:val="20"/>
                <w:szCs w:val="20"/>
                <w:color w:val="auto"/>
              </w:rPr>
            </w:pPr>
            <w:r>
              <w:rPr>
                <w:rFonts w:ascii="Times New Roman" w:cs="Times New Roman" w:eastAsia="Times New Roman" w:hAnsi="Times New Roman"/>
                <w:sz w:val="16"/>
                <w:szCs w:val="16"/>
                <w:color w:val="auto"/>
              </w:rPr>
              <w:t>87</w:t>
            </w:r>
          </w:p>
        </w:tc>
      </w:tr>
      <w:tr>
        <w:trPr>
          <w:trHeight w:val="208"/>
        </w:trPr>
        <w:tc>
          <w:tcPr>
            <w:tcW w:w="28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Be Furnished Trustee and Collateral Agent</w:t>
            </w:r>
          </w:p>
        </w:tc>
        <w:tc>
          <w:tcPr>
            <w:tcW w:w="980" w:type="dxa"/>
            <w:vAlign w:val="bottom"/>
          </w:tcPr>
          <w:p>
            <w:pPr>
              <w:spacing w:after="0"/>
              <w:rPr>
                <w:sz w:val="18"/>
                <w:szCs w:val="18"/>
                <w:color w:val="auto"/>
              </w:rPr>
            </w:pPr>
          </w:p>
        </w:tc>
      </w:tr>
      <w:tr>
        <w:trPr>
          <w:trHeight w:val="191"/>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12. CONSOLIDATION, MERGER, SALE, CONVEYANCE AND LEASE</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87</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12.01.</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Company May Consolidate, Etc</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87</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12.02.</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Successor Corporation to Be Substituted</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88</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12.03.</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Guarantors May Consolidate on Certain Terms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89</w:t>
            </w:r>
          </w:p>
        </w:tc>
      </w:tr>
      <w:tr>
        <w:trPr>
          <w:trHeight w:val="191"/>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13. GUARANTEES</w:t>
            </w:r>
          </w:p>
        </w:tc>
        <w:tc>
          <w:tcPr>
            <w:tcW w:w="74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90</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13.01.</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Guarantee</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90</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13.02.</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Limitation on Liability; Termination, Release and Discharge.</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92</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13.03.</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Right of Contribution</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93</w:t>
            </w:r>
          </w:p>
        </w:tc>
      </w:tr>
      <w:tr>
        <w:trPr>
          <w:trHeight w:val="191"/>
        </w:trPr>
        <w:tc>
          <w:tcPr>
            <w:tcW w:w="28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13.04.</w:t>
            </w: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 Subrogation</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93</w:t>
            </w:r>
          </w:p>
        </w:tc>
      </w:tr>
      <w:tr>
        <w:trPr>
          <w:trHeight w:val="191"/>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13.05.</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Subordination</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94</w:t>
            </w:r>
          </w:p>
        </w:tc>
      </w:tr>
      <w:tr>
        <w:trPr>
          <w:trHeight w:val="191"/>
        </w:trPr>
        <w:tc>
          <w:tcPr>
            <w:tcW w:w="10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14. IMMUNITY OF INCORPORATORS, STOCKHOLDERS, OFFICERS AND DIRECTORS</w:t>
            </w:r>
          </w:p>
        </w:tc>
        <w:tc>
          <w:tcPr>
            <w:tcW w:w="9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94</w:t>
            </w:r>
          </w:p>
        </w:tc>
      </w:tr>
      <w:tr>
        <w:trPr>
          <w:trHeight w:val="208"/>
        </w:trPr>
        <w:tc>
          <w:tcPr>
            <w:tcW w:w="28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14.01.</w:t>
            </w:r>
          </w:p>
        </w:tc>
        <w:tc>
          <w:tcPr>
            <w:tcW w:w="7460" w:type="dxa"/>
            <w:vAlign w:val="bottom"/>
          </w:tcPr>
          <w:p>
            <w:pPr>
              <w:spacing w:after="0"/>
              <w:rPr>
                <w:sz w:val="20"/>
                <w:szCs w:val="20"/>
                <w:color w:val="auto"/>
              </w:rPr>
            </w:pPr>
            <w:r>
              <w:rPr>
                <w:rFonts w:ascii="Times New Roman" w:cs="Times New Roman" w:eastAsia="Times New Roman" w:hAnsi="Times New Roman"/>
                <w:sz w:val="16"/>
                <w:szCs w:val="16"/>
                <w:color w:val="auto"/>
              </w:rPr>
              <w:t>Indenture and Notes Solely Corporate Obligations</w:t>
            </w: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94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6"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15. CONVERSION OF NOTES</w:t>
            </w:r>
          </w:p>
        </w:tc>
        <w:tc>
          <w:tcPr>
            <w:tcW w:w="736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94</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15.01.</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Conversion Privilege</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94</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15.02.</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Procedure; Settlement Upon Conversion.</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94</w:t>
            </w:r>
          </w:p>
        </w:tc>
      </w:tr>
      <w:tr>
        <w:trPr>
          <w:trHeight w:val="175"/>
        </w:trPr>
        <w:tc>
          <w:tcPr>
            <w:tcW w:w="2680" w:type="dxa"/>
            <w:vAlign w:val="bottom"/>
          </w:tcPr>
          <w:p>
            <w:pPr>
              <w:ind w:left="1140"/>
              <w:spacing w:after="0" w:line="175" w:lineRule="exact"/>
              <w:rPr>
                <w:sz w:val="20"/>
                <w:szCs w:val="20"/>
                <w:color w:val="auto"/>
              </w:rPr>
            </w:pPr>
            <w:r>
              <w:rPr>
                <w:rFonts w:ascii="Times New Roman" w:cs="Times New Roman" w:eastAsia="Times New Roman" w:hAnsi="Times New Roman"/>
                <w:sz w:val="16"/>
                <w:szCs w:val="16"/>
                <w:color w:val="auto"/>
              </w:rPr>
              <w:t>Section 15.03.</w:t>
            </w:r>
          </w:p>
        </w:tc>
        <w:tc>
          <w:tcPr>
            <w:tcW w:w="736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Increased Conversion Rate Applicable to Certain Notes Surrendered in Connection with a Make-Whole</w:t>
            </w:r>
          </w:p>
        </w:tc>
        <w:tc>
          <w:tcPr>
            <w:tcW w:w="1220" w:type="dxa"/>
            <w:vAlign w:val="bottom"/>
          </w:tcPr>
          <w:p>
            <w:pPr>
              <w:jc w:val="center"/>
              <w:ind w:left="20"/>
              <w:spacing w:after="0" w:line="175" w:lineRule="exact"/>
              <w:rPr>
                <w:sz w:val="20"/>
                <w:szCs w:val="20"/>
                <w:color w:val="auto"/>
              </w:rPr>
            </w:pPr>
            <w:r>
              <w:rPr>
                <w:rFonts w:ascii="Times New Roman" w:cs="Times New Roman" w:eastAsia="Times New Roman" w:hAnsi="Times New Roman"/>
                <w:sz w:val="16"/>
                <w:szCs w:val="16"/>
                <w:color w:val="auto"/>
                <w:w w:val="99"/>
              </w:rPr>
              <w:t>99</w:t>
            </w:r>
          </w:p>
        </w:tc>
      </w:tr>
      <w:tr>
        <w:trPr>
          <w:trHeight w:val="208"/>
        </w:trPr>
        <w:tc>
          <w:tcPr>
            <w:tcW w:w="268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Fundamental Change</w:t>
            </w:r>
          </w:p>
        </w:tc>
        <w:tc>
          <w:tcPr>
            <w:tcW w:w="1220" w:type="dxa"/>
            <w:vAlign w:val="bottom"/>
          </w:tcPr>
          <w:p>
            <w:pPr>
              <w:spacing w:after="0"/>
              <w:rPr>
                <w:sz w:val="18"/>
                <w:szCs w:val="18"/>
                <w:color w:val="auto"/>
              </w:rPr>
            </w:pP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15.04.</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of Conversion Rate</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100</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15.05.</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of Prices</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109</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15.06.</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to Be Fully Paid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110</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15.07.</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Recapitalizations, Reclassifications and Changes of the Common Stock.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110</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15.08.</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Certain Covenants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112</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15.09.</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Responsibility of Trustee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112</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15.10.</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Notice to Holders Prior to Certain Actions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112</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15.11.</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 Rights Plans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113</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15.12.</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Exchange in Lieu of Conversion.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113</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15.13.</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[RESERVED]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114</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15.14.</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Beneficial Ownership Limitations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114</w:t>
            </w:r>
          </w:p>
        </w:tc>
      </w:tr>
      <w:tr>
        <w:trPr>
          <w:trHeight w:val="191"/>
        </w:trPr>
        <w:tc>
          <w:tcPr>
            <w:tcW w:w="10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16. REPURCHASE OF NOTES AT OPTION OF HOLDERS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116</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16.01.</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Intentionally Omitted.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116</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16.02.</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at Option of Holders Upon a Fundamental Change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116</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16.03.</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Withdrawal of Fundamental Change Repurchase Notice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116</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16.04.</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 of Fundamental Change Repurchase Price</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120</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16.05.</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Covenant to Comply with Applicable Laws Upon Repurchase of Notes</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120</w:t>
            </w:r>
          </w:p>
        </w:tc>
      </w:tr>
      <w:tr>
        <w:trPr>
          <w:trHeight w:val="191"/>
        </w:trPr>
        <w:tc>
          <w:tcPr>
            <w:tcW w:w="10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17. NO OPTIONAL REDEMPTION</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121</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17.01.</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 Optional Redemption</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121</w:t>
            </w:r>
          </w:p>
        </w:tc>
      </w:tr>
      <w:tr>
        <w:trPr>
          <w:trHeight w:val="191"/>
        </w:trPr>
        <w:tc>
          <w:tcPr>
            <w:tcW w:w="10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18. MISCELLANEOUS PROVISIONS</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121</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18.01.</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Provisions Binding on Company’s Successors</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121</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18.02.</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Official Acts by Successor Corporation</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121</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18.03.</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Addresses for Notices, Etc</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121</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18.04.</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Governing Law; Jurisdiction</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122</w:t>
            </w:r>
          </w:p>
        </w:tc>
      </w:tr>
      <w:tr>
        <w:trPr>
          <w:trHeight w:val="175"/>
        </w:trPr>
        <w:tc>
          <w:tcPr>
            <w:tcW w:w="2680" w:type="dxa"/>
            <w:vAlign w:val="bottom"/>
            <w:shd w:val="clear" w:color="auto" w:fill="CCEEFF"/>
          </w:tcPr>
          <w:p>
            <w:pPr>
              <w:ind w:left="1140"/>
              <w:spacing w:after="0" w:line="175" w:lineRule="exact"/>
              <w:rPr>
                <w:sz w:val="20"/>
                <w:szCs w:val="20"/>
                <w:color w:val="auto"/>
              </w:rPr>
            </w:pPr>
            <w:r>
              <w:rPr>
                <w:rFonts w:ascii="Times New Roman" w:cs="Times New Roman" w:eastAsia="Times New Roman" w:hAnsi="Times New Roman"/>
                <w:sz w:val="16"/>
                <w:szCs w:val="16"/>
                <w:color w:val="auto"/>
              </w:rPr>
              <w:t>Section 18.05.</w:t>
            </w:r>
          </w:p>
        </w:tc>
        <w:tc>
          <w:tcPr>
            <w:tcW w:w="73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Evidence of Compliance with Conditions Precedent; Certificates and Opinions of Counsel to Trustee and</w:t>
            </w:r>
          </w:p>
        </w:tc>
        <w:tc>
          <w:tcPr>
            <w:tcW w:w="1220" w:type="dxa"/>
            <w:vAlign w:val="bottom"/>
            <w:shd w:val="clear" w:color="auto" w:fill="CCEEFF"/>
          </w:tcPr>
          <w:p>
            <w:pPr>
              <w:jc w:val="center"/>
              <w:ind w:left="20"/>
              <w:spacing w:after="0" w:line="175" w:lineRule="exact"/>
              <w:rPr>
                <w:sz w:val="20"/>
                <w:szCs w:val="20"/>
                <w:color w:val="auto"/>
              </w:rPr>
            </w:pPr>
            <w:r>
              <w:rPr>
                <w:rFonts w:ascii="Times New Roman" w:cs="Times New Roman" w:eastAsia="Times New Roman" w:hAnsi="Times New Roman"/>
                <w:sz w:val="16"/>
                <w:szCs w:val="16"/>
                <w:color w:val="auto"/>
                <w:w w:val="99"/>
              </w:rPr>
              <w:t>122</w:t>
            </w:r>
          </w:p>
        </w:tc>
      </w:tr>
      <w:tr>
        <w:trPr>
          <w:trHeight w:val="208"/>
        </w:trPr>
        <w:tc>
          <w:tcPr>
            <w:tcW w:w="2680" w:type="dxa"/>
            <w:vAlign w:val="bottom"/>
            <w:shd w:val="clear" w:color="auto" w:fill="CCEEFF"/>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 Agent</w:t>
            </w:r>
          </w:p>
        </w:tc>
        <w:tc>
          <w:tcPr>
            <w:tcW w:w="1220" w:type="dxa"/>
            <w:vAlign w:val="bottom"/>
            <w:shd w:val="clear" w:color="auto" w:fill="CCEEFF"/>
          </w:tcPr>
          <w:p>
            <w:pPr>
              <w:spacing w:after="0"/>
              <w:rPr>
                <w:sz w:val="18"/>
                <w:szCs w:val="18"/>
                <w:color w:val="auto"/>
              </w:rPr>
            </w:pP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18.06.</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Legal Holidays</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123</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18.07.</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 Security Interest Created</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123</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18.08.</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Benefits of Indenture</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123</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18.09.</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Table of Contents, Headings, Etc</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123</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18.10.</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Authenticating Agent</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124</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18.11.</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Execution in Counterparts</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125</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18.12.</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Severability</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125</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18.13.</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Waiver of Jury Trial</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125</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18.14.</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Force Majeure</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125</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18.15.</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Calculations</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126</w:t>
            </w:r>
          </w:p>
        </w:tc>
      </w:tr>
      <w:tr>
        <w:trPr>
          <w:trHeight w:val="191"/>
        </w:trPr>
        <w:tc>
          <w:tcPr>
            <w:tcW w:w="2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Section 18.16.</w:t>
            </w:r>
          </w:p>
        </w:tc>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USA PATRIOT Act</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126</w:t>
            </w:r>
          </w:p>
        </w:tc>
      </w:tr>
      <w:tr>
        <w:trPr>
          <w:trHeight w:val="191"/>
        </w:trPr>
        <w:tc>
          <w:tcPr>
            <w:tcW w:w="2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Section 18.17.</w:t>
            </w: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Matters</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126</w:t>
            </w:r>
          </w:p>
        </w:tc>
      </w:tr>
    </w:tbl>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57"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color w:val="auto"/>
        </w:rPr>
        <w:t>Exhibit A – Form of Note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B – Form of Supplemental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 A – Permitted Liens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 B – Existing Permitted Debt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 C – Certain Permitted Payments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Schedule D – Control Agreements</w:t>
      </w:r>
    </w:p>
    <w:p>
      <w:pPr>
        <w:spacing w:after="0" w:line="37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40" w:right="1440" w:bottom="1440" w:gutter="0" w:footer="0" w:header="0"/>
        </w:sectPr>
      </w:pPr>
    </w:p>
    <w:bookmarkStart w:id="14" w:name="page15"/>
    <w:bookmarkEnd w:id="14"/>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INDENTURE dated as of April [__], 2026 among SUNPOWER INC., a Delaware corporation, as issuer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as more fully set forth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the Guarantors (as defined herein), and U.S. BANK TRUST COMPANY, NATIONAL ASSOCIATION, a national banking association organized under the laws of the United States,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xml:space="preserve">,” as more fully set forth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and collateral agent (in such capacity, the “</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xml:space="preserve">”, as more fully set forth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96"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WHEREAS, for its lawful corporate purposes, the Company has duly authorized the issuance of its 10.00% Convertible Senior Secured Notes due 2029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initially in an aggregate principal amount not to exceed $41,000,000 (unless increased by an amount equal to the aggregate principal amount of any Additional Notes issued in accordance with the terms of this Indenture), and in order to provide the terms and conditions upon which the Notes are to be authenticated, issued and delivered, the Company and the Guarantors have duly authorized the execution and delivery of this Indenture; and</w:t>
      </w:r>
    </w:p>
    <w:p>
      <w:pPr>
        <w:spacing w:after="0" w:line="161"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all acts and things necessary to make this Indenture, when executed by the Company, the Guarantors, the Trustee and the Collateral Agent, a valid agreement according to its terms, have been done and performed, and the execution of this Indenture and the issuance hereunder of the Notes have in all respects been duly authorized.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THIS INDENTURE WITNESSETH:</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and the Guarantors covenant and agree with the Trustee and Collateral Agent for the equal and proportionate benefit of the respective Holders from time to time of the Notes (except as otherwise provided below),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80"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The terms defined in this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(except as herein otherwise expressly provided or unless the context otherwise requires) for all purposes of this Indenture and of any indenture supplemental hereto shall have the respective meanings specified in this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The words “herein,” “hereof,” “hereunder” and words of similar import refer to this Indenture as a whole and not to any particular Article, Section or other subdivision. The terms defined in this Article include the plural as well as the singular.</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5" w:name="page16"/>
    <w:bookmarkEnd w:id="15"/>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Interest</w:t>
      </w:r>
      <w:r>
        <w:rPr>
          <w:rFonts w:ascii="Times New Roman" w:cs="Times New Roman" w:eastAsia="Times New Roman" w:hAnsi="Times New Roman"/>
          <w:sz w:val="16"/>
          <w:szCs w:val="16"/>
          <w:color w:val="auto"/>
        </w:rPr>
        <w:t xml:space="preserve">” means all amounts, if any, payable pursuant to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4.06(e)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as applicable.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Notes</w:t>
      </w:r>
      <w:r>
        <w:rPr>
          <w:rFonts w:ascii="Times New Roman" w:cs="Times New Roman" w:eastAsia="Times New Roman" w:hAnsi="Times New Roman"/>
          <w:sz w:val="16"/>
          <w:szCs w:val="16"/>
          <w:color w:val="auto"/>
        </w:rPr>
        <w:t>” means any additional Notes issued subsequent to the date of this Indenture in accordance with the terms of this Indenture.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15.03(a)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of another Person for purposes of this Indenture shall be made based on the facts at the time such determination is made or required to be made, as the case may be, 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 Entities</w:t>
      </w:r>
      <w:r>
        <w:rPr>
          <w:rFonts w:ascii="Times New Roman" w:cs="Times New Roman" w:eastAsia="Times New Roman" w:hAnsi="Times New Roman"/>
          <w:sz w:val="16"/>
          <w:szCs w:val="16"/>
          <w:color w:val="auto"/>
        </w:rPr>
        <w:t>” means, collectively, the Rodgers Massey Revocable Living Trust and Rodgers Family Freedom and Free Market Trust.</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 Notes</w:t>
      </w:r>
      <w:r>
        <w:rPr>
          <w:rFonts w:ascii="Times New Roman" w:cs="Times New Roman" w:eastAsia="Times New Roman" w:hAnsi="Times New Roman"/>
          <w:sz w:val="16"/>
          <w:szCs w:val="16"/>
          <w:color w:val="auto"/>
        </w:rPr>
        <w:t>” means Notes sold to the Affiliate Entities and any Note issued in exchange therefor or substitution thereof, other than any such Note that has been sold to a non- Affiliate of the Company (which has not been an Affiliate of the Company within the three months preceding such sale) pursuant to, and in accordance with, a registration statement that is effective under the Securities Act at the time of sale or pursuant to Rule 144 under the Securities Act.</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 Restrictive Notes Legend</w:t>
      </w:r>
      <w:r>
        <w:rPr>
          <w:rFonts w:ascii="Times New Roman" w:cs="Times New Roman" w:eastAsia="Times New Roman" w:hAnsi="Times New Roman"/>
          <w:sz w:val="16"/>
          <w:szCs w:val="16"/>
          <w:color w:val="auto"/>
        </w:rPr>
        <w:t>” shall mean the legend set forth in Exhibit A applicable to any Affiliate Note.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 Restrictive Stock Legend</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Sale</w:t>
      </w:r>
      <w:r>
        <w:rPr>
          <w:rFonts w:ascii="Times New Roman" w:cs="Times New Roman" w:eastAsia="Times New Roman" w:hAnsi="Times New Roman"/>
          <w:sz w:val="16"/>
          <w:szCs w:val="16"/>
          <w:color w:val="auto"/>
        </w:rPr>
        <w:t>” means:</w:t>
      </w:r>
    </w:p>
    <w:p>
      <w:pPr>
        <w:spacing w:after="0" w:line="200" w:lineRule="exact"/>
        <w:rPr>
          <w:sz w:val="20"/>
          <w:szCs w:val="20"/>
          <w:color w:val="auto"/>
        </w:rPr>
      </w:pPr>
    </w:p>
    <w:p>
      <w:pPr>
        <w:ind w:right="20" w:firstLine="569"/>
        <w:spacing w:after="0" w:line="280" w:lineRule="auto"/>
        <w:tabs>
          <w:tab w:leader="none" w:pos="79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conveyance, transfer or other Disposition (whether in a single transaction or a series of related transactions) of Property or assets of the Company or any Subsidiary; or</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82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conveyance, transfer or other Disposition of Capital Stock (other than director’s qualifying shares, shares or interests required to be held by foreign nationals or other third parties to the extent required by applicable law) of any Subsidiary (other than to the Company or a Wholly Owned Subsidiary), whether in a single transaction or a series of related transactions;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 than, in each case of clause (a) and (b) of this definition:</w:t>
      </w:r>
    </w:p>
    <w:p>
      <w:pPr>
        <w:spacing w:after="0" w:line="198" w:lineRule="exact"/>
        <w:rPr>
          <w:sz w:val="20"/>
          <w:szCs w:val="20"/>
          <w:color w:val="auto"/>
        </w:rPr>
      </w:pPr>
    </w:p>
    <w:p>
      <w:pPr>
        <w:jc w:val="both"/>
        <w:ind w:firstLine="1143"/>
        <w:spacing w:after="0" w:line="265" w:lineRule="auto"/>
        <w:tabs>
          <w:tab w:leader="none" w:pos="135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exchange or other Disposition of obsolete, damaged, unnecessary, unsuitable or worn out equipment, or other assets, in the ordinary course of business, or Dispositions of property no longer used, useful or economically practicable to maintain in the conduct of the business of the Company and its Subsidiaries, taken as a whole;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6" w:name="page17"/>
    <w:bookmarkEnd w:id="16"/>
    <w:p>
      <w:pPr>
        <w:ind w:left="1140"/>
        <w:spacing w:after="0"/>
        <w:rPr>
          <w:sz w:val="20"/>
          <w:szCs w:val="20"/>
          <w:color w:val="auto"/>
        </w:rPr>
      </w:pPr>
      <w:r>
        <w:rPr>
          <w:rFonts w:ascii="Times New Roman" w:cs="Times New Roman" w:eastAsia="Times New Roman" w:hAnsi="Times New Roman"/>
          <w:sz w:val="16"/>
          <w:szCs w:val="16"/>
          <w:color w:val="auto"/>
        </w:rPr>
        <w:t>(ii) the sale, conveyance, lease or other Disposition of all or substantially all of the assets of the Company or any Guarantor in compliance with the provisions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of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w:t>
      </w:r>
    </w:p>
    <w:p>
      <w:pPr>
        <w:spacing w:after="0" w:line="182" w:lineRule="exact"/>
        <w:rPr>
          <w:sz w:val="20"/>
          <w:szCs w:val="20"/>
          <w:color w:val="auto"/>
        </w:rPr>
      </w:pPr>
    </w:p>
    <w:p>
      <w:pPr>
        <w:ind w:left="1420" w:hanging="277"/>
        <w:spacing w:after="0"/>
        <w:tabs>
          <w:tab w:leader="none" w:pos="1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Restricted Payment or a Permitted Investment that is permitted to be made, and is made, under </w:t>
      </w:r>
      <w:r>
        <w:rPr>
          <w:rFonts w:ascii="Times New Roman" w:cs="Times New Roman" w:eastAsia="Times New Roman" w:hAnsi="Times New Roman"/>
          <w:sz w:val="16"/>
          <w:szCs w:val="16"/>
          <w:u w:val="single" w:color="auto"/>
          <w:color w:val="auto"/>
        </w:rPr>
        <w:t>Section 4.13</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41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Disposition of assets or issuance or sale of Capital Stock of any Subsidiary, in a single transaction or series of related transactions, together with other Dispositions, issuances and sales utilizing this clause (iv), with an aggregate Fair Market Value of less than $1,000,000;</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Dispositions among the Company and its Subsidiaries that are Guarantors or by any Subsidiary to the Company or any Guarantor and (ii) Dispositions among Subsidiaries which are not Guarantors;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settlement of or payment in respect of any property or casualty insurance claim or any condemnation proceeding relating to any property or assets of the Company or any of its Subsidiaries;</w:t>
      </w:r>
    </w:p>
    <w:p>
      <w:pPr>
        <w:spacing w:after="0" w:line="144"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or other Disposition deemed to occur in connection with the granting or creation of any Lien permitted under this Indenture;</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licensing or sub-licensing of general intangibles other than Intellectual Property in the ordinary course of business;</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42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lease, assignment, license or sublease of inventory, equipment, accounts receivable or other current assets held for sale in the ordinary course of business, and Dispositions of accounts receivable in connection with the collection or compromise thereof;</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assignment, license, sublicense or sublease of any real or personal property in the ordinary course of business;</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43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exchange of assets for Related Business Assets (including a combination of Related Business Assets and a de minimis amount of cash or Cash Equivalents) of comparable or greater Fair Market Value, as determined in good faith by the Company;</w:t>
      </w:r>
    </w:p>
    <w:p>
      <w:pPr>
        <w:spacing w:after="0" w:line="144"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non-exclusive licenses, sublicenses or cross-licenses of Intellectual Property in the ordinary course of business and consistent with past practices;</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surrender or waiver of contract rights or settlement, release or surrender of a contract, tort or other litigation claim in the ordinary course of business;</w:t>
      </w:r>
    </w:p>
    <w:p>
      <w:pPr>
        <w:spacing w:after="0" w:line="209" w:lineRule="exact"/>
        <w:rPr>
          <w:rFonts w:ascii="Times New Roman" w:cs="Times New Roman" w:eastAsia="Times New Roman" w:hAnsi="Times New Roman"/>
          <w:sz w:val="15"/>
          <w:szCs w:val="15"/>
          <w:color w:val="auto"/>
        </w:rPr>
      </w:pPr>
    </w:p>
    <w:p>
      <w:pPr>
        <w:ind w:left="1500" w:hanging="357"/>
        <w:spacing w:after="0"/>
        <w:tabs>
          <w:tab w:leader="none" w:pos="1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exchange or other Disposition of cash or Cash Equivalents or investment grade securities in the ordinary course of business; or</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45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lapse, abandonment or other Disposition of registered patents, trademarks and other intellectual property of the Company and its Subsidiaries to the extent not economically desirable in the conduct of their businesses.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Bankruptcy Code</w:t>
      </w:r>
      <w:r>
        <w:rPr>
          <w:rFonts w:ascii="Times New Roman" w:cs="Times New Roman" w:eastAsia="Times New Roman" w:hAnsi="Times New Roman"/>
          <w:sz w:val="16"/>
          <w:szCs w:val="16"/>
          <w:color w:val="auto"/>
        </w:rPr>
        <w:t>” means Title 11 of the United States Code, as amended.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 or a committee of such board duly authorized to act for it hereunder.</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Resolution</w:t>
      </w:r>
      <w:r>
        <w:rPr>
          <w:rFonts w:ascii="Times New Roman" w:cs="Times New Roman" w:eastAsia="Times New Roman" w:hAnsi="Times New Roman"/>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Beneficial Ownership Limitations</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Combination Event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with respect to any Note, any day other than a Saturday, a Sunday or a day on which the Federal Reserve Bank of New York is authorized or required by law or executive order to close or be closed.</w:t>
      </w:r>
    </w:p>
    <w:p>
      <w:pPr>
        <w:spacing w:after="0" w:line="14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Lease</w:t>
      </w:r>
      <w:r>
        <w:rPr>
          <w:rFonts w:ascii="Times New Roman" w:cs="Times New Roman" w:eastAsia="Times New Roman" w:hAnsi="Times New Roman"/>
          <w:sz w:val="16"/>
          <w:szCs w:val="16"/>
          <w:color w:val="auto"/>
        </w:rPr>
        <w:t>” means any lease (or other arrangement conveying the right to use real or personal Property) that is required to be capitalized for financial reporting purposes in accordance with GAAP (with the amount of any Indebtedness in respect of a Capital Lease being the capitalized amount of the obligations under such Capital Lease determined in accordance with GAAP or similar accounting standard or guidance).</w:t>
      </w:r>
    </w:p>
    <w:p>
      <w:pPr>
        <w:spacing w:after="0" w:line="153"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 the following:</w:t>
      </w:r>
    </w:p>
    <w:p>
      <w:pPr>
        <w:spacing w:after="0" w:line="200" w:lineRule="exact"/>
        <w:rPr>
          <w:sz w:val="20"/>
          <w:szCs w:val="20"/>
          <w:color w:val="auto"/>
        </w:rPr>
      </w:pPr>
    </w:p>
    <w:p>
      <w:pPr>
        <w:jc w:val="both"/>
        <w:ind w:right="20" w:firstLine="569"/>
        <w:spacing w:after="0" w:line="259" w:lineRule="auto"/>
        <w:tabs>
          <w:tab w:leader="none" w:pos="79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readily marketable obligations issued or directly and fully guaranteed or insured by the government or any agency or instrumentality of the United States rated “A” or higher by S&amp;P or “A-2” or higher by Moody’s (or, if at any time neither S&amp;P nor Moody’s shall be rating such obligations, an equivalent rating from another “nationally-recognized statistical rating organization” (as defined in Rule 436 under the Securities Act)), having average maturities of not more than 12 months from the date of acquisition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full faith and credit of the United States is pledged in support thereof;</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1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deposit accounts, certificates of deposit and money market deposits maturing within 12 months of the date of acquisition thereof issued by a bank or trust company organized under the laws of the United States of America or any state thereof whose long-term debt is rated “A-3” or “A-” or higher according to Moody’s or S&amp;P (or such similar equivalent rating by at least one “nationally-recognized statistical rating organization” (as defined in Rule 436 under the Securities Act));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8" w:name="page19"/>
    <w:bookmarkEnd w:id="18"/>
    <w:p>
      <w:pPr>
        <w:ind w:left="780" w:hanging="211"/>
        <w:spacing w:after="0"/>
        <w:tabs>
          <w:tab w:leader="none" w:pos="7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repurchase obligations with a term of not more than 30 days for underlying securities of the types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entered into with:</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bank meeting the qualifications described in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above; or</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primary government securities dealer reporting to the Market Reports Division of the Federal Reserve Bank of New York;</w:t>
      </w:r>
    </w:p>
    <w:p>
      <w:pPr>
        <w:spacing w:after="0" w:line="198" w:lineRule="exact"/>
        <w:rPr>
          <w:rFonts w:ascii="Times New Roman" w:cs="Times New Roman" w:eastAsia="Times New Roman" w:hAnsi="Times New Roman"/>
          <w:sz w:val="16"/>
          <w:szCs w:val="16"/>
          <w:color w:val="auto"/>
        </w:rPr>
      </w:pPr>
    </w:p>
    <w:p>
      <w:pPr>
        <w:jc w:val="both"/>
        <w:ind w:firstLine="569"/>
        <w:spacing w:after="0" w:line="259" w:lineRule="auto"/>
        <w:tabs>
          <w:tab w:leader="none" w:pos="80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paper, maturing not more than 12 months after the date of acquisition, issued by a corporation (other than an Affiliate of the Company) organized and in existence under the laws of the United States of America with a rating at the time as of which any investment therein is made of “P-1” (or higher) according to Moody’s or “A-1” (or higher) according to S&amp;P (or such similar equivalent rating by at least one “nationally-recognized statistical rating organization” (as defined in Rule 436 under the Securities Act)); and</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9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such similar equivalent rating by at least one “nationally recognized statistical rating organization” (as defined in Rule 436 under the Securities Act)).</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Settlement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CERCLA</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8.02(j)</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CFC</w:t>
      </w:r>
      <w:r>
        <w:rPr>
          <w:rFonts w:ascii="Times New Roman" w:cs="Times New Roman" w:eastAsia="Times New Roman" w:hAnsi="Times New Roman"/>
          <w:sz w:val="16"/>
          <w:szCs w:val="16"/>
          <w:color w:val="auto"/>
        </w:rPr>
        <w:t>” means (a) any Person that is a “controlled foreign corporation” (within the meaning of Section 957 of the Code) and (b) each Subsidiary of any Person described in clause (a).</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means 5:00 p.m. (New York City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198"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w:t>
      </w:r>
      <w:r>
        <w:rPr>
          <w:rFonts w:ascii="Times New Roman" w:cs="Times New Roman" w:eastAsia="Times New Roman" w:hAnsi="Times New Roman"/>
          <w:sz w:val="16"/>
          <w:szCs w:val="16"/>
          <w:color w:val="auto"/>
        </w:rPr>
        <w:t>” means, collectively, all of the Property pledged or granted as collateral pursuant to the Security Agreement delivered on the date of this Indenture or thereafter pursuant to this Indenture or the Collateral Documents and all other Property of whatever kind and nature, whether now existing or hereafter acquired, pledged or purported to be pledged as collateral or otherwise subject to a security interest or purported to be subject to a security interest under any Collateral Document, excluding in all events Excluded Assets.</w:t>
      </w:r>
    </w:p>
    <w:p>
      <w:pPr>
        <w:spacing w:after="0" w:line="159"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means the Person named as the “Collateral Agent” in the first paragraph of this Indenture until a successor Collateral Agent shall have become such pursuant to the applicable provisions of this Indenture, and thereafter “</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shall mean or include each Person who is then a Collateral Agent 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 Documents</w:t>
      </w:r>
      <w:r>
        <w:rPr>
          <w:rFonts w:ascii="Times New Roman" w:cs="Times New Roman" w:eastAsia="Times New Roman" w:hAnsi="Times New Roman"/>
          <w:sz w:val="16"/>
          <w:szCs w:val="16"/>
          <w:color w:val="auto"/>
        </w:rPr>
        <w:t xml:space="preserve">” means, collectively, the Security Agreement and each other security agreement or pledge agreement executed and delivered pursuant to </w:t>
      </w:r>
      <w:r>
        <w:rPr>
          <w:rFonts w:ascii="Times New Roman" w:cs="Times New Roman" w:eastAsia="Times New Roman" w:hAnsi="Times New Roman"/>
          <w:sz w:val="16"/>
          <w:szCs w:val="16"/>
          <w:u w:val="single" w:color="auto"/>
          <w:color w:val="auto"/>
        </w:rPr>
        <w:t>Section 4.09</w:t>
      </w:r>
      <w:r>
        <w:rPr>
          <w:rFonts w:ascii="Times New Roman" w:cs="Times New Roman" w:eastAsia="Times New Roman" w:hAnsi="Times New Roman"/>
          <w:sz w:val="16"/>
          <w:szCs w:val="16"/>
          <w:color w:val="auto"/>
        </w:rPr>
        <w:t xml:space="preserve"> to secure any of the Obligations.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Equity</w:t>
      </w:r>
      <w:r>
        <w:rPr>
          <w:rFonts w:ascii="Times New Roman" w:cs="Times New Roman" w:eastAsia="Times New Roman" w:hAnsi="Times New Roman"/>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xml:space="preserve">” means the common stock of the Company, par value $0.0001 per share, at the date of this Indenture, subject to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shall have the meaning specified in the first paragraph of this Indenture, and subject to the provisions of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shall include its successors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assigns.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Order</w:t>
      </w:r>
      <w:r>
        <w:rPr>
          <w:rFonts w:ascii="Times New Roman" w:cs="Times New Roman" w:eastAsia="Times New Roman" w:hAnsi="Times New Roman"/>
          <w:sz w:val="16"/>
          <w:szCs w:val="16"/>
          <w:color w:val="auto"/>
        </w:rPr>
        <w:t>” means a written order of the Company, signed by any of its Officers and delivered to the Trustee.</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Control Agreement</w:t>
      </w:r>
      <w:r>
        <w:rPr>
          <w:rFonts w:ascii="Times New Roman" w:cs="Times New Roman" w:eastAsia="Times New Roman" w:hAnsi="Times New Roman"/>
          <w:sz w:val="16"/>
          <w:szCs w:val="16"/>
          <w:color w:val="auto"/>
        </w:rPr>
        <w:t>” means a control agreement, in form reasonably satisfactory to the Trustee and the Collateral Agent (it being agreed that any agreement requiring the Trustee or the Collateral Agent to indemnify any third party in the Trustee and the Collateral Agent’s individual capacity shall not be satisfactory to the Trustee and the Collateral Agent), executed and delivered by the Company and/or Guarantor, the Trustee and the Collateral Agent, and the applicable depository bank with respect to a Deposit Account.</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15.12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15.02(c)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15.01(a)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Price</w:t>
      </w:r>
      <w:r>
        <w:rPr>
          <w:rFonts w:ascii="Times New Roman" w:cs="Times New Roman" w:eastAsia="Times New Roman" w:hAnsi="Times New Roman"/>
          <w:sz w:val="16"/>
          <w:szCs w:val="16"/>
          <w:color w:val="auto"/>
        </w:rPr>
        <w:t xml:space="preserve">” means as of any time, $1,000,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Conversion Rate as of such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15.01(a)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Trust Office</w:t>
      </w:r>
      <w:r>
        <w:rPr>
          <w:rFonts w:ascii="Times New Roman" w:cs="Times New Roman" w:eastAsia="Times New Roman" w:hAnsi="Times New Roman"/>
          <w:sz w:val="16"/>
          <w:szCs w:val="16"/>
          <w:color w:val="auto"/>
        </w:rPr>
        <w:t>” means the designated office of the Trustee at which at any time this Indenture shall be administered, which office at the date hereof is located at U.S. Bank Trust Company, National Association, 633 West 5th Street, 24th Floor, Los Angeles, CA 90071, Attention: Bradley E. Scarbrough, or such other address in the continental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0" w:name="page21"/>
    <w:bookmarkEnd w:id="20"/>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Custodian</w:t>
      </w:r>
      <w:r>
        <w:rPr>
          <w:rFonts w:ascii="Times New Roman" w:cs="Times New Roman" w:eastAsia="Times New Roman" w:hAnsi="Times New Roman"/>
          <w:sz w:val="16"/>
          <w:szCs w:val="16"/>
          <w:color w:val="auto"/>
        </w:rPr>
        <w:t>” means (i) the Trustee, as custodian for The Depository Trust Company, with respect to the Global Notes, or any successor entity thereto, or (ii) U.S. Bank Trust Company, National Association, as custodian on behalf of the Holders of Physical Notes (including any Affiliate Notes), or any successor entity thereto.</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Custodied Notes</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Conversion Value</w:t>
      </w:r>
      <w:r>
        <w:rPr>
          <w:rFonts w:ascii="Times New Roman" w:cs="Times New Roman" w:eastAsia="Times New Roman" w:hAnsi="Times New Roman"/>
          <w:sz w:val="16"/>
          <w:szCs w:val="16"/>
          <w:color w:val="auto"/>
        </w:rPr>
        <w:t>” means, for each of the 20 consecutive Trading Days during the Observation Period, 5.0% of the product of (a) the Conversion Rate on such Trading Day and (b) the Daily VWAP for such Trading Day.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Measurement Value</w:t>
      </w:r>
      <w:r>
        <w:rPr>
          <w:rFonts w:ascii="Times New Roman" w:cs="Times New Roman" w:eastAsia="Times New Roman" w:hAnsi="Times New Roman"/>
          <w:sz w:val="16"/>
          <w:szCs w:val="16"/>
          <w:color w:val="auto"/>
        </w:rPr>
        <w:t xml:space="preserve">” means the Specified Dollar Amount (if any),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20.</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Settlement Amount</w:t>
      </w:r>
      <w:r>
        <w:rPr>
          <w:rFonts w:ascii="Times New Roman" w:cs="Times New Roman" w:eastAsia="Times New Roman" w:hAnsi="Times New Roman"/>
          <w:sz w:val="16"/>
          <w:szCs w:val="16"/>
          <w:color w:val="auto"/>
        </w:rPr>
        <w:t>,” for each of the 20 consecutive Trading Days during the Observation Period, shall consist of:</w:t>
      </w:r>
    </w:p>
    <w:p>
      <w:pPr>
        <w:spacing w:after="0" w:line="200" w:lineRule="exact"/>
        <w:rPr>
          <w:sz w:val="20"/>
          <w:szCs w:val="20"/>
          <w:color w:val="auto"/>
        </w:rPr>
      </w:pPr>
    </w:p>
    <w:p>
      <w:pPr>
        <w:ind w:left="780" w:hanging="211"/>
        <w:spacing w:after="0"/>
        <w:tabs>
          <w:tab w:leader="none" w:pos="7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 an amount equal to the lesser of (i) the Daily Measurement Value and (ii) the Daily Conversion Value on such Trading Day; and</w:t>
      </w:r>
    </w:p>
    <w:p>
      <w:pPr>
        <w:spacing w:after="0" w:line="198" w:lineRule="exact"/>
        <w:rPr>
          <w:rFonts w:ascii="Times New Roman" w:cs="Times New Roman" w:eastAsia="Times New Roman" w:hAnsi="Times New Roman"/>
          <w:sz w:val="16"/>
          <w:szCs w:val="16"/>
          <w:color w:val="auto"/>
        </w:rPr>
      </w:pPr>
    </w:p>
    <w:p>
      <w:pPr>
        <w:ind w:firstLine="569"/>
        <w:spacing w:after="0" w:line="280" w:lineRule="auto"/>
        <w:tabs>
          <w:tab w:leader="none" w:pos="8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(ii) the Daily VWAP for such Trading Day.</w:t>
      </w:r>
    </w:p>
    <w:p>
      <w:pPr>
        <w:spacing w:after="0" w:line="14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the per share volume-weighted average price as displayed under the heading “Bloomberg VWAP” on Bloomberg page “SPWR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shall be determined without regard to after-hours trading or any other trading outside of the regular trading session trading hours.</w:t>
      </w:r>
    </w:p>
    <w:p>
      <w:pPr>
        <w:spacing w:after="0" w:line="162"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Debtor Relief Laws</w:t>
      </w:r>
      <w:r>
        <w:rPr>
          <w:rFonts w:ascii="Times New Roman" w:cs="Times New Roman" w:eastAsia="Times New Roman" w:hAnsi="Times New Roman"/>
          <w:sz w:val="16"/>
          <w:szCs w:val="16"/>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any event that is, or after notice or passage of time, or both, would be, an Event of Default.</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Defaulted Amounts</w:t>
      </w:r>
      <w:r>
        <w:rPr>
          <w:rFonts w:ascii="Times New Roman" w:cs="Times New Roman" w:eastAsia="Times New Roman" w:hAnsi="Times New Roman"/>
          <w:sz w:val="16"/>
          <w:szCs w:val="16"/>
          <w:color w:val="auto"/>
        </w:rPr>
        <w:t>” means any amounts on any Note (including, without limitation, the Fundamental Change Repurchase Price, principal and interest) that are payable but are not punctually paid or duly provided for.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1" w:name="page22"/>
    <w:bookmarkEnd w:id="2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 Account</w:t>
      </w:r>
      <w:r>
        <w:rPr>
          <w:rFonts w:ascii="Times New Roman" w:cs="Times New Roman" w:eastAsia="Times New Roman" w:hAnsi="Times New Roman"/>
          <w:sz w:val="16"/>
          <w:szCs w:val="16"/>
          <w:color w:val="auto"/>
        </w:rPr>
        <w:t>” means any “deposit account,” as such term is defined in the UCC, and includes any checking account, savings account, or certificate of deposit.</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xml:space="preserve">” means, with respect to each Global Note, the Person specified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shall mean or include such successor.</w:t>
      </w:r>
    </w:p>
    <w:p>
      <w:pPr>
        <w:spacing w:after="0" w:line="14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Non-Cash Consideration</w:t>
      </w:r>
      <w:r>
        <w:rPr>
          <w:rFonts w:ascii="Times New Roman" w:cs="Times New Roman" w:eastAsia="Times New Roman" w:hAnsi="Times New Roman"/>
          <w:sz w:val="16"/>
          <w:szCs w:val="16"/>
          <w:color w:val="auto"/>
        </w:rPr>
        <w:t xml:space="preserve">” means the Fair Market Value of non-cash consideration received by the Company or a Subsidiary in connection with an Asset Sale pursuant to </w:t>
      </w:r>
      <w:r>
        <w:rPr>
          <w:rFonts w:ascii="Times New Roman" w:cs="Times New Roman" w:eastAsia="Times New Roman" w:hAnsi="Times New Roman"/>
          <w:sz w:val="16"/>
          <w:szCs w:val="16"/>
          <w:u w:val="single" w:color="auto"/>
          <w:color w:val="auto"/>
        </w:rPr>
        <w:t>Section 4.16</w:t>
      </w:r>
      <w:r>
        <w:rPr>
          <w:rFonts w:ascii="Times New Roman" w:cs="Times New Roman" w:eastAsia="Times New Roman" w:hAnsi="Times New Roman"/>
          <w:sz w:val="16"/>
          <w:szCs w:val="16"/>
          <w:color w:val="auto"/>
        </w:rPr>
        <w:t xml:space="preserve"> that is designated as Designated Non-Cash Consideration pursuant to a certificate of a Responsible Officer of the Company, setting forth the basis of such valuation.</w:t>
      </w:r>
    </w:p>
    <w:p>
      <w:pPr>
        <w:spacing w:after="0" w:line="153"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Disposition</w:t>
      </w:r>
      <w:r>
        <w:rPr>
          <w:rFonts w:ascii="Times New Roman" w:cs="Times New Roman" w:eastAsia="Times New Roman" w:hAnsi="Times New Roman"/>
          <w:sz w:val="16"/>
          <w:szCs w:val="16"/>
          <w:color w:val="auto"/>
        </w:rPr>
        <w:t>” means the sale, transfer, issuance, license, lease or other disposition (including any sale and leaseback transaction), whether in one transaction or in a series of transactions, of any property or assets (including, without limitation, any Capital Stock of the Company or any of its Subsidiaries)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5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Stock</w:t>
      </w:r>
      <w:r>
        <w:rPr>
          <w:rFonts w:ascii="Times New Roman" w:cs="Times New Roman" w:eastAsia="Times New Roman" w:hAnsi="Times New Roman"/>
          <w:sz w:val="16"/>
          <w:szCs w:val="16"/>
          <w:color w:val="auto"/>
        </w:rPr>
        <w:t xml:space="preserve">”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(other than, in each case, any provision requiring an offer to purchase such Capital Stock as a result of a change of control, delisting, asset sale or similar provision or any other provision permitting holders to convert such Capital Stock so long as any right of the holders thereof upon the occurrence of a change of control, delisting, asset sale or similar provision shall be subject to the prior repayment in full in cash of the Notes and the other Obligations);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Capital Stock is issued pursuant to a plan for the benefit of employees of the Company or any of its Subsidiaries or by any such plan to such employees, such Capital Stock shall not constitute Disqualified Stock solely because it may be required to be repurchased by the Company in order to satisfy applicable statutory or regulatory obligations. The amount of Disqualified Stock deemed to be outstanding at any time for purposes of this Indenture will be the maximum amount that the Company and its Subsidiaries may become obligated to pay upon maturity of, or pursuant to any mandatory redemption provisions of, such Disqualified Stock or portion thereof, plus accrued dividends.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Domestic Foreign Holding Company</w:t>
      </w:r>
      <w:r>
        <w:rPr>
          <w:rFonts w:ascii="Times New Roman" w:cs="Times New Roman" w:eastAsia="Times New Roman" w:hAnsi="Times New Roman"/>
          <w:sz w:val="16"/>
          <w:szCs w:val="16"/>
          <w:color w:val="auto"/>
        </w:rPr>
        <w:t>” means, as to any Person, any Domestic Subsidiary of such Person that has no material assets other than the equity of one or more CFC.</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Domestic Subsidiary</w:t>
      </w:r>
      <w:r>
        <w:rPr>
          <w:rFonts w:ascii="Times New Roman" w:cs="Times New Roman" w:eastAsia="Times New Roman" w:hAnsi="Times New Roman"/>
          <w:sz w:val="16"/>
          <w:szCs w:val="16"/>
          <w:color w:val="auto"/>
        </w:rPr>
        <w:t>” means a Subsidiary that is not a Foreign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 w:name="page23"/>
    <w:bookmarkEnd w:id="22"/>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15.03(c)</w:t>
      </w:r>
      <w:r>
        <w:rPr>
          <w:rFonts w:ascii="Times New Roman" w:cs="Times New Roman" w:eastAsia="Times New Roman" w:hAnsi="Times New Roman"/>
          <w:sz w:val="16"/>
          <w:szCs w:val="16"/>
          <w:color w:val="auto"/>
        </w:rPr>
        <w:t xml:space="preserve">, except that, as used in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15.05</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spacing w:after="0" w:line="159"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means Capital Stock and all warrants, options or other rights to acquire Capital Stock (but excluding any debt security that is convertible into, or exchangeable for, any combination of Capital Stock and/or cash).</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15.12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Account</w:t>
      </w:r>
      <w:r>
        <w:rPr>
          <w:rFonts w:ascii="Times New Roman" w:cs="Times New Roman" w:eastAsia="Times New Roman" w:hAnsi="Times New Roman"/>
          <w:sz w:val="16"/>
          <w:szCs w:val="16"/>
          <w:color w:val="auto"/>
        </w:rPr>
        <w:t>” means: (i) any Deposit Account having an aggregate balance of not more than $250,000 at any one time and not more than $2,000,000 when aggregated together with the balance in all other Deposit Accounts constituting Excluded Accounts pursuant to this clause (i); (ii) any Deposit Account used exclusively for payroll, payroll taxes and other employee wage and benefit payments maintained in the ordinary course of business and consistent with past practice and with a balance no greater than the payroll, payroll taxes and other employee wages and benefit payment obligations that are to be paid during any one month period; or (iii) any Deposit Account constituting a “zero balance” account.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Assets</w:t>
      </w:r>
      <w:r>
        <w:rPr>
          <w:rFonts w:ascii="Times New Roman" w:cs="Times New Roman" w:eastAsia="Times New Roman" w:hAnsi="Times New Roman"/>
          <w:sz w:val="16"/>
          <w:szCs w:val="16"/>
          <w:color w:val="auto"/>
        </w:rPr>
        <w:t>” shall have the meaning specified in the Security Agreement.</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Capital Stock</w:t>
      </w:r>
      <w:r>
        <w:rPr>
          <w:rFonts w:ascii="Times New Roman" w:cs="Times New Roman" w:eastAsia="Times New Roman" w:hAnsi="Times New Roman"/>
          <w:sz w:val="16"/>
          <w:szCs w:val="16"/>
          <w:color w:val="auto"/>
        </w:rPr>
        <w:t>” means the Capital Stock of any non-Wholly Owned Subsidiary or entities that do not constitute Subsidiaries, in each case, solely to the extent the organizational documents or other agreements with the equity holders of such non-Wholly Owned Subsidiaries or other entities (x) restrict or do not permit the pledge of such Capital Stock or (y) provide for any termination right, repurchase obligation, or similar adverse consequence to the Note Parties or such non-Wholly Owned Subsidiary or other entity as a result of the pledge of such Capital Stock, in each case to the extent such restriction, termination right, repurchase obligation, or other provision existed on the Issue Date or on the date of acquisition of such non-Wholly Owned Subsidiary or other entity and was not entered into in contemplation thereof.</w:t>
      </w:r>
    </w:p>
    <w:p>
      <w:pPr>
        <w:spacing w:after="0" w:line="162"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Ex-Dividend Date</w:t>
      </w:r>
      <w:r>
        <w:rPr>
          <w:rFonts w:ascii="Times New Roman" w:cs="Times New Roman" w:eastAsia="Times New Roman" w:hAnsi="Times New Roman"/>
          <w:sz w:val="16"/>
          <w:szCs w:val="16"/>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Exempted Fundamental Change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16.02(f)</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 w:name="page24"/>
    <w:bookmarkEnd w:id="23"/>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Existing Permitted Debt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4.12(b)(i)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Fair Market Value</w:t>
      </w:r>
      <w:r>
        <w:rPr>
          <w:rFonts w:ascii="Times New Roman" w:cs="Times New Roman" w:eastAsia="Times New Roman" w:hAnsi="Times New Roman"/>
          <w:sz w:val="16"/>
          <w:szCs w:val="16"/>
          <w:color w:val="auto"/>
        </w:rPr>
        <w:t>” means, with respect to any Property at the time of determination, the price that could be negotiated in an arm’s-length free market transaction, for cash, between a willing seller and a willing buyer, neither of whom is under pressure or compulsion to complete the transaction. Fair Market Value shall be determined, except as otherwise provided, in good faith by an Officer of the Company.</w:t>
      </w:r>
    </w:p>
    <w:p>
      <w:pPr>
        <w:spacing w:after="0" w:line="153"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Foreign Subsidiary</w:t>
      </w:r>
      <w:r>
        <w:rPr>
          <w:rFonts w:ascii="Times New Roman" w:cs="Times New Roman" w:eastAsia="Times New Roman" w:hAnsi="Times New Roman"/>
          <w:sz w:val="16"/>
          <w:szCs w:val="16"/>
          <w:color w:val="auto"/>
        </w:rPr>
        <w:t>” means each Subsidiary that is organized under the laws of any jurisdiction other than the United States or any state thereof or the District of Columbia (or, for the avoidance of doubt, organized in or under the laws of any U.S. possession or territory).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Assignment and Transfer</w:t>
      </w:r>
      <w:r>
        <w:rPr>
          <w:rFonts w:ascii="Times New Roman" w:cs="Times New Roman" w:eastAsia="Times New Roman" w:hAnsi="Times New Roman"/>
          <w:sz w:val="16"/>
          <w:szCs w:val="16"/>
          <w:color w:val="auto"/>
        </w:rPr>
        <w:t xml:space="preserve">” means the “Form of Assignment and Transfer” attached as Attachment 3 to the Form of Note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Fundamental Change Repurchase Notice</w:t>
      </w:r>
      <w:r>
        <w:rPr>
          <w:rFonts w:ascii="Times New Roman" w:cs="Times New Roman" w:eastAsia="Times New Roman" w:hAnsi="Times New Roman"/>
          <w:sz w:val="16"/>
          <w:szCs w:val="16"/>
          <w:color w:val="auto"/>
        </w:rPr>
        <w:t xml:space="preserve">” means the “Form of Fundamental Change Repurchase Notice” attached as Attachment 2 to the Form of Note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Note</w:t>
      </w:r>
      <w:r>
        <w:rPr>
          <w:rFonts w:ascii="Times New Roman" w:cs="Times New Roman" w:eastAsia="Times New Roman" w:hAnsi="Times New Roman"/>
          <w:sz w:val="16"/>
          <w:szCs w:val="16"/>
          <w:color w:val="auto"/>
        </w:rPr>
        <w:t xml:space="preserve">” means the “Form of Note”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Form of Notice of Conversion</w:t>
      </w:r>
      <w:r>
        <w:rPr>
          <w:rFonts w:ascii="Times New Roman" w:cs="Times New Roman" w:eastAsia="Times New Roman" w:hAnsi="Times New Roman"/>
          <w:sz w:val="16"/>
          <w:szCs w:val="16"/>
          <w:color w:val="auto"/>
        </w:rPr>
        <w:t xml:space="preserve">” means the “Form of Notice of Conversion” attached as Attachment 1 to the Form of Note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w:t>
      </w:r>
      <w:r>
        <w:rPr>
          <w:rFonts w:ascii="Times New Roman" w:cs="Times New Roman" w:eastAsia="Times New Roman" w:hAnsi="Times New Roman"/>
          <w:sz w:val="16"/>
          <w:szCs w:val="16"/>
          <w:color w:val="auto"/>
        </w:rPr>
        <w:t>” shall be deemed to have occurred at the time after the Notes are originally issued if any of the following occurs:</w:t>
      </w:r>
    </w:p>
    <w:p>
      <w:pPr>
        <w:spacing w:after="0" w:line="200" w:lineRule="exact"/>
        <w:rPr>
          <w:sz w:val="20"/>
          <w:szCs w:val="20"/>
          <w:color w:val="auto"/>
        </w:rPr>
      </w:pPr>
    </w:p>
    <w:p>
      <w:pPr>
        <w:jc w:val="both"/>
        <w:ind w:firstLine="569"/>
        <w:spacing w:after="0" w:line="253" w:lineRule="auto"/>
        <w:tabs>
          <w:tab w:leader="none" w:pos="79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in connection with transactions described in clause (b) below, a “person” or “group” within the meaning of Section 13(d) of the Exchange Act, other than the Company, its direct or indirect Wholly Owned Subsidiaries and the employee benefit plans of the Company and its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the Common Stock representing more than 50% of the voting power of the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4" w:name="page25"/>
    <w:bookmarkEnd w:id="24"/>
    <w:p>
      <w:pPr>
        <w:jc w:val="both"/>
        <w:ind w:firstLine="569"/>
        <w:spacing w:after="0" w:line="273" w:lineRule="auto"/>
        <w:tabs>
          <w:tab w:leader="none" w:pos="801"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151" w:lineRule="exact"/>
        <w:rPr>
          <w:rFonts w:ascii="Times New Roman" w:cs="Times New Roman" w:eastAsia="Times New Roman" w:hAnsi="Times New Roman"/>
          <w:sz w:val="15"/>
          <w:szCs w:val="15"/>
          <w:color w:val="auto"/>
        </w:rPr>
      </w:pPr>
    </w:p>
    <w:p>
      <w:pPr>
        <w:ind w:left="780" w:hanging="211"/>
        <w:spacing w:after="0"/>
        <w:tabs>
          <w:tab w:leader="none" w:pos="7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any plan or proposal for the liquidation or dissolution of the Company; or</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1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4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 transaction or transactions described in clause (b) above shall not constitute a Fundamental Change if at least 90% of the consideration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w:t>
      </w:r>
      <w:r>
        <w:rPr>
          <w:rFonts w:ascii="Times New Roman" w:cs="Times New Roman" w:eastAsia="Times New Roman" w:hAnsi="Times New Roman"/>
          <w:sz w:val="16"/>
          <w:szCs w:val="16"/>
          <w:u w:val="single" w:color="auto"/>
          <w:color w:val="auto"/>
        </w:rPr>
        <w:t>Section 15.02(a)</w:t>
      </w:r>
      <w:r>
        <w:rPr>
          <w:rFonts w:ascii="Times New Roman" w:cs="Times New Roman" w:eastAsia="Times New Roman" w:hAnsi="Times New Roman"/>
          <w:sz w:val="16"/>
          <w:szCs w:val="16"/>
          <w:color w:val="auto"/>
        </w:rPr>
        <w:t>).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16.02(c)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16.02(a)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16.02(b)(i)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16.02(a)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terms “</w:t>
      </w:r>
      <w:r>
        <w:rPr>
          <w:rFonts w:ascii="Times New Roman" w:cs="Times New Roman" w:eastAsia="Times New Roman" w:hAnsi="Times New Roman"/>
          <w:sz w:val="16"/>
          <w:szCs w:val="16"/>
          <w:b w:val="1"/>
          <w:bCs w:val="1"/>
          <w:color w:val="auto"/>
        </w:rPr>
        <w:t>given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mailed,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notify,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sent,</w:t>
      </w:r>
      <w:r>
        <w:rPr>
          <w:rFonts w:ascii="Times New Roman" w:cs="Times New Roman" w:eastAsia="Times New Roman" w:hAnsi="Times New Roman"/>
          <w:sz w:val="16"/>
          <w:szCs w:val="16"/>
          <w:color w:val="auto"/>
        </w:rPr>
        <w:t xml:space="preserve">”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w:t>
      </w:r>
      <w:r>
        <w:rPr>
          <w:rFonts w:ascii="Times New Roman" w:cs="Times New Roman" w:eastAsia="Times New Roman" w:hAnsi="Times New Roman"/>
          <w:sz w:val="16"/>
          <w:szCs w:val="16"/>
          <w:u w:val="single" w:color="auto"/>
          <w:color w:val="auto"/>
        </w:rPr>
        <w:t>Section 18.03</w:t>
      </w:r>
      <w:r>
        <w:rPr>
          <w:rFonts w:ascii="Times New Roman" w:cs="Times New Roman" w:eastAsia="Times New Roman" w:hAnsi="Times New Roman"/>
          <w:sz w:val="16"/>
          <w:szCs w:val="16"/>
          <w:color w:val="auto"/>
        </w:rPr>
        <w:t>. Notice so “given” shall be deemed to include any notice to be “mailed,” “sent” or “delivered,” as applicable, under this Indenture.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General Beneficial Ownership Limitation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Guarantee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guarantee</w:t>
      </w:r>
      <w:r>
        <w:rPr>
          <w:rFonts w:ascii="Times New Roman" w:cs="Times New Roman" w:eastAsia="Times New Roman" w:hAnsi="Times New Roman"/>
          <w:sz w:val="16"/>
          <w:szCs w:val="16"/>
          <w:color w:val="auto"/>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Guarantor</w:t>
      </w:r>
      <w:r>
        <w:rPr>
          <w:rFonts w:ascii="Times New Roman" w:cs="Times New Roman" w:eastAsia="Times New Roman" w:hAnsi="Times New Roman"/>
          <w:sz w:val="16"/>
          <w:szCs w:val="16"/>
          <w:color w:val="auto"/>
        </w:rPr>
        <w:t>” means each Subsidiary of the Company that is or becomes a party to this Indenture and the Notes Documents.</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Hedging Obligations</w:t>
      </w:r>
      <w:r>
        <w:rPr>
          <w:rFonts w:ascii="Times New Roman" w:cs="Times New Roman" w:eastAsia="Times New Roman" w:hAnsi="Times New Roman"/>
          <w:sz w:val="16"/>
          <w:szCs w:val="16"/>
          <w:color w:val="auto"/>
        </w:rPr>
        <w:t xml:space="preserve">” means, with respect to any Person, all obligations and liabilities of such Person under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phantom stock or similar plan providing for payments only on account of services provided by current or former directors, officers, employees or consultants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Company or its Subsidiaries shall be a Swap Agreement.</w:t>
      </w:r>
    </w:p>
    <w:p>
      <w:pPr>
        <w:spacing w:after="0" w:line="162"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as applied to any Note, or other similar terms (but excluding the term “beneficial holder”), means any Person in whose name at the time a particular Note is registered on the Note Register.</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 Beneficial Ownership Limitation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incur</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4.12(a)</w:t>
      </w:r>
      <w:r>
        <w:rPr>
          <w:rFonts w:ascii="Times New Roman" w:cs="Times New Roman" w:eastAsia="Times New Roman" w:hAnsi="Times New Roman"/>
          <w:sz w:val="16"/>
          <w:szCs w:val="16"/>
          <w:color w:val="auto"/>
        </w:rPr>
        <w:t>, and the term “</w:t>
      </w:r>
      <w:r>
        <w:rPr>
          <w:rFonts w:ascii="Times New Roman" w:cs="Times New Roman" w:eastAsia="Times New Roman" w:hAnsi="Times New Roman"/>
          <w:sz w:val="16"/>
          <w:szCs w:val="16"/>
          <w:b w:val="1"/>
          <w:bCs w:val="1"/>
          <w:color w:val="auto"/>
        </w:rPr>
        <w:t>incurrence</w:t>
      </w:r>
      <w:r>
        <w:rPr>
          <w:rFonts w:ascii="Times New Roman" w:cs="Times New Roman" w:eastAsia="Times New Roman" w:hAnsi="Times New Roman"/>
          <w:sz w:val="16"/>
          <w:szCs w:val="16"/>
          <w:color w:val="auto"/>
        </w:rPr>
        <w:t>” shall have a correlative meaning.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6" w:name="page27"/>
    <w:bookmarkEnd w:id="26"/>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with respect to any specified Person, (a) all obligations of such Person (excluding, for the avoidance of doubt, accrued expenses and trade payables) in respect of borrowed money or with respect to deposits or advances of any kind, (b) all obligations of such Person evidenced by bonds, debentures, notes or similar instruments, (c) all obligations of such Person in respect of letters of credit, letters of guaranty or bankers’ acceptances, (d) all obligations of such Person in respect of Capital Leases, (e) all obligations of such Person in respect of the deferred purchase price of Property or services (excluding (x) accounts payable incurred in the ordinary course of business and not past due by more than 90 days and (y) any earn-out obligations until such obligations become due and payable liabilities on the balance sheet of such Person in accordance with GAAP) and have not been paid within 90 days thereof, (f) all obligations of such Person under conditional sale or other title retention agreements relating to property acquired by such Person, (g) all Hedging Obligations of such Person, (h) all Indebtedness of any other Person that is secured by (or for which the holder of such Indebtedness has an existing right, contingent or otherwise, to be secured by) a Lien on any Property owned or held by such Person regardless of whether the obligations secured thereby have been assumed by such Person or is non-recourse to the credit of such Person, and (i) any guarantee by such Person of any Indebtedness of any other Person. The term “</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shall not include (i) deferred or prepaid revenue, (ii) deferred purchase price payments or purchase price earnouts or holdbacks, including, without limitation, in respect of a portion of the purchase price of an asset to satisfy warranty or other unperformed obligations of the seller, (iii) contingent indemnity and similar obligations incurred in connection with Permitted Investments or the acquisition of other property or assets, or otherwise incurred in the ordinary course of business, (iv) obligations in respect of leases not constituting Capital Leases and (v) intercompany liabilities arising from cash management, tax and accounting operations.</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means this instrument as originally executed or, if amended or supplemented as herein provided, as so amended or supplemented.</w:t>
      </w:r>
    </w:p>
    <w:p>
      <w:pPr>
        <w:spacing w:after="0" w:line="198"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shall have the meaning specified in the Security Agreement with the phase “any Grantor” in such definition replaced with the phrase “the Company or any of its Subsidiaries”.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January 1, April 1, July 1 and October 1 of each year, beginning on July 1, 2026.</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with respect to any specified Person, all direct or indirect investments by such specified Person in other Persons (including Affiliates) in the forms of loans (including guarantees of Indebtedness or other obligations), advances or capital contributions (excluding in all cases (i) commission, travel and similar advances to Officers and employees made in the ordinary course of business and (ii) extensions of credit to customers or advances, deposits or payment to or with suppliers, lessors or utilities or for workers’ compensation, in each case, that are incurred in the ordinary course of business), or purchases or other acquisitions for consideration of Indebtedness, Capital Stock or other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means the date on which the Company initially issues any Notes under this Indenture.</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Original Issuance Date</w:t>
      </w:r>
      <w:r>
        <w:rPr>
          <w:rFonts w:ascii="Times New Roman" w:cs="Times New Roman" w:eastAsia="Times New Roman" w:hAnsi="Times New Roman"/>
          <w:sz w:val="16"/>
          <w:szCs w:val="16"/>
          <w:color w:val="auto"/>
        </w:rPr>
        <w:t xml:space="preserve">” means (a) with respect to any Note initially issued under this Indenture, and any Notes issued in exchange therefor or in substitution thereof, the later of (i) the Issue Date and (ii) the date such Note was acquired by a non-Affiliate of the Company such that such Note no longer constitutes an Affiliate Note; and (b) with respect to any Notes issued pursuant to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and any Notes issued in exchange therefor or in substitution thereof, either (i) the later of (x) the date such Notes are originally issued and (y) the last date any Notes are originally issued as part of the same offering or (ii) such other date as is specified in an Officer’s Certificate delivered to the Trustee before the original issuance of such Notes.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7" w:name="page28"/>
    <w:bookmarkEnd w:id="27"/>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cs="Times New Roman" w:eastAsia="Times New Roman" w:hAnsi="Times New Roman"/>
          <w:sz w:val="16"/>
          <w:szCs w:val="16"/>
          <w:b w:val="1"/>
          <w:bCs w:val="1"/>
          <w:color w:val="auto"/>
        </w:rPr>
        <w:t>Last Reported 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16"/>
          <w:szCs w:val="16"/>
          <w:color w:val="auto"/>
        </w:rPr>
        <w:t>” shall be the last quoted bid price for the Common Stock (or such other security) in the over-the-counter market on the relevant date as reported by OTC Markets Group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 or a similar organization. If the Common Stock (or such other security) is not so quoted,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the average of the mid-point of the last bid and ask prices for the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6"/>
          <w:szCs w:val="16"/>
          <w:b w:val="1"/>
          <w:bCs w:val="1"/>
          <w:color w:val="auto"/>
        </w:rPr>
        <w:t>Last Reported Sale Price</w:t>
      </w:r>
      <w:r>
        <w:rPr>
          <w:rFonts w:ascii="Times New Roman" w:cs="Times New Roman" w:eastAsia="Times New Roman" w:hAnsi="Times New Roman"/>
          <w:sz w:val="16"/>
          <w:szCs w:val="16"/>
          <w:color w:val="auto"/>
        </w:rPr>
        <w:t>” shall be determined without regard to after-hours trading or any other trading outside of regular trading session hours.</w:t>
      </w:r>
    </w:p>
    <w:p>
      <w:pPr>
        <w:spacing w:after="0" w:line="166"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Liability Management Transaction</w:t>
      </w:r>
      <w:r>
        <w:rPr>
          <w:rFonts w:ascii="Times New Roman" w:cs="Times New Roman" w:eastAsia="Times New Roman" w:hAnsi="Times New Roman"/>
          <w:sz w:val="16"/>
          <w:szCs w:val="16"/>
          <w:color w:val="auto"/>
        </w:rPr>
        <w:t xml:space="preserve">” means (a) any exchange (or any transaction primarily designed to circumvent the restrictions set forth in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or contemporaneously achieve the same effect as an exchange) of any existing Indebtedness of the Company or any of its Subsidiaries, including the Obligations (the “</w:t>
      </w:r>
      <w:r>
        <w:rPr>
          <w:rFonts w:ascii="Times New Roman" w:cs="Times New Roman" w:eastAsia="Times New Roman" w:hAnsi="Times New Roman"/>
          <w:sz w:val="16"/>
          <w:szCs w:val="16"/>
          <w:b w:val="1"/>
          <w:bCs w:val="1"/>
          <w:color w:val="auto"/>
        </w:rPr>
        <w:t>Existing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LMT Debt</w:t>
      </w:r>
      <w:r>
        <w:rPr>
          <w:rFonts w:ascii="Times New Roman" w:cs="Times New Roman" w:eastAsia="Times New Roman" w:hAnsi="Times New Roman"/>
          <w:sz w:val="16"/>
          <w:szCs w:val="16"/>
          <w:color w:val="auto"/>
        </w:rPr>
        <w:t>”) with any other Indebtedness and/or preferred Equity Interests of the Company or any of its Subsidiaries (the “</w:t>
      </w:r>
      <w:r>
        <w:rPr>
          <w:rFonts w:ascii="Times New Roman" w:cs="Times New Roman" w:eastAsia="Times New Roman" w:hAnsi="Times New Roman"/>
          <w:sz w:val="16"/>
          <w:szCs w:val="16"/>
          <w:b w:val="1"/>
          <w:bCs w:val="1"/>
          <w:color w:val="auto"/>
        </w:rPr>
        <w:t>New LMT Debt</w:t>
      </w:r>
      <w:r>
        <w:rPr>
          <w:rFonts w:ascii="Times New Roman" w:cs="Times New Roman" w:eastAsia="Times New Roman" w:hAnsi="Times New Roman"/>
          <w:sz w:val="16"/>
          <w:szCs w:val="16"/>
          <w:color w:val="auto"/>
        </w:rPr>
        <w:t>”) in a transaction that is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primarily for a bona fide business purpose or would otherwise be senior to the Existing LMT Debt (including the Obligations) in respect of payment or Liens or is issued by an entity that is not an obligor under the Existing LMT Debt (including the Notes) on a non-pro rata basis into such New LMT Debt; (b) any Investment, Asset Sale, transfer, conveyance or other Disposition of assets (including by way of division) to an Affiliate of the Company, any of its Subsidiaries or a joint venture whereby the Company or an Affiliate of the Company holds equity interests or voting rights in such joint venture, in each case, that is not the Company or a Guarantor (including any non-Guarantor Subsidiary, Affiliate that is not an obligor or “unrestricted subsidiary”), in each case, to (i) facilitate a new capital raise or financing of Indebtedness and/or any preferred Equity Interests incurred by such Person (including a debtor-in-possession financing) or (ii) to guarantee existing Indebtedness; or (c) any transaction whereby an obligation owed to an Affiliate of the Company or a Guarantor Subsidiary (other than another Obligor) would directly or indirectly be pari passu or senior (in right of payment or security) to the Notes.</w:t>
      </w:r>
    </w:p>
    <w:p>
      <w:pPr>
        <w:spacing w:after="0" w:line="169"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Lien</w:t>
      </w:r>
      <w:r>
        <w:rPr>
          <w:rFonts w:ascii="Times New Roman" w:cs="Times New Roman" w:eastAsia="Times New Roman" w:hAnsi="Times New Roman"/>
          <w:sz w:val="15"/>
          <w:szCs w:val="15"/>
          <w:color w:val="auto"/>
        </w:rPr>
        <w:t>” means, (a) any mortgage, deed of trust, lien (statutory or otherwise), pledge, encumbrance, charge, assignment, hypothecation, security interest or encumbrance of any kind, including any easement, right-of-way or other encumbrance on title to Real Property, in each of the foregoing cases whether voluntary or imposed by law, (b) the interest of a vendor or a lessor under any conditional sale agreement, Capital Lease or title retention agreement (or any financing lease having substantially the same economic effect as any of the foregoing) relating to any Property and (c) in the case of securities, any purchase option, call or similar right of a third party with respect to such securities.</w:t>
      </w:r>
    </w:p>
    <w:p>
      <w:pPr>
        <w:spacing w:after="0" w:line="142"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w:t>
      </w:r>
      <w:r>
        <w:rPr>
          <w:rFonts w:ascii="Times New Roman" w:cs="Times New Roman" w:eastAsia="Times New Roman" w:hAnsi="Times New Roman"/>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6"/>
          <w:szCs w:val="16"/>
          <w:i w:val="1"/>
          <w:iCs w:val="1"/>
          <w:color w:val="auto"/>
        </w:rPr>
        <w:t>proviso</w:t>
      </w:r>
      <w:r>
        <w:rPr>
          <w:rFonts w:ascii="Times New Roman" w:cs="Times New Roman" w:eastAsia="Times New Roman" w:hAnsi="Times New Roman"/>
          <w:sz w:val="16"/>
          <w:szCs w:val="16"/>
          <w:color w:val="auto"/>
        </w:rPr>
        <w:t xml:space="preserve"> in clause (b) of the definition thereof).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8" w:name="page29"/>
    <w:bookmarkEnd w:id="28"/>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15.03(a)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Disruption Event</w:t>
      </w:r>
      <w:r>
        <w:rPr>
          <w:rFonts w:ascii="Times New Roman" w:cs="Times New Roman" w:eastAsia="Times New Roman" w:hAnsi="Times New Roman"/>
          <w:sz w:val="16"/>
          <w:szCs w:val="16"/>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on any U.S. exchange relating to the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Intellectual Property</w:t>
      </w:r>
      <w:r>
        <w:rPr>
          <w:rFonts w:ascii="Times New Roman" w:cs="Times New Roman" w:eastAsia="Times New Roman" w:hAnsi="Times New Roman"/>
          <w:sz w:val="16"/>
          <w:szCs w:val="16"/>
          <w:color w:val="auto"/>
        </w:rPr>
        <w:t>” means any Intellectual Property that is material to the operation of the business of the Company and its Subsidiaries, taken as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whole.</w:t>
      </w:r>
    </w:p>
    <w:p>
      <w:pPr>
        <w:spacing w:after="0" w:line="180"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Subsidiary</w:t>
      </w:r>
      <w:r>
        <w:rPr>
          <w:rFonts w:ascii="Times New Roman" w:cs="Times New Roman" w:eastAsia="Times New Roman" w:hAnsi="Times New Roman"/>
          <w:sz w:val="16"/>
          <w:szCs w:val="16"/>
          <w:color w:val="auto"/>
        </w:rPr>
        <w:t xml:space="preserve">” means (a) a Subsidiary of the Company that has total assets in excess of 5.0% of consolidated total assets (other than goodwill) of the Company and its Subsidiaries or contributed greater than 5.0% of the consolidated revenue of the Company and its Subsidiaries (based upon and as of the date of delivery of the most recent consolidated financial statements of the Company); or (b) any Subsidiary that directly or indirectly owns Equity Interests in any other Material Subsidiary;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the total assets or consolidated revenue of all the Subsidiaries that are not Material Subsidiaries shall not exceed 10.0% of the consolidated total assets (other than goodwill) or consolidated revenue, as the case may be, of the Company and its Subsidiaries (tested as of the date of delivery of the most recent consolidated financial statements of the Company and its Subsidiaries) and (y) any Subsidiary that owns any Material Intellectual Property shall be a Material Subsidiary.</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Maturity Date</w:t>
      </w:r>
      <w:r>
        <w:rPr>
          <w:rFonts w:ascii="Times New Roman" w:cs="Times New Roman" w:eastAsia="Times New Roman" w:hAnsi="Times New Roman"/>
          <w:sz w:val="16"/>
          <w:szCs w:val="16"/>
          <w:color w:val="auto"/>
        </w:rPr>
        <w:t>” means May 1, 2029.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9" w:name="page30"/>
    <w:bookmarkEnd w:id="29"/>
    <w:p>
      <w:pPr>
        <w:jc w:val="both"/>
        <w:ind w:firstLine="574"/>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Net Proceeds</w:t>
      </w:r>
      <w:r>
        <w:rPr>
          <w:rFonts w:ascii="Times New Roman" w:cs="Times New Roman" w:eastAsia="Times New Roman" w:hAnsi="Times New Roman"/>
          <w:sz w:val="15"/>
          <w:szCs w:val="15"/>
          <w:color w:val="auto"/>
        </w:rPr>
        <w:t>” means, (a) with respect to any Disposition by the Company or any of its Subsidiaries, the excess, if any, of (i) the sum of cash and Cash Equivalents received by the Company or a Guarantor in connection with such transaction (including any cash or Cash Equivalents received (x) by way of deferred payment pursuant to, or by monetization of, a note receivable or otherwise, but only as and when so received, unless, for the avoidance of doubt, any such cash or Cash Equivalents received by monetization is in the form of retained collections that do not constitute purchase price or consideration for the sale or other Disposition of the asset subject to such Disposition received by the Company, any Subsidiary or any of their Subsidiaries for such Disposition, (y) in respect of or upon the sale or other disposition of any Designated Non-Cash Consideration received in any Disposition and (z) as a result of unwinding any related hedge agreements in connection with such transaction) over (ii) the sum of, without duplication, (A) the principal amount of any Indebtedness that is secured by the applicable asset by a Lien permitted hereunder which is senior to the Collateral Agent’s Lien on such asset and that is required to be repaid (or to establish an escrow for the future repayment thereof) in connection with such transaction (other than Indebtedness under this Indenture), (B) the reasonable and customary out-of-pocket expenses incurred by such Person in connection with such transaction (including, without limitation, appraisals, brokerage, legal, title and recording or transfer tax expenses and commissions and legal, accounting and investment banking fees, sales commissions and other reasonable and customary fees and expenses) paid by such Person to third parties (other than Affiliates) in cash, (C) the taxes paid or the Company’s good faith and reasonable estimation of income, franchise, sales and other applicable taxes required to be paid as a result of such transaction, and (D) any amount subject to an escrow or provided as a reserve against any liabilities in respect of any indemnification obligations or purchase price adjustment associated with any such Disposition and which are reasonably expected to be paid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to the extent and at any time such amounts are not paid and are released from such escrow or reserve to the Company or any Guarantor, such amounts shall constitute Net Proceeds) and (b) in connection with any incurrence of Indebtedness by the Company or any Guarantor, the cash proceeds received from such incurrence, net of the reasonable and customary out-of-pocket expenses incurred by such Person in connection with such incurrence, including attorneys’ fees, investment banking fees, accountants’ fees, underwriting discounts and commissions and other customary fees and expenses actually incurred in connection therewith paid by such Person to third parties (other than Affiliates). In the case of any non-Wholly Owned Subsidiary, “Net Proceeds” shall be reduced by the pro rata portion thereof attributable to such minority interests.</w:t>
      </w:r>
    </w:p>
    <w:p>
      <w:pPr>
        <w:spacing w:after="0" w:line="3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shall have the meaning specified in the first paragraph of the recitals of this Indenture.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Purchase Agreements</w:t>
      </w:r>
      <w:r>
        <w:rPr>
          <w:rFonts w:ascii="Times New Roman" w:cs="Times New Roman" w:eastAsia="Times New Roman" w:hAnsi="Times New Roman"/>
          <w:sz w:val="16"/>
          <w:szCs w:val="16"/>
          <w:color w:val="auto"/>
        </w:rPr>
        <w:t>” means the Note Purchase Agreements executed by the Company and the purchasers of the Notes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Guarantee</w:t>
      </w:r>
      <w:r>
        <w:rPr>
          <w:rFonts w:ascii="Times New Roman" w:cs="Times New Roman" w:eastAsia="Times New Roman" w:hAnsi="Times New Roman"/>
          <w:sz w:val="16"/>
          <w:szCs w:val="16"/>
          <w:color w:val="auto"/>
        </w:rPr>
        <w:t>” means the guarantee by any Guarantor of the Company’s Obligations under this Indenture and the Notes.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Party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Note Parties</w:t>
      </w:r>
      <w:r>
        <w:rPr>
          <w:rFonts w:ascii="Times New Roman" w:cs="Times New Roman" w:eastAsia="Times New Roman" w:hAnsi="Times New Roman"/>
          <w:sz w:val="16"/>
          <w:szCs w:val="16"/>
          <w:color w:val="auto"/>
        </w:rPr>
        <w:t>” means, collectively, the Company and the Guarantors.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Notes Documents</w:t>
      </w:r>
      <w:r>
        <w:rPr>
          <w:rFonts w:ascii="Times New Roman" w:cs="Times New Roman" w:eastAsia="Times New Roman" w:hAnsi="Times New Roman"/>
          <w:sz w:val="16"/>
          <w:szCs w:val="16"/>
          <w:color w:val="auto"/>
        </w:rPr>
        <w:t>” means this Indenture, the Notes, the Note Guarantees and the Collateral Documents.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15.02(b)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Obligations</w:t>
      </w:r>
      <w:r>
        <w:rPr>
          <w:rFonts w:ascii="Times New Roman" w:cs="Times New Roman" w:eastAsia="Times New Roman" w:hAnsi="Times New Roman"/>
          <w:sz w:val="16"/>
          <w:szCs w:val="16"/>
          <w:color w:val="auto"/>
        </w:rPr>
        <w:t>” means all advances to, and debts, liabilities, obligations, covenants and duties of, the Note Parties arising under this Indenture or the Notes Documents or otherwise with respect to any Note, whether direct or indirect (including those acquired by assumption), absolute or contingent, due or to become due, now existing or hereafter arising and including interest and fees that accrue after the commencement by or against any Note Party of any proceeding under any Debtor Relief Laws naming a Note Party as the debtor in such proceeding, regardless of whether such interest and fees are allowed claims in such proceeding. Without limiting the generality of the foregoing, the Obligations of the Note Parties under this Indenture or the Notes Documents include any obligations to pay principal, interest, reimbursement obligations, charges, expenses, fees, disbursements, attorney costs, indemnities and other amounts, in each case, payable by the Note Parties under this Indenture or the Notes Documents.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0" w:name="page31"/>
    <w:bookmarkEnd w:id="30"/>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Observation Period</w:t>
      </w:r>
      <w:r>
        <w:rPr>
          <w:rFonts w:ascii="Times New Roman" w:cs="Times New Roman" w:eastAsia="Times New Roman" w:hAnsi="Times New Roman"/>
          <w:sz w:val="16"/>
          <w:szCs w:val="16"/>
          <w:color w:val="auto"/>
        </w:rPr>
        <w:t>” with respect to any Note surrendered for conversion means (i) if the relevant Conversion Date occurs prior to the Observation Period Threshold Date, the 20 consecutive Trading Day period beginning on, and including, the second Trading Day immediately succeeding such Conversion Date; and (ii), if the relevant Conversion Date occurs on or after the Observation Period Threshold Date, the 20 consecutive Trading Days beginning on, and including, the 21st Scheduled Trading Day immediately preceding the Maturity Date.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Observation Period Threshold Date</w:t>
      </w:r>
      <w:r>
        <w:rPr>
          <w:rFonts w:ascii="Times New Roman" w:cs="Times New Roman" w:eastAsia="Times New Roman" w:hAnsi="Times New Roman"/>
          <w:sz w:val="16"/>
          <w:szCs w:val="16"/>
          <w:color w:val="auto"/>
        </w:rPr>
        <w:t>” means the date that is 25 Scheduled Trading Days preceding the Maturity Date.</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w:t>
      </w:r>
      <w:r>
        <w:rPr>
          <w:rFonts w:ascii="Times New Roman" w:cs="Times New Roman" w:eastAsia="Times New Roman" w:hAnsi="Times New Roman"/>
          <w:sz w:val="16"/>
          <w:szCs w:val="16"/>
          <w:color w:val="auto"/>
        </w:rPr>
        <w:t>” means, with respect to the Company, the Chief Executive Officer, the President, the Chief Financial Officer, the Chief Legal Officer, the Treasurer, the Secretary, any Executive or Senior Vice President or any Vice President (whether or not designated by a number or numbers or word or words added before or after the title “Vice President”).</w:t>
      </w:r>
    </w:p>
    <w:p>
      <w:pPr>
        <w:spacing w:after="0" w:line="15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Officer’s Certificate</w:t>
      </w:r>
      <w:r>
        <w:rPr>
          <w:rFonts w:ascii="Times New Roman" w:cs="Times New Roman" w:eastAsia="Times New Roman" w:hAnsi="Times New Roman"/>
          <w:sz w:val="16"/>
          <w:szCs w:val="16"/>
          <w:color w:val="auto"/>
        </w:rPr>
        <w:t xml:space="preserve">,” when used with respect to the Company, means a certificate that is delivered to the Trustee and that is signed by any Officer of the Company. Each such certificate shall include the statements provided for in </w:t>
      </w:r>
      <w:r>
        <w:rPr>
          <w:rFonts w:ascii="Times New Roman" w:cs="Times New Roman" w:eastAsia="Times New Roman" w:hAnsi="Times New Roman"/>
          <w:sz w:val="16"/>
          <w:szCs w:val="16"/>
          <w:u w:val="single" w:color="auto"/>
          <w:color w:val="auto"/>
        </w:rPr>
        <w:t>Section 18.05</w:t>
      </w:r>
      <w:r>
        <w:rPr>
          <w:rFonts w:ascii="Times New Roman" w:cs="Times New Roman" w:eastAsia="Times New Roman" w:hAnsi="Times New Roman"/>
          <w:sz w:val="16"/>
          <w:szCs w:val="16"/>
          <w:color w:val="auto"/>
        </w:rPr>
        <w:t xml:space="preserve"> if and to the extent required by the provisions of such Section. The Officer giving an Officer’s Certificate pursuant to </w:t>
      </w:r>
      <w:r>
        <w:rPr>
          <w:rFonts w:ascii="Times New Roman" w:cs="Times New Roman" w:eastAsia="Times New Roman" w:hAnsi="Times New Roman"/>
          <w:sz w:val="16"/>
          <w:szCs w:val="16"/>
          <w:u w:val="single" w:color="auto"/>
          <w:color w:val="auto"/>
        </w:rPr>
        <w:t>Section 4.08</w:t>
      </w:r>
      <w:r>
        <w:rPr>
          <w:rFonts w:ascii="Times New Roman" w:cs="Times New Roman" w:eastAsia="Times New Roman" w:hAnsi="Times New Roman"/>
          <w:sz w:val="16"/>
          <w:szCs w:val="16"/>
          <w:color w:val="auto"/>
        </w:rPr>
        <w:t xml:space="preserve"> shall be the principal executive, financial or accounting officer of the Company.</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open of business</w:t>
      </w:r>
      <w:r>
        <w:rPr>
          <w:rFonts w:ascii="Times New Roman" w:cs="Times New Roman" w:eastAsia="Times New Roman" w:hAnsi="Times New Roman"/>
          <w:sz w:val="16"/>
          <w:szCs w:val="16"/>
          <w:color w:val="auto"/>
        </w:rPr>
        <w:t>” means 9:00 a.m. (New York City time).</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Opinion of Counsel</w:t>
      </w:r>
      <w:r>
        <w:rPr>
          <w:rFonts w:ascii="Times New Roman" w:cs="Times New Roman" w:eastAsia="Times New Roman" w:hAnsi="Times New Roman"/>
          <w:sz w:val="16"/>
          <w:szCs w:val="16"/>
          <w:color w:val="auto"/>
        </w:rPr>
        <w:t xml:space="preserve">”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w:t>
      </w:r>
      <w:r>
        <w:rPr>
          <w:rFonts w:ascii="Times New Roman" w:cs="Times New Roman" w:eastAsia="Times New Roman" w:hAnsi="Times New Roman"/>
          <w:sz w:val="16"/>
          <w:szCs w:val="16"/>
          <w:u w:val="single" w:color="auto"/>
          <w:color w:val="auto"/>
        </w:rPr>
        <w:t>Section 18.05</w:t>
      </w:r>
      <w:r>
        <w:rPr>
          <w:rFonts w:ascii="Times New Roman" w:cs="Times New Roman" w:eastAsia="Times New Roman" w:hAnsi="Times New Roman"/>
          <w:sz w:val="16"/>
          <w:szCs w:val="16"/>
          <w:color w:val="auto"/>
        </w:rPr>
        <w:t xml:space="preserve"> if and to the extent required by the provisions of such </w:t>
      </w:r>
      <w:r>
        <w:rPr>
          <w:rFonts w:ascii="Times New Roman" w:cs="Times New Roman" w:eastAsia="Times New Roman" w:hAnsi="Times New Roman"/>
          <w:sz w:val="16"/>
          <w:szCs w:val="16"/>
          <w:u w:val="single" w:color="auto"/>
          <w:color w:val="auto"/>
        </w:rPr>
        <w:t>Section 18.05</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outstanding</w:t>
      </w:r>
      <w:r>
        <w:rPr>
          <w:rFonts w:ascii="Times New Roman" w:cs="Times New Roman" w:eastAsia="Times New Roman" w:hAnsi="Times New Roman"/>
          <w:sz w:val="16"/>
          <w:szCs w:val="16"/>
          <w:color w:val="auto"/>
        </w:rPr>
        <w:t xml:space="preserve">,” when used with reference to Notes, shall, subject to the provisions of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mean, as of any particular time, all Notes authenticated and delivered by the Trustee under this Indenture, except:</w:t>
      </w:r>
    </w:p>
    <w:p>
      <w:pPr>
        <w:spacing w:after="0" w:line="142" w:lineRule="exact"/>
        <w:rPr>
          <w:sz w:val="20"/>
          <w:szCs w:val="20"/>
          <w:color w:val="auto"/>
        </w:rPr>
      </w:pPr>
    </w:p>
    <w:p>
      <w:pPr>
        <w:ind w:left="780" w:hanging="211"/>
        <w:spacing w:after="0"/>
        <w:tabs>
          <w:tab w:leader="none" w:pos="7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theretofore cancelled by the Trustee or accepted by the Trustee for cancellation;</w:t>
      </w:r>
    </w:p>
    <w:p>
      <w:pPr>
        <w:spacing w:after="0" w:line="198"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1" w:name="page32"/>
    <w:bookmarkEnd w:id="31"/>
    <w:p>
      <w:pPr>
        <w:jc w:val="both"/>
        <w:ind w:right="20" w:firstLine="569"/>
        <w:spacing w:after="0" w:line="265" w:lineRule="auto"/>
        <w:tabs>
          <w:tab w:leader="none" w:pos="80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Notes that have been paid pursuant to the second paragraph of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or Notes in lieu of which, or in substitution for which, other Notes shall have been authenticated and delivered pursuant to the terms of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unless proof satisfactory to the Trustee is presented that any such Notes are held by protected purchasers in due course;</w:t>
      </w:r>
    </w:p>
    <w:p>
      <w:pPr>
        <w:spacing w:after="0" w:line="155"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Notes converted pursuant to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and required to be cancelled pursuant to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Notes repurchased pursuant to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4.16</w:t>
      </w:r>
      <w:r>
        <w:rPr>
          <w:rFonts w:ascii="Times New Roman" w:cs="Times New Roman" w:eastAsia="Times New Roman" w:hAnsi="Times New Roman"/>
          <w:sz w:val="16"/>
          <w:szCs w:val="16"/>
          <w:color w:val="auto"/>
        </w:rPr>
        <w:t xml:space="preserve"> and required to be cancelled pursuant to </w:t>
      </w:r>
      <w:r>
        <w:rPr>
          <w:rFonts w:ascii="Times New Roman" w:cs="Times New Roman" w:eastAsia="Times New Roman" w:hAnsi="Times New Roman"/>
          <w:sz w:val="16"/>
          <w:szCs w:val="16"/>
          <w:u w:val="single" w:color="auto"/>
          <w:color w:val="auto"/>
        </w:rPr>
        <w:t>Section 2.08</w:t>
      </w:r>
      <w:r>
        <w:rPr>
          <w:rFonts w:ascii="Times New Roman" w:cs="Times New Roman" w:eastAsia="Times New Roman" w:hAnsi="Times New Roman"/>
          <w:sz w:val="16"/>
          <w:szCs w:val="16"/>
          <w:color w:val="auto"/>
        </w:rPr>
        <w:t>; and</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9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Notes repurchased by the Company pursuant to the penultimate sentence of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and delivered to the Trustee for cancellation in accordance with the ultimate sentence of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Business</w:t>
      </w:r>
      <w:r>
        <w:rPr>
          <w:rFonts w:ascii="Times New Roman" w:cs="Times New Roman" w:eastAsia="Times New Roman" w:hAnsi="Times New Roman"/>
          <w:sz w:val="16"/>
          <w:szCs w:val="16"/>
          <w:color w:val="auto"/>
        </w:rPr>
        <w:t>” means any business conducted by the Company or any of its Subsidiaries on the Issue Date and any business that, in the good faith judgment of the Board of Directors, is similar or reasonably related, ancillary, supplemental or complementary thereto or a reasonable extension, development or expansion thereof.</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Debt</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4.12(b)</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Investments</w:t>
      </w:r>
      <w:r>
        <w:rPr>
          <w:rFonts w:ascii="Times New Roman" w:cs="Times New Roman" w:eastAsia="Times New Roman" w:hAnsi="Times New Roman"/>
          <w:sz w:val="16"/>
          <w:szCs w:val="16"/>
          <w:color w:val="auto"/>
        </w:rPr>
        <w:t>” means each of the following:</w:t>
      </w:r>
    </w:p>
    <w:p>
      <w:pPr>
        <w:spacing w:after="0" w:line="200" w:lineRule="exact"/>
        <w:rPr>
          <w:sz w:val="20"/>
          <w:szCs w:val="20"/>
          <w:color w:val="auto"/>
        </w:rPr>
      </w:pPr>
    </w:p>
    <w:p>
      <w:pPr>
        <w:jc w:val="both"/>
        <w:ind w:firstLine="569"/>
        <w:spacing w:after="0" w:line="265" w:lineRule="auto"/>
        <w:tabs>
          <w:tab w:leader="none" w:pos="8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in (i) cash or (ii) 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Investments of the type described in clause (ii), the full faith and credit of the United States of America is pledged in support thereof;</w:t>
      </w:r>
    </w:p>
    <w:p>
      <w:pPr>
        <w:spacing w:after="0" w:line="155"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corporate debt issued by any Person organized under the laws of any state of the United States of America and rated at least “Prime-1” (or the then equivalent grade) by Moody’s or at least “A-1” (or the then equivalent grade) by S&amp;P, in each case with maturities of not more than 365 days from the date of acquisition thereof;</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79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in time deposits with, or insured certificates of deposit or bankers’ acceptances of, any commercial bank that (i) (A)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this definition and (iii) has combined capital and surplus of at least $1,000,000,000, in each case with maturities of not more than 365 days from the date of acquisition thereof;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right="20" w:firstLine="569"/>
        <w:spacing w:after="0" w:line="259" w:lineRule="auto"/>
        <w:tabs>
          <w:tab w:leader="none" w:pos="80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in fully collateralized repurchase agreements with a term of not more than 30 days for securities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above (without regard to the limitation on maturity contained in such clause) and entered into with a financial institution satisfying the criteria described in </w:t>
      </w:r>
      <w:r>
        <w:rPr>
          <w:rFonts w:ascii="Times New Roman" w:cs="Times New Roman" w:eastAsia="Times New Roman" w:hAnsi="Times New Roman"/>
          <w:sz w:val="16"/>
          <w:szCs w:val="16"/>
          <w:u w:val="single" w:color="auto"/>
          <w:color w:val="auto"/>
        </w:rPr>
        <w:t>clause (c)</w:t>
      </w:r>
      <w:r>
        <w:rPr>
          <w:rFonts w:ascii="Times New Roman" w:cs="Times New Roman" w:eastAsia="Times New Roman" w:hAnsi="Times New Roman"/>
          <w:sz w:val="16"/>
          <w:szCs w:val="16"/>
          <w:color w:val="auto"/>
        </w:rPr>
        <w:t xml:space="preserve">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9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classified in accordance with GAAP as current assets of the Company or any Guarantor, in any money market fund, mutual fund, or other investment companies that are registered under the Investment Company Act of 1940, as amended, which are administered by financial institutions that have the highest rating obtainable from either Moody’s or S&amp;P, and which invest solely in one or more of the types of securities described in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(d)</w:t>
      </w:r>
      <w:r>
        <w:rPr>
          <w:rFonts w:ascii="Times New Roman" w:cs="Times New Roman" w:eastAsia="Times New Roman" w:hAnsi="Times New Roman"/>
          <w:sz w:val="16"/>
          <w:szCs w:val="16"/>
          <w:color w:val="auto"/>
        </w:rPr>
        <w:t xml:space="preserve"> above;</w:t>
      </w:r>
    </w:p>
    <w:p>
      <w:pPr>
        <w:spacing w:after="0" w:line="155" w:lineRule="exact"/>
        <w:rPr>
          <w:rFonts w:ascii="Times New Roman" w:cs="Times New Roman" w:eastAsia="Times New Roman" w:hAnsi="Times New Roman"/>
          <w:sz w:val="16"/>
          <w:szCs w:val="16"/>
          <w:color w:val="auto"/>
        </w:rPr>
      </w:pPr>
    </w:p>
    <w:p>
      <w:pPr>
        <w:jc w:val="both"/>
        <w:ind w:firstLine="569"/>
        <w:spacing w:after="0" w:line="259" w:lineRule="auto"/>
        <w:tabs>
          <w:tab w:leader="none" w:pos="77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 existing on the Issue Date, (ii) made pursuant to binding commitments or as required by, or made pursuant to, buy/sell arrangements in effect on the Issue Date and (iii) that replaces, refinances, refunds, renews or extends any Investment described under either of the immediately preceding clauses (i) or (ii),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Investment is in an amount that does not exceed the amount replaced, refinanced, refunded, renewed or extended, except as contemplated pursuant to the terms of such Investment in existence on the Issue Date or as otherwise permitted under this definition;</w:t>
      </w:r>
    </w:p>
    <w:p>
      <w:pPr>
        <w:spacing w:after="0" w:line="161" w:lineRule="exact"/>
        <w:rPr>
          <w:rFonts w:ascii="Times New Roman" w:cs="Times New Roman" w:eastAsia="Times New Roman" w:hAnsi="Times New Roman"/>
          <w:sz w:val="16"/>
          <w:szCs w:val="16"/>
          <w:color w:val="auto"/>
        </w:rPr>
      </w:pPr>
    </w:p>
    <w:p>
      <w:pPr>
        <w:jc w:val="both"/>
        <w:ind w:firstLine="569"/>
        <w:spacing w:after="0" w:line="265" w:lineRule="auto"/>
        <w:tabs>
          <w:tab w:leader="none" w:pos="80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Investments by and between the Company and Guarantors; (ii) Investments by and between Subsidiaries who are not Guarantors; and (iii) Investments by and between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Investments under this clause (iii) are otherwise in the ordinary course of business and consistent with past practices;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however </w:t>
      </w:r>
      <w:r>
        <w:rPr>
          <w:rFonts w:ascii="Times New Roman" w:cs="Times New Roman" w:eastAsia="Times New Roman" w:hAnsi="Times New Roman"/>
          <w:sz w:val="16"/>
          <w:szCs w:val="16"/>
          <w:color w:val="auto"/>
        </w:rPr>
        <w:t>that any Investments constituting intercompany Indebtedness under this clause (g) are otherwise incurred in compliance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hereof;</w:t>
      </w:r>
    </w:p>
    <w:p>
      <w:pPr>
        <w:spacing w:after="0" w:line="155" w:lineRule="exact"/>
        <w:rPr>
          <w:rFonts w:ascii="Times New Roman" w:cs="Times New Roman" w:eastAsia="Times New Roman" w:hAnsi="Times New Roman"/>
          <w:sz w:val="16"/>
          <w:szCs w:val="16"/>
          <w:color w:val="auto"/>
        </w:rPr>
      </w:pPr>
    </w:p>
    <w:p>
      <w:pPr>
        <w:jc w:val="both"/>
        <w:ind w:firstLine="569"/>
        <w:spacing w:after="0" w:line="265" w:lineRule="auto"/>
        <w:tabs>
          <w:tab w:leader="none" w:pos="8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55"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 constituting Permitted Debt;</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6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no Default or Event of Default has occurred and is continuing or would be caused by such Investment, Investments by the Company or any Guarantor in non-speculative hedging agreements permitted hereunder, entered into in the ordinary course of business and consistent with past practice;</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1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received in connection with the bankruptcy, insolvency, reorganization or similar proceeding of, or settlement of delinquent accounts and disputes with, customers and suppliers, in each case in the ordinary course of business;</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7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and advances to officers, directors and employees of the Company or any Subsidiary, in each case in the ordinary course of business; in an amount not to exceed $500,000 to any individual at any time or in an aggregate amount not to exceed $2,000,000 at any time;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right="20" w:firstLine="569"/>
        <w:spacing w:after="0" w:line="265" w:lineRule="auto"/>
        <w:tabs>
          <w:tab w:leader="none" w:pos="85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 by the Company or any Subsidiary in a Person, if as a result of and substantially concurrently with such Investment: (x) such Person becomes a Guarantor; or (y) such Person is merged, consolidated or amalgamated with or into, or transfers or conveys substantially all of its assets to, or is liquidated into, the Company or any Guarantor;</w:t>
      </w:r>
    </w:p>
    <w:p>
      <w:pPr>
        <w:spacing w:after="0" w:line="155" w:lineRule="exact"/>
        <w:rPr>
          <w:sz w:val="20"/>
          <w:szCs w:val="20"/>
          <w:color w:val="auto"/>
        </w:rPr>
      </w:pPr>
    </w:p>
    <w:p>
      <w:pPr>
        <w:ind w:right="20" w:firstLine="569"/>
        <w:spacing w:after="0" w:line="280" w:lineRule="auto"/>
        <w:tabs>
          <w:tab w:leader="none" w:pos="81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deposits made in the ordinary course of business to secure the performance of leases permitted pursuant to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and (ii) Investments consisting of Uniform Commercial Code Article 3 endorsements for collection or deposit and Uniform Commercial Code Article 4 customary trade arrangements with customers;</w:t>
      </w:r>
    </w:p>
    <w:p>
      <w:pPr>
        <w:spacing w:after="0" w:line="144" w:lineRule="exact"/>
        <w:rPr>
          <w:sz w:val="20"/>
          <w:szCs w:val="20"/>
          <w:color w:val="auto"/>
        </w:rPr>
      </w:pPr>
    </w:p>
    <w:p>
      <w:pPr>
        <w:jc w:val="both"/>
        <w:ind w:firstLine="569"/>
        <w:spacing w:after="0" w:line="265" w:lineRule="auto"/>
        <w:tabs>
          <w:tab w:leader="none" w:pos="82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consisting of (x) transactions permitted under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xml:space="preserve"> and (y) repayments (including by way of defeasance or irrevocable deposit) or other acquisitions of Indebtedness of any Subsidiary not prohibited hereunder and payments at maturity of the Existing Notes or open market purchases or other acquisitions of the Existing Notes to the extent permitted under </w:t>
      </w:r>
      <w:r>
        <w:rPr>
          <w:rFonts w:ascii="Times New Roman" w:cs="Times New Roman" w:eastAsia="Times New Roman" w:hAnsi="Times New Roman"/>
          <w:sz w:val="16"/>
          <w:szCs w:val="16"/>
          <w:u w:val="single" w:color="auto"/>
          <w:color w:val="auto"/>
        </w:rPr>
        <w:t>Section 4.13</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818"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advances in the form of a prepayment of expense to vendors, suppliers and trade creditors consistent with their past practices, so long as such expenses were incurred in the ordinary course of business;</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Investments by the Company or a Subsidiary since the Issue Date in an aggregate amount not to exceed $5,000,000;</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1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Investments in promissory notes, securities and other non-cash consideration or other assets received in connection with an Asset Sale made pursuant to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4.16</w:t>
      </w:r>
      <w:r>
        <w:rPr>
          <w:rFonts w:ascii="Times New Roman" w:cs="Times New Roman" w:eastAsia="Times New Roman" w:hAnsi="Times New Roman"/>
          <w:sz w:val="16"/>
          <w:szCs w:val="16"/>
          <w:color w:val="auto"/>
        </w:rPr>
        <w:t xml:space="preserve"> or any other Disposition of assets not constituting an Asset Sale;</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78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of, and Investments (including the payment of cash- or equity-based purchase price) in connection with the acquisition of, a Person (including by way of merger or consolidation, equity purchase transaction or the acquisition of the assets of another Person or business line of another Person), provided that the amount of cash-based purchase price paid in connection with such Investments under this clause (s) does not exceed more than $10,000,000 during any consecutive 12-month period;</w:t>
      </w:r>
    </w:p>
    <w:p>
      <w:pPr>
        <w:spacing w:after="0" w:line="155"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any Person to the extent the consideration for such Investments consists solely of Capital Stock of the Company (other than Disqualified Stock); and</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in or repurchases of the Notes;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firstLine="574"/>
        <w:spacing w:after="0" w:line="253"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notwithstanding the foregoing, in the case of (y) Investments by any Foreign Subsidiary or (z) Investments made or held in a jurisdiction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outside the United States, Permitted Investments shall also include (A) Investments of the type and maturity described in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above of foreign obligors, which Investments or obligors (or the parents of such obligors) have ratings described in such clauses or equivalent ratings from comparable foreign rating agencies (and which Investments may be denominated in Dollars, Euros, or the local currency), (B) other short-term Investments utilized by Foreign Subsidiaries in accordance with normal investment practices for cash management in the ordinary course of business in Investments analogous to the foregoing Investments in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and in this definition and (C) cash and cash equivalents that are required under applicable foreign law (including to comply with (or is advisable to facilitate compliance with) any applicable foreign takeover statutes) to be held in a foreign bank account; and provided, further, that with respect to any Investment, the Company may, in its sole discretion, at any time allocate all or any portion of such Investment to one or more of the above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xml:space="preserve"> so that all or a portion of such Investment would be a Permitted Investment. The amount of any Investment shall be measured on the date of each such Investment made and without giving effect to subsequent changes in value other than as a result of repayments of loans or advances, redemptions, returns of capital, sales or other dispositions thereof or similar events.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Lien</w:t>
      </w:r>
      <w:r>
        <w:rPr>
          <w:rFonts w:ascii="Times New Roman" w:cs="Times New Roman" w:eastAsia="Times New Roman" w:hAnsi="Times New Roman"/>
          <w:sz w:val="16"/>
          <w:szCs w:val="16"/>
          <w:color w:val="auto"/>
        </w:rPr>
        <w:t>” means any:</w:t>
      </w:r>
    </w:p>
    <w:p>
      <w:pPr>
        <w:spacing w:after="0" w:line="200" w:lineRule="exact"/>
        <w:rPr>
          <w:sz w:val="20"/>
          <w:szCs w:val="20"/>
          <w:color w:val="auto"/>
        </w:rPr>
      </w:pPr>
    </w:p>
    <w:p>
      <w:pPr>
        <w:ind w:right="20" w:firstLine="569"/>
        <w:spacing w:after="0" w:line="280" w:lineRule="auto"/>
        <w:tabs>
          <w:tab w:leader="none" w:pos="79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existing on the Issue Date (other than Liens securing Indebtedness outstanding on the Issue Date), and Liens securing Indebtedness outstanding on the Issue Date and listed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any Note Party;</w:t>
      </w:r>
    </w:p>
    <w:p>
      <w:pPr>
        <w:spacing w:after="0" w:line="196" w:lineRule="exact"/>
        <w:rPr>
          <w:rFonts w:ascii="Times New Roman" w:cs="Times New Roman" w:eastAsia="Times New Roman" w:hAnsi="Times New Roman"/>
          <w:sz w:val="16"/>
          <w:szCs w:val="16"/>
          <w:color w:val="auto"/>
        </w:rPr>
      </w:pPr>
    </w:p>
    <w:p>
      <w:pPr>
        <w:jc w:val="both"/>
        <w:ind w:firstLine="569"/>
        <w:spacing w:after="0" w:line="255" w:lineRule="auto"/>
        <w:tabs>
          <w:tab w:leader="none" w:pos="80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Liens on the Collateral which are junior in priority to the Liens securing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Liens secure any Indebtedness, such Indebtedness and such Liens are subject to a customary intercreditor agreement on market terms at the time entered into, as certified by the Company in good faith to the Trustee and the Collateral Agent in an Officer’s Certificate, which provides for, among other things, (i) a prohibition on payments to holders of such junior Indebtedness following an Event of Default, (ii) customary 180-day standstill requirements in connection with any exercise of remedies (including acceleration) by such holders of junior Indebtedness following any Event of Default or event of default under such junior Indebtedness, (iii) consent (without any further action) to release of such junior Liens and junior Indebtedness claims by holders of such junior Indebtedness in connection with any sale, disposition or transfer of Collateral otherwise consented to by the requisite Holders of the Notes in accordance with this Indenture;</w:t>
      </w:r>
    </w:p>
    <w:p>
      <w:pPr>
        <w:spacing w:after="0" w:line="163" w:lineRule="exact"/>
        <w:rPr>
          <w:rFonts w:ascii="Times New Roman" w:cs="Times New Roman" w:eastAsia="Times New Roman" w:hAnsi="Times New Roman"/>
          <w:sz w:val="16"/>
          <w:szCs w:val="16"/>
          <w:color w:val="auto"/>
        </w:rPr>
      </w:pPr>
    </w:p>
    <w:p>
      <w:pPr>
        <w:jc w:val="both"/>
        <w:ind w:right="20" w:firstLine="569"/>
        <w:spacing w:after="0" w:line="255" w:lineRule="auto"/>
        <w:tabs>
          <w:tab w:leader="none" w:pos="80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assets acquired, constructed, altered, improved or repaired by the Company or any of its Subsidiaries and created prior to, at the time of, or within 360 days (or thereafter if such Lien is created pursuant to a binding commitment entered into prior to, at the time of or within 360 days) after such acquisition (including, without limitation, acquisition through merger or consolidation), construction, alteration, improvement or repair (or the completion of such construction, alteration, improvement or repair or commencement of commercial operation of such property, whichever is later) to secure or provide for the payment of all or any part of the price thereof so long as such Liens are no greater than the payment or price, as the case may be, for the assets acquired, constructed, altered, improved or repaired (plus an amount equal to any fees, expenses or other costs payable in connection therewith);</w:t>
      </w:r>
    </w:p>
    <w:p>
      <w:pPr>
        <w:spacing w:after="0" w:line="163"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5" w:name="page36"/>
    <w:bookmarkEnd w:id="35"/>
    <w:p>
      <w:pPr>
        <w:jc w:val="both"/>
        <w:ind w:right="20" w:firstLine="569"/>
        <w:spacing w:after="0" w:line="265" w:lineRule="auto"/>
        <w:tabs>
          <w:tab w:leader="none" w:pos="77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Liens for Taxes not yet due and payable and Taxes that are being contested in good faith and for which adequate reserves have been established in accordance with GAAP, (y) banker’s liens, rights of setoff or similar rights and remedies as to deposit accounts or other funds maintained with depository institutions and (z) carriers’, warehousemen’s, mechanics’, materialmen’s, repairmen’s and other like Liens imposed by law;</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(x) Liens securing obligations with respect to Capital Leases and Purchase Money Debt permitted to be incurred under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and (y) any interest or title of a lessor under leases entered into by the Company or any Subsidiary of the Company in the ordinary course of business;</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79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incurred (x) in the ordinary course of business to secure the performance of tenders, statutory obligations, surety, stay, customs and appeal bonds, bids, leases, government contracts, trade contracts, payment processing agreements, performance and return-of-money bonds and other similar obligations (exclusive of obligations for the payment of borrowed money) and (y) pursuant to pledges and deposits of cash or Cash Equivalents in the ordinary course of business securing obligations in respect of letters of credit, bank guaranties, surety bonds, performance bonds or similar instruments posted with respect to the items described in clause (x);</w:t>
      </w:r>
    </w:p>
    <w:p>
      <w:pPr>
        <w:spacing w:after="0" w:line="161"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insurance policies and the proceeds thereof securing the financing of the premiums with respect thereto;</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6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1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cash or Cash Equivalents (or the accounts in which such cash or Cash Equivalents are held) arising in connection with the defeasance, discharge or redemption of Indebtedness;</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7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sale or transfer of any Capital Stock or other assets in a transaction not prohibited hereby, customary rights and restrictions contained in agreements relating to such sale or transfer pending the completion thereof;</w:t>
      </w:r>
    </w:p>
    <w:p>
      <w:pPr>
        <w:spacing w:after="0" w:line="144" w:lineRule="exact"/>
        <w:rPr>
          <w:rFonts w:ascii="Times New Roman" w:cs="Times New Roman" w:eastAsia="Times New Roman" w:hAnsi="Times New Roman"/>
          <w:sz w:val="16"/>
          <w:szCs w:val="16"/>
          <w:color w:val="auto"/>
        </w:rPr>
      </w:pPr>
    </w:p>
    <w:p>
      <w:pPr>
        <w:ind w:left="840" w:hanging="271"/>
        <w:spacing w:after="0"/>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customs and revenue authorities arising as a matter of law to secure payment of customs duties in connection with the importation of goods;</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or otherwise arising from judgments not constituting an Event of Default;</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the Notes (including Additional Notes); and</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securing Indebtedness relating to Treasury Management Arrangements permitted under this Indenture.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Refinancing Indebtedness</w:t>
      </w:r>
      <w:r>
        <w:rPr>
          <w:rFonts w:ascii="Times New Roman" w:cs="Times New Roman" w:eastAsia="Times New Roman" w:hAnsi="Times New Roman"/>
          <w:sz w:val="16"/>
          <w:szCs w:val="16"/>
          <w:color w:val="auto"/>
        </w:rPr>
        <w:t xml:space="preserve">” means with respect to any Indebtedness of any Person, any refinancing, refunding, renewal, replacement, defeasance, discharge or extension of such Indebtedness (each, a “refinancing”, with “refinanced” having a correlative meaning);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the aggregate principal amount (or accreted value, if applicable) does not exceed the then outstanding aggregate principal amount (or accreted value, if applicable) of the Indebtedness so refinanced, except by an amount equal to all unpaid accrued or capitalized interest thereon, any make-whole payments or premium (including tender premium) applicable thereto or paid in connection therewith, any swap breakage costs and other termination costs related to hedge agreements, plus upfront fees and original issue discount on such refinancing Indebtedness, plus other customary fees and expenses in connection with such refinancing, (b) such refinancing has a final maturity date equal to or later than the final maturity date of the Indebtedness being refinanced, and such refinancing has a Weighted Average Life to Maturity equal to or greater than the Weighted Average Life to Maturity of the Indebtedness being refinanced, (c) the borrower/issuer under such refinancing is the same Person that is the borrower/issuer under the Indebtedness being so refinanced and the other Persons that are (or are required to be) obligors under such refinancing are not more expansive than the Persons that are (or are required to be) obligors under the Indebtedness being so refinanced, except that any Guarantor may be an obligor thereof if otherwise permitted by this Indenture, (d) in the event such Indebtedness being so refinanced is contractually subordinated in right of payment to the Obligations, such refinancing shall contain subordination provisions that are substantially the same as those in effect prior to such refinancing or are not materially less favorable, taken as a whole, to the Secured Parties than those contained in the Indebtedness being so refinanced, (e) such refinancing does not provide for the granting or obtaining of collateral security from, or obtaining any Lien on any assets of, any Person, other than collateral security obtained from Persons that provided (or were required to provide) collateral security with respect to Indebtedness being so refinanced (and only so long as and to the extent that the assets subject to such Liens were or would have been required to secure the Indebtedness so refinanced) and (f) except to the extent that such Indebtedness being so refinanced is secured on a senior basis to, or pari passu basis with, the Obligations, the refinancing does not provide for the granting or obtaining of collateral security from, or obtaining any Lien on any assets of, the Company or any Subsidiary on a senior basis to, or on a pari passu basis with, as applicable, the Obligations.</w:t>
      </w:r>
    </w:p>
    <w:p>
      <w:pPr>
        <w:spacing w:after="0" w:line="17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Notes</w:t>
      </w:r>
      <w:r>
        <w:rPr>
          <w:rFonts w:ascii="Times New Roman" w:cs="Times New Roman" w:eastAsia="Times New Roman" w:hAnsi="Times New Roman"/>
          <w:sz w:val="16"/>
          <w:szCs w:val="16"/>
          <w:color w:val="auto"/>
        </w:rPr>
        <w:t>” means permanent certificated Notes in registered form issued in denominations of $1,000 principal amount and integral multiples thereof.</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Physical Settlement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15.02(a)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Pledged Collateral</w:t>
      </w:r>
      <w:r>
        <w:rPr>
          <w:rFonts w:ascii="Times New Roman" w:cs="Times New Roman" w:eastAsia="Times New Roman" w:hAnsi="Times New Roman"/>
          <w:sz w:val="16"/>
          <w:szCs w:val="16"/>
          <w:color w:val="auto"/>
        </w:rPr>
        <w:t>” shall have the meaning specified in the Security Agreement.</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Predecessor Note</w:t>
      </w:r>
      <w:r>
        <w:rPr>
          <w:rFonts w:ascii="Times New Roman" w:cs="Times New Roman" w:eastAsia="Times New Roman" w:hAnsi="Times New Roman"/>
          <w:sz w:val="16"/>
          <w:szCs w:val="16"/>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in lieu of or in exchange for a mutilated, lost, destroyed or stolen Note shall be deemed to evidence the same debt as the mutilated, lost, destroyed or stolen Note that it replaces.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7" w:name="page38"/>
    <w:bookmarkEnd w:id="37"/>
    <w:p>
      <w:pPr>
        <w:jc w:val="both"/>
        <w:ind w:left="4"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 means, with respect to any Person, any Capital Stock with preferential rights to any other Capital Stock of such Person with respect to payment of dividends or preferential rights upon liquidation, dissolution, or winding up.</w:t>
      </w:r>
    </w:p>
    <w:p>
      <w:pPr>
        <w:spacing w:after="0" w:line="140" w:lineRule="exact"/>
        <w:rPr>
          <w:sz w:val="20"/>
          <w:szCs w:val="20"/>
          <w:color w:val="auto"/>
        </w:rPr>
      </w:pPr>
    </w:p>
    <w:p>
      <w:pPr>
        <w:jc w:val="both"/>
        <w:ind w:left="4"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“Property</w:t>
      </w:r>
      <w:r>
        <w:rPr>
          <w:rFonts w:ascii="Times New Roman" w:cs="Times New Roman" w:eastAsia="Times New Roman" w:hAnsi="Times New Roman"/>
          <w:sz w:val="16"/>
          <w:szCs w:val="16"/>
          <w:color w:val="auto"/>
        </w:rPr>
        <w:t>” means, with respect to any Person, an interest of such Person in any kind of property or asset, whether real, personal or mixed, or tangible or intangible,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intellectual property rights and Capital Stock in, and other securities of, any other Person. For purposes of any calculation required pursuant to this Indenture, the value of any Property shall be its Fair Market Value.</w:t>
      </w:r>
    </w:p>
    <w:p>
      <w:pPr>
        <w:spacing w:after="0" w:line="15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Purchase Money Debt</w:t>
      </w:r>
      <w:r>
        <w:rPr>
          <w:rFonts w:ascii="Times New Roman" w:cs="Times New Roman" w:eastAsia="Times New Roman" w:hAnsi="Times New Roman"/>
          <w:sz w:val="16"/>
          <w:szCs w:val="16"/>
          <w:color w:val="auto"/>
        </w:rPr>
        <w:t>” means Indebtedness:</w:t>
      </w:r>
    </w:p>
    <w:p>
      <w:pPr>
        <w:spacing w:after="0" w:line="200" w:lineRule="exact"/>
        <w:rPr>
          <w:sz w:val="20"/>
          <w:szCs w:val="20"/>
          <w:color w:val="auto"/>
        </w:rPr>
      </w:pPr>
    </w:p>
    <w:p>
      <w:pPr>
        <w:ind w:left="4" w:right="20" w:firstLine="569"/>
        <w:spacing w:after="0" w:line="280" w:lineRule="auto"/>
        <w:tabs>
          <w:tab w:leader="none" w:pos="8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incurred to finance the purchase or construction (including additions and improvements thereto) of any assets (other than Capital Stock) of such Person or any Subsidiary; or</w:t>
      </w:r>
    </w:p>
    <w:p>
      <w:pPr>
        <w:spacing w:after="0" w:line="144" w:lineRule="exact"/>
        <w:rPr>
          <w:rFonts w:ascii="Times New Roman" w:cs="Times New Roman" w:eastAsia="Times New Roman" w:hAnsi="Times New Roman"/>
          <w:sz w:val="16"/>
          <w:szCs w:val="16"/>
          <w:color w:val="auto"/>
        </w:rPr>
      </w:pPr>
    </w:p>
    <w:p>
      <w:pPr>
        <w:jc w:val="both"/>
        <w:ind w:left="4" w:right="20" w:firstLine="569"/>
        <w:spacing w:after="0" w:line="259" w:lineRule="auto"/>
        <w:tabs>
          <w:tab w:leader="none" w:pos="80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is secured by a Lien on such assets where the lender’s sole security is to the assets so purchased or constructed (including additions and improvements thereto, and any casualty insurance proceeds with respect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individual financings of assets provided by one lender may be cross collateralized to other financings of assets provided by such lender; and in either case that does not exceed 100% of the cost of such assets (including the installation, delivery and construction costs and additions and improvements thereto).</w:t>
      </w:r>
    </w:p>
    <w:p>
      <w:pPr>
        <w:spacing w:after="0" w:line="160" w:lineRule="exact"/>
        <w:rPr>
          <w:sz w:val="20"/>
          <w:szCs w:val="20"/>
          <w:color w:val="auto"/>
        </w:rPr>
      </w:pPr>
    </w:p>
    <w:p>
      <w:pPr>
        <w:jc w:val="both"/>
        <w:ind w:left="4" w:firstLine="574"/>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Qualified Successor Entity</w:t>
      </w:r>
      <w:r>
        <w:rPr>
          <w:rFonts w:ascii="Times New Roman" w:cs="Times New Roman" w:eastAsia="Times New Roman" w:hAnsi="Times New Roman"/>
          <w:sz w:val="15"/>
          <w:szCs w:val="15"/>
          <w:color w:val="auto"/>
        </w:rPr>
        <w:t xml:space="preserve">” means, with respect to a Business Combination Event, a corporation;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provided that, in the case of this clause (ii), (1) if such limited liability company or limited partnership is not treated as a corporation or an entity disregarded as separate from a corporation, in each case for U.S. federal income tax purposes,</w:t>
      </w:r>
    </w:p>
    <w:p>
      <w:pPr>
        <w:spacing w:after="0" w:line="1" w:lineRule="exact"/>
        <w:rPr>
          <w:sz w:val="20"/>
          <w:szCs w:val="20"/>
          <w:color w:val="auto"/>
        </w:rPr>
      </w:pPr>
    </w:p>
    <w:p>
      <w:pPr>
        <w:jc w:val="both"/>
        <w:ind w:left="4" w:hanging="4"/>
        <w:spacing w:after="0" w:line="251" w:lineRule="auto"/>
        <w:tabs>
          <w:tab w:leader="none" w:pos="23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received an opinion of a nationally recognized tax counsel to the effect that such Business Combination Event will not be treated as an exchange under Section 1001 of the U.S. Internal Revenue Code of 1986, as amended, for Holders or beneficial owners of the Notes and (y) such limited liability company or limited partnership is a direct or indirect, wholly owned subsidiary of a corporation duly organized and existing under the laws of the United States of America, any State thereof or the District of Columbia; (2) such Business Combination Event constitutes a Share Exchange Event whose Reference Property consists solely of any combination of cash in U.S. dollars and shares of common stock or other corporate Common Equity interests of a corporation described in clause (1)(y); and (3) if the Qualified Successor Entity is disregarded as separate from its owner for U.S. federal income tax purposes, its regarded owner is a U.S. person for U.S. federal income tax purposes.</w:t>
      </w:r>
    </w:p>
    <w:p>
      <w:pPr>
        <w:spacing w:after="0" w:line="165" w:lineRule="exact"/>
        <w:rPr>
          <w:sz w:val="20"/>
          <w:szCs w:val="20"/>
          <w:color w:val="auto"/>
        </w:rPr>
      </w:pPr>
    </w:p>
    <w:p>
      <w:pPr>
        <w:jc w:val="both"/>
        <w:ind w:left="4"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Real Property</w:t>
      </w:r>
      <w:r>
        <w:rPr>
          <w:rFonts w:ascii="Times New Roman" w:cs="Times New Roman" w:eastAsia="Times New Roman" w:hAnsi="Times New Roman"/>
          <w:sz w:val="16"/>
          <w:szCs w:val="16"/>
          <w:color w:val="auto"/>
        </w:rPr>
        <w:t>” means, collectively, all right, title and interest (including any leasehold estate) in and to any and all parcels of or interests in real property owned or leased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34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38" w:name="page39"/>
    <w:bookmarkEnd w:id="38"/>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15.07(a)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Regular Record Date</w:t>
      </w:r>
      <w:r>
        <w:rPr>
          <w:rFonts w:ascii="Times New Roman" w:cs="Times New Roman" w:eastAsia="Times New Roman" w:hAnsi="Times New Roman"/>
          <w:sz w:val="16"/>
          <w:szCs w:val="16"/>
          <w:color w:val="auto"/>
        </w:rPr>
        <w:t>,” with respect to any Interest Payment Date, means the March 15, June 15, September 15 or December 15 (whether or not such day is a Business Day) immediately preceding the applicable April 1, July 1, October 1, and January 1 Interest Payment Date, respectively.</w:t>
      </w:r>
    </w:p>
    <w:p>
      <w:pPr>
        <w:spacing w:after="0" w:line="140"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Related Business Assets</w:t>
      </w:r>
      <w:r>
        <w:rPr>
          <w:rFonts w:ascii="Times New Roman" w:cs="Times New Roman" w:eastAsia="Times New Roman" w:hAnsi="Times New Roman"/>
          <w:sz w:val="16"/>
          <w:szCs w:val="16"/>
          <w:color w:val="auto"/>
        </w:rPr>
        <w:t>” means assets (other than cash or Cash Equivalents) used or useful in a Permitted Business, including any Capital Stock of a Person engaged in a Permitted Business.</w:t>
      </w:r>
    </w:p>
    <w:p>
      <w:pPr>
        <w:spacing w:after="0" w:line="14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Responsible Officer</w:t>
      </w:r>
      <w:r>
        <w:rPr>
          <w:rFonts w:ascii="Times New Roman" w:cs="Times New Roman" w:eastAsia="Times New Roman" w:hAnsi="Times New Roman"/>
          <w:sz w:val="16"/>
          <w:szCs w:val="16"/>
          <w:color w:val="auto"/>
        </w:rPr>
        <w:t>” means, when used with respect to the Trustee or the Collateral Agent, as applicable, any officer within the corporate trust department of the Trustee or the Collateral Agent, as applicable, including any vice president, assistant vice president, assistant secretary, assistant treasurer, trust officer or any other officer of the Trustee or the Collateral Agent,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Investment</w:t>
      </w:r>
      <w:r>
        <w:rPr>
          <w:rFonts w:ascii="Times New Roman" w:cs="Times New Roman" w:eastAsia="Times New Roman" w:hAnsi="Times New Roman"/>
          <w:sz w:val="16"/>
          <w:szCs w:val="16"/>
          <w:color w:val="auto"/>
        </w:rPr>
        <w:t>” means any Investment other than a Permitted Investment.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Payment</w:t>
      </w:r>
      <w:r>
        <w:rPr>
          <w:rFonts w:ascii="Times New Roman" w:cs="Times New Roman" w:eastAsia="Times New Roman" w:hAnsi="Times New Roman"/>
          <w:sz w:val="16"/>
          <w:szCs w:val="16"/>
          <w:color w:val="auto"/>
        </w:rPr>
        <w:t>” means any:</w:t>
      </w:r>
    </w:p>
    <w:p>
      <w:pPr>
        <w:spacing w:after="0" w:line="200" w:lineRule="exact"/>
        <w:rPr>
          <w:sz w:val="20"/>
          <w:szCs w:val="20"/>
          <w:color w:val="auto"/>
        </w:rPr>
      </w:pPr>
    </w:p>
    <w:p>
      <w:pPr>
        <w:ind w:firstLine="569"/>
        <w:spacing w:after="0" w:line="315" w:lineRule="auto"/>
        <w:tabs>
          <w:tab w:leader="none" w:pos="792"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declaration or payment of any dividend, any distribution or other payment (whether made in cash, securities or other property) on or in respect of the Company’s or any of its Subsidiaries’ Equity Interests (including any payment in connection with any merger or consolidation involving the Company or any of its Subsidiaries) other than:</w:t>
      </w:r>
    </w:p>
    <w:p>
      <w:pPr>
        <w:spacing w:after="0" w:line="121" w:lineRule="exact"/>
        <w:rPr>
          <w:sz w:val="20"/>
          <w:szCs w:val="20"/>
          <w:color w:val="auto"/>
        </w:rPr>
      </w:pPr>
    </w:p>
    <w:p>
      <w:pPr>
        <w:ind w:left="800" w:hanging="231"/>
        <w:spacing w:after="0"/>
        <w:tabs>
          <w:tab w:leader="none" w:pos="8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or distributions payable solely in Capital Stock of the Company (other than Disqualified Stock); and</w:t>
      </w:r>
    </w:p>
    <w:p>
      <w:pPr>
        <w:spacing w:after="0" w:line="198" w:lineRule="exact"/>
        <w:rPr>
          <w:rFonts w:ascii="Times New Roman" w:cs="Times New Roman" w:eastAsia="Times New Roman" w:hAnsi="Times New Roman"/>
          <w:sz w:val="16"/>
          <w:szCs w:val="16"/>
          <w:color w:val="auto"/>
        </w:rPr>
      </w:pPr>
    </w:p>
    <w:p>
      <w:pPr>
        <w:jc w:val="both"/>
        <w:ind w:firstLine="569"/>
        <w:spacing w:after="0" w:line="265" w:lineRule="auto"/>
        <w:tabs>
          <w:tab w:leader="none" w:pos="80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 or distributions by a Subsidiary to the Company or another Subsidiary, so long as, in the case of any dividend or distribution payable on or in respect of any Capital Stock issued by a Subsidiary that is not a Wholly Owned Subsidiary, the Company or the Subsidiary holding such Capital Stock receives at least its pro rata share of such dividend or distribution;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9" w:name="page40"/>
    <w:bookmarkEnd w:id="39"/>
    <w:p>
      <w:pPr>
        <w:ind w:firstLine="569"/>
        <w:spacing w:after="0" w:line="280" w:lineRule="auto"/>
        <w:tabs>
          <w:tab w:leader="none" w:pos="80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redemption, defeasance, retirement or otherwise acquisition for value, including in connection with any merger or consolidation, of any Equity Interests of the Company; or</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1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redemption, defeasance, retirement or otherwise acquisition for value, including in connection with any merger or consolidation, of any unsecured Indebtedness, Subordinated Indebtedness or Indebtedness secured by Liens on the Collateral which are junior in priority to the Liens securing the Note, in each case if any Default or Event of Default has occurred and is continuing or would result therefrom.</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Restrictive Notes Legend</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as promulgated under the Securities Act.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144A</w:t>
      </w:r>
      <w:r>
        <w:rPr>
          <w:rFonts w:ascii="Times New Roman" w:cs="Times New Roman" w:eastAsia="Times New Roman" w:hAnsi="Times New Roman"/>
          <w:sz w:val="16"/>
          <w:szCs w:val="16"/>
          <w:color w:val="auto"/>
        </w:rPr>
        <w:t>” means Rule 144A as promulgated under the Securities Act.</w:t>
      </w:r>
    </w:p>
    <w:p>
      <w:pPr>
        <w:spacing w:after="0" w:line="198"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6"/>
          <w:szCs w:val="16"/>
          <w:b w:val="1"/>
          <w:bCs w:val="1"/>
          <w:color w:val="auto"/>
        </w:rPr>
        <w:t>Scheduled Trading Day</w:t>
      </w:r>
      <w:r>
        <w:rPr>
          <w:rFonts w:ascii="Times New Roman" w:cs="Times New Roman" w:eastAsia="Times New Roman" w:hAnsi="Times New Roman"/>
          <w:sz w:val="16"/>
          <w:szCs w:val="16"/>
          <w:color w:val="auto"/>
        </w:rPr>
        <w:t>” means a Business Day.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Secured Parties</w:t>
      </w:r>
      <w:r>
        <w:rPr>
          <w:rFonts w:ascii="Times New Roman" w:cs="Times New Roman" w:eastAsia="Times New Roman" w:hAnsi="Times New Roman"/>
          <w:sz w:val="16"/>
          <w:szCs w:val="16"/>
          <w:color w:val="auto"/>
        </w:rPr>
        <w:t>” means the Trustee, the Collateral Agent and the Holders of the Notes.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98" w:lineRule="exact"/>
        <w:rPr>
          <w:sz w:val="20"/>
          <w:szCs w:val="20"/>
          <w:color w:val="auto"/>
        </w:rPr>
      </w:pPr>
    </w:p>
    <w:p>
      <w:pPr>
        <w:ind w:right="20" w:firstLine="574"/>
        <w:spacing w:after="0" w:line="31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 Agreement</w:t>
      </w:r>
      <w:r>
        <w:rPr>
          <w:rFonts w:ascii="Times New Roman" w:cs="Times New Roman" w:eastAsia="Times New Roman" w:hAnsi="Times New Roman"/>
          <w:sz w:val="15"/>
          <w:szCs w:val="15"/>
          <w:color w:val="auto"/>
        </w:rPr>
        <w:t>” means that certain Pledge and Security Agreement, dated the date hereof, between the Company and the Collateral Agent for the benefit of the Secured Parties, as amended, restated, amended and restated, supplemented or otherwise modified from time to time by one or more Security Joinder Agreements or otherwise.</w:t>
      </w:r>
    </w:p>
    <w:p>
      <w:pPr>
        <w:spacing w:after="0" w:line="1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Joinder Agreement</w:t>
      </w:r>
      <w:r>
        <w:rPr>
          <w:rFonts w:ascii="Times New Roman" w:cs="Times New Roman" w:eastAsia="Times New Roman" w:hAnsi="Times New Roman"/>
          <w:sz w:val="16"/>
          <w:szCs w:val="16"/>
          <w:color w:val="auto"/>
        </w:rPr>
        <w:t>” means a joinder agreement substantially in the form attached to the Security 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Amount</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15.02(a)(ii)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Method</w:t>
      </w:r>
      <w:r>
        <w:rPr>
          <w:rFonts w:ascii="Times New Roman" w:cs="Times New Roman" w:eastAsia="Times New Roman" w:hAnsi="Times New Roman"/>
          <w:sz w:val="16"/>
          <w:szCs w:val="16"/>
          <w:color w:val="auto"/>
        </w:rPr>
        <w:t xml:space="preserve">” means, with respect to any conversion of Notes, Physical Settlement, Cash Settlement or Combination Settlement, as elected (or deemed to have been elected) by the Company, in accordance with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Settlement Notice</w:t>
      </w:r>
      <w:r>
        <w:rPr>
          <w:rFonts w:ascii="Times New Roman" w:cs="Times New Roman" w:eastAsia="Times New Roman" w:hAnsi="Times New Roman"/>
          <w:sz w:val="16"/>
          <w:szCs w:val="16"/>
          <w:color w:val="auto"/>
        </w:rPr>
        <w:t xml:space="preserve">” has the meaning specified in </w:t>
      </w:r>
      <w:r>
        <w:rPr>
          <w:rFonts w:ascii="Times New Roman" w:cs="Times New Roman" w:eastAsia="Times New Roman" w:hAnsi="Times New Roman"/>
          <w:sz w:val="16"/>
          <w:szCs w:val="16"/>
          <w:u w:val="single" w:color="auto"/>
          <w:color w:val="auto"/>
        </w:rPr>
        <w:t>Section 15.02(a)(ii)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 Exchange Event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15.07(a)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Significant Subsidiary</w:t>
      </w:r>
      <w:r>
        <w:rPr>
          <w:rFonts w:ascii="Times New Roman" w:cs="Times New Roman" w:eastAsia="Times New Roman" w:hAnsi="Times New Roman"/>
          <w:sz w:val="16"/>
          <w:szCs w:val="16"/>
          <w:color w:val="auto"/>
        </w:rPr>
        <w:t>” means a Subsidiary of the Company that is a “significant subsidiary” as defined in Article 1, Rule 1-02 of Regulation S-X promulgated by the Commission.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Dollar Amount</w:t>
      </w:r>
      <w:r>
        <w:rPr>
          <w:rFonts w:ascii="Times New Roman" w:cs="Times New Roman" w:eastAsia="Times New Roman" w:hAnsi="Times New Roman"/>
          <w:sz w:val="16"/>
          <w:szCs w:val="16"/>
          <w:color w:val="auto"/>
        </w:rPr>
        <w:t>” means, in respect of Notes as to which Combination Settlement applies, the maximum cash amount per $1,000 principal amount of such Notes to be received upon conversion as specified in the related Settlement Notice or as otherwise deemed elected by the Company.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15.03(c)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12.01(a)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means present or future taxes, duties, assessments or governmental charges of whatever nature.</w:t>
      </w:r>
    </w:p>
    <w:p>
      <w:pPr>
        <w:spacing w:after="0" w:line="198"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the Common Stock (or such other security) is not so listed or traded,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xml:space="preserve">” means a Business Day;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for purposes of determining the amount of cash and/or the number of shares of Common Stock due upon conversion only,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Business Day.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Treasury Management Arrangement</w:t>
      </w:r>
      <w:r>
        <w:rPr>
          <w:rFonts w:ascii="Times New Roman" w:cs="Times New Roman" w:eastAsia="Times New Roman" w:hAnsi="Times New Roman"/>
          <w:sz w:val="16"/>
          <w:szCs w:val="16"/>
          <w:color w:val="auto"/>
        </w:rPr>
        <w:t>” means any agreement or other arrangement governing the provision of treasury or cash management services, including, without limitation, deposit accounts, overdraft, overnight draft, credit cards, debit cards, p-cards (including purchasing cards, employee credit card programs and commercial cards), funds transfer, automated clearinghouse, direct debit, zero balance accounts, returned check concentration, controlled disbursement, lockbox, account reconciliation and reporting and trade finance services, netting services, cash pooling arrangements, credit and debit card acceptance or merchant services and other treasury or cash management services.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1" w:name="page42"/>
    <w:bookmarkEnd w:id="4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Trigger Event</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Indenture Act</w:t>
      </w:r>
      <w:r>
        <w:rPr>
          <w:rFonts w:ascii="Times New Roman" w:cs="Times New Roman" w:eastAsia="Times New Roman" w:hAnsi="Times New Roman"/>
          <w:sz w:val="16"/>
          <w:szCs w:val="16"/>
          <w:color w:val="auto"/>
        </w:rPr>
        <w:t xml:space="preserve">” means the Trust Indenture Act of 1939, as amended, as it was in force at the date of execution of this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the Person named as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shall mean or include each Person who is then a Trustee hereunder.</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15.07(a)</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Valuation Period</w:t>
      </w:r>
      <w:r>
        <w:rPr>
          <w:rFonts w:ascii="Times New Roman" w:cs="Times New Roman" w:eastAsia="Times New Roman" w:hAnsi="Times New Roman"/>
          <w:sz w:val="16"/>
          <w:szCs w:val="16"/>
          <w:color w:val="auto"/>
        </w:rPr>
        <w:t xml:space="preserve">” shall have the meaning specified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Life to Maturity</w:t>
      </w:r>
      <w:r>
        <w:rPr>
          <w:rFonts w:ascii="Times New Roman" w:cs="Times New Roman" w:eastAsia="Times New Roman" w:hAnsi="Times New Roman"/>
          <w:sz w:val="16"/>
          <w:szCs w:val="16"/>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59"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Wholly Owned Subsidiary</w:t>
      </w:r>
      <w:r>
        <w:rPr>
          <w:rFonts w:ascii="Times New Roman" w:cs="Times New Roman" w:eastAsia="Times New Roman" w:hAnsi="Times New Roman"/>
          <w:sz w:val="16"/>
          <w:szCs w:val="16"/>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59"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References to Interest.</w:t>
      </w:r>
      <w:r>
        <w:rPr>
          <w:rFonts w:ascii="Times New Roman" w:cs="Times New Roman" w:eastAsia="Times New Roman" w:hAnsi="Times New Roman"/>
          <w:sz w:val="16"/>
          <w:szCs w:val="16"/>
          <w:color w:val="auto"/>
        </w:rPr>
        <w:t xml:space="preserve"> Unless the context otherwise requires, (x) any reference to interest on, or in respect of, any Note in this Indenture shall be deemed to include Additional Interest if, in such context, Additional Interest is, was or would be payable pursuant to any of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4.06(e)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(y) any express mention of Additional Interest in any provision hereof shall not be construed as excluding Additional Interest in those provisions hereof where such express mention is not made; and (z) any reference to accrued interest since the immediately preceding an Interest Payment Date (or if there is no immediately preceding Interest Payment Date, from, and including, the issue date of such Note or such any date from which such Note bears interest as stated on such Note) on, or in respect of, any Note that has not been paid in this Indenture shall be deemed to refer to the amount of such interest that would have accrued as of the relevant time at the rate borne by the Notes.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 DESCRIPTION, EXECUTION, REGISTRATION AND EXCHANGE OF NOTES</w:t>
      </w:r>
    </w:p>
    <w:p>
      <w:pPr>
        <w:spacing w:after="0" w:line="18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Designation and Amount.</w:t>
      </w:r>
      <w:r>
        <w:rPr>
          <w:rFonts w:ascii="Times New Roman" w:cs="Times New Roman" w:eastAsia="Times New Roman" w:hAnsi="Times New Roman"/>
          <w:sz w:val="16"/>
          <w:szCs w:val="16"/>
          <w:color w:val="auto"/>
        </w:rPr>
        <w:t xml:space="preserve"> The Notes shall be designated as the “10.00% Convertible Senior Secured Notes due 2029.” The Notes issued on the date hereof shall be offered and sold by the Company in reliance on Section 4(a)(2) of the Securities Act (a) to qualified institutional buyers (as defined in Rule 144A) and (b) to accredited investors (as defined in Rule 501 under the Securities Act). The aggregate principal amount of Notes (including Affiliate Notes) that may be authenticated and delivered under this Indenture is initially limited to $41,000,000, which initially includes $6,000,000 aggregate principal amount of Affiliate Notes as of the date of this Indenture, subject to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and except for Notes authenticated and delivered upon registration or transfer of, or in exchange for, or in lieu of other Notes to the extent expressly permitted hereunder. The Notes to be issued on the date of this Indenture will be represented, (i) in the case of the Notes issued to qualified institutional buyers in accordance with Rule 144A, by one or more Global Notes, (ii) in the case of the Notes issued to accredited investors that are not qualified institutional buyers, by one or more Physical Notes, and (iii) in the case of Notes issued to Affiliate Entities, by one or more Affiliate Notes.</w:t>
      </w:r>
    </w:p>
    <w:p>
      <w:pPr>
        <w:spacing w:after="0" w:line="163"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Form of Notes.</w:t>
      </w:r>
      <w:r>
        <w:rPr>
          <w:rFonts w:ascii="Times New Roman" w:cs="Times New Roman" w:eastAsia="Times New Roman" w:hAnsi="Times New Roman"/>
          <w:sz w:val="16"/>
          <w:szCs w:val="16"/>
          <w:color w:val="auto"/>
        </w:rPr>
        <w:t xml:space="preserve"> The Notes and the Trustee’s certificate of authentication to be borne by such Notes shall be substantially in the respective forms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61"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Fundamental Change Repurchase Price, if applicable) of, and any accrued and unpaid interest on, a Global Note shall be made to the Holder of such Note on the date of payment, unless a record date or other means of determining Holders eligible to receive payment is provided for herein.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3" w:name="page44"/>
    <w:bookmarkEnd w:id="43"/>
    <w:p>
      <w:pPr>
        <w:ind w:left="560"/>
        <w:spacing w:after="0"/>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Date and Denomination of Notes; Payments of Interest and Defaulted Amounts</w:t>
      </w:r>
    </w:p>
    <w:p>
      <w:pPr>
        <w:spacing w:after="0" w:line="200" w:lineRule="exact"/>
        <w:rPr>
          <w:sz w:val="20"/>
          <w:szCs w:val="20"/>
          <w:color w:val="auto"/>
        </w:rPr>
      </w:pPr>
    </w:p>
    <w:p>
      <w:pPr>
        <w:jc w:val="both"/>
        <w:ind w:right="20" w:firstLine="569"/>
        <w:spacing w:after="0" w:line="265" w:lineRule="auto"/>
        <w:tabs>
          <w:tab w:leader="none" w:pos="79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shall be issuable in registered form without coupons initially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55" w:lineRule="exact"/>
        <w:rPr>
          <w:rFonts w:ascii="Times New Roman" w:cs="Times New Roman" w:eastAsia="Times New Roman" w:hAnsi="Times New Roman"/>
          <w:sz w:val="16"/>
          <w:szCs w:val="16"/>
          <w:color w:val="auto"/>
        </w:rPr>
      </w:pPr>
    </w:p>
    <w:p>
      <w:pPr>
        <w:jc w:val="both"/>
        <w:ind w:firstLine="569"/>
        <w:spacing w:after="0" w:line="252" w:lineRule="auto"/>
        <w:tabs>
          <w:tab w:leader="none" w:pos="80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$4,500,000 or less, by check mailed to the Holders of these Notes at their address as it appears in the Note Register and (B) to Holders holding Physical Notes having an aggregate principal amount of more than $4,500,000,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69"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9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below:</w:t>
      </w:r>
    </w:p>
    <w:p>
      <w:pPr>
        <w:spacing w:after="0" w:line="155" w:lineRule="exact"/>
        <w:rPr>
          <w:rFonts w:ascii="Times New Roman" w:cs="Times New Roman" w:eastAsia="Times New Roman" w:hAnsi="Times New Roman"/>
          <w:sz w:val="16"/>
          <w:szCs w:val="16"/>
          <w:color w:val="auto"/>
        </w:rPr>
      </w:pPr>
    </w:p>
    <w:p>
      <w:pPr>
        <w:jc w:val="both"/>
        <w:ind w:firstLine="1143"/>
        <w:spacing w:after="0" w:line="270" w:lineRule="auto"/>
        <w:tabs>
          <w:tab w:leader="none" w:pos="1342"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w:t>
      </w:r>
      <w:r>
        <w:rPr>
          <w:rFonts w:ascii="Times New Roman" w:cs="Times New Roman" w:eastAsia="Times New Roman" w:hAnsi="Times New Roman"/>
          <w:sz w:val="15"/>
          <w:szCs w:val="15"/>
          <w:u w:val="single" w:color="auto"/>
          <w:color w:val="auto"/>
        </w:rPr>
        <w:t>clause (ii)</w:t>
      </w:r>
      <w:r>
        <w:rPr>
          <w:rFonts w:ascii="Times New Roman" w:cs="Times New Roman" w:eastAsia="Times New Roman" w:hAnsi="Times New Roman"/>
          <w:sz w:val="15"/>
          <w:szCs w:val="15"/>
          <w:color w:val="auto"/>
        </w:rPr>
        <w:t xml:space="preserve"> of this </w:t>
      </w:r>
      <w:r>
        <w:rPr>
          <w:rFonts w:ascii="Times New Roman" w:cs="Times New Roman" w:eastAsia="Times New Roman" w:hAnsi="Times New Roman"/>
          <w:sz w:val="15"/>
          <w:szCs w:val="15"/>
          <w:u w:val="single" w:color="auto"/>
          <w:color w:val="auto"/>
        </w:rPr>
        <w:t>Section 2.03(c)</w:t>
      </w:r>
      <w:r>
        <w:rPr>
          <w:rFonts w:ascii="Times New Roman" w:cs="Times New Roman" w:eastAsia="Times New Roman" w:hAnsi="Times New Roman"/>
          <w:sz w:val="15"/>
          <w:szCs w:val="15"/>
          <w:color w:val="auto"/>
        </w:rPr>
        <w: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4" w:name="page45"/>
    <w:bookmarkEnd w:id="44"/>
    <w:p>
      <w:pPr>
        <w:jc w:val="both"/>
        <w:ind w:firstLine="1143"/>
        <w:spacing w:after="0" w:line="259" w:lineRule="auto"/>
        <w:tabs>
          <w:tab w:leader="none" w:pos="141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3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42"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Execution, Authentication and Delivery of Notes.</w:t>
      </w:r>
      <w:r>
        <w:rPr>
          <w:rFonts w:ascii="Times New Roman" w:cs="Times New Roman" w:eastAsia="Times New Roman" w:hAnsi="Times New Roman"/>
          <w:sz w:val="16"/>
          <w:szCs w:val="16"/>
          <w:color w:val="auto"/>
        </w:rPr>
        <w:t xml:space="preserve"> The Notes shall be signed in the name and on behalf of the Company by the manual, facsimile or electronic signature of its Chief Executive Officer or Chief Financial Officer.</w:t>
      </w:r>
    </w:p>
    <w:p>
      <w:pPr>
        <w:spacing w:after="0" w:line="14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subject to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the Trustee shall receive an Officer’s Certificate and an Opinion of Counsel of the Company with respect to the issuance, authentication and delivery of such Notes.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Only such Notes as shall bear thereon a certificate of authentication substantially in the form set forth on the Form of Note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executed manually by an authorized signatory of the Trustee (or an authenticating agent appointed by the Trustee as provided by </w:t>
      </w:r>
      <w:r>
        <w:rPr>
          <w:rFonts w:ascii="Times New Roman" w:cs="Times New Roman" w:eastAsia="Times New Roman" w:hAnsi="Times New Roman"/>
          <w:sz w:val="16"/>
          <w:szCs w:val="16"/>
          <w:u w:val="single" w:color="auto"/>
          <w:color w:val="auto"/>
        </w:rPr>
        <w:t>Section 18.10</w:t>
      </w:r>
      <w:r>
        <w:rPr>
          <w:rFonts w:ascii="Times New Roman" w:cs="Times New Roman" w:eastAsia="Times New Roman" w:hAnsi="Times New Roman"/>
          <w:sz w:val="16"/>
          <w:szCs w:val="16"/>
          <w:color w:val="auto"/>
        </w:rPr>
        <w:t>),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In the case of Physical Notes, all such Physical Notes under this Indenture shall be held by the Custodian. The Company Order shall state that such Notes are to be held by the Custodian for the benefit of the Holders thereof.</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2.05. </w:t>
      </w:r>
      <w:r>
        <w:rPr>
          <w:rFonts w:ascii="Times New Roman" w:cs="Times New Roman" w:eastAsia="Times New Roman" w:hAnsi="Times New Roman"/>
          <w:sz w:val="16"/>
          <w:szCs w:val="16"/>
          <w:i w:val="1"/>
          <w:iCs w:val="1"/>
          <w:color w:val="auto"/>
        </w:rPr>
        <w:t>Exchange and Registration of Transfer of Notes; Restrictions on Transfer; Depositary.</w:t>
      </w:r>
    </w:p>
    <w:p>
      <w:pPr>
        <w:spacing w:after="0" w:line="200" w:lineRule="exact"/>
        <w:rPr>
          <w:sz w:val="20"/>
          <w:szCs w:val="20"/>
          <w:color w:val="auto"/>
        </w:rPr>
      </w:pPr>
    </w:p>
    <w:p>
      <w:pPr>
        <w:jc w:val="both"/>
        <w:ind w:right="20" w:firstLine="569"/>
        <w:spacing w:after="0" w:line="257" w:lineRule="auto"/>
        <w:tabs>
          <w:tab w:leader="none" w:pos="79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cause to be kept at the Corporate Trust Office a register (the register maintained in such office or in any other office or agency of the Company designated pursuant to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Note Register</w:t>
      </w:r>
      <w:r>
        <w:rPr>
          <w:rFonts w:ascii="Times New Roman" w:cs="Times New Roman" w:eastAsia="Times New Roman" w:hAnsi="Times New Roman"/>
          <w:sz w:val="16"/>
          <w:szCs w:val="16"/>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6"/>
          <w:szCs w:val="16"/>
          <w:b w:val="1"/>
          <w:bCs w:val="1"/>
          <w:color w:val="auto"/>
        </w:rPr>
        <w:t>Note Registrar</w:t>
      </w:r>
      <w:r>
        <w:rPr>
          <w:rFonts w:ascii="Times New Roman" w:cs="Times New Roman" w:eastAsia="Times New Roman" w:hAnsi="Times New Roman"/>
          <w:sz w:val="16"/>
          <w:szCs w:val="16"/>
          <w:color w:val="auto"/>
        </w:rPr>
        <w:t xml:space="preserve">” for the purpose of registering Notes and transfers of Notes as herein provided. The Company may appoint one or more co-Note Registrars in accordance with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Upon surrender for registration of transfer of any Note to the Note Registrar or any co-Note Registrar, and satisfaction of the requirements for such transfer set forth in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Notes may be exchanged for other Notes of any authorized denominations and of a like aggregate principal amount, upon surrender of the Notes to be exchanged at any such office or agency maintained by the Company pursuant to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or (ii) any Notes, or a portion of any Note, surrendered for required repurchase upon a Fundamental Change (and not withdrawn) in accordance with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44" w:lineRule="exact"/>
        <w:rPr>
          <w:sz w:val="20"/>
          <w:szCs w:val="20"/>
          <w:color w:val="auto"/>
        </w:rPr>
      </w:pPr>
    </w:p>
    <w:p>
      <w:pPr>
        <w:jc w:val="both"/>
        <w:ind w:firstLine="569"/>
        <w:spacing w:after="0" w:line="255" w:lineRule="auto"/>
        <w:tabs>
          <w:tab w:leader="none" w:pos="81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 long as the Notes are eligible for book-entry settlement with the Depositary, unless otherwise required by law, subject to the fifth paragraph from the end of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all Notes shall be represented by one or more Notes in global form (each, a “</w:t>
      </w:r>
      <w:r>
        <w:rPr>
          <w:rFonts w:ascii="Times New Roman" w:cs="Times New Roman" w:eastAsia="Times New Roman" w:hAnsi="Times New Roman"/>
          <w:sz w:val="16"/>
          <w:szCs w:val="16"/>
          <w:b w:val="1"/>
          <w:bCs w:val="1"/>
          <w:color w:val="auto"/>
        </w:rPr>
        <w:t>Global Note</w:t>
      </w:r>
      <w:r>
        <w:rPr>
          <w:rFonts w:ascii="Times New Roman" w:cs="Times New Roman" w:eastAsia="Times New Roman" w:hAnsi="Times New Roman"/>
          <w:sz w:val="16"/>
          <w:szCs w:val="16"/>
          <w:color w:val="auto"/>
        </w:rPr>
        <w:t xml:space="preserve">”) registered in the name of the Depositary or the nominee of the Depositary;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any Notes issued to accredited investors who are not qualified institutional buyers shall be issued as Physical Notes. Each Global Note shall bear the legend required on a Global Note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165" w:lineRule="exact"/>
        <w:rPr>
          <w:rFonts w:ascii="Times New Roman" w:cs="Times New Roman" w:eastAsia="Times New Roman" w:hAnsi="Times New Roman"/>
          <w:sz w:val="16"/>
          <w:szCs w:val="16"/>
          <w:color w:val="auto"/>
        </w:rPr>
      </w:pPr>
    </w:p>
    <w:p>
      <w:pPr>
        <w:jc w:val="both"/>
        <w:ind w:firstLine="569"/>
        <w:spacing w:after="0" w:line="255" w:lineRule="auto"/>
        <w:tabs>
          <w:tab w:leader="none" w:pos="80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Every Note (other than an Affiliate Note) that bears or is required under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to bear the Restrictive Notes Legend (together with any Common Stock issued upon conversion of the Notes that is required to bear the legend set forth in </w:t>
      </w:r>
      <w:r>
        <w:rPr>
          <w:rFonts w:ascii="Times New Roman" w:cs="Times New Roman" w:eastAsia="Times New Roman" w:hAnsi="Times New Roman"/>
          <w:sz w:val="16"/>
          <w:szCs w:val="16"/>
          <w:u w:val="single" w:color="auto"/>
          <w:color w:val="auto"/>
        </w:rPr>
        <w:t>Section 2.05(d)</w:t>
      </w:r>
      <w:r>
        <w:rPr>
          <w:rFonts w:ascii="Times New Roman" w:cs="Times New Roman" w:eastAsia="Times New Roman" w:hAnsi="Times New Roman"/>
          <w:sz w:val="16"/>
          <w:szCs w:val="16"/>
          <w:color w:val="auto"/>
        </w:rPr>
        <w:t>, collectively, the “</w:t>
      </w:r>
      <w:r>
        <w:rPr>
          <w:rFonts w:ascii="Times New Roman" w:cs="Times New Roman" w:eastAsia="Times New Roman" w:hAnsi="Times New Roman"/>
          <w:sz w:val="16"/>
          <w:szCs w:val="16"/>
          <w:b w:val="1"/>
          <w:bCs w:val="1"/>
          <w:color w:val="auto"/>
        </w:rPr>
        <w:t>Restricted Securities</w:t>
      </w:r>
      <w:r>
        <w:rPr>
          <w:rFonts w:ascii="Times New Roman" w:cs="Times New Roman" w:eastAsia="Times New Roman" w:hAnsi="Times New Roman"/>
          <w:sz w:val="16"/>
          <w:szCs w:val="16"/>
          <w:color w:val="auto"/>
        </w:rPr>
        <w:t xml:space="preserve">”) shall be subject to the restrictions on transfer set forth in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(including those contained in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2.05(d)</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encompasses any sale, pledge, transfer or other disposition whatsoever of any Restricted Security or any Affiliate Note.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ind w:left="4" w:firstLine="574"/>
        <w:spacing w:after="0" w:line="260" w:lineRule="auto"/>
        <w:rPr>
          <w:sz w:val="20"/>
          <w:szCs w:val="20"/>
          <w:color w:val="auto"/>
        </w:rPr>
      </w:pPr>
      <w:r>
        <w:rPr>
          <w:rFonts w:ascii="Times New Roman" w:cs="Times New Roman" w:eastAsia="Times New Roman" w:hAnsi="Times New Roman"/>
          <w:sz w:val="16"/>
          <w:szCs w:val="16"/>
          <w:color w:val="auto"/>
        </w:rPr>
        <w:t xml:space="preserve">Any certificate evidencing a Note (and all securities issued in exchange therefor or substitution thereof, other than Common Stock, if any, issued upon conversion thereof, which shall bear the legend set forth in </w:t>
      </w:r>
      <w:r>
        <w:rPr>
          <w:rFonts w:ascii="Times New Roman" w:cs="Times New Roman" w:eastAsia="Times New Roman" w:hAnsi="Times New Roman"/>
          <w:sz w:val="16"/>
          <w:szCs w:val="16"/>
          <w:u w:val="single" w:color="auto"/>
          <w:color w:val="auto"/>
        </w:rPr>
        <w:t>Section 2.05(d)</w:t>
      </w:r>
      <w:r>
        <w:rPr>
          <w:rFonts w:ascii="Times New Roman" w:cs="Times New Roman" w:eastAsia="Times New Roman" w:hAnsi="Times New Roman"/>
          <w:sz w:val="16"/>
          <w:szCs w:val="16"/>
          <w:color w:val="auto"/>
        </w:rPr>
        <w:t>, if applicable) shall bear a legend in substantially the following form (the “</w:t>
      </w:r>
      <w:r>
        <w:rPr>
          <w:rFonts w:ascii="Times New Roman" w:cs="Times New Roman" w:eastAsia="Times New Roman" w:hAnsi="Times New Roman"/>
          <w:sz w:val="16"/>
          <w:szCs w:val="16"/>
          <w:b w:val="1"/>
          <w:bCs w:val="1"/>
          <w:color w:val="auto"/>
        </w:rPr>
        <w:t>Restrictive Notes Legend</w:t>
      </w:r>
      <w:r>
        <w:rPr>
          <w:rFonts w:ascii="Times New Roman" w:cs="Times New Roman" w:eastAsia="Times New Roman" w:hAnsi="Times New Roman"/>
          <w:sz w:val="16"/>
          <w:szCs w:val="16"/>
          <w:color w:val="auto"/>
        </w:rPr>
        <w:t>”) (unless</w:t>
      </w:r>
    </w:p>
    <w:p>
      <w:pPr>
        <w:jc w:val="both"/>
        <w:ind w:left="4" w:hanging="4"/>
        <w:spacing w:after="0" w:line="252" w:lineRule="auto"/>
        <w:tabs>
          <w:tab w:leader="none" w:pos="27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Notes have been transferred pursuant to a registration statement that has become or been declared effective under the Securities Act and that continues to be effective at the time of such transfer, (x) such Notes have been sold pursuant to the exemption from registration provided by Rule 144 or any similar provision then in force under the Securities Act, (y) otherwise agreed by the Company in writing, with notice thereof to the Trustee) , or (z) such Note is an Affiliate Note, in which case it shall bear the Affiliate Restrictive Notes Legend):</w:t>
      </w:r>
    </w:p>
    <w:p>
      <w:pPr>
        <w:spacing w:after="0" w:line="167"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THIS SECURITY AND THE COMMON STOCK, IF ANY, ISSUABLE UPON CONVERSION OF THIS SECURITY HAVE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ACCORDINGLY MAY NOT BE OFFERED, SOLD, PLEDGED OR OTHERWISE TRANSFERRED EXCEPT IN ACCORDANCE WITH THE FOLLOWING SENTENCE. BY ITS ACQUISITION HEREOF OR OF A BENEFICIAL INTEREST HEREIN, THE ACQUIRER:</w:t>
      </w:r>
    </w:p>
    <w:p>
      <w:pPr>
        <w:spacing w:after="0" w:line="162" w:lineRule="exact"/>
        <w:rPr>
          <w:sz w:val="20"/>
          <w:szCs w:val="20"/>
          <w:color w:val="auto"/>
        </w:rPr>
      </w:pPr>
    </w:p>
    <w:p>
      <w:pPr>
        <w:jc w:val="both"/>
        <w:ind w:left="4" w:firstLine="1143"/>
        <w:spacing w:after="0" w:line="265" w:lineRule="auto"/>
        <w:tabs>
          <w:tab w:leader="none" w:pos="140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53" w:lineRule="exact"/>
        <w:rPr>
          <w:rFonts w:ascii="Times New Roman" w:cs="Times New Roman" w:eastAsia="Times New Roman" w:hAnsi="Times New Roman"/>
          <w:sz w:val="16"/>
          <w:szCs w:val="16"/>
          <w:color w:val="auto"/>
        </w:rPr>
      </w:pPr>
    </w:p>
    <w:p>
      <w:pPr>
        <w:ind w:left="4" w:firstLine="1143"/>
        <w:spacing w:after="0" w:line="283" w:lineRule="auto"/>
        <w:tabs>
          <w:tab w:leader="none" w:pos="1408"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SUNPOWER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EXCEPT:</w:t>
      </w:r>
    </w:p>
    <w:p>
      <w:pPr>
        <w:spacing w:after="0" w:line="141" w:lineRule="exact"/>
        <w:rPr>
          <w:rFonts w:ascii="Times New Roman" w:cs="Times New Roman" w:eastAsia="Times New Roman" w:hAnsi="Times New Roman"/>
          <w:sz w:val="16"/>
          <w:szCs w:val="16"/>
          <w:color w:val="auto"/>
        </w:rPr>
      </w:pPr>
    </w:p>
    <w:p>
      <w:pPr>
        <w:ind w:left="844" w:hanging="271"/>
        <w:spacing w:after="0"/>
        <w:tabs>
          <w:tab w:leader="none" w:pos="84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4" w:right="20" w:firstLine="569"/>
        <w:spacing w:after="0" w:line="280" w:lineRule="auto"/>
        <w:tabs>
          <w:tab w:leader="none" w:pos="85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left="4" w:right="20" w:firstLine="569"/>
        <w:spacing w:after="0" w:line="280" w:lineRule="auto"/>
        <w:tabs>
          <w:tab w:leader="none" w:pos="8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left="4" w:right="20" w:firstLine="569"/>
        <w:spacing w:after="0" w:line="280" w:lineRule="auto"/>
        <w:tabs>
          <w:tab w:leader="none" w:pos="85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PRIOR TO THE REGISTRATION OF ANY TRANSFER IN ACCORDANCE WITH </w:t>
      </w:r>
      <w:r>
        <w:rPr>
          <w:rFonts w:ascii="Times New Roman" w:cs="Times New Roman" w:eastAsia="Times New Roman" w:hAnsi="Times New Roman"/>
          <w:sz w:val="16"/>
          <w:szCs w:val="16"/>
          <w:u w:val="single" w:color="auto"/>
          <w:color w:val="auto"/>
        </w:rPr>
        <w:t>CLAUSE (2)(D)</w:t>
      </w:r>
      <w:r>
        <w:rPr>
          <w:rFonts w:ascii="Times New Roman" w:cs="Times New Roman" w:eastAsia="Times New Roman" w:hAnsi="Times New Roman"/>
          <w:sz w:val="16"/>
          <w:szCs w:val="16"/>
          <w:color w:val="auto"/>
        </w:rPr>
        <w:t xml:space="preserve">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8" w:name="page49"/>
    <w:bookmarkEnd w:id="48"/>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No transfer of any Note will be registered by the Note Registrar unless the appropriate box on the Form of Assignment and Transfer has been checked and such transfer complies with the transfer restrictions set forth in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and the Restrictive Notes Legend. Any Affiliate Note will bear the Affiliate Restrictive Notes Legend at any time the Company determines that, to comply with law, such Note should bear the Affiliate Restrictive Notes Legend. No Affiliate Note may be exchanged for, or transferred with the Holder taking delivery in the form of, any Note that is not an Affiliate Note, except as described in the immediately succeeding paragraph.</w:t>
      </w:r>
    </w:p>
    <w:p>
      <w:pPr>
        <w:spacing w:after="0" w:line="16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Any Note (including any Physical Note other than an Affiliate Note) (or security issued in exchange or substitution thereof) (i) that has been transferred pursuant to a registration statement that has become effective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such Note for exchange to the Note Registrar in accordance with the provisions of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be exchanged for a new Note or Notes, of like tenor and aggregate principal amount, which shall not bear the Restrictive Notes Legend and shall not be assigned a restricted CUSIP number. The Company shall be entitled to instruct the Custodian in writing to so surrender any Global Note as to which any of the conditions set forth in clause (i) and (ii) of the immediately preceding sentence have been satisfied, and, upon such instruction, the Custodian shall so surrender such Global Note for exchange; and any new Global Note so exchanged therefor shall not bear the Restrictive Notes Legend and shall not be assigned a restricted CUSIP number. The Company shall promptly notify the Trustee after a registration statement, if any, with respect to the Notes or any Common Stock issued or issuable upon conversion of the Notes has been declared effective under the Securities Act.</w:t>
      </w:r>
    </w:p>
    <w:p>
      <w:pPr>
        <w:spacing w:after="0" w:line="166"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Any Affiliate Note (i) that has been transferred to a non-Affiliate of the Company pursuant to a registration statement that has become effective or been declared effective under the Securities Act and that continues to be effective at the time of such transfer or (ii) that has been sold to a non-Affiliate of the Company pursuant to the exemption from registration provided by Rule 144 or any similar provision then in force under the Securities Act, shall cease to be an Affiliate Note upon such transfer and, upon surrender of such Affiliate Note for exchange to the Note Registrar in accordance with the provisions of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be exchanged for a new Note or Notes, of like tenor and aggregate principal amount, which shall not bear the Affiliate Restrictive Notes Legend and shall not be assigned a restricted CUSIP number. The Company shall be entitled to instruct the Custodian in writing to so surrender any Affiliate Note as to which any of the conditions set forth in clause (i) and (ii) of the immediately preceding paragraph have been satisfied, and, upon such instruction, the Custodian shall so surrender such Affiliate Note for exchange; and any new Physical Note so exchanged therefor shall not bear the Restrictive Notes Legend specified in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and shall not be assigned a restricted CUSIP number. The Company shall promptly notify the Trustee in writing after a registration statement, if any, with respect to the Affiliate Notes or any Common Stock issued upon conversion of the Affiliate Notes has been declared effective under the Securities Act.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In addition, any Affiliate Note that has been transferred to a non-Affiliate of the Company, upon surrender of such Affiliate Note for exchange to the Note Registrar in accordance with the provisions of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may be exchanged for a new Note or Notes, of like tenor and aggregate principal amount, which shall bear the Restrictive Notes Legend required by this Section 2.05(c)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Note or Notes would then be eligible for resale under Rule 144 (without regard to Rule 144(c)(1) but including the satisfaction of a six-months holding period requirement under Rule 144(d)(1)).</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Notwithstanding any other provisions of this Indenture (other than the provisions set forth in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55"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w:t>
      </w:r>
    </w:p>
    <w:p>
      <w:pPr>
        <w:spacing w:after="0" w:line="169"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Physical Notes issued in exchange for all or a part of the Global Note pursuant to this </w:t>
      </w:r>
      <w:r>
        <w:rPr>
          <w:rFonts w:ascii="Times New Roman" w:cs="Times New Roman" w:eastAsia="Times New Roman" w:hAnsi="Times New Roman"/>
          <w:sz w:val="16"/>
          <w:szCs w:val="16"/>
          <w:u w:val="single" w:color="auto"/>
          <w:color w:val="auto"/>
        </w:rPr>
        <w:t>Section 2.05(c)</w:t>
      </w:r>
      <w:r>
        <w:rPr>
          <w:rFonts w:ascii="Times New Roman" w:cs="Times New Roman" w:eastAsia="Times New Roman" w:hAnsi="Times New Roman"/>
          <w:sz w:val="16"/>
          <w:szCs w:val="16"/>
          <w:color w:val="auto"/>
        </w:rPr>
        <w:t xml:space="preserve">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 Notwithstanding the foregoing, no Affiliate Note that is a Physical Note and no Physical Note that is held by a Holder that is not a qualified institutional buyer may be transferred into a Global Note other than a Global Note representing solely Affiliate Notes or such Physical Notes, as appliable, other than in connection with a transfer to a Person other than the Company or an Affiliate in accordance with the Affiliate Restrictive Notes Legend or the Restrictive Notes Legend, as applicable.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At such time as all interests in a Global Note have been converted, cancelled, repurchased, redeemed or transferred, such Global Note shall be, upon receipt thereof, cancelled by the Trustee in accordance with standing procedures and existing instructions between the Depositary and the Custodian. At any time prior to such cancellation, if any interest in a Global Note is exchanged for Physical Notes, converted, cancelled,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None of the Company, the Trustee or any agent of the Company or the Trustee (including in its capacity as Paying Agent)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5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Trustee, Note Registrar and transfer agent shall have no obligation or duty to monitor, determine or inquire as to compliance with any restrictions on transfer or exchange imposed under this Indenture or under applicable law with respect to any transfer or exchange of any interest in any Note (including any transfers between or among participants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2" w:lineRule="exact"/>
        <w:rPr>
          <w:sz w:val="20"/>
          <w:szCs w:val="20"/>
          <w:color w:val="auto"/>
        </w:rPr>
      </w:pPr>
    </w:p>
    <w:p>
      <w:pPr>
        <w:jc w:val="both"/>
        <w:ind w:firstLine="569"/>
        <w:spacing w:after="0" w:line="274" w:lineRule="auto"/>
        <w:tabs>
          <w:tab w:leader="none" w:pos="823"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stock certificate representing Common Stock issued upon conversion of a Note shall bear a legend in substantially the following form (unless (v) such Common Stock has been transferred pursuant to a registration statement that has become or been declared effective under the Securities Act and that continues to be effective at the time of such transfer, (w) such Common Stock has been transferred pursuant to the exemption from registration provided by Rule 144 or any similar provision then in force under the Securities Act, (x) such Common Stock has been issued upon conversion of a Note that has been transferred (I) pursuant to a registration statement that has become or been declared effective under the Securities Act and that continues to be effective at the time of such transfer, or (II) pursuant to the exemption from registration provided by Rule 144 or any similar provision then in force under the Securities Act, (y) otherwise agreed by the Company with written notice thereof to the Trustee and any transfer agent for the Common Stock or (z) such Common Stock was issued upon conversion of an Affiliate Note, in which case it shall bear the Affiliate Restrictive Stock Legend):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ind w:right="20" w:firstLine="1143"/>
        <w:spacing w:after="0" w:line="280" w:lineRule="auto"/>
        <w:tabs>
          <w:tab w:leader="none" w:pos="138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AN “ACCREDITED INVESTOR” (WITHIN THE MEANING OF RULE 501 UNDER THE SECURITIES ACT) AND THAT IT EXERCISES SOLE INVESTMENT DISCRETION WITH RESPECT TO EACH SUCH ACCOUNT, AND</w:t>
      </w:r>
    </w:p>
    <w:p>
      <w:pPr>
        <w:spacing w:after="0" w:line="142" w:lineRule="exact"/>
        <w:rPr>
          <w:rFonts w:ascii="Times New Roman" w:cs="Times New Roman" w:eastAsia="Times New Roman" w:hAnsi="Times New Roman"/>
          <w:sz w:val="16"/>
          <w:szCs w:val="16"/>
          <w:color w:val="auto"/>
        </w:rPr>
      </w:pPr>
    </w:p>
    <w:p>
      <w:pPr>
        <w:ind w:firstLine="1143"/>
        <w:spacing w:after="0" w:line="283" w:lineRule="auto"/>
        <w:tabs>
          <w:tab w:leader="none" w:pos="1403"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SUNPOWER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EXCEPT:</w:t>
      </w:r>
    </w:p>
    <w:p>
      <w:pPr>
        <w:spacing w:after="0" w:line="141" w:lineRule="exact"/>
        <w:rPr>
          <w:rFonts w:ascii="Times New Roman" w:cs="Times New Roman" w:eastAsia="Times New Roman" w:hAnsi="Times New Roman"/>
          <w:sz w:val="16"/>
          <w:szCs w:val="16"/>
          <w:color w:val="auto"/>
        </w:rPr>
      </w:pPr>
    </w:p>
    <w:p>
      <w:pPr>
        <w:ind w:left="840" w:hanging="271"/>
        <w:spacing w:after="0"/>
        <w:tabs>
          <w:tab w:leader="none" w:pos="8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left="820" w:hanging="251"/>
        <w:spacing w:after="0"/>
        <w:tabs>
          <w:tab w:leader="none" w:pos="8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WHICH HAS BECOME EFFECTIVE UNDER THE SECURITIES ACT, OR</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6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REASONBLY BELIEVED TO BE A QUALIFIED INSTITUTIONAL BUYER IN COMPLIANCE WITH RULE 144A UNDER THE SECURITIES ACT, OR</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46"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TRANSFER AGENT FOR THE COMPANY’S COMMON STOCK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Any such Common Stock (other than Common Stock issued upon conversion of an Affiliate Note) (i) that has been transferred pursuant to a registration statement that has become or been declared effective under the Securities Act and that continues to be effective at the time of such transfer or (ii) that has been sold pursuant to the exemption from registration provided by Rule 144 or any similar provision then in force under the Securities Act, shall,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w:t>
      </w:r>
      <w:r>
        <w:rPr>
          <w:rFonts w:ascii="Times New Roman" w:cs="Times New Roman" w:eastAsia="Times New Roman" w:hAnsi="Times New Roman"/>
          <w:sz w:val="16"/>
          <w:szCs w:val="16"/>
          <w:u w:val="single" w:color="auto"/>
          <w:color w:val="auto"/>
        </w:rPr>
        <w:t>Section 2.05(d)</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Any stock certificate representing Common Stock issued upon conversion of an Affiliate Note shall bear a legend in substantially the following form (the “</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Restrictive Stock Legend</w:t>
      </w:r>
      <w:r>
        <w:rPr>
          <w:rFonts w:ascii="Times New Roman" w:cs="Times New Roman" w:eastAsia="Times New Roman" w:hAnsi="Times New Roman"/>
          <w:sz w:val="16"/>
          <w:szCs w:val="16"/>
          <w:color w:val="auto"/>
        </w:rPr>
        <w:t>”) (unless (x) such Common Stock has been transferred to a non-Affiliate of the Company pursuant to a registration statement that has become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been declared effective under the Securities Act and that continues to be effective at the time of such transfer, (y) such Common Stock has been transferred to a non-Affiliate of the Company pursuant to the exemption from registration provided by Rule 144 or any similar provision then in force under the Securities Act or (z) otherwise agreed by the Company with written notice thereof to the Trustee and any transfer agent for the Common Stock):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2" w:name="page53"/>
    <w:bookmarkEnd w:id="52"/>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AND ACCORDINGLY,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ind w:right="20" w:firstLine="1143"/>
        <w:spacing w:after="0" w:line="280" w:lineRule="auto"/>
        <w:tabs>
          <w:tab w:leader="none" w:pos="1385"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AN “ACCREDITED INVESTOR” (WITHIN THE MEANING OF RULE 501 UNDER THE SECURITIES ACT) AND THAT IT EXERCISES SOLE INVESTMENT DISCRETION WITH RESPECT TO EACH SUCH ACCOUNT, AND</w:t>
      </w:r>
    </w:p>
    <w:p>
      <w:pPr>
        <w:spacing w:after="0" w:line="142" w:lineRule="exact"/>
        <w:rPr>
          <w:rFonts w:ascii="Times New Roman" w:cs="Times New Roman" w:eastAsia="Times New Roman" w:hAnsi="Times New Roman"/>
          <w:sz w:val="16"/>
          <w:szCs w:val="16"/>
          <w:color w:val="auto"/>
        </w:rPr>
      </w:pPr>
    </w:p>
    <w:p>
      <w:pPr>
        <w:ind w:firstLine="1143"/>
        <w:spacing w:after="0" w:line="283" w:lineRule="auto"/>
        <w:tabs>
          <w:tab w:leader="none" w:pos="1403"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SUNPOWER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NOT OFFER, SELL, PLEDGE OR OTHERWISE TRANSFER THIS SECURITY OR ANY BENEFICIAL INTEREST HEREIN, EXCEPT:</w:t>
      </w:r>
    </w:p>
    <w:p>
      <w:pPr>
        <w:spacing w:after="0" w:line="141" w:lineRule="exact"/>
        <w:rPr>
          <w:rFonts w:ascii="Times New Roman" w:cs="Times New Roman" w:eastAsia="Times New Roman" w:hAnsi="Times New Roman"/>
          <w:sz w:val="16"/>
          <w:szCs w:val="16"/>
          <w:color w:val="auto"/>
        </w:rPr>
      </w:pPr>
    </w:p>
    <w:p>
      <w:pPr>
        <w:ind w:left="840" w:hanging="271"/>
        <w:spacing w:after="0"/>
        <w:tabs>
          <w:tab w:leader="none" w:pos="8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2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AND IN ACCORDANCE WITH, A REGISTRATION STATEMENT THAT IS EFFECTIVE UNDER THE SECURITIES ACT AT THE TIME OF SUCH TRANSFER;</w:t>
      </w:r>
    </w:p>
    <w:p>
      <w:pPr>
        <w:spacing w:after="0" w:line="144" w:lineRule="exact"/>
        <w:rPr>
          <w:rFonts w:ascii="Times New Roman" w:cs="Times New Roman" w:eastAsia="Times New Roman" w:hAnsi="Times New Roman"/>
          <w:sz w:val="16"/>
          <w:szCs w:val="16"/>
          <w:color w:val="auto"/>
        </w:rPr>
      </w:pPr>
    </w:p>
    <w:p>
      <w:pPr>
        <w:ind w:left="820" w:hanging="251"/>
        <w:spacing w:after="0"/>
        <w:tabs>
          <w:tab w:leader="none" w:pos="8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QUALIFIED INSTITUTIONAL BUYER IN COMPLIANCE WITH RULE 144A UNDER THE SECURITIES ACT; OR</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5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ANY OTHER AVAILABLE EXEMPTION FROM, OR IN A TRANSACTION NOT SUBJECT TO, THE REGISTRATION REQUIREMENTS OF THE SECURITIES ACT (INCLUDING, IF AVAILABLE, THE EXEMPTION PROVIDED BY RULE 144 UNDER THE SECURITIES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WITH RESPECT TO ANY TRANSFER PURSUANT TO THE FOREGOING CLAUSE (D), THE COMPANY AND THE COMPANY’S TRANSFER AGENT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 NO REPRESENTATION IS MADE AS TO THE AVAILABILITY OF ANY EXEMPTION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3" w:name="page54"/>
    <w:bookmarkEnd w:id="53"/>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Any shares of Common Stock issued upon conversion of an Affiliate Note will be issued in certificated form (or in book-entry form on the books of the Company’s transfer agent) and will bear the Affiliate Restrictive Stock Legend at any time the Company reasonably determines that, to comply with law, such shares of Common Stock must bear the Affiliate Restrictive Stock Legend.</w:t>
      </w:r>
    </w:p>
    <w:p>
      <w:pPr>
        <w:spacing w:after="0" w:line="155"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Any such Common Stock issued upon conversion of an Affiliate Note (i) that has been transferred to a non-Affiliate of the Company pursuant to a registration statement that has become or been declared effective under the Securities Act and that continues to be effective at the time of such transfer or (ii) that has been sold a non-Affiliate of the Company pursuant to the exemption from registration provided by Rule 144 or any similar provision then in force under the Securities Act, shall,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Affiliate Restrictive Stock Legend required by this Section 2.05(d).</w:t>
      </w:r>
    </w:p>
    <w:p>
      <w:pPr>
        <w:spacing w:after="0" w:line="165" w:lineRule="exact"/>
        <w:rPr>
          <w:sz w:val="20"/>
          <w:szCs w:val="20"/>
          <w:color w:val="auto"/>
        </w:rPr>
      </w:pPr>
    </w:p>
    <w:p>
      <w:pPr>
        <w:jc w:val="both"/>
        <w:ind w:firstLine="569"/>
        <w:spacing w:after="0" w:line="278" w:lineRule="auto"/>
        <w:tabs>
          <w:tab w:leader="none" w:pos="797"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Note (other than an Affiliate Note) or Common Stock issued upon the conversion or exchange of a Note (other than an Affiliate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The Company shall cause any Note that is repurchased or owned by it to be surrendered to the Trustee for cancellation in accordance with </w:t>
      </w:r>
      <w:r>
        <w:rPr>
          <w:rFonts w:ascii="Times New Roman" w:cs="Times New Roman" w:eastAsia="Times New Roman" w:hAnsi="Times New Roman"/>
          <w:sz w:val="15"/>
          <w:szCs w:val="15"/>
          <w:u w:val="single" w:color="auto"/>
          <w:color w:val="auto"/>
        </w:rPr>
        <w:t>Section 2.08</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Mutilated, Destroyed, Lost or Stolen Notes.</w:t>
      </w:r>
      <w:r>
        <w:rPr>
          <w:rFonts w:ascii="Times New Roman" w:cs="Times New Roman" w:eastAsia="Times New Roman" w:hAnsi="Times New Roman"/>
          <w:sz w:val="16"/>
          <w:szCs w:val="16"/>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63"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Every substitute Note issued pursuant to the provisions of this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or repurchase of mutilated, destroyed, lost or stolen Notes and shall preclude any and all other rights or remedies notwithstanding any law or statute existing or hereafter enacted to the contrary with respect to the replacement, payment, conversion or repurchase of negotiable instruments or other securities without their surrender.</w:t>
      </w:r>
    </w:p>
    <w:p>
      <w:pPr>
        <w:spacing w:after="0" w:line="16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Each Holder of a Physical Note (including any Affiliate Notes), by acceptance of the Notes, hereby appoints U.S. Bank Trust Company, National Association to act initially as the Custodian for such Notes, and to act on behalf of such Holder of Physical Notes. The Custodian’s sole responsibility in respect of Physical Notes is to hold in safe-keeping the Physical Notes for which it is acting as Custodian (the “</w:t>
      </w:r>
      <w:r>
        <w:rPr>
          <w:rFonts w:ascii="Times New Roman" w:cs="Times New Roman" w:eastAsia="Times New Roman" w:hAnsi="Times New Roman"/>
          <w:sz w:val="16"/>
          <w:szCs w:val="16"/>
          <w:b w:val="1"/>
          <w:bCs w:val="1"/>
          <w:color w:val="auto"/>
        </w:rPr>
        <w:t>Custodied Notes</w:t>
      </w:r>
      <w:r>
        <w:rPr>
          <w:rFonts w:ascii="Times New Roman" w:cs="Times New Roman" w:eastAsia="Times New Roman" w:hAnsi="Times New Roman"/>
          <w:sz w:val="16"/>
          <w:szCs w:val="16"/>
          <w:color w:val="auto"/>
        </w:rPr>
        <w:t xml:space="preserve">”) on behalf of the Holders. The Custodian shall transfer any Custodied Notes and surrender any Custodied Notes only in accordance with the written direction of the Holder or Holders of such Custodied Notes in whose name such Notes are registered;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Custodian is hereby directed by each Holder of a Custodied Note to surrender such Custodied Note called for redemption or repurchase and to surrender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Custodied Note to the Issuer on the Maturity Date. The Custodian’s duty with respect to a Custodied Note in its physical possession shall be limited to the exercise of reasonable care by the Custodian with respect to such Custodied Note in its physical possession. For the avoidance of doubt, notwithstanding that the Custodian may have physical possession of any Note with respect to which it is acting in its capacity as Custodian, such Note shall nonetheless be the property solely of the Holder of such Note. The Custodian hereby agrees to act in its capacity as such with respect to, and hereby agrees to take and hold in accordance with the Notes of each applicable Holder. At any time after the date of this Indenture, any Holder of a Physical Note shall inform the Custodian in writing (including by e-mail) that such Holder no longer wishes the Custodian to act in its capacity as such with respect to any Notes of such Holder, the Custodian will promptly cause such Notes to be delivered to such Holder by first-class mail (or by such other delivery method as such Holder and the Custodian shall agree). Upon the written request of any future Holder of Physical Notes, the Custodian shall act in its capacity as such with respect to, and shall take and hold in accordance with this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the Notes of such Holder.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2.07. </w:t>
      </w:r>
      <w:r>
        <w:rPr>
          <w:rFonts w:ascii="Times New Roman" w:cs="Times New Roman" w:eastAsia="Times New Roman" w:hAnsi="Times New Roman"/>
          <w:sz w:val="16"/>
          <w:szCs w:val="16"/>
          <w:i w:val="1"/>
          <w:iCs w:val="1"/>
          <w:color w:val="auto"/>
        </w:rPr>
        <w:t>Temporary Notes.</w:t>
      </w:r>
      <w:r>
        <w:rPr>
          <w:rFonts w:ascii="Times New Roman" w:cs="Times New Roman" w:eastAsia="Times New Roman" w:hAnsi="Times New Roman"/>
          <w:sz w:val="16"/>
          <w:szCs w:val="16"/>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64"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Cancellation of Notes Paid, Converted, Etc.</w:t>
      </w:r>
      <w:r>
        <w:rPr>
          <w:rFonts w:ascii="Times New Roman" w:cs="Times New Roman" w:eastAsia="Times New Roman" w:hAnsi="Times New Roman"/>
          <w:sz w:val="16"/>
          <w:szCs w:val="16"/>
          <w:color w:val="auto"/>
        </w:rPr>
        <w:t xml:space="preserve"> The Company shall cause all Notes surrendered for the purpose of payment at maturity, repurchase, the registration of transfer or exchange or conversion (other than any Notes exchanged pursuant to </w:t>
      </w:r>
      <w:r>
        <w:rPr>
          <w:rFonts w:ascii="Times New Roman" w:cs="Times New Roman" w:eastAsia="Times New Roman" w:hAnsi="Times New Roman"/>
          <w:sz w:val="16"/>
          <w:szCs w:val="16"/>
          <w:u w:val="single" w:color="auto"/>
          <w:color w:val="auto"/>
        </w:rPr>
        <w:t>Section 15.12</w:t>
      </w:r>
      <w:r>
        <w:rPr>
          <w:rFonts w:ascii="Times New Roman" w:cs="Times New Roman" w:eastAsia="Times New Roman" w:hAnsi="Times New Roman"/>
          <w:sz w:val="16"/>
          <w:szCs w:val="16"/>
          <w:color w:val="auto"/>
        </w:rPr>
        <w:t>), if surrendered to the Company or any of its agents or Subsidiaries, to be surrendered to the Trustee for cancellation. All Notes delivered to the Trustee shall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61"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2.09 </w:t>
      </w:r>
      <w:r>
        <w:rPr>
          <w:rFonts w:ascii="Times New Roman" w:cs="Times New Roman" w:eastAsia="Times New Roman" w:hAnsi="Times New Roman"/>
          <w:sz w:val="16"/>
          <w:szCs w:val="16"/>
          <w:i w:val="1"/>
          <w:iCs w:val="1"/>
          <w:color w:val="auto"/>
        </w:rPr>
        <w:t>CUSIP Numbers.</w:t>
      </w:r>
      <w:r>
        <w:rPr>
          <w:rFonts w:ascii="Times New Roman" w:cs="Times New Roman" w:eastAsia="Times New Roman" w:hAnsi="Times New Roman"/>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Any Affiliate Note identified by a “CUSIP” number shall bear a distinct CUSIP number from all other Notes. Any Physical Note held by a holder who is an accredited investor but not a qualified institutional buyer identified by a “CUSIP” number shall bear a distinct CUSIP number from all other Notes.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6" w:name="page57"/>
    <w:bookmarkEnd w:id="56"/>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i w:val="1"/>
          <w:iCs w:val="1"/>
          <w:color w:val="auto"/>
        </w:rPr>
        <w:t>Additional Notes; Repurchases.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and subject to the consent (evidenced as provided in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of the Holders of at least 60% of the aggregate principal amount of the Notes then outstanding (determined in accordance with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and including, without limitation, consents obtained in connection with a repurchase of, or tender or exchange offer for, Notes), the Company may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such Additional Notes are not fungible with the Notes initially issued hereunder for U.S. federal income tax or securities law purposes, such Additional Notes shall have one or more separate CUSIP numbers. For the avoidance of doubt, notwithstanding any other provision of this Indenture to the contrary, for purposes of </w:t>
      </w:r>
      <w:r>
        <w:rPr>
          <w:rFonts w:ascii="Times New Roman" w:cs="Times New Roman" w:eastAsia="Times New Roman" w:hAnsi="Times New Roman"/>
          <w:sz w:val="16"/>
          <w:szCs w:val="16"/>
          <w:u w:val="single" w:color="auto"/>
          <w:color w:val="auto"/>
        </w:rPr>
        <w:t>Section 4.06</w:t>
      </w:r>
      <w:r>
        <w:rPr>
          <w:rFonts w:ascii="Times New Roman" w:cs="Times New Roman" w:eastAsia="Times New Roman" w:hAnsi="Times New Roman"/>
          <w:sz w:val="16"/>
          <w:szCs w:val="16"/>
          <w:color w:val="auto"/>
        </w:rPr>
        <w:t xml:space="preserve">, in the event additional Notes are issued pursuant to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references to the “Last Original Issuance Date” of the Notes with respect to any Notes issued on the Issue Date shall refer only to such Notes issued on the Issue Date and not any additional Notes issued pursuant to this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Times New Roman" w:cs="Times New Roman" w:eastAsia="Times New Roman" w:hAnsi="Times New Roman"/>
          <w:sz w:val="16"/>
          <w:szCs w:val="16"/>
          <w:u w:val="single" w:color="auto"/>
          <w:color w:val="auto"/>
        </w:rPr>
        <w:t>Section 18.05</w:t>
      </w:r>
      <w:r>
        <w:rPr>
          <w:rFonts w:ascii="Times New Roman" w:cs="Times New Roman" w:eastAsia="Times New Roman" w:hAnsi="Times New Roman"/>
          <w:sz w:val="16"/>
          <w:szCs w:val="16"/>
          <w:color w:val="auto"/>
        </w:rPr>
        <w:t xml:space="preserve">, as the Trustee shall reasonably request. In addition, the Company may, to the extent permitted by law,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the Company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such reissued or resold Notes are not fungible with the Notes initially issued hereunder for U.S. federal income tax or securities law purposes, such reissued or resold Notes shall have one or more separate CUSIP numbers or no CUSIP number (to the extent such Notes are Physical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further that any such reissued or resold Notes shall not have the same CUSIP number as any Affiliate Note.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unless and until such time as the Company surrenders them to the Trustee for cancellation and, upon receipt of a Company Order, the Trustee shall cancel all Notes so surrendered.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SATISFACTION AND DISCHARGE</w:t>
      </w:r>
    </w:p>
    <w:p>
      <w:pPr>
        <w:spacing w:after="0" w:line="180"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Satisfaction and Discharge.</w:t>
      </w:r>
      <w:r>
        <w:rPr>
          <w:rFonts w:ascii="Times New Roman" w:cs="Times New Roman" w:eastAsia="Times New Roman" w:hAnsi="Times New Roman"/>
          <w:sz w:val="16"/>
          <w:szCs w:val="16"/>
          <w:color w:val="auto"/>
        </w:rPr>
        <w:t xml:space="preserve"> This Indenture and the Notes shall cease to be of further effect when (i) all Notes theretofore authenticated and delivered (other than (x) Notes which have been destroyed, lost or stolen and which have been replaced, paid or converted as provided in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and (y) Notes for whose payment money has heretofore been deposited in trust or segregated and held in trust by the Company and thereafter repaid to the Company or discharged from such trust, as provided in </w:t>
      </w:r>
      <w:r>
        <w:rPr>
          <w:rFonts w:ascii="Times New Roman" w:cs="Times New Roman" w:eastAsia="Times New Roman" w:hAnsi="Times New Roman"/>
          <w:sz w:val="16"/>
          <w:szCs w:val="16"/>
          <w:u w:val="single" w:color="auto"/>
          <w:color w:val="auto"/>
        </w:rPr>
        <w:t>Section 4.04(d)</w:t>
      </w:r>
      <w:r>
        <w:rPr>
          <w:rFonts w:ascii="Times New Roman" w:cs="Times New Roman" w:eastAsia="Times New Roman" w:hAnsi="Times New Roman"/>
          <w:sz w:val="16"/>
          <w:szCs w:val="16"/>
          <w:color w:val="auto"/>
        </w:rPr>
        <w:t xml:space="preserve">) have been delivered to the Trustee for cancellation; or (ii) the Company has deposited with the Trustee or delivered to Holders, as applicable, after the Notes have become due and payable, whether on the Maturity Date, any Fundamental Change Repurchase Date, upon conversion or otherwise, cash or, solely to satisfy the Company’s Conversion Obligations, cash and/or shares of Common Stock, in each case sufficient to pay all of the outstanding Notes and all other sums due and payable under this Indenture or the Notes by the Company; (iii) the Trustee upon request of the Company contained in an Officer’s Certificate and at the expense of the Company, shall execute proper instruments acknowledging satisfaction and discharge of this Indenture and the Notes, then the Company has delivered to the Trustee and the Collateral Agent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to the Trustee and the Collateral Agent under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shall survive.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PARTICULAR COVENANTS OF THE COMPANY</w:t>
      </w:r>
    </w:p>
    <w:p>
      <w:pPr>
        <w:spacing w:after="0" w:line="18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Payment of Principal and Interest.</w:t>
      </w:r>
      <w:r>
        <w:rPr>
          <w:rFonts w:ascii="Times New Roman" w:cs="Times New Roman" w:eastAsia="Times New Roman" w:hAnsi="Times New Roman"/>
          <w:sz w:val="16"/>
          <w:szCs w:val="16"/>
          <w:color w:val="auto"/>
        </w:rPr>
        <w:t xml:space="preserve"> The Company covenants and agrees that it will cause to be paid the principal (including the Fundamental Change Repurchase Price, if applicable) of, and pay unpaid interest on, each of the Notes at the places, at the respective times and in the manner provided herein and in the Notes. Principal, premium, if any, and interest payable shall be considered paid on the date due if by 10:00 a.m. (New York time) on such date the Trustee or the Paying Agent holds in accordance with this Indenture money sufficient to pay all principal, premium, if any, and cash interest then due and the Trustee or the Paying Agent, as the case may be, is not prohibited from paying such money to the Holders on that date pursuant to the terms of this Indenture.</w:t>
      </w:r>
    </w:p>
    <w:p>
      <w:pPr>
        <w:spacing w:after="0" w:line="16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Any applicable withholding taxes (including backup withholding) may be withheld from payments of interest and payments upon conversion, repurchase or maturity of the Notes, or if any withholding taxes (including backup withholding) are paid on behalf of a Holder or beneficial owner, those withholding taxes may be withheld from payments of cash or Common Stock, if any, payable on the Notes (or, in some circumstances, any payments on the Common Stock) or sales proceeds received by, or other funds or assets of, the Holder or beneficial owner.</w:t>
      </w:r>
    </w:p>
    <w:p>
      <w:pPr>
        <w:spacing w:after="0" w:line="160" w:lineRule="exact"/>
        <w:rPr>
          <w:sz w:val="20"/>
          <w:szCs w:val="20"/>
          <w:color w:val="auto"/>
        </w:rPr>
      </w:pPr>
    </w:p>
    <w:p>
      <w:pPr>
        <w:jc w:val="both"/>
        <w:ind w:right="20"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Maintenance of Office or Agency.</w:t>
      </w:r>
      <w:r>
        <w:rPr>
          <w:rFonts w:ascii="Times New Roman" w:cs="Times New Roman" w:eastAsia="Times New Roman" w:hAnsi="Times New Roman"/>
          <w:sz w:val="16"/>
          <w:szCs w:val="16"/>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or for conversion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6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6"/>
          <w:szCs w:val="16"/>
          <w:b w:val="1"/>
          <w:bCs w:val="1"/>
          <w:color w:val="auto"/>
        </w:rPr>
        <w:t>Paying Agent</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Conversion Agent</w:t>
      </w:r>
      <w:r>
        <w:rPr>
          <w:rFonts w:ascii="Times New Roman" w:cs="Times New Roman" w:eastAsia="Times New Roman" w:hAnsi="Times New Roman"/>
          <w:sz w:val="16"/>
          <w:szCs w:val="16"/>
          <w:color w:val="auto"/>
        </w:rPr>
        <w:t>” include any such additional or other offices or agencies, as applicable.</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Corporate Trust Office shall not be a place for service of legal process for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8" w:name="page59"/>
    <w:bookmarkEnd w:id="58"/>
    <w:p>
      <w:pPr>
        <w:ind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Appointments to Fill Vacancies in Trustee’s Office.</w:t>
      </w:r>
      <w:r>
        <w:rPr>
          <w:rFonts w:ascii="Times New Roman" w:cs="Times New Roman" w:eastAsia="Times New Roman" w:hAnsi="Times New Roman"/>
          <w:sz w:val="16"/>
          <w:szCs w:val="16"/>
          <w:color w:val="auto"/>
        </w:rPr>
        <w:t xml:space="preserve"> The Company, whenever necessary to avoid or fill a vacancy in the office of Trustee, will appoint, in the manner provided in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 a Trustee, so that there shall at all times be a Trustee hereunder.</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Provisions as to Paying Agent.</w:t>
      </w:r>
    </w:p>
    <w:p>
      <w:pPr>
        <w:spacing w:after="0" w:line="200" w:lineRule="exact"/>
        <w:rPr>
          <w:sz w:val="20"/>
          <w:szCs w:val="20"/>
          <w:color w:val="auto"/>
        </w:rPr>
      </w:pPr>
    </w:p>
    <w:p>
      <w:pPr>
        <w:ind w:firstLine="569"/>
        <w:spacing w:after="0" w:line="280" w:lineRule="auto"/>
        <w:tabs>
          <w:tab w:leader="none" w:pos="79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shall appoint a Paying Agent other than the Trustee, the Company will cause such Paying Agent to execute and deliver to the Trustee an instrument in which such agent shall agree with the Trustee, subject to the provisions of this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4"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hold all sums held by it as such agent for the payment of the principal (including the Fundamental Change Repurchase Price, if applicable) of, and accrued and unpaid interest on, the Notes in trust for the benefit of the Holders of the Notes;</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82"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it will give the Trustee prompt written notice of any failure by the Company to make any payment of the principal (including the Fundamental Change Repurchase Price, if applicable) of, and accrued and unpaid interest on, the Notes when the same shall be due and payable; and</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at any time during the continuance of an Event of Default, upon request of the Trustee, it will forthwith pay to the Trustee all sums so held in trust.</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The Company shall, on or before each due date of the principal (including the Fundamental Change Repurchase Price, if applicable) of, or accrued and unpaid interest on, the Notes, deposit with the Paying Agent a sum sufficient to pay such principal (including the Fundamental Change Repurchase Price, if applicable) or such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deposit is made on the due date, such deposit must be received by the Paying Agent by 11:00 a.m., New York City time, on such date.</w:t>
      </w:r>
    </w:p>
    <w:p>
      <w:pPr>
        <w:spacing w:after="0" w:line="162" w:lineRule="exact"/>
        <w:rPr>
          <w:sz w:val="20"/>
          <w:szCs w:val="20"/>
          <w:color w:val="auto"/>
        </w:rPr>
      </w:pPr>
    </w:p>
    <w:p>
      <w:pPr>
        <w:jc w:val="both"/>
        <w:ind w:firstLine="569"/>
        <w:spacing w:after="0" w:line="257" w:lineRule="auto"/>
        <w:tabs>
          <w:tab w:leader="none" w:pos="81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act as its own Paying Agent, it will, on or before each due date of the principal (including the Fundamental Change Repurchase Price, if applicable) of, and accrued and unpaid interest on, the Notes, set aside, segregate and hold in trust for the benefit of the Holders of the Notes a sum sufficient to pay such principal (including the Fundamental Change Repurchase Price, if applicable) and accrued and unpaid interest so becoming due and will promptly notify the Trustee in writing of any failure to take such action and of any failure by the Company to make any payment of the principal (including the Fundamental Change Repurchase Price, if applicable) of, or accrued and unpaid interest on, the Notes when the same shall become due and payable.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9" w:name="page60"/>
    <w:bookmarkEnd w:id="59"/>
    <w:p>
      <w:pPr>
        <w:jc w:val="both"/>
        <w:ind w:firstLine="569"/>
        <w:spacing w:after="0" w:line="259" w:lineRule="auto"/>
        <w:tabs>
          <w:tab w:leader="none" w:pos="80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Anything in this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61" w:lineRule="exact"/>
        <w:rPr>
          <w:rFonts w:ascii="Times New Roman" w:cs="Times New Roman" w:eastAsia="Times New Roman" w:hAnsi="Times New Roman"/>
          <w:sz w:val="16"/>
          <w:szCs w:val="16"/>
          <w:color w:val="auto"/>
        </w:rPr>
      </w:pPr>
    </w:p>
    <w:p>
      <w:pPr>
        <w:jc w:val="both"/>
        <w:ind w:firstLine="569"/>
        <w:spacing w:after="0" w:line="254" w:lineRule="auto"/>
        <w:tabs>
          <w:tab w:leader="none" w:pos="82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escheatment laws and any money and shares of Common Stock deposited with the Trustee or any Paying Agent, or then held by the Company, in trust for the payment of the principal (including the Fundamental Change Repurchase Price, if applicable) of, accrued and unpaid interest on and the consideration due upon conversion of any Note and remaining unclaimed for two years after such principal (including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spacing w:after="0" w:line="166"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an Event of Default under </w:t>
      </w:r>
      <w:r>
        <w:rPr>
          <w:rFonts w:ascii="Times New Roman" w:cs="Times New Roman" w:eastAsia="Times New Roman" w:hAnsi="Times New Roman"/>
          <w:sz w:val="16"/>
          <w:szCs w:val="16"/>
          <w:u w:val="single" w:color="auto"/>
          <w:color w:val="auto"/>
        </w:rPr>
        <w:t>Section 6.01(i)</w:t>
      </w:r>
      <w:r>
        <w:rPr>
          <w:rFonts w:ascii="Times New Roman" w:cs="Times New Roman" w:eastAsia="Times New Roman" w:hAnsi="Times New Roman"/>
          <w:sz w:val="16"/>
          <w:szCs w:val="16"/>
          <w:color w:val="auto"/>
        </w:rPr>
        <w:t xml:space="preserve"> or (j), the Trustee shall automatically be the Paying Agent for the Notes.</w:t>
      </w:r>
    </w:p>
    <w:p>
      <w:pPr>
        <w:spacing w:after="0" w:line="196" w:lineRule="exact"/>
        <w:rPr>
          <w:sz w:val="20"/>
          <w:szCs w:val="20"/>
          <w:color w:val="auto"/>
        </w:rPr>
      </w:pPr>
    </w:p>
    <w:p>
      <w:pPr>
        <w:ind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i w:val="1"/>
          <w:iCs w:val="1"/>
          <w:color w:val="auto"/>
        </w:rPr>
        <w:t>Existence.</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the Company shall do or cause to be done all things necessary to preserve and keep in full force and effect its corporate existence.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4.06. </w:t>
      </w:r>
      <w:r>
        <w:rPr>
          <w:rFonts w:ascii="Times New Roman" w:cs="Times New Roman" w:eastAsia="Times New Roman" w:hAnsi="Times New Roman"/>
          <w:sz w:val="16"/>
          <w:szCs w:val="16"/>
          <w:i w:val="1"/>
          <w:iCs w:val="1"/>
          <w:color w:val="auto"/>
        </w:rPr>
        <w:t>Rule 144A Information Requirement and Annual Reports.</w:t>
      </w:r>
    </w:p>
    <w:p>
      <w:pPr>
        <w:spacing w:after="0" w:line="200" w:lineRule="exact"/>
        <w:rPr>
          <w:sz w:val="20"/>
          <w:szCs w:val="20"/>
          <w:color w:val="auto"/>
        </w:rPr>
      </w:pPr>
    </w:p>
    <w:p>
      <w:pPr>
        <w:jc w:val="both"/>
        <w:ind w:firstLine="569"/>
        <w:spacing w:after="0" w:line="257" w:lineRule="auto"/>
        <w:tabs>
          <w:tab w:leader="none" w:pos="80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the Company is not subject to Section 13 or 15(d) of the Exchange Act, the Company shall, so long as any of the Notes or any shares of Common Stock issuable upon conversion thereof shall, at such time, constitute “restricted securities” within the meaning of Rule 144(a)(3)under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62" w:lineRule="exact"/>
        <w:rPr>
          <w:rFonts w:ascii="Times New Roman" w:cs="Times New Roman" w:eastAsia="Times New Roman" w:hAnsi="Times New Roman"/>
          <w:sz w:val="16"/>
          <w:szCs w:val="16"/>
          <w:color w:val="auto"/>
        </w:rPr>
      </w:pPr>
    </w:p>
    <w:p>
      <w:pPr>
        <w:jc w:val="both"/>
        <w:ind w:firstLine="569"/>
        <w:spacing w:after="0" w:line="255" w:lineRule="auto"/>
        <w:tabs>
          <w:tab w:leader="none" w:pos="80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giving effect to any grace period provided by Rule 12b-25 under the Exchange Act (or any successor thereto)). Any such document or report that the Company files with the Commission via the Commission’s EDGAR system (or any successor thereto) shall be deemed to be filed with the Trustee for purposes of this </w:t>
      </w:r>
      <w:r>
        <w:rPr>
          <w:rFonts w:ascii="Times New Roman" w:cs="Times New Roman" w:eastAsia="Times New Roman" w:hAnsi="Times New Roman"/>
          <w:sz w:val="16"/>
          <w:szCs w:val="16"/>
          <w:u w:val="single" w:color="auto"/>
          <w:color w:val="auto"/>
        </w:rPr>
        <w:t>Section 4.06(b)</w:t>
      </w:r>
      <w:r>
        <w:rPr>
          <w:rFonts w:ascii="Times New Roman" w:cs="Times New Roman" w:eastAsia="Times New Roman" w:hAnsi="Times New Roman"/>
          <w:sz w:val="16"/>
          <w:szCs w:val="16"/>
          <w:color w:val="auto"/>
        </w:rPr>
        <w:t xml:space="preserve"> at the time such documents are filed via the EDGAR system (or any successor thereto), it being understood that the Trustee shall not be responsible for determining whether such filings have been made.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0" w:name="page61"/>
    <w:bookmarkEnd w:id="60"/>
    <w:p>
      <w:pPr>
        <w:jc w:val="both"/>
        <w:ind w:right="20" w:firstLine="569"/>
        <w:spacing w:after="0" w:line="265" w:lineRule="auto"/>
        <w:tabs>
          <w:tab w:leader="none" w:pos="79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Delivery of the reports, information and documents described in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 xml:space="preserve"> above to the Trustee is for informational purposes only, and the information and the Trustee’s receipt of the foregoing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55" w:lineRule="exact"/>
        <w:rPr>
          <w:rFonts w:ascii="Times New Roman" w:cs="Times New Roman" w:eastAsia="Times New Roman" w:hAnsi="Times New Roman"/>
          <w:sz w:val="16"/>
          <w:szCs w:val="16"/>
          <w:color w:val="auto"/>
        </w:rPr>
      </w:pPr>
    </w:p>
    <w:p>
      <w:pPr>
        <w:jc w:val="both"/>
        <w:ind w:firstLine="569"/>
        <w:spacing w:after="0" w:line="252" w:lineRule="auto"/>
        <w:tabs>
          <w:tab w:leader="none" w:pos="79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during the six-month period beginning on, and including, the date that is six months after the last date of original issuance of the Notes, the Company fails to file any report or other materials that the Company is required to file with the Commission pursuant to Section 13 or 15(d) of the Exchange Act, as applicable (after giving effect to all applicable grace periods thereunder and other than current reports on Form 8-K), or the Notes (other than the Affiliate Notes) are not otherwise freely tradeable pursuant to Rule 144 by Holders other than the Company’s Affiliates or Holders that were the Company’s Affiliates at any time during the three months immediately preceding, the Company shall pay Additional Interest on the Notes. Such Additional Interest shall accrue on the Notes at a rate equal to 0.50% per annum of the principal amount of the Notes outstanding for each day during such period for which the Company’s failure to file has occurred and is continuing or the Notes (other than the Affiliate Notes) are not otherwise freely tradeable pursuant to Rule 144 by Holders other than the Company’s Affiliates or Holders that were the Company’s Affiliates at any time during the three months immediately preceding. As used in this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reports or other materials that the Company is required to “file” with the Commission pursuant to Section 13 or 15(d) of the Exchange Act does not include reports or other materials that the Company furnishes to the Commission pursuant to Section 13 or 15(d) of the Exchange Act.(e) Additional Interest will be payable in arrears on each Interest Payment Date in the same manner as regular interest on the Notes.</w:t>
      </w:r>
    </w:p>
    <w:p>
      <w:pPr>
        <w:spacing w:after="0" w:line="169"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Interest will be payable in arrears on each Interest Payment Date following accrual in the same manner as regular interest on the Notes.</w:t>
      </w:r>
    </w:p>
    <w:p>
      <w:pPr>
        <w:spacing w:after="0" w:line="196"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jc w:val="both"/>
        <w:ind w:firstLine="569"/>
        <w:spacing w:after="0" w:line="254" w:lineRule="auto"/>
        <w:tabs>
          <w:tab w:leader="none" w:pos="80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Additional Interest that is payable in accordance with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4.06(e)</w:t>
      </w:r>
      <w:r>
        <w:rPr>
          <w:rFonts w:ascii="Times New Roman" w:cs="Times New Roman" w:eastAsia="Times New Roman" w:hAnsi="Times New Roman"/>
          <w:sz w:val="16"/>
          <w:szCs w:val="16"/>
          <w:color w:val="auto"/>
        </w:rPr>
        <w:t xml:space="preserve"> shall be in addition to, and not in lieu of, any Additional Interest that may be payable as a result of the Company’s election pursuant to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In no event shall Additional Interest that may accrue as a result of the for the Company’s failure to comply with its obligations to file any report or other materials that the Company is required to file with the Commission pursuant to Section 13 or 15(d) of the Exchange Act, as applicable (after giving effect to all applicable grace periods thereunder and other than current reports on Form 8-K), as set forth in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together with any Additional Interest that may accrue in the event the Company elects to pay Additional Interest in respect of an Event of Default relating to the Company’s failure to comply with its reporting obligations pursuant to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accrue at a rate in excess of 1.00% per annum pursuant to this Indenture, regardless of the number of events or circumstances giving rise to the requirement to pay such Additional Interest.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1" w:name="page62"/>
    <w:bookmarkEnd w:id="61"/>
    <w:p>
      <w:pPr>
        <w:jc w:val="both"/>
        <w:ind w:firstLine="569"/>
        <w:spacing w:after="0" w:line="254" w:lineRule="auto"/>
        <w:tabs>
          <w:tab w:leader="none" w:pos="76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Additional Interest is payable in accordance with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4.06(e)</w:t>
      </w:r>
      <w:r>
        <w:rPr>
          <w:rFonts w:ascii="Times New Roman" w:cs="Times New Roman" w:eastAsia="Times New Roman" w:hAnsi="Times New Roman"/>
          <w:sz w:val="16"/>
          <w:szCs w:val="16"/>
          <w:color w:val="auto"/>
        </w:rPr>
        <w:t>,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 The Trustee shall have no duty to verify the Company’s determination as to whether Additional Interest is due or to verify, calculate or confirm the Company’s calculations as to the amount of Additional Interest, and may assume without inquiry that no Additional Interest is payable until written notice of such Additional Interest being payable has been provided to a Responsible Officer of the Trustee by the Company.</w:t>
      </w:r>
    </w:p>
    <w:p>
      <w:pPr>
        <w:spacing w:after="0" w:line="166" w:lineRule="exact"/>
        <w:rPr>
          <w:rFonts w:ascii="Times New Roman" w:cs="Times New Roman" w:eastAsia="Times New Roman" w:hAnsi="Times New Roman"/>
          <w:sz w:val="16"/>
          <w:szCs w:val="16"/>
          <w:color w:val="auto"/>
        </w:rPr>
      </w:pPr>
    </w:p>
    <w:p>
      <w:pPr>
        <w:jc w:val="both"/>
        <w:ind w:firstLine="569"/>
        <w:spacing w:after="0" w:line="255" w:lineRule="auto"/>
        <w:tabs>
          <w:tab w:leader="none" w:pos="76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2.05(d)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2.05(e)</w:t>
      </w:r>
      <w:r>
        <w:rPr>
          <w:rFonts w:ascii="Times New Roman" w:cs="Times New Roman" w:eastAsia="Times New Roman" w:hAnsi="Times New Roman"/>
          <w:sz w:val="16"/>
          <w:szCs w:val="16"/>
          <w:color w:val="auto"/>
        </w:rPr>
        <w:t>, if a Holder of any Note or share of Common Stock issued upon conversion of any Note, or an owner of a beneficial interest in any Global Note, or in a global certificate representing any share of Common Stock issued upon conversion of any Note, transfers such Note or share of Common Stock in compliance with Rule 144 and delivers to the Company a written request, certifying that it is not, and has not been at any time during the preceding three months, an Affiliate of the Company, to reissue such Note or share of Common Stock without a restrictive legend, then the Company shall cause the same to occur (and, if applicable, cause such Note or share of Common Stock to thereafter be represented by an “unrestricted” CUSIP number in the facilities of the related Depositary), and the Company shall use its commercially reasonable efforts to cause such occurrence within two Trading Days of such request</w:t>
      </w:r>
    </w:p>
    <w:p>
      <w:pPr>
        <w:spacing w:after="0" w:line="163"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i w:val="1"/>
          <w:iCs w:val="1"/>
          <w:color w:val="auto"/>
        </w:rPr>
        <w:t>Stay, Extension and Usury Laws.</w:t>
      </w:r>
      <w:r>
        <w:rPr>
          <w:rFonts w:ascii="Times New Roman" w:cs="Times New Roman" w:eastAsia="Times New Roman" w:hAnsi="Times New Roman"/>
          <w:sz w:val="16"/>
          <w:szCs w:val="16"/>
          <w:color w:val="auto"/>
        </w:rPr>
        <w:t xml:space="preserve"> The Company and each Guarantor covenants (to the extent that it may lawfully do so) that it shall not at any time insist upon, plead, or in any manner whatsoever claim or take the benefit or advantage of, any stay, extension or usury law or other law that would prohibit or forgive the Company or such Guarantor from paying all or any portion of the principal of or interest on the Notes as contemplated herein, wherever enacted, now or at any time hereafter in force, or that may affect the covenants or the performance of this Indenture; and the Company and each Guarantor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61"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i w:val="1"/>
          <w:iCs w:val="1"/>
          <w:color w:val="auto"/>
        </w:rPr>
        <w:t>Compliance Certificate; Statements as to Defaults.</w:t>
      </w:r>
      <w:r>
        <w:rPr>
          <w:rFonts w:ascii="Times New Roman" w:cs="Times New Roman" w:eastAsia="Times New Roman" w:hAnsi="Times New Roman"/>
          <w:sz w:val="16"/>
          <w:szCs w:val="16"/>
          <w:color w:val="auto"/>
        </w:rPr>
        <w:t xml:space="preserve"> The Company shall deliver to the Trustee within 120 days after the end of each fiscal year of the Company (beginning with the fiscal year ending on December 27, 2026) an Officer’s Certificate stating whether the signers thereof have knowledge of any Default or Event of Default that occurred in such fiscal year and, if so, specifying each such Default or Event of Default and the nature thereof.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Company is not required to deliver such notice if such Event of Default or Default has been cured or is no longer continuing.</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4.09. </w:t>
      </w:r>
      <w:r>
        <w:rPr>
          <w:rFonts w:ascii="Times New Roman" w:cs="Times New Roman" w:eastAsia="Times New Roman" w:hAnsi="Times New Roman"/>
          <w:sz w:val="16"/>
          <w:szCs w:val="16"/>
          <w:i w:val="1"/>
          <w:iCs w:val="1"/>
          <w:color w:val="auto"/>
        </w:rPr>
        <w:t>Covenant to Guarantee Obligations and Give Security</w:t>
      </w:r>
      <w:r>
        <w:rPr>
          <w:rFonts w:ascii="Times New Roman" w:cs="Times New Roman" w:eastAsia="Times New Roman" w:hAnsi="Times New Roman"/>
          <w:sz w:val="16"/>
          <w:szCs w:val="16"/>
          <w:color w:val="auto"/>
        </w:rPr>
        <w:t>. The Company will:</w:t>
      </w:r>
    </w:p>
    <w:p>
      <w:pPr>
        <w:spacing w:after="0" w:line="200" w:lineRule="exact"/>
        <w:rPr>
          <w:sz w:val="20"/>
          <w:szCs w:val="20"/>
          <w:color w:val="auto"/>
        </w:rPr>
      </w:pPr>
    </w:p>
    <w:p>
      <w:pPr>
        <w:ind w:firstLine="569"/>
        <w:spacing w:after="0" w:line="280" w:lineRule="auto"/>
        <w:tabs>
          <w:tab w:leader="none" w:pos="79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the date of this Indenture, the Company or any Subsidiary forms or acquires any Material Subsidiary or a Subsidiary becomes a Material Subsidiary, then the Company will:</w:t>
      </w:r>
    </w:p>
    <w:p>
      <w:pPr>
        <w:spacing w:after="0" w:line="144"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63"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(and in any event within 60 days) after the date of formation or acquisition or becoming a Material Subsidiary, as applicable, cause such Subsidiary to execute and deliver to the Trustee and Collateral Agent (A) a supplemental indenture to this Indenture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pursuant to which such Subsidiary will irrevocably and unconditionally Guarantee, on a joint and several basis, the full and prompt payment of the Guaranteed Obligations on the terms set forth in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and (B) any joinders (including the Security Agreement Joinder), filings and agreements to the extent required by the Collateral Documents to create or perfect the security interests for the benefit of the Holders in the Collateral of such Subsidiary, and</w:t>
      </w:r>
    </w:p>
    <w:p>
      <w:pPr>
        <w:spacing w:after="0" w:line="162"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85"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(and in any event within 60 days after such Person becomes a Subsidiary or a Material Subsidiary, as applicable) deliver to the Collateral Agent the certificates, if any, representing all of the certificated Capital Stock (other than any Excluded Capital Stock) of such Subsidiary held by the Company or such Guarantor, as applicable, together with undated stock powers or other appropriate instruments of transfer executed and delivered in blank by a duly authorized officer of the holder(s) of such Capital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during any period in which delivery is not practicable, impossible or otherwise restricted as a result of a force majeure (including, without limitation, a pandemic, outbreak or similar health issue), no certificates or instruments representing any Pledged Collateral shall be required to be delivered to the Collateral Agent but shall be required to be delivered promptly after the expiration of any such period. If any Capital Stock of a Subsidiary of the Company or any Guarantor ceases to constitute Excluded Capital Stock but remains Capital Stock of a Subsidiary of the Company that is a Guarantor, then such Capital Stock shall be delivered pursuant to this </w:t>
      </w:r>
      <w:r>
        <w:rPr>
          <w:rFonts w:ascii="Times New Roman" w:cs="Times New Roman" w:eastAsia="Times New Roman" w:hAnsi="Times New Roman"/>
          <w:sz w:val="16"/>
          <w:szCs w:val="16"/>
          <w:u w:val="single" w:color="auto"/>
          <w:color w:val="auto"/>
        </w:rPr>
        <w:t>Section 4.09</w:t>
      </w:r>
      <w:r>
        <w:rPr>
          <w:rFonts w:ascii="Times New Roman" w:cs="Times New Roman" w:eastAsia="Times New Roman" w:hAnsi="Times New Roman"/>
          <w:sz w:val="16"/>
          <w:szCs w:val="16"/>
          <w:color w:val="auto"/>
        </w:rPr>
        <w:t xml:space="preserve"> (within the time periods specified herein).</w:t>
      </w:r>
    </w:p>
    <w:p>
      <w:pPr>
        <w:spacing w:after="0" w:line="169" w:lineRule="exact"/>
        <w:rPr>
          <w:rFonts w:ascii="Times New Roman" w:cs="Times New Roman" w:eastAsia="Times New Roman" w:hAnsi="Times New Roman"/>
          <w:sz w:val="16"/>
          <w:szCs w:val="16"/>
          <w:color w:val="auto"/>
        </w:rPr>
      </w:pPr>
    </w:p>
    <w:p>
      <w:pPr>
        <w:jc w:val="both"/>
        <w:ind w:firstLine="569"/>
        <w:spacing w:after="0" w:line="252" w:lineRule="auto"/>
        <w:tabs>
          <w:tab w:leader="none" w:pos="83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cause each Subsidiary that directly or indirectly guarantees or otherwise becomes liable (on a contingent basis or otherwise) for any Indebtedness of the Company or any Guarantor to, within 60 days after so becoming liable for such Indebtedness, to execute and deliver to the Trustee and Collateral Agent (A) a supplemental indenture to this Indenture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pursuant to which such Subsidiary will irrevocably and unconditionally Guarantee, on a joint and several basis, the full and prompt payment of the Guaranteed Obligations on the terms set forth in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and (B) with any joinders (including the Security Agreement Joinder), filings and agreements to the extent required by the Collateral Documents to create or perfect the security interests for the benefit of the Holders in the Collateral of such Subsidiary; (C) promptly (and in any event within 60 days after such Subsidiary becomes subject to this </w:t>
      </w:r>
      <w:r>
        <w:rPr>
          <w:rFonts w:ascii="Times New Roman" w:cs="Times New Roman" w:eastAsia="Times New Roman" w:hAnsi="Times New Roman"/>
          <w:sz w:val="16"/>
          <w:szCs w:val="16"/>
          <w:u w:val="single" w:color="auto"/>
          <w:color w:val="auto"/>
        </w:rPr>
        <w:t>Section 4.09(b)</w:t>
      </w:r>
      <w:r>
        <w:rPr>
          <w:rFonts w:ascii="Times New Roman" w:cs="Times New Roman" w:eastAsia="Times New Roman" w:hAnsi="Times New Roman"/>
          <w:sz w:val="16"/>
          <w:szCs w:val="16"/>
          <w:color w:val="auto"/>
        </w:rPr>
        <w:t xml:space="preserve">), deliver, or cause to be delivered, to the Collateral Agent the certificates, if any, representing all certificated Capital Stock (other than any Excluded Capital Stock) of such Subsidiary held by the Company or any Guarantor, together with undated stock powers or other appropriate instruments of transfer executed in blank by a duly authorized officer of the holder(s) thereof, in each case to the extent required by, and subject to the limitations set forth in, the Collateral Documents (including any provisions relating to force majeure or other circumstances in which delivery is not practicable, impossible or otherwise restricted);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the avoidance of doubt, compliance with this clause (C) may be satisfied by compliance with the analogous requirements of </w:t>
      </w:r>
      <w:r>
        <w:rPr>
          <w:rFonts w:ascii="Times New Roman" w:cs="Times New Roman" w:eastAsia="Times New Roman" w:hAnsi="Times New Roman"/>
          <w:sz w:val="16"/>
          <w:szCs w:val="16"/>
          <w:u w:val="single" w:color="auto"/>
          <w:color w:val="auto"/>
        </w:rPr>
        <w:t>Section 4.09(a)(ii)</w:t>
      </w:r>
      <w:r>
        <w:rPr>
          <w:rFonts w:ascii="Times New Roman" w:cs="Times New Roman" w:eastAsia="Times New Roman" w:hAnsi="Times New Roman"/>
          <w:sz w:val="16"/>
          <w:szCs w:val="16"/>
          <w:color w:val="auto"/>
        </w:rPr>
        <w:t xml:space="preserve"> to the extent applicable.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3" w:name="page64"/>
    <w:bookmarkEnd w:id="63"/>
    <w:p>
      <w:pPr>
        <w:ind w:right="20" w:firstLine="569"/>
        <w:spacing w:after="0" w:line="280" w:lineRule="auto"/>
        <w:tabs>
          <w:tab w:leader="none" w:pos="83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of this Indenture or any other Collateral Document to the contrary (including any provision that would otherwise apply notwithstanding other provisions or that is the beneficiary of other overriding language):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2"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more than 65% of the issued and outstanding Equity Interests of any CFC or Domestic Foreign Holding Company shall be pledged or similarly hypothecated to guarantee, secure or support any Obligation of the Company or any Guarantor; (ii) no CFC or Domestic Foreign Holding Company shall guarantee or support any Obligation of the Company or any Guarantor; (iii) no security or similar interest shall be granted in the assets of any CFC or Domestic Foreign Holding Company (including indirectly by way of an offset or otherwise) which security or similar interests guarantees or supports any Obligation of the Company or any Guarantor; and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with respect to a Foreign Subsidiary that is a Guarantor, (1) no actions in any non-U.S. jurisdiction shall be required in order to create any security interests in assets located or titled outside of the U.S. or to perfect any security interests in such assets, including any Intellectual Property registered in any non-U.S. jurisdiction and (2) there shall be no security agreements or pledge agreements governed under the laws of any non-U.S. jurisdiction.</w:t>
      </w:r>
    </w:p>
    <w:p>
      <w:pPr>
        <w:spacing w:after="0" w:line="153"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i w:val="1"/>
          <w:iCs w:val="1"/>
          <w:color w:val="auto"/>
        </w:rPr>
        <w:t>Maintenance of Insurance</w:t>
      </w:r>
      <w:r>
        <w:rPr>
          <w:rFonts w:ascii="Times New Roman" w:cs="Times New Roman" w:eastAsia="Times New Roman" w:hAnsi="Times New Roman"/>
          <w:sz w:val="16"/>
          <w:szCs w:val="16"/>
          <w:color w:val="auto"/>
        </w:rPr>
        <w:t>. The Company will maintain, with insurance companies that the Company believes (in the good faith judgment of the management of the Company) are financially sound and responsible at the time the relevant coverage is placed or renewed, insurance with respect to its insurable Property in at least such amounts (after giving effect to any self-insurance which the Company believes (in the good faith judgment of management of the Company) is reasonable and prudent in light of the size and nature of its business) and against at least such risks (and with such risk retentions) as the Company believes (in the good faith judgment of the management of the Company) are reasonable and prudent in light of the size and nature of its business.</w:t>
      </w:r>
    </w:p>
    <w:p>
      <w:pPr>
        <w:spacing w:after="0" w:line="162"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i w:val="1"/>
          <w:iCs w:val="1"/>
          <w:color w:val="auto"/>
        </w:rPr>
        <w:t>Impairment of Security Interest</w:t>
      </w:r>
      <w:r>
        <w:rPr>
          <w:rFonts w:ascii="Times New Roman" w:cs="Times New Roman" w:eastAsia="Times New Roman" w:hAnsi="Times New Roman"/>
          <w:sz w:val="16"/>
          <w:szCs w:val="16"/>
          <w:color w:val="auto"/>
        </w:rPr>
        <w:t>. The Company shall not, and shall not permit any of its Subsidiaries to, knowingly take or omit to take any action that would have the result of impairing the security interest with respect to the Collateral for the benefit of the Secured Parties; provided that the foregoing shall not prohibit the incurrence of Permitted Liens or the disposition of assets otherwise permitted or not prohibited under this Indenture.</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i w:val="1"/>
          <w:iCs w:val="1"/>
          <w:color w:val="auto"/>
        </w:rPr>
        <w:t>Limitations on Debt and Liens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20" w:firstLine="569"/>
        <w:spacing w:after="0" w:line="280" w:lineRule="auto"/>
        <w:tabs>
          <w:tab w:leader="none" w:pos="8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Subsidiary to, directly or indirectly, incur, issue, assume, guarantee or otherwise become liable for (collectively, “</w:t>
      </w:r>
      <w:r>
        <w:rPr>
          <w:rFonts w:ascii="Times New Roman" w:cs="Times New Roman" w:eastAsia="Times New Roman" w:hAnsi="Times New Roman"/>
          <w:sz w:val="16"/>
          <w:szCs w:val="16"/>
          <w:b w:val="1"/>
          <w:bCs w:val="1"/>
          <w:color w:val="auto"/>
        </w:rPr>
        <w:t>incur</w:t>
      </w:r>
      <w:r>
        <w:rPr>
          <w:rFonts w:ascii="Times New Roman" w:cs="Times New Roman" w:eastAsia="Times New Roman" w:hAnsi="Times New Roman"/>
          <w:sz w:val="16"/>
          <w:szCs w:val="16"/>
          <w:color w:val="auto"/>
        </w:rPr>
        <w:t>”) any Indebtedness or Disqualified Stock, and the Company shall not permit any Subsidiary to, directly or indirectly, incur any shares of Preferred Stock.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ind w:firstLine="569"/>
        <w:spacing w:after="0" w:line="280" w:lineRule="auto"/>
        <w:tabs>
          <w:tab w:leader="none" w:pos="80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therein,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will not prohibit the incurrence of any of the following items of Indebtedness or the issuance of any of the following Disqualified Stock (collectively, “</w:t>
      </w:r>
      <w:r>
        <w:rPr>
          <w:rFonts w:ascii="Times New Roman" w:cs="Times New Roman" w:eastAsia="Times New Roman" w:hAnsi="Times New Roman"/>
          <w:sz w:val="16"/>
          <w:szCs w:val="16"/>
          <w:b w:val="1"/>
          <w:bCs w:val="1"/>
          <w:color w:val="auto"/>
        </w:rPr>
        <w:t>Permitted Debt</w:t>
      </w:r>
      <w:r>
        <w:rPr>
          <w:rFonts w:ascii="Times New Roman" w:cs="Times New Roman" w:eastAsia="Times New Roman" w:hAnsi="Times New Roman"/>
          <w:sz w:val="16"/>
          <w:szCs w:val="16"/>
          <w:color w:val="auto"/>
        </w:rPr>
        <w:t>”):</w:t>
      </w:r>
    </w:p>
    <w:p>
      <w:pPr>
        <w:spacing w:after="0" w:line="142"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incurrence by the Company and its Subsidiaries of the existing Indebtedness outstanding on the Issue Date and listed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Existing</w:t>
      </w:r>
    </w:p>
    <w:p>
      <w:pPr>
        <w:spacing w:after="0" w:line="2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Permitted Debt</w:t>
      </w:r>
      <w:r>
        <w:rPr>
          <w:rFonts w:ascii="Times New Roman" w:cs="Times New Roman" w:eastAsia="Times New Roman" w:hAnsi="Times New Roman"/>
          <w:sz w:val="16"/>
          <w:szCs w:val="16"/>
          <w:color w:val="auto"/>
        </w:rPr>
        <w:t>”);</w:t>
      </w:r>
    </w:p>
    <w:p>
      <w:pPr>
        <w:spacing w:after="0" w:line="181"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by the Company and the Guarantors of Indebtedness represented by the Notes (other than any Additional Notes) and the related Notes</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Guarantees;</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431"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incurrence by the Company or any of its Subsidiaries of Permitted Refinancing Indebtedness to Refinance any Indebtedness that was permitted to be incurred under this </w:t>
      </w:r>
      <w:r>
        <w:rPr>
          <w:rFonts w:ascii="Times New Roman" w:cs="Times New Roman" w:eastAsia="Times New Roman" w:hAnsi="Times New Roman"/>
          <w:sz w:val="16"/>
          <w:szCs w:val="16"/>
          <w:u w:val="single" w:color="auto"/>
          <w:color w:val="auto"/>
        </w:rPr>
        <w:t>Section 4.12(b)</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43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incurrence by the Company or any of its Subsidiaries of intercompany Indebtedness (or the guarantees of any such intercompany Indebtedness) between or among the Company or any of its Subsidiaries,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(x) if the Company or a Guarantor incurs such Indebtedness (or guarantees thereof) to a Subsidiary that is not a Guarantor, any such intercompany Indebtedness or the guarantees thereof shall be expressly subordinated in right of payment to the Notes Guarantee of such Guarantor and if secured, is secured by Liens that are junior to the Liens securing the Obligations and secured solely with respect to assets that constitute Collateral and (y) any intercompany Indebtedness owing to the Company or any Guarantor must be incurred pursuant to an intercompany note that is pledged to the Collateral Agent in accordance with the terms of the Security Agreement;</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88"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liabilities under performance bonds, warranty bonds, bid bonds, appeal bonds, surety bonds and completion or performance guarantees and similar obligations, or similar instruments incurred in the ordinary course of business;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43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hedging obligations that are not incurred for speculative purposes but for the purpose of (a) fixing or hedging interest rate risk with respect to any Indebtedness that is permitted by the terms of this Indenture to be outstanding; (b) fixing or hedging currency exchange rate risk with respect to any currency exchanges; or (c) fixing or hedging commodity price risk, including the price or cost of raw materials, emission rights, manufactured products or related commodities, with respect to any commodity purchases or sales;</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464"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guarantee by the Company or any of the Guarantors of Indebtedness of the Company or a Guarantor permitted to be incurred by another provision of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and the guarantee by any Subsidiary that is not a Guarantor of Indebtedness of another Subsidiary that is not a Guarantor, in each case, to the extent that the guaranteed Indebtedness was permitted to be incurred by another provision of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if the Indebtedness being guaranteed is subordinated in right of payment to or pari passu with the Notes, then the guarantee must be subordinated or pari passu, as applicable, in right of payment to the same extent as the Indebtedness guaranteed and (b) such guaranteeing Subsidiary that is not a Guarantor shall have also provided a Guarantee of the Notes;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right="20" w:firstLine="1143"/>
        <w:spacing w:after="0" w:line="257" w:lineRule="auto"/>
        <w:tabs>
          <w:tab w:leader="none" w:pos="15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by the Company or any of its Subsidiaries of unsecured Indebtedness (other than for borrowed money) arising from customary agreements of the Company or any such Subsidiary providing indemnification, deferred purchase price, non-cash earn-outs, cash earn-outs, purchase price adjustments and other similar obligations, in each case, incurred or assumed in connection with the acquisition or sale or other Disposition of any business, assets or Capital Stock of the Company or any of its Subsidiaries, other than, in the case of any such Disposition by the Company or any of its Subsidiaries, guarantees of Indebtedness incurred by any Person acquiring all or any portion of such business, assets or Capital Stock;</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4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of contingent liabilities arising out of endorsements of checks, drafts and other similar instruments for deposit or collection in the ordinary course of business, including, without limitation, for amounts required by payment processors to cover chargebacks;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0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of Indebtedness in the ordinary course of business under any agreement between the Company or any of its Subsidiaries and any commercial bank or other financial institution relating to Treasury Management Arrangements;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3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Indebtedness owed to any Person providing property, casualty, liability or other insurance to the Company or any Guarantor, so long as the amount of such Indebtedness is not in excess of the amount of the unpaid cost of, and shall be incurred only to defer the cost of, the premiums with respect to such insurance for the period in which such Indebtedness is incurred and such Indebtedness is outstanding only for a period not exceeding twelve months;</w:t>
      </w:r>
    </w:p>
    <w:p>
      <w:pPr>
        <w:spacing w:after="0" w:line="153"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jc w:val="both"/>
        <w:ind w:firstLine="1143"/>
        <w:spacing w:after="0" w:line="257" w:lineRule="auto"/>
        <w:tabs>
          <w:tab w:leader="none" w:pos="152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Indebtedness incurred by the Company or any of its Subsidiaries constituting reimbursement obligations with respect to letters of credit and bank guarantees issued in the ordinary course of business, including, without limitation, letters of credit in respect of workers’ compensation claims, health, disability or other employee benefits (whether current or former) or property, casualty or liability insurance or self-insurance, or other Indebtedness with respect to reimbursement-type obligations regarding workers’ compensation claims;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reimbursement obligations in respect thereof are reimbursed within 90 days following the due date thereof;</w:t>
      </w:r>
    </w:p>
    <w:p>
      <w:pPr>
        <w:spacing w:after="0" w:line="160"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ind w:right="20" w:firstLine="1143"/>
        <w:spacing w:after="0" w:line="280" w:lineRule="auto"/>
        <w:tabs>
          <w:tab w:leader="none" w:pos="1466"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representing deferred compensation or similar obligation to employees of the Company or any Guarantor or any of their Subsidiaries or incurred in the ordinary course of business;</w:t>
      </w:r>
    </w:p>
    <w:p>
      <w:pPr>
        <w:spacing w:after="0" w:line="144" w:lineRule="exact"/>
        <w:rPr>
          <w:rFonts w:ascii="Times New Roman" w:cs="Times New Roman" w:eastAsia="Times New Roman" w:hAnsi="Times New Roman"/>
          <w:sz w:val="16"/>
          <w:szCs w:val="16"/>
          <w:color w:val="auto"/>
        </w:rPr>
      </w:pPr>
    </w:p>
    <w:p>
      <w:pPr>
        <w:ind w:left="1520" w:hanging="377"/>
        <w:spacing w:after="0"/>
        <w:tabs>
          <w:tab w:leader="none" w:pos="15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deposits and advance payments received in the ordinary course of business from customers for goods purchased in the ordinary course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ind w:right="20" w:firstLine="1143"/>
        <w:spacing w:after="0" w:line="280" w:lineRule="auto"/>
        <w:tabs>
          <w:tab w:leader="none" w:pos="1543"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the Company or any Guarantor, to the extent the Net Proceeds thereof (as reasonably determined by the Company, acting in good faith) are promptly used to purchase the Notes in connection with a Fundamental Change;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612"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the Company or any Guarantor representing letters of credit, bank guarantees and similar obligations which are incurred in the ordinary course of business and consistent with past practices; and</w:t>
      </w:r>
    </w:p>
    <w:p>
      <w:pPr>
        <w:spacing w:after="0" w:line="144"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9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unsecured Indebtedness or Indebtedness of the Company or any Guarantor secured by Liens on the Collateral which are junior to the Liens securing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Indebtedness has a final maturity date later than the Maturity Date and shall not permit or require any principal repayments prior to the Maturity Date; and (b) unsecured Indebtedness of the Company or any Guarantor incurred in the ordinary course of business in an aggregate amount (together with any Permitted Refinancing Indebtedness thereof incurred pursuant to </w:t>
      </w:r>
      <w:r>
        <w:rPr>
          <w:rFonts w:ascii="Times New Roman" w:cs="Times New Roman" w:eastAsia="Times New Roman" w:hAnsi="Times New Roman"/>
          <w:sz w:val="16"/>
          <w:szCs w:val="16"/>
          <w:u w:val="single" w:color="auto"/>
          <w:color w:val="auto"/>
        </w:rPr>
        <w:t>Section 4.12(b)(iii)</w:t>
      </w:r>
      <w:r>
        <w:rPr>
          <w:rFonts w:ascii="Times New Roman" w:cs="Times New Roman" w:eastAsia="Times New Roman" w:hAnsi="Times New Roman"/>
          <w:sz w:val="16"/>
          <w:szCs w:val="16"/>
          <w:color w:val="auto"/>
        </w:rPr>
        <w:t>) at any one time outstanding not to exceed $2,500,000.</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74" w:lineRule="auto"/>
        <w:tabs>
          <w:tab w:leader="none" w:pos="792"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purposes of determining compliance with </w:t>
      </w:r>
      <w:r>
        <w:rPr>
          <w:rFonts w:ascii="Times New Roman" w:cs="Times New Roman" w:eastAsia="Times New Roman" w:hAnsi="Times New Roman"/>
          <w:sz w:val="15"/>
          <w:szCs w:val="15"/>
          <w:u w:val="single" w:color="auto"/>
          <w:color w:val="auto"/>
        </w:rPr>
        <w:t>Section 4.12</w:t>
      </w:r>
      <w:r>
        <w:rPr>
          <w:rFonts w:ascii="Times New Roman" w:cs="Times New Roman" w:eastAsia="Times New Roman" w:hAnsi="Times New Roman"/>
          <w:sz w:val="15"/>
          <w:szCs w:val="15"/>
          <w:color w:val="auto"/>
        </w:rPr>
        <w:t xml:space="preserve">, in the event that an item of proposed Indebtedness or Disqualified Stock meets the criteria of more than one of the categories of Permitted Debt described in </w:t>
      </w:r>
      <w:r>
        <w:rPr>
          <w:rFonts w:ascii="Times New Roman" w:cs="Times New Roman" w:eastAsia="Times New Roman" w:hAnsi="Times New Roman"/>
          <w:sz w:val="15"/>
          <w:szCs w:val="15"/>
          <w:u w:val="single" w:color="auto"/>
          <w:color w:val="auto"/>
        </w:rPr>
        <w:t>Section 4.12(b)</w:t>
      </w:r>
      <w:r>
        <w:rPr>
          <w:rFonts w:ascii="Times New Roman" w:cs="Times New Roman" w:eastAsia="Times New Roman" w:hAnsi="Times New Roman"/>
          <w:sz w:val="15"/>
          <w:szCs w:val="15"/>
          <w:color w:val="auto"/>
        </w:rPr>
        <w:t xml:space="preserve"> above, the Company will be permitted to classify all or a portion of such item of Indebtedness or Disqualified Stock on the date of its incurrence, or later reclassify all or a portion of such item of Indebtedness (based on circumstances existing on the date of such reclassification), in any manner that complies with this covenant. The accrual of interest, the accrual of dividends, the accretion or amortization of original issue discount, the amortization of debt discount, the payment of interest on any Indebtedness in the form of additional Indebtedness, the payment of interest in the form of additional shares of preferred Capital Stock or Disqualified Stock, the reclassification of preferred stock as Indebtedness due to a change in accounting principles and the payment of dividends on Disqualified Stock in the form of additional shares of the same class of Disqualified Stock will not be deemed to be an incurrence of Indebtedness for purposes of this covenant.</w:t>
      </w:r>
    </w:p>
    <w:p>
      <w:pPr>
        <w:spacing w:after="0" w:line="151" w:lineRule="exact"/>
        <w:rPr>
          <w:rFonts w:ascii="Times New Roman" w:cs="Times New Roman" w:eastAsia="Times New Roman" w:hAnsi="Times New Roman"/>
          <w:sz w:val="15"/>
          <w:szCs w:val="15"/>
          <w:color w:val="auto"/>
        </w:rPr>
      </w:pPr>
    </w:p>
    <w:p>
      <w:pPr>
        <w:ind w:left="800" w:hanging="231"/>
        <w:spacing w:after="0"/>
        <w:tabs>
          <w:tab w:leader="none" w:pos="8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any Indebtedness outstanding as of any date will be:</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accreted value of the Indebtedness, in the case of any Indebtedness issued with original issue discount;</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outstanding, in the case of Indebtedness issued with interest payable in kinds; and</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of the Indebtedness, in the case of any other Indebtedness.</w:t>
      </w:r>
    </w:p>
    <w:p>
      <w:pPr>
        <w:spacing w:after="0" w:line="198" w:lineRule="exact"/>
        <w:rPr>
          <w:rFonts w:ascii="Times New Roman" w:cs="Times New Roman" w:eastAsia="Times New Roman" w:hAnsi="Times New Roman"/>
          <w:sz w:val="16"/>
          <w:szCs w:val="16"/>
          <w:color w:val="auto"/>
        </w:rPr>
      </w:pPr>
    </w:p>
    <w:p>
      <w:pPr>
        <w:jc w:val="both"/>
        <w:ind w:right="20" w:firstLine="569"/>
        <w:spacing w:after="0" w:line="252" w:lineRule="auto"/>
        <w:tabs>
          <w:tab w:leader="none" w:pos="81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Indebtedness, or first committed, in the case of revolving credit Indebtedness;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Permitted Refinancing Indebtedness does not exceed the principal amount of such Indebtedness being refinanced. Notwithstanding any other provision of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the maximum amount of Indebtedness that the Company may incur pursuant to this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Permitted Refinancing Indebtedness is denominated that is in effect on the date of such refinancing.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ind w:right="20" w:firstLine="569"/>
        <w:spacing w:after="0" w:line="280" w:lineRule="auto"/>
        <w:tabs>
          <w:tab w:leader="none" w:pos="7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set forth herein, the Company shall not, and shall not permit any of its Subsidiaries to, directly or indirectly, incur any Indebtedness that is secured on a pari passu basis with the Obligations, other than Additional Notes permitted pursuant to </w:t>
      </w:r>
      <w:r>
        <w:rPr>
          <w:rFonts w:ascii="Times New Roman" w:cs="Times New Roman" w:eastAsia="Times New Roman" w:hAnsi="Times New Roman"/>
          <w:sz w:val="16"/>
          <w:szCs w:val="16"/>
          <w:u w:val="single" w:color="auto"/>
          <w:color w:val="auto"/>
        </w:rPr>
        <w:t>Section 4.12(b)(xii)</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0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to, directly or indirectly, create, incur, assume or suffer to exist any Lien on any of its property or assets (including Equity Interests of Subsidiaries), whether owned on the Issue Date or acquired after that date, other than a Permitted Lien.</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i w:val="1"/>
          <w:iCs w:val="1"/>
          <w:color w:val="auto"/>
        </w:rPr>
        <w:t>Limitation on Restricted Payments, Restricted Investments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780" w:hanging="211"/>
        <w:spacing w:after="0"/>
        <w:tabs>
          <w:tab w:leader="none" w:pos="7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directly or indirectly, to make any Restricted Payment other than:</w:t>
      </w:r>
    </w:p>
    <w:p>
      <w:pPr>
        <w:spacing w:after="0" w:line="198" w:lineRule="exact"/>
        <w:rPr>
          <w:rFonts w:ascii="Times New Roman" w:cs="Times New Roman" w:eastAsia="Times New Roman" w:hAnsi="Times New Roman"/>
          <w:sz w:val="16"/>
          <w:szCs w:val="16"/>
          <w:color w:val="auto"/>
        </w:rPr>
      </w:pPr>
    </w:p>
    <w:p>
      <w:pPr>
        <w:jc w:val="both"/>
        <w:ind w:firstLine="1143"/>
        <w:spacing w:after="0" w:line="257" w:lineRule="auto"/>
        <w:tabs>
          <w:tab w:leader="none" w:pos="1353"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made or expected to be made by the Company or any of its Subsidiaries in respect of withholding or similar taxes payable upon exercise or vesting of equity or equity-linked securities referencing Common Stock by any future, present or former employee, director, officer, member of management or consultant of the Company or any Subsidiary or any direct or indirect parent company of the Company and any repurchases of such equity-linked securities or of Common Stock deemed to occur upon exercise or vesting of such Common Stock, stock options, restricted stock units, warrants or other equity-based awards if Common Stock represents a portion of the exercise price or vesting of such options, restricted stock units, warrants or awards;</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82"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payments in lieu of issuing fractional shares in connection with the exercise, vesting, conversion or grant of Common Stock or of warrants, options or other securities vesting as, convertible into or exchangeable for Common Stock or the equity of any direct or indirect parent of the Company;</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55"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in respect of Common Stock deemed to occur upon the redemption, purchase, conversion, discharge, defeasance or other repayment or acquisition of Indebtedness of the Company or any of its Subsidiaries that is convertible into, exchangeable for, or in reference to, Common Stock;</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right="20" w:firstLine="1143"/>
        <w:spacing w:after="0" w:line="257" w:lineRule="auto"/>
        <w:tabs>
          <w:tab w:leader="none" w:pos="1424"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no Default or Event of Default has occurred and is continuing or would be caused thereby, any Restricted Payment to pay for the repurchase, redemption or other acquisition or retirement for value of Common Stock of the Company or equity of any direct or indirect parent company of the Company, in each case held by any future, present or former employee, director, officer, member of management or consultant of the Company, any of its Subsidiaries or any of its direct or indirect parent companies pursuant to any equity incentive plan or stock option plan or any other management or employee benefit plan or arrangement, or any stock subscription or shareholder agreement, provided that the aggregate Restricted Payments pursuant to this clause (iv) may not exceed $1,000,000 in any fiscal year;</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1"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by the Company of fractional shares arising out of stock dividends, splits, combinations, tenders or exchanges of Common Stock, stock options, other equity awards or business combinations and payments or distributions to dissenting stockholders pursuant to applicable law in connection with a consolidation, merger or transfer of assets;</w:t>
      </w:r>
    </w:p>
    <w:p>
      <w:pPr>
        <w:spacing w:after="0" w:line="153"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Restricted Payment made by the Company to comply with the terms of this Indenture or the Collateral Documents;</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Restricted Payment in accordance with the terms, as of the Issue Date, of any Existing Permitted Debt or any of the securities listed on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color w:val="auto"/>
        </w:rPr>
        <w: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w:t>
      </w:r>
    </w:p>
    <w:p>
      <w:pPr>
        <w:spacing w:after="0" w:line="18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37"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making of any Restricted Payment in exchange for, or out of or with the net cash proceeds from the substantially concurrent contribution to the Common Equity of the Company or from the substantially concurrent sale (other than to a Subsidiary of the Company) of, Capital Stock (other than Disqualified Stock) of the Company.</w:t>
      </w:r>
    </w:p>
    <w:p>
      <w:pPr>
        <w:spacing w:after="0" w:line="155"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80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directly or indirectly, to make any Restricted Investment. For purposes of this Indenture, if the Company or any Subsidiary sells or otherwise disposes of any voting stock of any Subsidiary or engages in any other transaction such that, after giving effect to any such sale, disposition or other transaction, such entity is no longer a Subsidiary of the Company, the Company shall be deemed to have made an Investment on the date of any such sale, disposition or other transaction equal to the Fair Market Value of the Capital Stock of such Subsidiary sold or disposed of.</w:t>
      </w:r>
    </w:p>
    <w:p>
      <w:pPr>
        <w:spacing w:after="0" w:line="161" w:lineRule="exact"/>
        <w:rPr>
          <w:rFonts w:ascii="Times New Roman" w:cs="Times New Roman" w:eastAsia="Times New Roman" w:hAnsi="Times New Roman"/>
          <w:sz w:val="16"/>
          <w:szCs w:val="16"/>
          <w:color w:val="auto"/>
        </w:rPr>
      </w:pPr>
    </w:p>
    <w:p>
      <w:pPr>
        <w:jc w:val="both"/>
        <w:ind w:firstLine="569"/>
        <w:spacing w:after="0" w:line="257" w:lineRule="auto"/>
        <w:tabs>
          <w:tab w:leader="none" w:pos="792"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determining compliance with this </w:t>
      </w:r>
      <w:r>
        <w:rPr>
          <w:rFonts w:ascii="Times New Roman" w:cs="Times New Roman" w:eastAsia="Times New Roman" w:hAnsi="Times New Roman"/>
          <w:sz w:val="16"/>
          <w:szCs w:val="16"/>
          <w:u w:val="single" w:color="auto"/>
          <w:color w:val="auto"/>
        </w:rPr>
        <w:t>Section 4.13</w:t>
      </w:r>
      <w:r>
        <w:rPr>
          <w:rFonts w:ascii="Times New Roman" w:cs="Times New Roman" w:eastAsia="Times New Roman" w:hAnsi="Times New Roman"/>
          <w:sz w:val="16"/>
          <w:szCs w:val="16"/>
          <w:color w:val="auto"/>
        </w:rPr>
        <w:t>, if any Investment or Restricted Payment (or portion thereof) would be permitted pursuant to one or more provisions described above and/or is entitled to be incurred under one or more of the categories of Permitted Investments, the Company may divide and classify such Investment or Restricted Payment in any manner that complies with this covenant and may later divide and reclassify any such Investment or Restricted Payment so long as the Investment or Restricted Payment (as so divided and/or reclassified) would be permitted to be made in reliance on the applicable exception as of the date of such reclassification.</w:t>
      </w:r>
    </w:p>
    <w:p>
      <w:pPr>
        <w:spacing w:after="0" w:line="160"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4.14. </w:t>
      </w:r>
      <w:r>
        <w:rPr>
          <w:rFonts w:ascii="Times New Roman" w:cs="Times New Roman" w:eastAsia="Times New Roman" w:hAnsi="Times New Roman"/>
          <w:sz w:val="16"/>
          <w:szCs w:val="16"/>
          <w:i w:val="1"/>
          <w:iCs w:val="1"/>
          <w:color w:val="auto"/>
        </w:rPr>
        <w:t>Post-Closing Covenant</w:t>
      </w:r>
      <w:r>
        <w:rPr>
          <w:rFonts w:ascii="Times New Roman" w:cs="Times New Roman" w:eastAsia="Times New Roman" w:hAnsi="Times New Roman"/>
          <w:sz w:val="16"/>
          <w:szCs w:val="16"/>
          <w:color w:val="auto"/>
        </w:rPr>
        <w:t>. On or prior to the date that is 40 days following the Issue Date, the Company shall deliver, or cause to be delivered, to the Collateral Agent, all Pledged Collateral required to be pledged as Collateral duly indorsed by an effective indorsement (within the meaning of Section 8-107 of the UCC), or accompanied by share transfer powers or other instruments of transfer duly endorsed by such an effective endorsement, in blank.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4.15. </w:t>
      </w:r>
      <w:r>
        <w:rPr>
          <w:rFonts w:ascii="Times New Roman" w:cs="Times New Roman" w:eastAsia="Times New Roman" w:hAnsi="Times New Roman"/>
          <w:sz w:val="16"/>
          <w:szCs w:val="16"/>
          <w:i w:val="1"/>
          <w:iCs w:val="1"/>
          <w:color w:val="auto"/>
        </w:rPr>
        <w:t>Further Instruments and Acts.</w:t>
      </w:r>
      <w:r>
        <w:rPr>
          <w:rFonts w:ascii="Times New Roman" w:cs="Times New Roman" w:eastAsia="Times New Roman" w:hAnsi="Times New Roman"/>
          <w:sz w:val="16"/>
          <w:szCs w:val="16"/>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4.16. </w:t>
      </w:r>
      <w:r>
        <w:rPr>
          <w:rFonts w:ascii="Times New Roman" w:cs="Times New Roman" w:eastAsia="Times New Roman" w:hAnsi="Times New Roman"/>
          <w:sz w:val="16"/>
          <w:szCs w:val="16"/>
          <w:i w:val="1"/>
          <w:iCs w:val="1"/>
          <w:color w:val="auto"/>
        </w:rPr>
        <w:t>Asset Sales.</w:t>
      </w:r>
    </w:p>
    <w:p>
      <w:pPr>
        <w:spacing w:after="0" w:line="200" w:lineRule="exact"/>
        <w:rPr>
          <w:sz w:val="20"/>
          <w:szCs w:val="20"/>
          <w:color w:val="auto"/>
        </w:rPr>
      </w:pPr>
    </w:p>
    <w:p>
      <w:pPr>
        <w:jc w:val="both"/>
        <w:ind w:firstLine="569"/>
        <w:spacing w:after="0" w:line="253" w:lineRule="auto"/>
        <w:tabs>
          <w:tab w:leader="none" w:pos="79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and shall not permit any of its Subsidiaries to, consummate an Asset Sale, unless (i) the Company (or the Subsidiary, as the case may be) receives consideration at the time of the Asset Sale at least equal to the Fair Market Value (measured as of the date of the definitive agreement with respect to such Asset Sale) of the assets, property or Capital Stock issued or sold or otherwise disposed of, (ii) at least 75% of the consideration received from such Asset Sale is, or will be when paid (in the case of milestones, royalties and other deferred payment obligations), in the form of cash or Cash Equivalents; provided that for purposes of this clause (ii), any Designated Non-Cash Consideration received by the Company or such Subsidiary in respect of such Asset Sale having an aggregate Fair Market Value, taken together with all other Designated Non-Cash Consideration received pursuant to this clause (ii), not in excess of $10,000,000 received from such Asset Sale and all other Asset Sales since the Issue Date on a cumulative basis at the time of the receipt of such Designated Non-Cash Consideration, with the Fair Market Value of each item of Designated Non-Cash Consideration being measured at the time received and without giving effect to subsequent changes in value, shall be deemed to be cash, and (iii) immediately before or after giving effect to such Asset Sale, no Default or Event of Default shall have occurred and be continuing under this Indenture.</w:t>
      </w:r>
    </w:p>
    <w:p>
      <w:pPr>
        <w:spacing w:after="0" w:line="166" w:lineRule="exact"/>
        <w:rPr>
          <w:rFonts w:ascii="Times New Roman" w:cs="Times New Roman" w:eastAsia="Times New Roman" w:hAnsi="Times New Roman"/>
          <w:sz w:val="16"/>
          <w:szCs w:val="16"/>
          <w:color w:val="auto"/>
        </w:rPr>
      </w:pPr>
    </w:p>
    <w:p>
      <w:pPr>
        <w:jc w:val="both"/>
        <w:ind w:firstLine="569"/>
        <w:spacing w:after="0" w:line="252" w:lineRule="auto"/>
        <w:tabs>
          <w:tab w:leader="none" w:pos="80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Net Proceeds from Asset Sales received by the Company or any of its Subsidiaries shall, to the extent the aggregate amount of all such Net Proceeds from all Asset Sales exceeds $10,000,000, constitute “</w:t>
      </w:r>
      <w:r>
        <w:rPr>
          <w:rFonts w:ascii="Times New Roman" w:cs="Times New Roman" w:eastAsia="Times New Roman" w:hAnsi="Times New Roman"/>
          <w:sz w:val="16"/>
          <w:szCs w:val="16"/>
          <w:b w:val="1"/>
          <w:bCs w:val="1"/>
          <w:color w:val="auto"/>
        </w:rPr>
        <w:t>Excess Proceeds</w:t>
      </w:r>
      <w:r>
        <w:rPr>
          <w:rFonts w:ascii="Times New Roman" w:cs="Times New Roman" w:eastAsia="Times New Roman" w:hAnsi="Times New Roman"/>
          <w:sz w:val="16"/>
          <w:szCs w:val="16"/>
          <w:color w:val="auto"/>
        </w:rPr>
        <w:t>.” At any time when the aggregate amount of Excess Proceeds exceeds $1,000,000, within five days thereafter, the Company will make an offer (each, an “</w:t>
      </w:r>
      <w:r>
        <w:rPr>
          <w:rFonts w:ascii="Times New Roman" w:cs="Times New Roman" w:eastAsia="Times New Roman" w:hAnsi="Times New Roman"/>
          <w:sz w:val="16"/>
          <w:szCs w:val="16"/>
          <w:b w:val="1"/>
          <w:bCs w:val="1"/>
          <w:color w:val="auto"/>
        </w:rPr>
        <w:t>Asset Sale Offer</w:t>
      </w:r>
      <w:r>
        <w:rPr>
          <w:rFonts w:ascii="Times New Roman" w:cs="Times New Roman" w:eastAsia="Times New Roman" w:hAnsi="Times New Roman"/>
          <w:sz w:val="16"/>
          <w:szCs w:val="16"/>
          <w:color w:val="auto"/>
        </w:rPr>
        <w:t>”) to all Holders of Notes to purchase the maximum principal amount of Notes capable of purchase utilizing 75% of the amount of Excess Proceeds, calculated after deducting from such Excess Proceeds all accrued and unpaid interest on the Notes and the amount of all fees and expenses, including premiums, incurred in connection with such purchase (the “</w:t>
      </w:r>
      <w:r>
        <w:rPr>
          <w:rFonts w:ascii="Times New Roman" w:cs="Times New Roman" w:eastAsia="Times New Roman" w:hAnsi="Times New Roman"/>
          <w:sz w:val="16"/>
          <w:szCs w:val="16"/>
          <w:b w:val="1"/>
          <w:bCs w:val="1"/>
          <w:color w:val="auto"/>
        </w:rPr>
        <w:t>Offer Amount</w:t>
      </w:r>
      <w:r>
        <w:rPr>
          <w:rFonts w:ascii="Times New Roman" w:cs="Times New Roman" w:eastAsia="Times New Roman" w:hAnsi="Times New Roman"/>
          <w:sz w:val="16"/>
          <w:szCs w:val="16"/>
          <w:color w:val="auto"/>
        </w:rPr>
        <w:t>”). The offer price in any Asset Sale Offer will be equal to 100% of the aggregate principal amount purchased, plus accrued and unpaid interest on such principal amount to the date of purchase, and will be payable in cash. If any Excess Proceeds remain after consummation of an Asset Sale Offer, the Company may use those Excess Proceeds for any purpose not otherwise prohibited by this Indenture. If the aggregate principal amount of Notes tendered in or required to be prepaid or redeemed in connection with such Asset Sale Offer exceeds the Offer Amount, the Company will select the Notes to be purchased on a pro rata basis (subject to adjustment to maintain the authorized minimum denomination of the Notes), based on the amounts tendered. Upon completion of each Asset Sale Offer, the amount of Excess Proceeds will be reset at zero.</w:t>
      </w:r>
    </w:p>
    <w:p>
      <w:pPr>
        <w:spacing w:after="0" w:line="171"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79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w:t>
      </w:r>
      <w:r>
        <w:rPr>
          <w:rFonts w:ascii="Times New Roman" w:cs="Times New Roman" w:eastAsia="Times New Roman" w:hAnsi="Times New Roman"/>
          <w:sz w:val="16"/>
          <w:szCs w:val="16"/>
          <w:u w:val="single" w:color="auto"/>
          <w:color w:val="auto"/>
        </w:rPr>
        <w:t>Section 4.16</w:t>
      </w:r>
      <w:r>
        <w:rPr>
          <w:rFonts w:ascii="Times New Roman" w:cs="Times New Roman" w:eastAsia="Times New Roman" w:hAnsi="Times New Roman"/>
          <w:sz w:val="16"/>
          <w:szCs w:val="16"/>
          <w:color w:val="auto"/>
        </w:rPr>
        <w:t xml:space="preserve">, the Company will comply with the applicable securities laws and regulations and will not be deemed to have breached its obligations under this </w:t>
      </w:r>
      <w:r>
        <w:rPr>
          <w:rFonts w:ascii="Times New Roman" w:cs="Times New Roman" w:eastAsia="Times New Roman" w:hAnsi="Times New Roman"/>
          <w:sz w:val="16"/>
          <w:szCs w:val="16"/>
          <w:u w:val="single" w:color="auto"/>
          <w:color w:val="auto"/>
        </w:rPr>
        <w:t>Section 4.16</w:t>
      </w:r>
      <w:r>
        <w:rPr>
          <w:rFonts w:ascii="Times New Roman" w:cs="Times New Roman" w:eastAsia="Times New Roman" w:hAnsi="Times New Roman"/>
          <w:sz w:val="16"/>
          <w:szCs w:val="16"/>
          <w:color w:val="auto"/>
        </w:rPr>
        <w:t xml:space="preserve"> by virtue of such compliance.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0" w:name="page71"/>
    <w:bookmarkEnd w:id="70"/>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4.17. </w:t>
      </w:r>
      <w:r>
        <w:rPr>
          <w:rFonts w:ascii="Times New Roman" w:cs="Times New Roman" w:eastAsia="Times New Roman" w:hAnsi="Times New Roman"/>
          <w:sz w:val="16"/>
          <w:szCs w:val="16"/>
          <w:i w:val="1"/>
          <w:iCs w:val="1"/>
          <w:color w:val="auto"/>
        </w:rPr>
        <w:t>Limitation on Transfers of Material Intellectual Property.</w:t>
      </w:r>
      <w:r>
        <w:rPr>
          <w:rFonts w:ascii="Times New Roman" w:cs="Times New Roman" w:eastAsia="Times New Roman" w:hAnsi="Times New Roman"/>
          <w:sz w:val="16"/>
          <w:szCs w:val="16"/>
          <w:color w:val="auto"/>
        </w:rPr>
        <w:t xml:space="preserve"> The Company shall not, and shall not permit any of its Subsidiaries to, directly or indirectly, enter into or conduct any transaction (including, but not limited to, the transfer, purchase, sale, lease, license or exchange of any property or asset, the making of any Restricted Payment or Investment or the disposition of any assets) with any Person in the form of transferring title to, licensing on an exclusive basis or otherwise Disposing of any Intellectual Property that, at the time of (or immediately after) such transaction, constitutes Material Intellectual Property, unless the transferee is the Company or a Guarantor. The Company shall cause all Material Intellectual Property to be owned at all times by one or more of its direct or indirect Domestic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4.18. </w:t>
      </w:r>
      <w:r>
        <w:rPr>
          <w:rFonts w:ascii="Times New Roman" w:cs="Times New Roman" w:eastAsia="Times New Roman" w:hAnsi="Times New Roman"/>
          <w:sz w:val="16"/>
          <w:szCs w:val="16"/>
          <w:i w:val="1"/>
          <w:iCs w:val="1"/>
          <w:color w:val="auto"/>
        </w:rPr>
        <w:t>Control Agreements.</w:t>
      </w:r>
    </w:p>
    <w:p>
      <w:pPr>
        <w:spacing w:after="0" w:line="200" w:lineRule="exact"/>
        <w:rPr>
          <w:sz w:val="20"/>
          <w:szCs w:val="20"/>
          <w:color w:val="auto"/>
        </w:rPr>
      </w:pPr>
    </w:p>
    <w:p>
      <w:pPr>
        <w:ind w:right="20" w:firstLine="569"/>
        <w:spacing w:after="0" w:line="280" w:lineRule="auto"/>
        <w:tabs>
          <w:tab w:leader="none" w:pos="79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Guarantor shall maintain any Deposit Account except (i) for which the Collateral Agent has received a Control Agreement (subject to the time period specified in Section 4.18(b)) or (ii) Excluded Accounts.</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Within 90 days after the Issue Date, the Company shall deliver (or cause to be delivered) a Control Agreement for each Deposit Account listed on </w:t>
      </w:r>
      <w:r>
        <w:rPr>
          <w:rFonts w:ascii="Times New Roman" w:cs="Times New Roman" w:eastAsia="Times New Roman" w:hAnsi="Times New Roman"/>
          <w:sz w:val="16"/>
          <w:szCs w:val="16"/>
          <w:u w:val="single" w:color="auto"/>
          <w:color w:val="auto"/>
        </w:rPr>
        <w:t>Schedule D</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4.19. </w:t>
      </w:r>
      <w:r>
        <w:rPr>
          <w:rFonts w:ascii="Times New Roman" w:cs="Times New Roman" w:eastAsia="Times New Roman" w:hAnsi="Times New Roman"/>
          <w:sz w:val="16"/>
          <w:szCs w:val="16"/>
          <w:i w:val="1"/>
          <w:iCs w:val="1"/>
          <w:color w:val="auto"/>
        </w:rPr>
        <w:t>Liability Management Transactions</w:t>
      </w:r>
      <w:r>
        <w:rPr>
          <w:rFonts w:ascii="Times New Roman" w:cs="Times New Roman" w:eastAsia="Times New Roman" w:hAnsi="Times New Roman"/>
          <w:sz w:val="16"/>
          <w:szCs w:val="16"/>
          <w:color w:val="auto"/>
        </w:rPr>
        <w:t xml:space="preserve">. The Company shall not, and shall not permit any of its Subsidiaries or controlled Affiliates to, directly or indirectly, enter into any Liability Management Transaction unless each Holder is offered a bona fide right to participate in such Liability Management Transaction, on a pro rata basis, on not less than twenty (20) Business Days’ notice prior to the deadline established by Company, its Subsidiaries or its controlled Affiliates for the Holders to elect to participate in such Liability Management Transaction. For the purpose of this </w:t>
      </w:r>
      <w:r>
        <w:rPr>
          <w:rFonts w:ascii="Times New Roman" w:cs="Times New Roman" w:eastAsia="Times New Roman" w:hAnsi="Times New Roman"/>
          <w:sz w:val="16"/>
          <w:szCs w:val="16"/>
          <w:u w:val="single" w:color="auto"/>
          <w:color w:val="auto"/>
        </w:rPr>
        <w:t>Section 4.19</w:t>
      </w:r>
      <w:r>
        <w:rPr>
          <w:rFonts w:ascii="Times New Roman" w:cs="Times New Roman" w:eastAsia="Times New Roman" w:hAnsi="Times New Roman"/>
          <w:sz w:val="16"/>
          <w:szCs w:val="16"/>
          <w:color w:val="auto"/>
        </w:rPr>
        <w:t>, in the case of Global Notes, “Holder” shall mean a person that holds a beneficial interest in the Notes and not the Depository for such Global Notes or its nominee.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LISTS OF HOLDERS AND REPORTS BY THE COMPANY AND THE TRUSTEE</w:t>
      </w:r>
    </w:p>
    <w:p>
      <w:pPr>
        <w:spacing w:after="0" w:line="180"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Lists of Holders.</w:t>
      </w:r>
      <w:r>
        <w:rPr>
          <w:rFonts w:ascii="Times New Roman" w:cs="Times New Roman" w:eastAsia="Times New Roman" w:hAnsi="Times New Roman"/>
          <w:sz w:val="16"/>
          <w:szCs w:val="16"/>
          <w:color w:val="auto"/>
        </w:rPr>
        <w:t xml:space="preserve"> The Company covenants and agrees that it will furnish or cause to be furnished to the Trustee, quarterly, not more than 15 days after each March 15, June 15, September 15 and December 15, in each year beginning with June 15,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1"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5.02. </w:t>
      </w:r>
      <w:r>
        <w:rPr>
          <w:rFonts w:ascii="Times New Roman" w:cs="Times New Roman" w:eastAsia="Times New Roman" w:hAnsi="Times New Roman"/>
          <w:sz w:val="16"/>
          <w:szCs w:val="16"/>
          <w:i w:val="1"/>
          <w:iCs w:val="1"/>
          <w:color w:val="auto"/>
        </w:rPr>
        <w:t>Preservation and Disclosure of Lists.</w:t>
      </w:r>
      <w:r>
        <w:rPr>
          <w:rFonts w:ascii="Times New Roman" w:cs="Times New Roman" w:eastAsia="Times New Roman" w:hAnsi="Times New Roman"/>
          <w:sz w:val="16"/>
          <w:szCs w:val="16"/>
          <w:color w:val="auto"/>
        </w:rPr>
        <w:t xml:space="preserve"> The Trustee shall preserve, in as current a form as is reasonably practicable, all information as to the names and addresses of the Holders contained in the most recent list furnished to it as provided in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or maintained by the Trustee in its capacity as Note Registrar, if so acting. The Trustee may dispose of any list furnished to it as provided in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upon receipt of a new list so furnished.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DEFAULTS AND REMEDIES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xml:space="preserve"> Each of the following events shall be an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with respect to the Notes:</w:t>
      </w:r>
    </w:p>
    <w:p>
      <w:pPr>
        <w:spacing w:after="0" w:line="200" w:lineRule="exact"/>
        <w:rPr>
          <w:sz w:val="20"/>
          <w:szCs w:val="20"/>
          <w:color w:val="auto"/>
        </w:rPr>
      </w:pPr>
    </w:p>
    <w:p>
      <w:pPr>
        <w:ind w:left="780" w:hanging="211"/>
        <w:spacing w:after="0"/>
        <w:tabs>
          <w:tab w:leader="none" w:pos="7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any payment of interest on any Note when due and payable, and the default continues for a period of 30 days;</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principal of any Note when due and payable on the Maturity Date, upon any required repurchase, upon declaration of acceleration or</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w:t>
      </w:r>
    </w:p>
    <w:p>
      <w:pPr>
        <w:spacing w:after="0" w:line="181" w:lineRule="exact"/>
        <w:rPr>
          <w:rFonts w:ascii="Times New Roman" w:cs="Times New Roman" w:eastAsia="Times New Roman" w:hAnsi="Times New Roman"/>
          <w:sz w:val="16"/>
          <w:szCs w:val="16"/>
          <w:color w:val="auto"/>
        </w:rPr>
      </w:pPr>
    </w:p>
    <w:p>
      <w:pPr>
        <w:jc w:val="both"/>
        <w:ind w:firstLine="569"/>
        <w:spacing w:after="0" w:line="265" w:lineRule="auto"/>
        <w:tabs>
          <w:tab w:leader="none" w:pos="79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to comply with its obligation to convert the Notes in accordance with this Indenture (including any failure by the Company to deliver the Conversion Obligation (or Settlement Amount required to satisfy the Conversion Obligation) in accordance with this Indenture) upon exercise of a Holder’s conversion right and such failure continues for five Business Days;</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81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failure by the Company to give (i) a Fundamental Change Company Notice in accordance with </w:t>
      </w:r>
      <w:r>
        <w:rPr>
          <w:rFonts w:ascii="Times New Roman" w:cs="Times New Roman" w:eastAsia="Times New Roman" w:hAnsi="Times New Roman"/>
          <w:sz w:val="16"/>
          <w:szCs w:val="16"/>
          <w:u w:val="single" w:color="auto"/>
          <w:color w:val="auto"/>
        </w:rPr>
        <w:t>Section 16.02(c)</w:t>
      </w:r>
      <w:r>
        <w:rPr>
          <w:rFonts w:ascii="Times New Roman" w:cs="Times New Roman" w:eastAsia="Times New Roman" w:hAnsi="Times New Roman"/>
          <w:sz w:val="16"/>
          <w:szCs w:val="16"/>
          <w:color w:val="auto"/>
        </w:rPr>
        <w:t xml:space="preserve"> or (ii) notice of a Make-Whole Fundamental Change in accordance with </w:t>
      </w:r>
      <w:r>
        <w:rPr>
          <w:rFonts w:ascii="Times New Roman" w:cs="Times New Roman" w:eastAsia="Times New Roman" w:hAnsi="Times New Roman"/>
          <w:sz w:val="16"/>
          <w:szCs w:val="16"/>
          <w:u w:val="single" w:color="auto"/>
          <w:color w:val="auto"/>
        </w:rPr>
        <w:t>Section 15.03(b)</w:t>
      </w:r>
      <w:r>
        <w:rPr>
          <w:rFonts w:ascii="Times New Roman" w:cs="Times New Roman" w:eastAsia="Times New Roman" w:hAnsi="Times New Roman"/>
          <w:sz w:val="16"/>
          <w:szCs w:val="16"/>
          <w:color w:val="auto"/>
        </w:rPr>
        <w:t>, in either case when due, and such failure continues for five Business Days;</w:t>
      </w:r>
    </w:p>
    <w:p>
      <w:pPr>
        <w:spacing w:after="0" w:line="144"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failure by the Company or a Guarantor to comply with its obligations under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7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the Company or any of the Guarantors, as applicable, for 60 days after written notice from the Trustee or the Holders of at least 25% in principal amount of the Notes then outstanding has been received by the Company to comply with any of its other agreements contained in the Notes or this Indenture or the Collateral Documents;</w:t>
      </w:r>
    </w:p>
    <w:p>
      <w:pPr>
        <w:spacing w:after="0" w:line="155" w:lineRule="exact"/>
        <w:rPr>
          <w:rFonts w:ascii="Times New Roman" w:cs="Times New Roman" w:eastAsia="Times New Roman" w:hAnsi="Times New Roman"/>
          <w:sz w:val="16"/>
          <w:szCs w:val="16"/>
          <w:color w:val="auto"/>
        </w:rPr>
      </w:pPr>
    </w:p>
    <w:p>
      <w:pPr>
        <w:jc w:val="both"/>
        <w:ind w:firstLine="569"/>
        <w:spacing w:after="0" w:line="253" w:lineRule="auto"/>
        <w:tabs>
          <w:tab w:leader="none" w:pos="80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default by the Company or any Significant Subsidiary of the Company with respect to (x) the Siemens Obligations (as defined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or (y) any mortgage, agreement or other instrument under which there may be outstanding, or by which there may be secured or evidenced, any Indebtedness with a principal amount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 of clauses (i) and (ii), such acceleration shall not, after the expiration of any applicable grace period, have been rescinded or annulled or such failure to pay or default shall not have been cured or waived, or such Indebtedness shall not have been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2" w:name="page73"/>
    <w:bookmarkEnd w:id="72"/>
    <w:p>
      <w:pPr>
        <w:jc w:val="both"/>
        <w:ind w:left="4" w:firstLine="569"/>
        <w:spacing w:after="0" w:line="277" w:lineRule="auto"/>
        <w:tabs>
          <w:tab w:leader="none" w:pos="809"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final judgment or judgments for the payment of $10,000,000 (or its foreign currency equivalent) or more (excluding any amounts covered by insurance or third-party indemnity) in the aggregate rendered against the Company or any Significant Subsidiary of the Company, which judgment is not discharged or stayed within 60 days after</w:t>
      </w:r>
    </w:p>
    <w:p>
      <w:pPr>
        <w:ind w:left="184" w:hanging="184"/>
        <w:spacing w:after="0"/>
        <w:tabs>
          <w:tab w:leader="none" w:pos="18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appeal thereof has expired if no such appeal has commenced, or (ii) the date on which all rights to appeal have been extinguished;</w:t>
      </w:r>
    </w:p>
    <w:p>
      <w:pPr>
        <w:spacing w:after="0" w:line="181" w:lineRule="exact"/>
        <w:rPr>
          <w:rFonts w:ascii="Times New Roman" w:cs="Times New Roman" w:eastAsia="Times New Roman" w:hAnsi="Times New Roman"/>
          <w:sz w:val="16"/>
          <w:szCs w:val="16"/>
          <w:color w:val="auto"/>
        </w:rPr>
      </w:pPr>
    </w:p>
    <w:p>
      <w:pPr>
        <w:jc w:val="both"/>
        <w:ind w:left="4" w:right="20" w:firstLine="569"/>
        <w:spacing w:after="0" w:line="257" w:lineRule="auto"/>
        <w:tabs>
          <w:tab w:leader="none" w:pos="775"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62" w:lineRule="exact"/>
        <w:rPr>
          <w:rFonts w:ascii="Times New Roman" w:cs="Times New Roman" w:eastAsia="Times New Roman" w:hAnsi="Times New Roman"/>
          <w:sz w:val="16"/>
          <w:szCs w:val="16"/>
          <w:color w:val="auto"/>
        </w:rPr>
      </w:pPr>
    </w:p>
    <w:p>
      <w:pPr>
        <w:jc w:val="both"/>
        <w:ind w:left="4" w:right="20" w:firstLine="569"/>
        <w:spacing w:after="0" w:line="259" w:lineRule="auto"/>
        <w:tabs>
          <w:tab w:leader="none" w:pos="776"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61" w:lineRule="exact"/>
        <w:rPr>
          <w:rFonts w:ascii="Times New Roman" w:cs="Times New Roman" w:eastAsia="Times New Roman" w:hAnsi="Times New Roman"/>
          <w:sz w:val="16"/>
          <w:szCs w:val="16"/>
          <w:color w:val="auto"/>
        </w:rPr>
      </w:pPr>
    </w:p>
    <w:p>
      <w:pPr>
        <w:jc w:val="both"/>
        <w:ind w:left="4" w:firstLine="569"/>
        <w:spacing w:after="0" w:line="253" w:lineRule="auto"/>
        <w:tabs>
          <w:tab w:leader="none" w:pos="804"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interest and Liens purported to be created by any Collateral Document on any material portion of the Collateral shall cease to be in full force and effect or shall cease to give the Collateral Agent, for the benefit of the Secured Parties, the Liens, rights, powers and privileges purported to be created and granted under such Collateral Documents (including a valid and perfected security interest in and Lien on all of the Collateral thereunder in favor of the Collateral Agent with the priority required by the Collateral Documents) with respect to a material portion of the Collateral, or shall be asserted by or on behalf of the Company not to be a valid and perfected security interest in or Lien on the Collateral covered thereby (in each case, except (i) the failure of the Collateral Agent to maintain possession of possessory Collateral received by it, which failure is not a direct result of any act, omission, advice or direction of the Company, (ii) in connection with a transaction expressly permitted under this Indenture or the Collateral Documents, in each case solely to the extent such termination or release is permitted under this Indenture or the Collateral Documents or (iii) as a result of the satisfaction and discharge of this Indenture in accordance with Section 3.01); or</w:t>
      </w:r>
    </w:p>
    <w:p>
      <w:pPr>
        <w:spacing w:after="0" w:line="169" w:lineRule="exact"/>
        <w:rPr>
          <w:rFonts w:ascii="Times New Roman" w:cs="Times New Roman" w:eastAsia="Times New Roman" w:hAnsi="Times New Roman"/>
          <w:sz w:val="16"/>
          <w:szCs w:val="16"/>
          <w:color w:val="auto"/>
        </w:rPr>
      </w:pPr>
    </w:p>
    <w:p>
      <w:pPr>
        <w:ind w:left="4" w:right="20" w:firstLine="569"/>
        <w:spacing w:after="0" w:line="280" w:lineRule="auto"/>
        <w:tabs>
          <w:tab w:leader="none" w:pos="791"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Note Guarantee of a Guarantor ceases to be in full force and effect (except as contemplated by the terms thereof) or the Company or Guarantor denies or disaffirms its obligations under this Indenture or any Guarantee with respect to the Notes (except as contemplated by the terms hereof or thereof).</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3" w:name="page74"/>
    <w:bookmarkEnd w:id="73"/>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6.02. </w:t>
      </w:r>
      <w:r>
        <w:rPr>
          <w:rFonts w:ascii="Times New Roman" w:cs="Times New Roman" w:eastAsia="Times New Roman" w:hAnsi="Times New Roman"/>
          <w:sz w:val="16"/>
          <w:szCs w:val="16"/>
          <w:i w:val="1"/>
          <w:iCs w:val="1"/>
          <w:color w:val="auto"/>
        </w:rPr>
        <w:t>Acceleration; Rescission and Annulment</w:t>
      </w:r>
      <w:r>
        <w:rPr>
          <w:rFonts w:ascii="Times New Roman" w:cs="Times New Roman" w:eastAsia="Times New Roman" w:hAnsi="Times New Roman"/>
          <w:sz w:val="16"/>
          <w:szCs w:val="16"/>
          <w:color w:val="auto"/>
        </w:rPr>
        <w:t xml:space="preserve">. If one or more Events of Default shall have occurred and be continuing, then, and in each and every such case (other than an Event of Default specified in </w:t>
      </w:r>
      <w:r>
        <w:rPr>
          <w:rFonts w:ascii="Times New Roman" w:cs="Times New Roman" w:eastAsia="Times New Roman" w:hAnsi="Times New Roman"/>
          <w:sz w:val="16"/>
          <w:szCs w:val="16"/>
          <w:u w:val="single" w:color="auto"/>
          <w:color w:val="auto"/>
        </w:rPr>
        <w:t>Section 6.01(i)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6.01(j)</w:t>
      </w:r>
      <w:r>
        <w:rPr>
          <w:rFonts w:ascii="Times New Roman" w:cs="Times New Roman" w:eastAsia="Times New Roman" w:hAnsi="Times New Roman"/>
          <w:sz w:val="16"/>
          <w:szCs w:val="16"/>
          <w:color w:val="auto"/>
        </w:rPr>
        <w:t xml:space="preserve"> with respect to the Company), unless the principal of all of the Notes shall have already become due and payable, either the Trustee or the Holders of at least 25% in aggregate principal amount of the Notes then outstanding determined in accordance with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by notice in writing to the Company (and to the Trustee if given by the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w:t>
      </w:r>
      <w:r>
        <w:rPr>
          <w:rFonts w:ascii="Times New Roman" w:cs="Times New Roman" w:eastAsia="Times New Roman" w:hAnsi="Times New Roman"/>
          <w:sz w:val="16"/>
          <w:szCs w:val="16"/>
          <w:u w:val="single" w:color="auto"/>
          <w:color w:val="auto"/>
        </w:rPr>
        <w:t>Section 6.01(i)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6.01(j)</w:t>
      </w:r>
      <w:r>
        <w:rPr>
          <w:rFonts w:ascii="Times New Roman" w:cs="Times New Roman" w:eastAsia="Times New Roman" w:hAnsi="Times New Roman"/>
          <w:sz w:val="16"/>
          <w:szCs w:val="16"/>
          <w:color w:val="auto"/>
        </w:rPr>
        <w:t xml:space="preserve"> with respect to the Company occurs and is continuing, 100% of the principal of, and accrued and unpaid interest, if any, on, all Notes shall become and shall automatically be immediately due and payable.</w:t>
      </w:r>
    </w:p>
    <w:p>
      <w:pPr>
        <w:spacing w:after="0" w:line="163"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then and in every such case (except as provided in the immediately succeeding sentence) the Holders of at least 60%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continuing Default or Event of Default resulting from (i) the nonpayment of the principal (including the Fundamental Change Repurchase Price, if applicable) of, or accrued and unpaid interest on, any Notes or (ii) a failure to pay or deliver, as the case may be, the consideration due upon conversion of the Notes.</w:t>
      </w:r>
    </w:p>
    <w:p>
      <w:pPr>
        <w:spacing w:after="0" w:line="167" w:lineRule="exact"/>
        <w:rPr>
          <w:sz w:val="20"/>
          <w:szCs w:val="20"/>
          <w:color w:val="auto"/>
        </w:rPr>
      </w:pPr>
    </w:p>
    <w:p>
      <w:pPr>
        <w:jc w:val="both"/>
        <w:ind w:right="20" w:firstLine="574"/>
        <w:spacing w:after="0" w:line="272" w:lineRule="auto"/>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i w:val="1"/>
          <w:iCs w:val="1"/>
          <w:color w:val="auto"/>
        </w:rPr>
        <w:t>Additional Interest</w:t>
      </w:r>
      <w:r>
        <w:rPr>
          <w:rFonts w:ascii="Times New Roman" w:cs="Times New Roman" w:eastAsia="Times New Roman" w:hAnsi="Times New Roman"/>
          <w:sz w:val="15"/>
          <w:szCs w:val="15"/>
          <w:color w:val="auto"/>
        </w:rPr>
        <w:t>. Notwithstanding anything in this Indenture or in the Notes to the contrary, to the extent the Company elects, the sole remedy for an Event of Default relating to the Company’s failure to comply with its obligations as set forth in Section 4.06(b)shall, for the first 365 days after the occurrence of such an Event of Default, consist exclusively of the right to receive Additional Interest on the Notes at a rate equal to (x) 0.25% per annum of the principal amount of the Notes outstanding for each day that such Event of Default is continuing during the first 180 days after the occurrence of such Event of Default and (y) 0.50% per annum of the principal amount of</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the Notes outstanding from the 181st day to, and including, the 365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following the occurrence of such Event of Default during which such Event of Default is continuing. Subject to the last paragraph of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Additional Interest payable pursuant to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shall be in addition to, not in lieu of, any Additional Interest payable pursuant to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If the Company so elects, such Additional Interest shall be payable in the same manner and on the same dates as the stated interest payable on the Notes. On the 366th day after such Event of Default (if the Event of Default relating to the Company’s failure to comply with its obligations as set forth in </w:t>
      </w:r>
      <w:r>
        <w:rPr>
          <w:rFonts w:ascii="Times New Roman" w:cs="Times New Roman" w:eastAsia="Times New Roman" w:hAnsi="Times New Roman"/>
          <w:sz w:val="16"/>
          <w:szCs w:val="16"/>
          <w:u w:val="single" w:color="auto"/>
          <w:color w:val="auto"/>
        </w:rPr>
        <w:t>Section 4.06(c)</w:t>
      </w:r>
      <w:r>
        <w:rPr>
          <w:rFonts w:ascii="Times New Roman" w:cs="Times New Roman" w:eastAsia="Times New Roman" w:hAnsi="Times New Roman"/>
          <w:sz w:val="16"/>
          <w:szCs w:val="16"/>
          <w:color w:val="auto"/>
        </w:rPr>
        <w:t xml:space="preserve"> is not cured or waived prior to such 366th day), the Notes shall be immediately subject to acceleration as provided in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 xml:space="preserve">. The provisions of this paragraph will not affect the rights of Holders of Notes in the event of the occurrence of any Event of Default other than the Company’s failure to comply with its obligations as set forth in </w:t>
      </w:r>
      <w:r>
        <w:rPr>
          <w:rFonts w:ascii="Times New Roman" w:cs="Times New Roman" w:eastAsia="Times New Roman" w:hAnsi="Times New Roman"/>
          <w:sz w:val="16"/>
          <w:szCs w:val="16"/>
          <w:u w:val="single" w:color="auto"/>
          <w:color w:val="auto"/>
        </w:rPr>
        <w:t>Section 4.06(b)</w:t>
      </w:r>
      <w:r>
        <w:rPr>
          <w:rFonts w:ascii="Times New Roman" w:cs="Times New Roman" w:eastAsia="Times New Roman" w:hAnsi="Times New Roman"/>
          <w:sz w:val="16"/>
          <w:szCs w:val="16"/>
          <w:color w:val="auto"/>
        </w:rPr>
        <w:t xml:space="preserve">. In the event the Company does not elect to pay Additional Interest following an Event of Default in accordance with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or the Company elected to make such payment but does not pay the Additional Interest when due, the Notes shall be immediately subject to acceleration as provided in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 xml:space="preserve"> as a result of the Event of Default pursuant to </w:t>
      </w:r>
      <w:r>
        <w:rPr>
          <w:rFonts w:ascii="Times New Roman" w:cs="Times New Roman" w:eastAsia="Times New Roman" w:hAnsi="Times New Roman"/>
          <w:sz w:val="16"/>
          <w:szCs w:val="16"/>
          <w:u w:val="single" w:color="auto"/>
          <w:color w:val="auto"/>
        </w:rPr>
        <w:t>Section 6.01(d)</w:t>
      </w:r>
      <w:r>
        <w:rPr>
          <w:rFonts w:ascii="Times New Roman" w:cs="Times New Roman" w:eastAsia="Times New Roman" w:hAnsi="Times New Roman"/>
          <w:sz w:val="16"/>
          <w:szCs w:val="16"/>
          <w:color w:val="auto"/>
        </w:rPr>
        <w:t xml:space="preserve"> if such Event of Default is then continuing.</w:t>
      </w:r>
    </w:p>
    <w:p>
      <w:pPr>
        <w:spacing w:after="0" w:line="17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In order to elect to pay Additional Interest as the sole remedy during the first 365 days after the occurrence of any Event of Default relating to the Company’s failure to comply with its obligations as set forth in </w:t>
      </w:r>
      <w:r>
        <w:rPr>
          <w:rFonts w:ascii="Times New Roman" w:cs="Times New Roman" w:eastAsia="Times New Roman" w:hAnsi="Times New Roman"/>
          <w:sz w:val="16"/>
          <w:szCs w:val="16"/>
          <w:u w:val="single" w:color="auto"/>
          <w:color w:val="auto"/>
        </w:rPr>
        <w:t>Section 4.06(b)</w:t>
      </w:r>
      <w:r>
        <w:rPr>
          <w:rFonts w:ascii="Times New Roman" w:cs="Times New Roman" w:eastAsia="Times New Roman" w:hAnsi="Times New Roman"/>
          <w:sz w:val="16"/>
          <w:szCs w:val="16"/>
          <w:color w:val="auto"/>
        </w:rPr>
        <w:t xml:space="preserve"> in accordance with the immediately preceding paragraph, the Company must notify all Holders of the Notes, the Trustee and the Paying Agent of such election in writing prior to the beginning of such 365-day period. Upon the failure to timely give such notice, the Notes shall be immediately subject to acceleration as provided in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 xml:space="preserve">. No Additional Interest shall accrue, and no right to declare the principal or other amounts due and payable in respect of the Notes pursuant to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 xml:space="preserve"> shall exist, after such violation has been cured, and Holders shall only be entitled to any Additional Interest that has accrued prior to such violation having been cured as a remedy in respect of such violation.</w:t>
      </w:r>
    </w:p>
    <w:p>
      <w:pPr>
        <w:spacing w:after="0" w:line="16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In no event shall Additional Interest payable at the Company’s election for failure to comply with its obligations as set forth in </w:t>
      </w:r>
      <w:r>
        <w:rPr>
          <w:rFonts w:ascii="Times New Roman" w:cs="Times New Roman" w:eastAsia="Times New Roman" w:hAnsi="Times New Roman"/>
          <w:sz w:val="16"/>
          <w:szCs w:val="16"/>
          <w:u w:val="single" w:color="auto"/>
          <w:color w:val="auto"/>
        </w:rPr>
        <w:t>Section 4.06(b)</w:t>
      </w:r>
      <w:r>
        <w:rPr>
          <w:rFonts w:ascii="Times New Roman" w:cs="Times New Roman" w:eastAsia="Times New Roman" w:hAnsi="Times New Roman"/>
          <w:sz w:val="16"/>
          <w:szCs w:val="16"/>
          <w:color w:val="auto"/>
        </w:rPr>
        <w:t xml:space="preserve"> as set forth in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together with any Additional Interest that may accrue as a result of the Company’s failure to file any report or other materials that the Company is required to file with the Commission pursuant to Section 13 or 15(d) of the Exchange Act, as applicable (after giving effect to all applicable grace periods thereunder and other than current reports on Form 8-K), pursuant to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accrue at a rate in excess of 1.00% per annum pursuant to this Indenture, regardless of the number of events or circumstances giving rise to the requirement to pay such Additional Interest.</w:t>
      </w:r>
    </w:p>
    <w:p>
      <w:pPr>
        <w:spacing w:after="0" w:line="16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Payments of Notes on Default; Suit Therefor.</w:t>
      </w:r>
      <w:r>
        <w:rPr>
          <w:rFonts w:ascii="Times New Roman" w:cs="Times New Roman" w:eastAsia="Times New Roman" w:hAnsi="Times New Roman"/>
          <w:sz w:val="16"/>
          <w:szCs w:val="16"/>
          <w:color w:val="auto"/>
        </w:rPr>
        <w:t xml:space="preserve"> If an Event of Default described in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xml:space="preserve">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and Collateral Agent under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8.02(e)</w:t>
      </w:r>
      <w:r>
        <w:rPr>
          <w:rFonts w:ascii="Times New Roman" w:cs="Times New Roman" w:eastAsia="Times New Roman" w:hAnsi="Times New Roman"/>
          <w:sz w:val="16"/>
          <w:szCs w:val="16"/>
          <w:color w:val="auto"/>
        </w:rPr>
        <w:t>. If the Company shall fail to pay such amounts forthwith upon such demand, the Trustee, in its own name and as trustee of an express trust, or the Collateral Agent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4" w:name="page75"/>
    <w:bookmarkEnd w:id="74"/>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Times New Roman" w:cs="Times New Roman" w:eastAsia="Times New Roman" w:hAnsi="Times New Roman"/>
          <w:sz w:val="16"/>
          <w:szCs w:val="16"/>
          <w:u w:val="single" w:color="auto"/>
          <w:color w:val="auto"/>
        </w:rPr>
        <w:t>Section 6.04</w:t>
      </w:r>
      <w:r>
        <w:rPr>
          <w:rFonts w:ascii="Times New Roman" w:cs="Times New Roman" w:eastAsia="Times New Roman" w:hAnsi="Times New Roman"/>
          <w:sz w:val="16"/>
          <w:szCs w:val="16"/>
          <w:color w:val="auto"/>
        </w:rPr>
        <w:t xml:space="preserve">,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(in all of its capacities), the Collateral Agent, their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and Collateral Agent under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8.02(e)</w:t>
      </w:r>
      <w:r>
        <w:rPr>
          <w:rFonts w:ascii="Times New Roman" w:cs="Times New Roman" w:eastAsia="Times New Roman" w:hAnsi="Times New Roman"/>
          <w:sz w:val="16"/>
          <w:szCs w:val="16"/>
          <w:color w:val="auto"/>
        </w:rPr>
        <w:t xml:space="preserve">;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each of the Trustee and Collateral Agent any amount due it for reasonable compensation, expenses, advances and disbursements, including agents and counsel fees and expenses, and including any other amounts due to the Trustee and Collateral Agent under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8.02(e)</w:t>
      </w:r>
      <w:r>
        <w:rPr>
          <w:rFonts w:ascii="Times New Roman" w:cs="Times New Roman" w:eastAsia="Times New Roman" w:hAnsi="Times New Roman"/>
          <w:sz w:val="16"/>
          <w:szCs w:val="16"/>
          <w:color w:val="auto"/>
        </w:rPr>
        <w:t>,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the Collateral Agent, their agents and counsel, be for the ratable benefit of the Holders of the Notes.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5" w:name="page76"/>
    <w:bookmarkEnd w:id="75"/>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In case the Trustee shall have proceeded to enforce any right under this Indenture and such proceedings shall have been discontinued or abandoned because of any waiver pursuant to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xml:space="preserve"> or any rescission and annulment pursuant to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 xml:space="preserve">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6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6.05. </w:t>
      </w:r>
      <w:r>
        <w:rPr>
          <w:rFonts w:ascii="Times New Roman" w:cs="Times New Roman" w:eastAsia="Times New Roman" w:hAnsi="Times New Roman"/>
          <w:sz w:val="16"/>
          <w:szCs w:val="16"/>
          <w:i w:val="1"/>
          <w:iCs w:val="1"/>
          <w:color w:val="auto"/>
        </w:rPr>
        <w:t>Application of Monies Collected by Trustee.</w:t>
      </w:r>
      <w:r>
        <w:rPr>
          <w:rFonts w:ascii="Times New Roman" w:cs="Times New Roman" w:eastAsia="Times New Roman" w:hAnsi="Times New Roman"/>
          <w:sz w:val="16"/>
          <w:szCs w:val="16"/>
          <w:color w:val="auto"/>
        </w:rPr>
        <w:t xml:space="preserve"> Any monies or property collected by the Trustee pursuant to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First</w:t>
      </w:r>
      <w:r>
        <w:rPr>
          <w:rFonts w:ascii="Times New Roman" w:cs="Times New Roman" w:eastAsia="Times New Roman" w:hAnsi="Times New Roman"/>
          <w:sz w:val="16"/>
          <w:szCs w:val="16"/>
          <w:color w:val="auto"/>
        </w:rPr>
        <w:t>, to the payment of all amounts due the Trustee (in all of its capacities) and to the Collateral Agent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8.02(e)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amounts due to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this Indenture and the Notes Documents;</w:t>
      </w:r>
    </w:p>
    <w:p>
      <w:pPr>
        <w:spacing w:after="0" w:line="14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in case the principal of the outstanding Notes shall not have become due and be unpaid, to the payment of interest on, and any cash due upon conversion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53"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in case the principal of the outstanding Notes shall have become due, by declaration or otherwise, and be unpaid to the payment of the whole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if applicable, the payment of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Fundamental Change Repurchase Price and any cash due upon conversion) and accrued and unpaid interest; and</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Fourth</w:t>
      </w:r>
      <w:r>
        <w:rPr>
          <w:rFonts w:ascii="Times New Roman" w:cs="Times New Roman" w:eastAsia="Times New Roman" w:hAnsi="Times New Roman"/>
          <w:sz w:val="16"/>
          <w:szCs w:val="16"/>
          <w:color w:val="auto"/>
        </w:rPr>
        <w:t>, to the payment of the remainder, if any, to the Company, or to the extent the Trustee collects any amount for any Guarantor, to such Guarantor.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6" w:name="page77"/>
    <w:bookmarkEnd w:id="76"/>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6.06. </w:t>
      </w:r>
      <w:r>
        <w:rPr>
          <w:rFonts w:ascii="Times New Roman" w:cs="Times New Roman" w:eastAsia="Times New Roman" w:hAnsi="Times New Roman"/>
          <w:sz w:val="16"/>
          <w:szCs w:val="16"/>
          <w:i w:val="1"/>
          <w:iCs w:val="1"/>
          <w:color w:val="auto"/>
        </w:rPr>
        <w:t>Proceedings by Holders.</w:t>
      </w:r>
      <w:r>
        <w:rPr>
          <w:rFonts w:ascii="Times New Roman" w:cs="Times New Roman" w:eastAsia="Times New Roman" w:hAnsi="Times New Roman"/>
          <w:sz w:val="16"/>
          <w:szCs w:val="16"/>
          <w:color w:val="auto"/>
        </w:rPr>
        <w:t xml:space="preserve"> Except to enforce the right to receive payment of principal (including, if applicable, the Fundamental Change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61" w:lineRule="exact"/>
        <w:rPr>
          <w:sz w:val="20"/>
          <w:szCs w:val="20"/>
          <w:color w:val="auto"/>
        </w:rPr>
      </w:pPr>
    </w:p>
    <w:p>
      <w:pPr>
        <w:ind w:left="780" w:hanging="211"/>
        <w:spacing w:after="0"/>
        <w:tabs>
          <w:tab w:leader="none" w:pos="7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previously shall have given to the Trustee written notice of an Event of Default and of the continuance thereof, as herein provided;</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0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at least 25% in aggregate principal amount of the Notes then outstanding shall have made written request upon the Trustee to institute such action, suit or proceeding in its own name as Trustee hereunder;</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0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Holders shall have offered to the Trustee and Collateral Agent such security or indemnity reasonably satisfactory to each of them against any loss, claim, liability or expense to be incurred therein or thereby;</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0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notice, request and offer, or provision, of such security or indemnity, shall have neglected or refused to institute any such action, suit or proceeding; and</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3" w:lineRule="auto"/>
        <w:tabs>
          <w:tab w:leader="none" w:pos="79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direction that, in the opinion of the Trustee, is inconsistent with such written request shall have been given to the Trustee by the Holders of at least 60% of the aggregate principal amount of the Notes then outstanding within such 60-day period pursuant to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xml:space="preserve">,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w:t>
      </w:r>
      <w:r>
        <w:rPr>
          <w:rFonts w:ascii="Times New Roman" w:cs="Times New Roman" w:eastAsia="Times New Roman" w:hAnsi="Times New Roman"/>
          <w:sz w:val="16"/>
          <w:szCs w:val="16"/>
          <w:u w:val="single" w:color="auto"/>
          <w:color w:val="auto"/>
        </w:rPr>
        <w:t>Section 6.06</w:t>
      </w:r>
      <w:r>
        <w:rPr>
          <w:rFonts w:ascii="Times New Roman" w:cs="Times New Roman" w:eastAsia="Times New Roman" w:hAnsi="Times New Roman"/>
          <w:sz w:val="16"/>
          <w:szCs w:val="16"/>
          <w:color w:val="auto"/>
        </w:rPr>
        <w:t>, each and every Holder and the Trustee shall be entitled to such relief as can be given either at law or in equity.</w:t>
      </w:r>
    </w:p>
    <w:p>
      <w:pPr>
        <w:spacing w:after="0" w:line="169"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Notwithstanding any other provision of this Indenture and any provision of any Note, each Holder shall have the right to receive payment or delivery, as the case may be, of (x) the principal (including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60"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6.07. </w:t>
      </w:r>
      <w:r>
        <w:rPr>
          <w:rFonts w:ascii="Times New Roman" w:cs="Times New Roman" w:eastAsia="Times New Roman" w:hAnsi="Times New Roman"/>
          <w:sz w:val="16"/>
          <w:szCs w:val="16"/>
          <w:i w:val="1"/>
          <w:iCs w:val="1"/>
          <w:color w:val="auto"/>
        </w:rPr>
        <w:t>Proceedings by Trustee.</w:t>
      </w:r>
      <w:r>
        <w:rPr>
          <w:rFonts w:ascii="Times New Roman" w:cs="Times New Roman" w:eastAsia="Times New Roman" w:hAnsi="Times New Roman"/>
          <w:sz w:val="16"/>
          <w:szCs w:val="16"/>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6.08. </w:t>
      </w:r>
      <w:r>
        <w:rPr>
          <w:rFonts w:ascii="Times New Roman" w:cs="Times New Roman" w:eastAsia="Times New Roman" w:hAnsi="Times New Roman"/>
          <w:sz w:val="16"/>
          <w:szCs w:val="16"/>
          <w:i w:val="1"/>
          <w:iCs w:val="1"/>
          <w:color w:val="auto"/>
        </w:rPr>
        <w:t>Remedies Cumulative and Continuing.</w:t>
      </w:r>
      <w:r>
        <w:rPr>
          <w:rFonts w:ascii="Times New Roman" w:cs="Times New Roman" w:eastAsia="Times New Roman" w:hAnsi="Times New Roman"/>
          <w:sz w:val="16"/>
          <w:szCs w:val="16"/>
          <w:color w:val="auto"/>
        </w:rPr>
        <w:t xml:space="preserve"> Except as provided in the last paragraph of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all powers and remedies given by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Times New Roman" w:cs="Times New Roman" w:eastAsia="Times New Roman" w:hAnsi="Times New Roman"/>
          <w:sz w:val="16"/>
          <w:szCs w:val="16"/>
          <w:u w:val="single" w:color="auto"/>
          <w:color w:val="auto"/>
        </w:rPr>
        <w:t>Section 6.06</w:t>
      </w:r>
      <w:r>
        <w:rPr>
          <w:rFonts w:ascii="Times New Roman" w:cs="Times New Roman" w:eastAsia="Times New Roman" w:hAnsi="Times New Roman"/>
          <w:sz w:val="16"/>
          <w:szCs w:val="16"/>
          <w:color w:val="auto"/>
        </w:rPr>
        <w:t xml:space="preserve">, every power and remedy given by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or by law to the Trustee or to the Holders may be exercised from time to time, and as often as shall be deemed expedient, by the Trustee or by the Holders.</w:t>
      </w:r>
    </w:p>
    <w:p>
      <w:pPr>
        <w:spacing w:after="0" w:line="161"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6.09. </w:t>
      </w:r>
      <w:r>
        <w:rPr>
          <w:rFonts w:ascii="Times New Roman" w:cs="Times New Roman" w:eastAsia="Times New Roman" w:hAnsi="Times New Roman"/>
          <w:sz w:val="16"/>
          <w:szCs w:val="16"/>
          <w:i w:val="1"/>
          <w:iCs w:val="1"/>
          <w:color w:val="auto"/>
        </w:rPr>
        <w:t>Direction of Proceedings and Waiver of Defaults by Holders.</w:t>
      </w:r>
      <w:r>
        <w:rPr>
          <w:rFonts w:ascii="Times New Roman" w:cs="Times New Roman" w:eastAsia="Times New Roman" w:hAnsi="Times New Roman"/>
          <w:sz w:val="16"/>
          <w:szCs w:val="16"/>
          <w:color w:val="auto"/>
        </w:rPr>
        <w:t xml:space="preserve"> The Holders of at least 60% of the aggregate principal amount of the Notes at the time outstanding determined in accordance with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shall have the right to direct the time, method and place of conducting any proceeding for any remedy available to the Trustee or the Collateral Agent or exercising any trust or power conferred on the Trustee or the Collateral Agent with respect to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(a) such direction shall not be in conflict with any rule of law or with this Indenture, and (b) the Trustee and Collateral Agent may take any other action deemed proper by the Trustee that is not inconsistent with such direction. The Trustee and Collateral Agent, as applicable, may refuse to follow any direction that the Trustee determines is unduly prejudicial to the rights of any other Holder or that would involve the Trustee or Collateral Agent in personal liability (it being understood that the Trustee shall not have an affirmative duty to ascertain whether or not any such direction is unduly prejudicial to any other Holder). The Holders of at least 60% in aggregate principal amount of the Notes at the time outstanding determined in accordance with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may on behalf of the Holders of all of the Notes waive any past Default or Event of Default hereunder and its consequences except any continuing defaults relating to (i) a default in the payment of accrued and unpaid interest, if any, on, or the principal (including any Fundamental Change Repurchase Price) of, the Notes when due that has not been cured pursuant to the provisions of </w:t>
      </w:r>
      <w:r>
        <w:rPr>
          <w:rFonts w:ascii="Times New Roman" w:cs="Times New Roman" w:eastAsia="Times New Roman" w:hAnsi="Times New Roman"/>
          <w:sz w:val="16"/>
          <w:szCs w:val="16"/>
          <w:u w:val="single" w:color="auto"/>
          <w:color w:val="auto"/>
        </w:rPr>
        <w:t>Section 6.01</w:t>
      </w:r>
      <w:r>
        <w:rPr>
          <w:rFonts w:ascii="Times New Roman" w:cs="Times New Roman" w:eastAsia="Times New Roman" w:hAnsi="Times New Roman"/>
          <w:sz w:val="16"/>
          <w:szCs w:val="16"/>
          <w:color w:val="auto"/>
        </w:rPr>
        <w:t xml:space="preserve">, (ii) a failure by the Company to pay or deliver, as the case may be, the consideration due upon conversion of the Notes or (iii) a default in respect of a covenant or provision hereof which under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8" w:name="page79"/>
    <w:bookmarkEnd w:id="78"/>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i w:val="1"/>
          <w:iCs w:val="1"/>
          <w:color w:val="auto"/>
        </w:rPr>
        <w:t>Notice of Defaults.</w:t>
      </w:r>
      <w:r>
        <w:rPr>
          <w:rFonts w:ascii="Times New Roman" w:cs="Times New Roman" w:eastAsia="Times New Roman" w:hAnsi="Times New Roman"/>
          <w:sz w:val="16"/>
          <w:szCs w:val="16"/>
          <w:color w:val="auto"/>
        </w:rPr>
        <w:t xml:space="preserve"> Neither the Trustee nor the Collateral Agent shall be deemed to have knowledge or notice of the occurrence of any Default or Event of Default, unless a Responsible Officer of the Trustee or Collateral Agent, as applicable, shall have received written notice from the Company or a Holder describing such Default or Event of Default, and stating that such notice is a notice of Default (a “</w:t>
      </w:r>
      <w:r>
        <w:rPr>
          <w:rFonts w:ascii="Times New Roman" w:cs="Times New Roman" w:eastAsia="Times New Roman" w:hAnsi="Times New Roman"/>
          <w:sz w:val="16"/>
          <w:szCs w:val="16"/>
          <w:b w:val="1"/>
          <w:bCs w:val="1"/>
          <w:color w:val="auto"/>
        </w:rPr>
        <w:t>Notice of Default</w:t>
      </w:r>
      <w:r>
        <w:rPr>
          <w:rFonts w:ascii="Times New Roman" w:cs="Times New Roman" w:eastAsia="Times New Roman" w:hAnsi="Times New Roman"/>
          <w:sz w:val="16"/>
          <w:szCs w:val="16"/>
          <w:color w:val="auto"/>
        </w:rPr>
        <w:t>”). The Trustee shall, within 90 days after the occurrence and continuance of a Default of which a Responsible Officer of the Trustee has written notice of, deliver to all Holders notice of all Defaults known to a Responsible Officer of the Trustee, unless such Defaults shall have been cured or waived before the giving of such notice; provided that, except in the case of a Default in the payment of the principal of (including the Fundamental Change Repurchase Price, if applicable), or accrued and unpaid interest on, any of the Notes or a Default in the payment or delivery of the consideration due upon conversion, the Trustee shall be protected in withholding such notice if and so long as the Trustee in good faith determines that the withholding of such notice is in the interests of the Holders.</w:t>
      </w:r>
    </w:p>
    <w:p>
      <w:pPr>
        <w:spacing w:after="0" w:line="16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i w:val="1"/>
          <w:iCs w:val="1"/>
          <w:color w:val="auto"/>
        </w:rPr>
        <w:t>Undertaking to Pay Costs.</w:t>
      </w:r>
      <w:r>
        <w:rPr>
          <w:rFonts w:ascii="Times New Roman" w:cs="Times New Roman" w:eastAsia="Times New Roman" w:hAnsi="Times New Roman"/>
          <w:sz w:val="16"/>
          <w:szCs w:val="16"/>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of this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or to any suit instituted by any Holder for the enforcement of the payment of the principal of or accrued and unpaid interest, if any, on any Note (including, but not limited to, the Fundamental Change Repurchase Price, if applicable) on or after the due date expressed or provided for in such Note or to any suit for the enforcement of the right to convert any Note, or receive the consideration due upon conversion, in accordance with the provisions of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CONCERNING THE TRUSTEE</w:t>
      </w:r>
    </w:p>
    <w:p>
      <w:pPr>
        <w:spacing w:after="0" w:line="18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Duties and Responsibilities of Trustee.</w:t>
      </w:r>
      <w:r>
        <w:rPr>
          <w:rFonts w:ascii="Times New Roman" w:cs="Times New Roman" w:eastAsia="Times New Roman" w:hAnsi="Times New Roman"/>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9" w:name="page80"/>
    <w:bookmarkEnd w:id="79"/>
    <w:p>
      <w:pPr>
        <w:ind w:firstLine="574"/>
        <w:spacing w:after="0" w:line="280" w:lineRule="auto"/>
        <w:rPr>
          <w:sz w:val="20"/>
          <w:szCs w:val="20"/>
          <w:color w:val="auto"/>
        </w:rPr>
      </w:pPr>
      <w:r>
        <w:rPr>
          <w:rFonts w:ascii="Times New Roman" w:cs="Times New Roman" w:eastAsia="Times New Roman" w:hAnsi="Times New Roman"/>
          <w:sz w:val="16"/>
          <w:szCs w:val="16"/>
          <w:color w:val="auto"/>
        </w:rPr>
        <w:t>No provision of this Indenture shall be construed to relieve the Trustee from liability for its own grossly negligent action, its own grossly negligent failure to act or its own willful misconduct, except that:</w:t>
      </w:r>
    </w:p>
    <w:p>
      <w:pPr>
        <w:spacing w:after="0" w:line="144" w:lineRule="exact"/>
        <w:rPr>
          <w:sz w:val="20"/>
          <w:szCs w:val="20"/>
          <w:color w:val="auto"/>
        </w:rPr>
      </w:pPr>
    </w:p>
    <w:p>
      <w:pPr>
        <w:ind w:left="780" w:hanging="211"/>
        <w:spacing w:after="0"/>
        <w:tabs>
          <w:tab w:leader="none" w:pos="7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occurrence of an Event of Default and after the curing or waiving of all Events of Default that may have occurred:</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37"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8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62" w:lineRule="exact"/>
        <w:rPr>
          <w:rFonts w:ascii="Times New Roman" w:cs="Times New Roman" w:eastAsia="Times New Roman" w:hAnsi="Times New Roman"/>
          <w:sz w:val="16"/>
          <w:szCs w:val="16"/>
          <w:color w:val="auto"/>
        </w:rPr>
      </w:pPr>
    </w:p>
    <w:p>
      <w:pPr>
        <w:ind w:right="20" w:firstLine="569"/>
        <w:spacing w:after="0" w:line="280" w:lineRule="auto"/>
        <w:tabs>
          <w:tab w:leader="none" w:pos="80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9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shall not be liable with respect to any action taken or omitted to be taken by it in good faith in accordance with the direction of the Holders of not less than 60% of the aggregate principal amount of the Notes at the time outstanding determined as provided in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relating to the time, method and place of conducting any proceeding for any remedy available to the Trustee, or exercising any trust or power conferred upon the Trustee, under this Indenture;</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802"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or not therein provided, every provision of this Indenture relating to the conduct or affecting the liability of, or affording protection to, the Trustee shall be subject to the provisions of this Section;</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79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788"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55"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required to give any bond or surety in respect of the execution of the trusts and powers under this Indenture;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both"/>
        <w:ind w:firstLine="569"/>
        <w:spacing w:after="0" w:line="257" w:lineRule="auto"/>
        <w:tabs>
          <w:tab w:leader="none" w:pos="803"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62" w:lineRule="exact"/>
        <w:rPr>
          <w:rFonts w:ascii="Times New Roman" w:cs="Times New Roman" w:eastAsia="Times New Roman" w:hAnsi="Times New Roman"/>
          <w:sz w:val="16"/>
          <w:szCs w:val="16"/>
          <w:color w:val="auto"/>
        </w:rPr>
      </w:pPr>
    </w:p>
    <w:p>
      <w:pPr>
        <w:ind w:firstLine="569"/>
        <w:spacing w:after="0" w:line="280" w:lineRule="auto"/>
        <w:tabs>
          <w:tab w:leader="none" w:pos="773"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the Trustee is also acting as Custodian, Note Registrar, Paying Agent, Conversion Agent, transfer agent or Collateral Agent hereunder, the rights and protections afforded to the Trustee pursuant to this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shall also be afforded to such Custodian, Note Registrar, Paying Agent, Conversion Agent or transfer agent.</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None of the provisions contained in this Indenture or the other Notes Documents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Reliance on Documents, Opinions, Etc.</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569"/>
        <w:spacing w:after="0" w:line="265" w:lineRule="auto"/>
        <w:tabs>
          <w:tab w:leader="none" w:pos="80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81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62" w:lineRule="exact"/>
        <w:rPr>
          <w:rFonts w:ascii="Times New Roman" w:cs="Times New Roman" w:eastAsia="Times New Roman" w:hAnsi="Times New Roman"/>
          <w:sz w:val="16"/>
          <w:szCs w:val="16"/>
          <w:color w:val="auto"/>
        </w:rPr>
      </w:pPr>
    </w:p>
    <w:p>
      <w:pPr>
        <w:ind w:firstLine="569"/>
        <w:spacing w:after="0" w:line="280" w:lineRule="auto"/>
        <w:tabs>
          <w:tab w:leader="none" w:pos="8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80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jc w:val="both"/>
        <w:ind w:right="20" w:firstLine="569"/>
        <w:spacing w:after="0" w:line="265" w:lineRule="auto"/>
        <w:tabs>
          <w:tab w:leader="none" w:pos="80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55"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permissive rights of the Trustee enumerated herein shall not be construed as duties;</w:t>
      </w:r>
    </w:p>
    <w:p>
      <w:pPr>
        <w:spacing w:after="0" w:line="198"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1"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5" w:lineRule="exact"/>
        <w:rPr>
          <w:rFonts w:ascii="Times New Roman" w:cs="Times New Roman" w:eastAsia="Times New Roman" w:hAnsi="Times New Roman"/>
          <w:sz w:val="16"/>
          <w:szCs w:val="16"/>
          <w:color w:val="auto"/>
        </w:rPr>
      </w:pPr>
    </w:p>
    <w:p>
      <w:pPr>
        <w:jc w:val="both"/>
        <w:ind w:firstLine="569"/>
        <w:spacing w:after="0" w:line="259" w:lineRule="auto"/>
        <w:tabs>
          <w:tab w:leader="none" w:pos="80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 and</w:t>
      </w:r>
    </w:p>
    <w:p>
      <w:pPr>
        <w:spacing w:after="0" w:line="161" w:lineRule="exact"/>
        <w:rPr>
          <w:rFonts w:ascii="Times New Roman" w:cs="Times New Roman" w:eastAsia="Times New Roman" w:hAnsi="Times New Roman"/>
          <w:sz w:val="16"/>
          <w:szCs w:val="16"/>
          <w:color w:val="auto"/>
        </w:rPr>
      </w:pPr>
    </w:p>
    <w:p>
      <w:pPr>
        <w:ind w:right="20" w:firstLine="569"/>
        <w:spacing w:after="0" w:line="280" w:lineRule="auto"/>
        <w:tabs>
          <w:tab w:leader="none" w:pos="76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shall not be deemed to have any knowledge of any agreement other than this Indenture and the Notes (including, without limitation, the Note Purchase Agreements).</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In no event shall the Trustee or Collateral Agent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60"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No Responsibility for Recitals, Etc.</w:t>
      </w:r>
      <w:r>
        <w:rPr>
          <w:rFonts w:ascii="Times New Roman" w:cs="Times New Roman" w:eastAsia="Times New Roman" w:hAnsi="Times New Roman"/>
          <w:sz w:val="16"/>
          <w:szCs w:val="16"/>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59"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Trustee, Paying Agents, Conversion Agents, or Note Registrar May Own Notes.</w:t>
      </w:r>
      <w:r>
        <w:rPr>
          <w:rFonts w:ascii="Times New Roman" w:cs="Times New Roman" w:eastAsia="Times New Roman" w:hAnsi="Times New Roman"/>
          <w:sz w:val="16"/>
          <w:szCs w:val="16"/>
          <w:color w:val="auto"/>
        </w:rPr>
        <w:t xml:space="preserve"> The Trustee, any Paying Agent, any Conversion Agent, or Note Registrar or Collateral Agent, in its individual or any other capacity, may become the owner or pledgee of Notes with the same rights it would have if it were not the Trustee, Paying Agent, Conversion Agent, or Note Registrar or Collateral Agent.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Monies and Shares of Common Stock to Be Held in Trust.</w:t>
      </w:r>
      <w:r>
        <w:rPr>
          <w:rFonts w:ascii="Times New Roman" w:cs="Times New Roman" w:eastAsia="Times New Roman" w:hAnsi="Times New Roman"/>
          <w:sz w:val="16"/>
          <w:szCs w:val="16"/>
          <w:color w:val="auto"/>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 Notwithstanding the foregoing, under no circumstances shall the Trustee be obligated to deliver Common Stock to any Holder or beneficial owner in connection with a conversion of the Notes.</w:t>
      </w:r>
    </w:p>
    <w:p>
      <w:pPr>
        <w:spacing w:after="0" w:line="162"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i w:val="1"/>
          <w:iCs w:val="1"/>
          <w:color w:val="auto"/>
        </w:rPr>
        <w:t>Compensation and Expenses of Trustee.</w:t>
      </w:r>
      <w:r>
        <w:rPr>
          <w:rFonts w:ascii="Times New Roman" w:cs="Times New Roman" w:eastAsia="Times New Roman" w:hAnsi="Times New Roman"/>
          <w:sz w:val="16"/>
          <w:szCs w:val="16"/>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adjudicated by a court of competent jurisdiction in a final nonappealable order. The Company and the Guarantors, jointly and severally, also covenant to indemnify the Trustee or any predecessor Trustee in any capacity under this Indenture, any Notes Document and any other document or transaction entered into in connection herewith, the Collateral Agent and their officers, directors, agents or employees and any authenticating agent for, and to hold them harmless against, any loss, claim, damage, liability or expense incurred without gross negligence or willful misconduct, as adjudicated by a court of competent jurisdiction in a final nonappealable order, on the part of the Trustee, the Collateral Agent, officers, directors, agents or employees, or such agent authenticating agent, as the case may be, and arising out of or in connection with the acceptance or administration of this Indenture and the other Notes Documents or in any other capacity hereunder or thereunder, including without limitation expenses and costs (including reasonable attorney’s fees and expenses and court costs, the costs and expenses of enforcing this Indenture and the indemnification provided herein) incurred in connection with any action , claim or suit brought to enforce the Trustee’s or Collateral Agent’s right to indemnification. The obligations of the Company under this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w:t>
      </w:r>
      <w:r>
        <w:rPr>
          <w:rFonts w:ascii="Times New Roman" w:cs="Times New Roman" w:eastAsia="Times New Roman" w:hAnsi="Times New Roman"/>
          <w:sz w:val="16"/>
          <w:szCs w:val="16"/>
          <w:u w:val="single" w:color="auto"/>
          <w:color w:val="auto"/>
        </w:rPr>
        <w:t>Section 6.05</w:t>
      </w:r>
      <w:r>
        <w:rPr>
          <w:rFonts w:ascii="Times New Roman" w:cs="Times New Roman" w:eastAsia="Times New Roman" w:hAnsi="Times New Roman"/>
          <w:sz w:val="16"/>
          <w:szCs w:val="16"/>
          <w:color w:val="auto"/>
        </w:rPr>
        <w:t xml:space="preserve">, funds held in trust herewith for the benefit of the Holders of particular Notes, and, for the avoidance of doubt, such Lien shall not be extended in a manner that would conflict with the Company’s obligations to its other creditors. The Trustee’s and Collateral Agent’s right to receive payment of any amounts due under this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8.02(e)</w:t>
      </w:r>
      <w:r>
        <w:rPr>
          <w:rFonts w:ascii="Times New Roman" w:cs="Times New Roman" w:eastAsia="Times New Roman" w:hAnsi="Times New Roman"/>
          <w:sz w:val="16"/>
          <w:szCs w:val="16"/>
          <w:color w:val="auto"/>
        </w:rPr>
        <w:t xml:space="preserve"> shall not be subordinate to any other liability or indebtedness of the Company. The obligation of the Company under this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shall survive the satisfaction and discharge of this Indenture and the earlier resignation or removal of the Trustee or Collateral Agent, as applicable. The Company need not pay for any settlement made without its consent, which consent shall not be unreasonably withheld. The indemnification provided in this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shall extend to the officers, directors, agents and employees of the Trustee and Collateral Agent.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3" w:name="page84"/>
    <w:bookmarkEnd w:id="83"/>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Without prejudice to any other rights available to the Trustee under applicable law, when the Trustee and its agents and any authenticating agent incur expenses or render services after an Event of Default specified in </w:t>
      </w:r>
      <w:r>
        <w:rPr>
          <w:rFonts w:ascii="Times New Roman" w:cs="Times New Roman" w:eastAsia="Times New Roman" w:hAnsi="Times New Roman"/>
          <w:sz w:val="16"/>
          <w:szCs w:val="16"/>
          <w:u w:val="single" w:color="auto"/>
          <w:color w:val="auto"/>
        </w:rPr>
        <w:t>Section 6.01(i)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6.01(j)</w:t>
      </w:r>
      <w:r>
        <w:rPr>
          <w:rFonts w:ascii="Times New Roman" w:cs="Times New Roman" w:eastAsia="Times New Roman" w:hAnsi="Times New Roman"/>
          <w:sz w:val="16"/>
          <w:szCs w:val="16"/>
          <w:color w:val="auto"/>
        </w:rPr>
        <w:t xml:space="preserve"> occurs, the expenses and the compensation for the services are intended to constitute expenses of administration under any bankruptcy, insolvency or similar laws.</w:t>
      </w:r>
    </w:p>
    <w:p>
      <w:pPr>
        <w:spacing w:after="0" w:line="15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7.07. </w:t>
      </w:r>
      <w:r>
        <w:rPr>
          <w:rFonts w:ascii="Times New Roman" w:cs="Times New Roman" w:eastAsia="Times New Roman" w:hAnsi="Times New Roman"/>
          <w:sz w:val="16"/>
          <w:szCs w:val="16"/>
          <w:i w:val="1"/>
          <w:iCs w:val="1"/>
          <w:color w:val="auto"/>
        </w:rPr>
        <w:t>Officer’s Certificate as Evidence.</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i w:val="1"/>
          <w:iCs w:val="1"/>
          <w:color w:val="auto"/>
        </w:rPr>
        <w:t>Eligibility of Trustee.</w:t>
      </w:r>
      <w:r>
        <w:rPr>
          <w:rFonts w:ascii="Times New Roman" w:cs="Times New Roman" w:eastAsia="Times New Roman" w:hAnsi="Times New Roman"/>
          <w:sz w:val="16"/>
          <w:szCs w:val="16"/>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7.09. </w:t>
      </w:r>
      <w:r>
        <w:rPr>
          <w:rFonts w:ascii="Times New Roman" w:cs="Times New Roman" w:eastAsia="Times New Roman" w:hAnsi="Times New Roman"/>
          <w:sz w:val="16"/>
          <w:szCs w:val="16"/>
          <w:i w:val="1"/>
          <w:iCs w:val="1"/>
          <w:color w:val="auto"/>
        </w:rPr>
        <w:t>Resignation or Removal of Trustee.</w:t>
      </w:r>
    </w:p>
    <w:p>
      <w:pPr>
        <w:spacing w:after="0" w:line="200" w:lineRule="exact"/>
        <w:rPr>
          <w:sz w:val="20"/>
          <w:szCs w:val="20"/>
          <w:color w:val="auto"/>
        </w:rPr>
      </w:pPr>
    </w:p>
    <w:p>
      <w:pPr>
        <w:jc w:val="both"/>
        <w:ind w:firstLine="569"/>
        <w:spacing w:after="0" w:line="253" w:lineRule="auto"/>
        <w:tabs>
          <w:tab w:leader="none" w:pos="79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ind w:left="800" w:hanging="231"/>
        <w:spacing w:after="0"/>
        <w:tabs>
          <w:tab w:leader="none" w:pos="8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at any time any of the following shall occur:</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37"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shall cease to be eligible in accordance with the provisions of </w:t>
      </w:r>
      <w:r>
        <w:rPr>
          <w:rFonts w:ascii="Times New Roman" w:cs="Times New Roman" w:eastAsia="Times New Roman" w:hAnsi="Times New Roman"/>
          <w:sz w:val="16"/>
          <w:szCs w:val="16"/>
          <w:u w:val="single" w:color="auto"/>
          <w:color w:val="auto"/>
        </w:rPr>
        <w:t>Section 7.08</w:t>
      </w:r>
      <w:r>
        <w:rPr>
          <w:rFonts w:ascii="Times New Roman" w:cs="Times New Roman" w:eastAsia="Times New Roman" w:hAnsi="Times New Roman"/>
          <w:sz w:val="16"/>
          <w:szCs w:val="16"/>
          <w:color w:val="auto"/>
        </w:rPr>
        <w:t xml:space="preserve"> and shall fail to resign after written request therefor by the Company or by any such Holder, or</w:t>
      </w:r>
    </w:p>
    <w:p>
      <w:pPr>
        <w:spacing w:after="0" w:line="144"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Times New Roman" w:cs="Times New Roman" w:eastAsia="Times New Roman" w:hAnsi="Times New Roman"/>
          <w:sz w:val="16"/>
          <w:szCs w:val="16"/>
          <w:color w:val="auto"/>
        </w:rPr>
      </w:pPr>
    </w:p>
    <w:p>
      <w:pPr>
        <w:jc w:val="both"/>
        <w:ind w:firstLine="569"/>
        <w:spacing w:after="0" w:line="259" w:lineRule="auto"/>
        <w:tabs>
          <w:tab w:leader="none" w:pos="8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of at least 60% in aggregate principal amount of the Notes at the time outstanding, as determined in accordance with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w:t>
      </w:r>
      <w:r>
        <w:rPr>
          <w:rFonts w:ascii="Times New Roman" w:cs="Times New Roman" w:eastAsia="Times New Roman" w:hAnsi="Times New Roman"/>
          <w:sz w:val="16"/>
          <w:szCs w:val="16"/>
          <w:u w:val="single" w:color="auto"/>
          <w:color w:val="auto"/>
        </w:rPr>
        <w:t>Section 7.09(a)</w:t>
      </w:r>
      <w:r>
        <w:rPr>
          <w:rFonts w:ascii="Times New Roman" w:cs="Times New Roman" w:eastAsia="Times New Roman" w:hAnsi="Times New Roman"/>
          <w:sz w:val="16"/>
          <w:szCs w:val="16"/>
          <w:color w:val="auto"/>
        </w:rPr>
        <w:t xml:space="preserve"> provided, may petition any court of competent jurisdiction for an appointment of a successor trustee.</w:t>
      </w:r>
    </w:p>
    <w:p>
      <w:pPr>
        <w:spacing w:after="0" w:line="161" w:lineRule="exact"/>
        <w:rPr>
          <w:rFonts w:ascii="Times New Roman" w:cs="Times New Roman" w:eastAsia="Times New Roman" w:hAnsi="Times New Roman"/>
          <w:sz w:val="16"/>
          <w:szCs w:val="16"/>
          <w:color w:val="auto"/>
        </w:rPr>
      </w:pPr>
    </w:p>
    <w:p>
      <w:pPr>
        <w:ind w:right="20" w:firstLine="569"/>
        <w:spacing w:after="0" w:line="280" w:lineRule="auto"/>
        <w:tabs>
          <w:tab w:leader="none" w:pos="8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resignation or removal of the Trustee and appointment of a successor trustee pursuant to any of the provisions of this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 xml:space="preserve"> shall become effective upon acceptance of appointment by the successor trustee as provided in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Acceptance by Successor Trustee.</w:t>
      </w:r>
      <w:r>
        <w:rPr>
          <w:rFonts w:ascii="Times New Roman" w:cs="Times New Roman" w:eastAsia="Times New Roman" w:hAnsi="Times New Roman"/>
          <w:sz w:val="16"/>
          <w:szCs w:val="16"/>
          <w:color w:val="auto"/>
        </w:rPr>
        <w:t xml:space="preserve"> Any successor trustee appointed as provided in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 xml:space="preserve">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No successor trustee shall accept appointment as provided in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 xml:space="preserve"> unless at the time of such acceptance such successor trustee shall be eligible under the provisions of </w:t>
      </w:r>
      <w:r>
        <w:rPr>
          <w:rFonts w:ascii="Times New Roman" w:cs="Times New Roman" w:eastAsia="Times New Roman" w:hAnsi="Times New Roman"/>
          <w:sz w:val="16"/>
          <w:szCs w:val="16"/>
          <w:u w:val="single" w:color="auto"/>
          <w:color w:val="auto"/>
        </w:rPr>
        <w:t>Section 7.08</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Upon acceptance of appointment by a successor trustee as provided in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5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Succession by Merger, Etc.</w:t>
      </w:r>
      <w:r>
        <w:rPr>
          <w:rFonts w:ascii="Times New Roman" w:cs="Times New Roman" w:eastAsia="Times New Roman" w:hAnsi="Times New Roman"/>
          <w:sz w:val="16"/>
          <w:szCs w:val="16"/>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organization or other entity succeeding to all or substantially all of the corporate trust business of the Trustee such organization or other entity shall be eligible under the provisions of </w:t>
      </w:r>
      <w:r>
        <w:rPr>
          <w:rFonts w:ascii="Times New Roman" w:cs="Times New Roman" w:eastAsia="Times New Roman" w:hAnsi="Times New Roman"/>
          <w:sz w:val="16"/>
          <w:szCs w:val="16"/>
          <w:u w:val="single" w:color="auto"/>
          <w:color w:val="auto"/>
        </w:rPr>
        <w:t>Section 7.08</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Trustee’s Application for Instructions from the Company.</w:t>
      </w:r>
      <w:r>
        <w:rPr>
          <w:rFonts w:ascii="Times New Roman" w:cs="Times New Roman" w:eastAsia="Times New Roman" w:hAnsi="Times New Roman"/>
          <w:sz w:val="16"/>
          <w:szCs w:val="16"/>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COLLATERAL DOCUMENTS; COLLATERAL AGENT</w:t>
      </w:r>
    </w:p>
    <w:p>
      <w:pPr>
        <w:spacing w:after="0" w:line="180" w:lineRule="exact"/>
        <w:rPr>
          <w:sz w:val="20"/>
          <w:szCs w:val="20"/>
          <w:color w:val="auto"/>
        </w:rPr>
      </w:pPr>
    </w:p>
    <w:p>
      <w:pPr>
        <w:jc w:val="both"/>
        <w:ind w:right="20"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i w:val="1"/>
          <w:iCs w:val="1"/>
          <w:color w:val="auto"/>
        </w:rPr>
        <w:t>Collateral Documents</w:t>
      </w:r>
      <w:r>
        <w:rPr>
          <w:rFonts w:ascii="Times New Roman" w:cs="Times New Roman" w:eastAsia="Times New Roman" w:hAnsi="Times New Roman"/>
          <w:sz w:val="16"/>
          <w:szCs w:val="16"/>
          <w:color w:val="auto"/>
        </w:rPr>
        <w:t>. The payment of the principal, interest (including Additional Interest) and premium, if any, on the Notes when due, whether on an Interest Payment Date, at maturity, by acceleration, repurchase, or otherwise, the payment of all other Obligations of the Company under this Indenture, the Notes, and the Collateral Documents and performance of all other Obligations of the Company and any Guarantor to the Holders of the Notes or the Trustee or the Collateral Agent under this Indenture, the Notes and the other Notes Documents, according to the terms hereunder or thereunder, are secured as provided in the Collateral Documents, which the Collateral Agent and the Company have entered into simultaneously with the execution of this Indenture, and will be secured by Collateral Documents delivered after the date of this Indenture as required or permitted by this Indenture.</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i w:val="1"/>
          <w:iCs w:val="1"/>
          <w:color w:val="auto"/>
        </w:rPr>
        <w:t>Collateral Agent.</w:t>
      </w:r>
    </w:p>
    <w:p>
      <w:pPr>
        <w:spacing w:after="0" w:line="200" w:lineRule="exact"/>
        <w:rPr>
          <w:sz w:val="20"/>
          <w:szCs w:val="20"/>
          <w:color w:val="auto"/>
        </w:rPr>
      </w:pPr>
    </w:p>
    <w:p>
      <w:pPr>
        <w:jc w:val="both"/>
        <w:ind w:firstLine="569"/>
        <w:spacing w:after="0" w:line="259" w:lineRule="auto"/>
        <w:tabs>
          <w:tab w:leader="none" w:pos="79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Collateral Agent agrees that it will hold the security interests in the Collateral created under the Collateral Documents to which it is a party as contemplated by this Indenture, and any and all proceeds thereof, for the benefit of, the Secured Parties, without limiting the Collateral Agent’s rights, including under this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to act in preservation of the security interest in the Collateral. The Collateral Agent is authorized and empowered to appoint one or more co-Collateral Agents as it deems necessary or appropriate;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Collateral Agent hereunder shall be personally liable by reason of any act or omission of any other Collateral Agent hereunder.</w:t>
      </w:r>
    </w:p>
    <w:p>
      <w:pPr>
        <w:spacing w:after="0" w:line="161" w:lineRule="exact"/>
        <w:rPr>
          <w:rFonts w:ascii="Times New Roman" w:cs="Times New Roman" w:eastAsia="Times New Roman" w:hAnsi="Times New Roman"/>
          <w:sz w:val="16"/>
          <w:szCs w:val="16"/>
          <w:color w:val="auto"/>
        </w:rPr>
      </w:pPr>
    </w:p>
    <w:p>
      <w:pPr>
        <w:jc w:val="both"/>
        <w:ind w:firstLine="569"/>
        <w:spacing w:after="0" w:line="253" w:lineRule="auto"/>
        <w:tabs>
          <w:tab w:leader="none" w:pos="8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the Collateral Agent nor any of their respective officers, directors, employees, attorneys or agents will be responsible or liable for the existence, genuineness, value or protection of any Collateral, for the legality, enforceability, effectiveness, or sufficiency of the Notes Documents, for the creation, perfection, priority, sufficiency or protection of any Lien, including without limitation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the Collateral Documents or any delay in doing so. Neither the Trustee nor the Collateral Agent nor any of their respective officers, directors, employees, attorneys or agents will be responsible or liable for making any filings or recordings to perfect or maintain the perfection of the Collateral Agent’s Lien in the Collateral, including without limitation, the filing of any UCC financing statements, continuation statements, or amendments, or any filings with respect to the U.S. Patent and Trademark Office or U.S. Copyright Office.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7" w:name="page88"/>
    <w:bookmarkEnd w:id="87"/>
    <w:p>
      <w:pPr>
        <w:jc w:val="both"/>
        <w:ind w:firstLine="569"/>
        <w:spacing w:after="0" w:line="265" w:lineRule="auto"/>
        <w:tabs>
          <w:tab w:leader="none" w:pos="79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will be subject to such directions as may be given to it from time to time by the Trustee or Holders holding at least 60% in aggregate principal amount of the Notes (as required or permitted by this Indenture). Except as directed by the Trustee or any representatives of the Trustee as required or permitted by this Indenture, and only if indemnified to its satisfaction, the Collateral Agent will not be obligated:</w:t>
      </w:r>
    </w:p>
    <w:p>
      <w:pPr>
        <w:spacing w:after="0" w:line="15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act upon direction purported to be delivered to it by any Person;</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foreclose upon or otherwise enforce any Lien created under the Collateral Documents; or</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take any other action whatsoever with regard to any or all of the Liens, Collateral Documents or Collateral.</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will be accountable only for amounts that it actually receives as a result of the enforcement of the Liens or Collateral Documents.</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92"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acting as Collateral Agent hereunder and under the Notes Documents, the Collateral Agent shall be entitled to conclusively rely upon and enforce each and all of the rights, privileges, immunities, indemnities and benefits of the Trustee under Article 7 of this Indenture.</w:t>
      </w:r>
    </w:p>
    <w:p>
      <w:pPr>
        <w:spacing w:after="0" w:line="144" w:lineRule="exact"/>
        <w:rPr>
          <w:rFonts w:ascii="Times New Roman" w:cs="Times New Roman" w:eastAsia="Times New Roman" w:hAnsi="Times New Roman"/>
          <w:sz w:val="16"/>
          <w:szCs w:val="16"/>
          <w:color w:val="auto"/>
        </w:rPr>
      </w:pPr>
    </w:p>
    <w:p>
      <w:pPr>
        <w:ind w:firstLine="569"/>
        <w:spacing w:after="0" w:line="280" w:lineRule="auto"/>
        <w:tabs>
          <w:tab w:leader="none" w:pos="77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all times when the entity serving as Trustee is not the Collateral Agent, the Company will deliver to the Trustee copies of all Collateral Documents delivered to the Collateral Agent and copies of all documents delivered to the Collateral Agent pursuant to the Collateral Documents.</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4" w:lineRule="auto"/>
        <w:tabs>
          <w:tab w:leader="none" w:pos="82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to the contrary contained elsewhere in this Indenture and the Notes Documents, the duties of the Collateral Agent shall be ministerial and administrative in nature, and the Collateral Agent shall not have any duties or responsibilities, except those expressly set forth herein and in the Notes Documents, to which the Collateral Agent is a party, nor shall the Collateral Agent have or be deemed to have any trust or other fiduciary relationship with the Trustee, any Holder, or any other party, and no implied covenants, functions, responsibilities, duties, obligations or liabilities shall be read into this Indenture and the Collateral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be deemed to have knowledge or notice of the occurrence of any Default or Event of Default, unless a Responsible Officer of the Collateral Agent shall have received written notice from the Trustee or the Company referring to this Indenture, describing such Default or Event of Default and stating that such notice is a “notice of default.”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8" w:name="page89"/>
    <w:bookmarkEnd w:id="88"/>
    <w:p>
      <w:pPr>
        <w:jc w:val="both"/>
        <w:ind w:firstLine="569"/>
        <w:spacing w:after="0" w:line="253" w:lineRule="auto"/>
        <w:tabs>
          <w:tab w:leader="none" w:pos="78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provision of this Indenture or any Collateral Document shall require the Collateral Agent to expend or risk its own funds or otherwise incur any financial liability in the performance of any of its duties hereunder or thereunder or to take or omit to take any action hereunder or thereunder or take any action at the request or direction of Holders or the Trustee unless it shall have received indemnity or security satisfactory to the Collateral Agent against potential costs and liabilities incurred by the Collateral Agent relating thereto. Notwithstanding anything to the contrary contained in this Indenture or the Collateral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any mortgage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if it no longer reasonably deems any indemnity, security or undertaking from the Company or the Holders to be sufficient.</w:t>
      </w:r>
    </w:p>
    <w:p>
      <w:pPr>
        <w:spacing w:after="0" w:line="166" w:lineRule="exact"/>
        <w:rPr>
          <w:rFonts w:ascii="Times New Roman" w:cs="Times New Roman" w:eastAsia="Times New Roman" w:hAnsi="Times New Roman"/>
          <w:sz w:val="16"/>
          <w:szCs w:val="16"/>
          <w:color w:val="auto"/>
        </w:rPr>
      </w:pPr>
    </w:p>
    <w:p>
      <w:pPr>
        <w:jc w:val="both"/>
        <w:ind w:firstLine="569"/>
        <w:spacing w:after="0" w:line="251" w:lineRule="auto"/>
        <w:tabs>
          <w:tab w:leader="none" w:pos="76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Collateral Documents or any actions taken pursuant hereto or thereto. Further, the parties hereto and the Holders hereby agree and acknowledge that in the exercise of its rights under this Indenture and the Collateral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 In the event that the Collateral Agent is required to acquire title to an asset for any reason, or take any managerial action of any kind in regard thereto, in order to carry out any obligation for the benefit of another, which in the Collateral Agent’s sole discretion may cause it to be considered an “owner or operator” under the provisions of the Comprehensive Environmental Response, Compensation and Liability Act (“</w:t>
      </w:r>
      <w:r>
        <w:rPr>
          <w:rFonts w:ascii="Times New Roman" w:cs="Times New Roman" w:eastAsia="Times New Roman" w:hAnsi="Times New Roman"/>
          <w:sz w:val="16"/>
          <w:szCs w:val="16"/>
          <w:b w:val="1"/>
          <w:bCs w:val="1"/>
          <w:color w:val="auto"/>
        </w:rPr>
        <w:t>CERCLA</w:t>
      </w:r>
      <w:r>
        <w:rPr>
          <w:rFonts w:ascii="Times New Roman" w:cs="Times New Roman" w:eastAsia="Times New Roman" w:hAnsi="Times New Roman"/>
          <w:sz w:val="16"/>
          <w:szCs w:val="16"/>
          <w:color w:val="auto"/>
        </w:rPr>
        <w:t>”), 42 U.S.C. §9601, et seq., or otherwise cause it to incur liability under CERCLA or any other federal, state or local law, the Collateral Agent and reserves the right, instead of taking such action, to either resign or arrange for the transfer of the title or control of the asset to a court-appointed receiver. Neither the Collateral Agent nor the Trustee shall be liable to any person for any environmental claims or contribution actions under any federal, state or local law, rule or regulation by reason of the Collateral Agent’s actions and conduct as authorized, empowered and directed hereunder or relating to the discharge, release or threatened release of hazardous materials into the environment.</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i w:val="1"/>
          <w:iCs w:val="1"/>
          <w:color w:val="auto"/>
        </w:rPr>
        <w:t>Release of Collateral; Non-Disturbance.</w:t>
      </w:r>
    </w:p>
    <w:p>
      <w:pPr>
        <w:spacing w:after="0" w:line="200" w:lineRule="exact"/>
        <w:rPr>
          <w:sz w:val="20"/>
          <w:szCs w:val="20"/>
          <w:color w:val="auto"/>
        </w:rPr>
      </w:pPr>
    </w:p>
    <w:p>
      <w:pPr>
        <w:ind w:right="20" w:firstLine="569"/>
        <w:spacing w:after="0" w:line="280" w:lineRule="auto"/>
        <w:tabs>
          <w:tab w:leader="none" w:pos="79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8.03(b)</w:t>
      </w:r>
      <w:r>
        <w:rPr>
          <w:rFonts w:ascii="Times New Roman" w:cs="Times New Roman" w:eastAsia="Times New Roman" w:hAnsi="Times New Roman"/>
          <w:sz w:val="16"/>
          <w:szCs w:val="16"/>
          <w:color w:val="auto"/>
        </w:rPr>
        <w:t>, the Liens on the Collateral securing the Notes will be automatically released in whole or in part, as applicable, under one or more of the following circumstances:</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44"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whole upon (A) satisfaction and discharge of this Indenture as set forth under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or (B) payment in full of the principal of, together with any premium and accrued and unpaid interest on, and all other obligations on the Notes and all other Obligations that are outstanding, due and payable hereunder and the other Note Documents (other than inchoate indemnity obligations or reimbursement obligations or other obligations which, by their terms, survive the termination of the Notes and the other Note Documents or which survive any discharge);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9" w:name="page90"/>
    <w:bookmarkEnd w:id="89"/>
    <w:p>
      <w:pPr>
        <w:ind w:firstLine="1143"/>
        <w:spacing w:after="0" w:line="280" w:lineRule="auto"/>
        <w:tabs>
          <w:tab w:leader="none" w:pos="139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whole or in part, as applicable, with the consent of the requisite Holders of the Notes in accordance with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including consents obtained in connection with a tender offer or exchange offer, or purchase of Notes; or</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part, as to any asset constituting Collateral:</w:t>
      </w:r>
    </w:p>
    <w:p>
      <w:pPr>
        <w:spacing w:after="0" w:line="198" w:lineRule="exact"/>
        <w:rPr>
          <w:rFonts w:ascii="Times New Roman" w:cs="Times New Roman" w:eastAsia="Times New Roman" w:hAnsi="Times New Roman"/>
          <w:sz w:val="16"/>
          <w:szCs w:val="16"/>
          <w:color w:val="auto"/>
        </w:rPr>
      </w:pPr>
    </w:p>
    <w:p>
      <w:pPr>
        <w:ind w:left="1140" w:firstLine="576"/>
        <w:spacing w:after="0" w:line="280" w:lineRule="auto"/>
        <w:tabs>
          <w:tab w:leader="none" w:pos="1991"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is sold, transferred or otherwise disposed of by the Company or a Guarantor to any Person that is not the Company or a Guarantor in a transaction permitted by this Indenture or the Collateral Documents; or</w:t>
      </w:r>
    </w:p>
    <w:p>
      <w:pPr>
        <w:spacing w:after="0" w:line="144" w:lineRule="exact"/>
        <w:rPr>
          <w:rFonts w:ascii="Times New Roman" w:cs="Times New Roman" w:eastAsia="Times New Roman" w:hAnsi="Times New Roman"/>
          <w:sz w:val="16"/>
          <w:szCs w:val="16"/>
          <w:color w:val="auto"/>
        </w:rPr>
      </w:pPr>
    </w:p>
    <w:p>
      <w:pPr>
        <w:ind w:left="1140" w:right="20" w:firstLine="576"/>
        <w:spacing w:after="0" w:line="280" w:lineRule="auto"/>
        <w:tabs>
          <w:tab w:leader="none" w:pos="1978"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such asset ceases to be Collateral or is no longer required to be Collateral as a result of any transaction or any other event not prohibited by this Indenture.</w:t>
      </w:r>
    </w:p>
    <w:p>
      <w:pPr>
        <w:spacing w:after="0" w:line="144" w:lineRule="exact"/>
        <w:rPr>
          <w:rFonts w:ascii="Times New Roman" w:cs="Times New Roman" w:eastAsia="Times New Roman" w:hAnsi="Times New Roman"/>
          <w:sz w:val="16"/>
          <w:szCs w:val="16"/>
          <w:color w:val="auto"/>
        </w:rPr>
      </w:pPr>
    </w:p>
    <w:p>
      <w:pPr>
        <w:jc w:val="both"/>
        <w:ind w:firstLine="569"/>
        <w:spacing w:after="0" w:line="253" w:lineRule="auto"/>
        <w:tabs>
          <w:tab w:leader="none" w:pos="81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release of the Liens on the Collateral, upon receipt of an Officer’s Certificate and an Opinion of Counsel each stating that all conditions precedent under this Indenture and the Collateral Documents, as applicable, to such release or the entry into such agreements have been met and that it is proper for the Trustee or the Collateral Agent to execute and deliver the documents requested by the Company in connection with such release or the entry into such agreements, and in the case of any release any appropriate instruments of termination, satisfaction, discharge or release prepared by the Company, the Trustee and the Collateral Agent shall execute, deliver or acknowledge (at the Company’s expense) such instruments or releases to evidence the release and discharge of any Collateral permitted to be released pursuant to this Indenture. Neither the Trustee nor the Collateral Agent shall be liable for any such release undertaken in reliance upon any such Officer’s Certificate or Opinion of Counsel, and notwithstanding any term hereof or in any Collateral Document to the contrary, the Trustee and the Collateral Agent shall not be under any obligation to release any such Lien and security interest, or execute and deliver any such instrument of release, satisfaction, discharge or termination, unless and until such party receives such Officer’s Certificate and Opinion of Counsel.</w:t>
      </w:r>
    </w:p>
    <w:p>
      <w:pPr>
        <w:spacing w:after="0" w:line="166" w:lineRule="exact"/>
        <w:rPr>
          <w:rFonts w:ascii="Times New Roman" w:cs="Times New Roman" w:eastAsia="Times New Roman" w:hAnsi="Times New Roman"/>
          <w:sz w:val="16"/>
          <w:szCs w:val="16"/>
          <w:color w:val="auto"/>
        </w:rPr>
      </w:pPr>
    </w:p>
    <w:p>
      <w:pPr>
        <w:jc w:val="both"/>
        <w:ind w:firstLine="569"/>
        <w:spacing w:after="0" w:line="265" w:lineRule="auto"/>
        <w:tabs>
          <w:tab w:leader="none" w:pos="79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when an Event of Default has occurred and is continuing and the maturity of the Notes has been accelerated (whether by declaration or otherwise) and the Trustee has delivered notice of acceleration to the Collateral Agent, no release of the Liens on the Collateral pursuant to the provisions of this Indenture or the Collateral Documents shall be effective as against the Holders.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0" w:name="page91"/>
    <w:bookmarkEnd w:id="90"/>
    <w:p>
      <w:pPr>
        <w:jc w:val="both"/>
        <w:ind w:right="20"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i w:val="1"/>
          <w:iCs w:val="1"/>
          <w:color w:val="auto"/>
        </w:rPr>
        <w:t>Suits to Protect the Collateral</w:t>
      </w:r>
      <w:r>
        <w:rPr>
          <w:rFonts w:ascii="Times New Roman" w:cs="Times New Roman" w:eastAsia="Times New Roman" w:hAnsi="Times New Roman"/>
          <w:sz w:val="16"/>
          <w:szCs w:val="16"/>
          <w:color w:val="auto"/>
        </w:rPr>
        <w:t>. Subject to the provisions of the Collateral Documents, the Trustee is authorized and empowered to institute and maintain, or direct the Collateral Agent to institute and maintain, such suits and proceedings to protect or enforce the Liens securing the Notes or to prevent any impairment of the Collateral by any acts which may be unlawful or in violation of any of the Collateral Documents or this Indenture, and such suits and proceedings to preserve or protect its interest and the interests of the Holders of the Notes in the Collateral (including suits or proceedings to restrain the enforcement of or compliance with any legislative or other governmental enactment, rule or order that may be unconstitutional or otherwise invalid if the enforcement of, or compliance with, such enactment, rule or order would impair the Liens created under the Collateral Documents or be prejudicial to the interests of the Holders of the Notes).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i w:val="1"/>
          <w:iCs w:val="1"/>
          <w:color w:val="auto"/>
        </w:rPr>
        <w:t>Authorization of Action to be Taken.</w:t>
      </w:r>
    </w:p>
    <w:p>
      <w:pPr>
        <w:spacing w:after="0" w:line="200" w:lineRule="exact"/>
        <w:rPr>
          <w:sz w:val="20"/>
          <w:szCs w:val="20"/>
          <w:color w:val="auto"/>
        </w:rPr>
      </w:pPr>
    </w:p>
    <w:p>
      <w:pPr>
        <w:jc w:val="both"/>
        <w:ind w:firstLine="569"/>
        <w:spacing w:after="0" w:line="253" w:lineRule="auto"/>
        <w:tabs>
          <w:tab w:leader="none" w:pos="79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of Notes by its acceptance of the Notes consents and agrees to the terms of each Collateral Document, as originally in effect and as amended, restated, amended and restated, supplemented or otherwise modified or replaced from time to time in accordance with its terms or the terms of this Indenture, authorizes and directs the Trustee and the Collateral Agent, as applicable, to enter into the Collateral Documents to which such party is a party, authorizes and empowers the Trustee and the Collateral Agent to bind the Holders of Notes as set forth in the Collateral Documents to which either such party is party and to perform its respective obligations and exercise its respective rights and powers thereunder. Any request, demand, authorization, direction, notice, consent, waiver, approval, exercise of judgment or discretion, designation or other action provided or permitted by this Indenture to be given, taken or exercised by the Collateral Agent, shall be given, taken or exercised by the Collateral Agent at the direction of the Trustee (who may seek directions from the Holders of at least 60% in aggregate principal amount of the Notes) or at the direction from the Holders of at least 60% in aggregate principal amount of the Notes. Any notice, agreement, certificate or other document delivered to the Collateral Agent by the Company or any other Person in connection with any of the Indenture or the Collateral Documents, shall promptly be delivered by the Company or such Person to the Trustee.</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and the Trustee are authorized and empowered to receive for the benefit of the Holders of Notes any funds collected or distributed under the Collateral Documents to which the Collateral Agent or the Trustee is a party and to make further distributions of such funds to the Holders of Notes according to the provisions of this Indenture.</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79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may (but shall not be obligated to), in its sole discretion and without the consent of any Holders, during the continuance of an Event of Default, direct, on behalf of the Holders, the Collateral Agent to take all actions it deems necessary or appropriate in order to:</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foreclose upon or otherwise enforce any or all of the Liens created under the Collateral Documents;</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 any of the terms of the Collateral Documents to which the Collateral Agent or Trustee is a party;</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collect and receive payment of any and all Obligations to the extent then due and payable.</w:t>
      </w:r>
    </w:p>
    <w:p>
      <w:pPr>
        <w:spacing w:after="0" w:line="198" w:lineRule="exact"/>
        <w:rPr>
          <w:rFonts w:ascii="Times New Roman" w:cs="Times New Roman" w:eastAsia="Times New Roman" w:hAnsi="Times New Roman"/>
          <w:sz w:val="16"/>
          <w:szCs w:val="16"/>
          <w:color w:val="auto"/>
        </w:rPr>
      </w:pPr>
    </w:p>
    <w:p>
      <w:pPr>
        <w:jc w:val="both"/>
        <w:ind w:firstLine="569"/>
        <w:spacing w:after="0" w:line="259" w:lineRule="auto"/>
        <w:tabs>
          <w:tab w:leader="none" w:pos="81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after the Issue Date, upon delivery to the Collateral Agent and the Trustee of an Officer’s Certificate and written request from the Company, the Collateral Agent shall enter into such Collateral Documents reasonably requested by the Company (at the sole expense and cost of the Company, including legal fees and expenses of the Trustee and the Collateral Agent). Neither the Trustee nor the Collateral Agent shall have any liability to any Person for entering into an intercreditor agreement or joinder thereto or any other Collateral Document in reliance on an Officer’s Certificate.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1" w:name="page92"/>
    <w:bookmarkEnd w:id="91"/>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8.06. </w:t>
      </w:r>
      <w:r>
        <w:rPr>
          <w:rFonts w:ascii="Times New Roman" w:cs="Times New Roman" w:eastAsia="Times New Roman" w:hAnsi="Times New Roman"/>
          <w:sz w:val="16"/>
          <w:szCs w:val="16"/>
          <w:i w:val="1"/>
          <w:iCs w:val="1"/>
          <w:color w:val="auto"/>
        </w:rPr>
        <w:t>Purchaser Protection</w:t>
      </w:r>
      <w:r>
        <w:rPr>
          <w:rFonts w:ascii="Times New Roman" w:cs="Times New Roman" w:eastAsia="Times New Roman" w:hAnsi="Times New Roman"/>
          <w:sz w:val="16"/>
          <w:szCs w:val="16"/>
          <w:color w:val="auto"/>
        </w:rPr>
        <w:t xml:space="preserve">. In no event shall any purchaser in good faith of any property purported to be released hereunder be bound to ascertain the authority of the Collateral Agent or the Trustee to execute the release or to inquire as to the satisfaction of any conditions required by the provisions hereof for the exercise of such authority or to see the application of any consideration given by such purchaser or other transferee; nor shall any purchaser or other transferee of any property or rights permitted by this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to be sold be under any obligation to ascertain or inquire into the authority of the Company to make any such sale or other transfer.</w:t>
      </w:r>
    </w:p>
    <w:p>
      <w:pPr>
        <w:spacing w:after="0" w:line="159"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8.07. </w:t>
      </w:r>
      <w:r>
        <w:rPr>
          <w:rFonts w:ascii="Times New Roman" w:cs="Times New Roman" w:eastAsia="Times New Roman" w:hAnsi="Times New Roman"/>
          <w:sz w:val="16"/>
          <w:szCs w:val="16"/>
          <w:i w:val="1"/>
          <w:iCs w:val="1"/>
          <w:color w:val="auto"/>
        </w:rPr>
        <w:t>Powers Exercisable by Receiver or Trustee</w:t>
      </w:r>
      <w:r>
        <w:rPr>
          <w:rFonts w:ascii="Times New Roman" w:cs="Times New Roman" w:eastAsia="Times New Roman" w:hAnsi="Times New Roman"/>
          <w:sz w:val="16"/>
          <w:szCs w:val="16"/>
          <w:color w:val="auto"/>
        </w:rPr>
        <w:t xml:space="preserve">. In case the Collateral shall be in the possession of a receiver or trustee, lawfully appointed, the powers conferred in this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upon the Company with respect to the release, sale or other disposition of such property may be exercised by such receiver or trustee, and an instrument signed by such receiver or trustee shall be deemed the equivalent of any similar instrument of the Company or of any Officer or Officers thereof required by the provisions of this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and if the Trustee shall be in possession of the Collateral under any provision of this Indenture, then such powers may be exercised by the Trustee.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8.08. </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8.09. </w:t>
      </w:r>
      <w:r>
        <w:rPr>
          <w:rFonts w:ascii="Times New Roman" w:cs="Times New Roman" w:eastAsia="Times New Roman" w:hAnsi="Times New Roman"/>
          <w:sz w:val="16"/>
          <w:szCs w:val="16"/>
          <w:i w:val="1"/>
          <w:iCs w:val="1"/>
          <w:color w:val="auto"/>
        </w:rPr>
        <w:t>Collateral Agent; Collateral Documents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20" w:firstLine="569"/>
        <w:spacing w:after="0" w:line="280" w:lineRule="auto"/>
        <w:tabs>
          <w:tab w:leader="none" w:pos="80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Bank Trust Company, National Association is hereby designated and appointed as the Collateral Agent for the Secured Parties under this Indenture and the Collateral Documents and U.S. Bank Trust Company, National Association hereby accepts such designation and appointment.</w:t>
      </w:r>
    </w:p>
    <w:p>
      <w:pPr>
        <w:spacing w:after="0" w:line="144" w:lineRule="exact"/>
        <w:rPr>
          <w:rFonts w:ascii="Times New Roman" w:cs="Times New Roman" w:eastAsia="Times New Roman" w:hAnsi="Times New Roman"/>
          <w:sz w:val="16"/>
          <w:szCs w:val="16"/>
          <w:color w:val="auto"/>
        </w:rPr>
      </w:pPr>
    </w:p>
    <w:p>
      <w:pPr>
        <w:jc w:val="both"/>
        <w:ind w:firstLine="569"/>
        <w:spacing w:after="0" w:line="254" w:lineRule="auto"/>
        <w:tabs>
          <w:tab w:leader="none" w:pos="82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their acceptance of the Notes, the Holders hereby authorize and direct the Trustee and Collateral Agent, as the case may be, to execute and deliver any Collateral Documents in which the Trustee or the Collateral Agent, as applicable, is named as a party, including any Collateral Documents executed after the date of this Indenture. It is hereby expressly acknowledged and agreed that, in doing so, the Trustee and the Collateral Agent are (a) expressly authorized to make the representations attributed to the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any Collateral Documents, the Trustee and the Collateral Agent each shall have all the rights, immunities, indemnities and other protections granted to it under this Indenture (in addition to those that may be granted to it under the terms of such other agreement or agreements).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2" w:name="page93"/>
    <w:bookmarkEnd w:id="92"/>
    <w:p>
      <w:pPr>
        <w:ind w:left="560"/>
        <w:spacing w:after="0"/>
        <w:rPr>
          <w:sz w:val="20"/>
          <w:szCs w:val="20"/>
          <w:color w:val="auto"/>
        </w:rPr>
      </w:pPr>
      <w:r>
        <w:rPr>
          <w:rFonts w:ascii="Times New Roman" w:cs="Times New Roman" w:eastAsia="Times New Roman" w:hAnsi="Times New Roman"/>
          <w:sz w:val="16"/>
          <w:szCs w:val="16"/>
          <w:color w:val="auto"/>
        </w:rPr>
        <w:t xml:space="preserve">Section 8.10. </w:t>
      </w:r>
      <w:r>
        <w:rPr>
          <w:rFonts w:ascii="Times New Roman" w:cs="Times New Roman" w:eastAsia="Times New Roman" w:hAnsi="Times New Roman"/>
          <w:sz w:val="16"/>
          <w:szCs w:val="16"/>
          <w:i w:val="1"/>
          <w:iCs w:val="1"/>
          <w:color w:val="auto"/>
        </w:rPr>
        <w:t>Replacement of Collateral Agent.</w:t>
      </w:r>
    </w:p>
    <w:p>
      <w:pPr>
        <w:spacing w:after="0" w:line="200" w:lineRule="exact"/>
        <w:rPr>
          <w:sz w:val="20"/>
          <w:szCs w:val="20"/>
          <w:color w:val="auto"/>
        </w:rPr>
      </w:pPr>
    </w:p>
    <w:p>
      <w:pPr>
        <w:jc w:val="both"/>
        <w:ind w:right="20" w:firstLine="569"/>
        <w:spacing w:after="0" w:line="265" w:lineRule="auto"/>
        <w:tabs>
          <w:tab w:leader="none" w:pos="80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may resign at any time by so notifying the Company in writing not less than 45 days prior to the effective date of such resignation. The Holders of at least 60% of the principal amount of the Notes then outstanding may remove the Collateral Agent by so notifying the removed Collateral Agent in writing not less than 30 days prior to the effective date of such removal and may appoint a successor Collateral Agent with the Company’s written consent. If:</w:t>
      </w:r>
    </w:p>
    <w:p>
      <w:pPr>
        <w:spacing w:after="0" w:line="15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42"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Collateral Agent shall become incapable of acting, or shall be adjudged a bankrupt or insolvent, or a receiver of the Collateral Agent or of its property shall be appointed, or any public officer shall take charge or control of the Collateral Agent or of its property or affairs for the purpose of rehabilitation, conservation or liquidation; or (ii) the Collateral Agent otherwise becomes incapable of acting then, the Company may by a Board Resolution remove the Collateral Agent and appoint a successor collateral agent by written instrument, in duplicate, executed by order of the Board of Directors, one copy of which instrument shall be delivered to the Collateral Agent so removed and one copy to the successor collateral agent, or, subject to the provisions of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any Holder who has been a bona fide holder of a Note or Notes for at least six months (or since the date of this Indenture) may, on behalf of itself and all others similarly situated, petition, at the Company’s expense, any court of competent jurisdiction for the removal of the Collateral Agent and the appointment of a successor Collateral Agent. Such court may thereupon, after such notice, if any, as it may deem proper and prescribe, remove the Collateral Agent and appoint a successor Collateral Agent.</w:t>
      </w:r>
    </w:p>
    <w:p>
      <w:pPr>
        <w:spacing w:after="0" w:line="169" w:lineRule="exact"/>
        <w:rPr>
          <w:rFonts w:ascii="Times New Roman" w:cs="Times New Roman" w:eastAsia="Times New Roman" w:hAnsi="Times New Roman"/>
          <w:sz w:val="16"/>
          <w:szCs w:val="16"/>
          <w:color w:val="auto"/>
        </w:rPr>
      </w:pPr>
    </w:p>
    <w:p>
      <w:pPr>
        <w:ind w:right="20" w:firstLine="569"/>
        <w:spacing w:after="0" w:line="280" w:lineRule="auto"/>
        <w:tabs>
          <w:tab w:leader="none" w:pos="801"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Collateral Agent consolidates, merges or converts into, or transfers all or substantially all of its corporate trust business to, another entity, the successor entity without any further act shall be the successor Collateral Agent.</w:t>
      </w:r>
    </w:p>
    <w:p>
      <w:pPr>
        <w:spacing w:after="0" w:line="14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8.11. </w:t>
      </w:r>
      <w:r>
        <w:rPr>
          <w:rFonts w:ascii="Times New Roman" w:cs="Times New Roman" w:eastAsia="Times New Roman" w:hAnsi="Times New Roman"/>
          <w:sz w:val="16"/>
          <w:szCs w:val="16"/>
          <w:i w:val="1"/>
          <w:iCs w:val="1"/>
          <w:color w:val="auto"/>
        </w:rPr>
        <w:t>Acceptance by Collateral Agent</w:t>
      </w:r>
      <w:r>
        <w:rPr>
          <w:rFonts w:ascii="Times New Roman" w:cs="Times New Roman" w:eastAsia="Times New Roman" w:hAnsi="Times New Roman"/>
          <w:sz w:val="16"/>
          <w:szCs w:val="16"/>
          <w:color w:val="auto"/>
        </w:rPr>
        <w:t xml:space="preserve">. Any successor Collateral Agent appointed as provided in </w:t>
      </w:r>
      <w:r>
        <w:rPr>
          <w:rFonts w:ascii="Times New Roman" w:cs="Times New Roman" w:eastAsia="Times New Roman" w:hAnsi="Times New Roman"/>
          <w:sz w:val="16"/>
          <w:szCs w:val="16"/>
          <w:u w:val="single" w:color="auto"/>
          <w:color w:val="auto"/>
        </w:rPr>
        <w:t>Section 8.10</w:t>
      </w:r>
      <w:r>
        <w:rPr>
          <w:rFonts w:ascii="Times New Roman" w:cs="Times New Roman" w:eastAsia="Times New Roman" w:hAnsi="Times New Roman"/>
          <w:sz w:val="16"/>
          <w:szCs w:val="16"/>
          <w:color w:val="auto"/>
        </w:rPr>
        <w:t xml:space="preserve"> shall execute, acknowledge and deliver to the Company and to its predecessor Collateral Agent an instrument accepting such appointment hereunder, and thereupon the resignation or removal of the predecessor Collateral Agent shall become effective and such successor Collateral Agent, without any further act, deed or conveyance, shall become vested with all the rights, powers, duties and obligations of its predecessor hereunder, with like effect as if originally named as Collateral Agent herein; but, nevertheless, on the written request of the Company or of the successor Collateral Agent, the Collateral Agent ceasing to act shall, at the expense of the Company and subject to payment of any amounts then due pursuant to the provisions of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 xml:space="preserve">, execute and deliver an instrument transferring to such successor Collateral Agent all the rights and powers of the Collateral Agent so ceasing to act. Upon request of any such Collateral Agent, the Company shall execute any and all instruments in writing for more fully and certainly vesting in and confirming to such successor Collateral Agent all such rights and powers. Any Collateral Agent ceasing to act shall, nevertheless, retain a senior lien to which the Notes are hereby made subordinate on all money or property held or collected by such Collateral Agent as such, except for funds held in trust for the benefit of Holders of particular Notes, to secure any amounts then due it pursuant to the provisions of </w:t>
      </w:r>
      <w:r>
        <w:rPr>
          <w:rFonts w:ascii="Times New Roman" w:cs="Times New Roman" w:eastAsia="Times New Roman" w:hAnsi="Times New Roman"/>
          <w:sz w:val="16"/>
          <w:szCs w:val="16"/>
          <w:u w:val="single" w:color="auto"/>
          <w:color w:val="auto"/>
        </w:rPr>
        <w:t>Section 7.06</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Upon acceptance of appointment by a successor Collateral Agent as provided in </w:t>
      </w:r>
      <w:r>
        <w:rPr>
          <w:rFonts w:ascii="Times New Roman" w:cs="Times New Roman" w:eastAsia="Times New Roman" w:hAnsi="Times New Roman"/>
          <w:sz w:val="16"/>
          <w:szCs w:val="16"/>
          <w:u w:val="single" w:color="auto"/>
          <w:color w:val="auto"/>
        </w:rPr>
        <w:t>Section 8.11</w:t>
      </w:r>
      <w:r>
        <w:rPr>
          <w:rFonts w:ascii="Times New Roman" w:cs="Times New Roman" w:eastAsia="Times New Roman" w:hAnsi="Times New Roman"/>
          <w:sz w:val="16"/>
          <w:szCs w:val="16"/>
          <w:color w:val="auto"/>
        </w:rPr>
        <w:t xml:space="preserve">, each of the Company and the successor Collateral Agent, at the written direction and at the expense of the Company, shall give or cause to be given notice of the succession of such Collateral Agent hereunder to the Holders in accordance with </w:t>
      </w:r>
      <w:r>
        <w:rPr>
          <w:rFonts w:ascii="Times New Roman" w:cs="Times New Roman" w:eastAsia="Times New Roman" w:hAnsi="Times New Roman"/>
          <w:sz w:val="16"/>
          <w:szCs w:val="16"/>
          <w:u w:val="single" w:color="auto"/>
          <w:color w:val="auto"/>
        </w:rPr>
        <w:t>Section 18.03</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CONCERNING THE HOLDERS</w:t>
      </w:r>
    </w:p>
    <w:p>
      <w:pPr>
        <w:spacing w:after="0" w:line="180"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9.01. </w:t>
      </w:r>
      <w:r>
        <w:rPr>
          <w:rFonts w:ascii="Times New Roman" w:cs="Times New Roman" w:eastAsia="Times New Roman" w:hAnsi="Times New Roman"/>
          <w:sz w:val="16"/>
          <w:szCs w:val="16"/>
          <w:i w:val="1"/>
          <w:iCs w:val="1"/>
          <w:color w:val="auto"/>
        </w:rPr>
        <w:t>Action by Holders.</w:t>
      </w:r>
      <w:r>
        <w:rPr>
          <w:rFonts w:ascii="Times New Roman" w:cs="Times New Roman" w:eastAsia="Times New Roman" w:hAnsi="Times New Roman"/>
          <w:sz w:val="16"/>
          <w:szCs w:val="16"/>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w:t>
      </w:r>
      <w:r>
        <w:rPr>
          <w:rFonts w:ascii="Times New Roman" w:cs="Times New Roman" w:eastAsia="Times New Roman" w:hAnsi="Times New Roman"/>
          <w:sz w:val="16"/>
          <w:szCs w:val="16"/>
          <w:u w:val="single" w:color="auto"/>
          <w:color w:val="auto"/>
        </w:rPr>
        <w:t>Article 10</w:t>
      </w:r>
      <w:r>
        <w:rPr>
          <w:rFonts w:ascii="Times New Roman" w:cs="Times New Roman" w:eastAsia="Times New Roman" w:hAnsi="Times New Roman"/>
          <w:sz w:val="16"/>
          <w:szCs w:val="16"/>
          <w:color w:val="auto"/>
        </w:rPr>
        <w:t>,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63"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9.02. </w:t>
      </w:r>
      <w:r>
        <w:rPr>
          <w:rFonts w:ascii="Times New Roman" w:cs="Times New Roman" w:eastAsia="Times New Roman" w:hAnsi="Times New Roman"/>
          <w:sz w:val="16"/>
          <w:szCs w:val="16"/>
          <w:i w:val="1"/>
          <w:iCs w:val="1"/>
          <w:color w:val="auto"/>
        </w:rPr>
        <w:t>Proof of Execution by Holders.</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10.05</w:t>
      </w:r>
      <w:r>
        <w:rPr>
          <w:rFonts w:ascii="Times New Roman" w:cs="Times New Roman" w:eastAsia="Times New Roman" w:hAnsi="Times New Roman"/>
          <w:sz w:val="16"/>
          <w:szCs w:val="16"/>
          <w:color w:val="auto"/>
        </w:rPr>
        <w:t xml:space="preserve">,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w:t>
      </w:r>
      <w:r>
        <w:rPr>
          <w:rFonts w:ascii="Times New Roman" w:cs="Times New Roman" w:eastAsia="Times New Roman" w:hAnsi="Times New Roman"/>
          <w:sz w:val="16"/>
          <w:szCs w:val="16"/>
          <w:u w:val="single" w:color="auto"/>
          <w:color w:val="auto"/>
        </w:rPr>
        <w:t>Section 10.06</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9.03. </w:t>
      </w:r>
      <w:r>
        <w:rPr>
          <w:rFonts w:ascii="Times New Roman" w:cs="Times New Roman" w:eastAsia="Times New Roman" w:hAnsi="Times New Roman"/>
          <w:sz w:val="16"/>
          <w:szCs w:val="16"/>
          <w:i w:val="1"/>
          <w:iCs w:val="1"/>
          <w:color w:val="auto"/>
        </w:rPr>
        <w:t>Who Are Deemed Absolute Owners.</w:t>
      </w:r>
      <w:r>
        <w:rPr>
          <w:rFonts w:ascii="Times New Roman" w:cs="Times New Roman" w:eastAsia="Times New Roman" w:hAnsi="Times New Roman"/>
          <w:sz w:val="16"/>
          <w:szCs w:val="16"/>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Fundamental Change Repurchase Price) of and (subject to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following an Event of Default.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4" w:name="page95"/>
    <w:bookmarkEnd w:id="94"/>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9.04. </w:t>
      </w:r>
      <w:r>
        <w:rPr>
          <w:rFonts w:ascii="Times New Roman" w:cs="Times New Roman" w:eastAsia="Times New Roman" w:hAnsi="Times New Roman"/>
          <w:sz w:val="16"/>
          <w:szCs w:val="16"/>
          <w:i w:val="1"/>
          <w:iCs w:val="1"/>
          <w:color w:val="auto"/>
        </w:rPr>
        <w:t>Company-Owned Notes Disregarded.</w:t>
      </w:r>
      <w:r>
        <w:rPr>
          <w:rFonts w:ascii="Times New Roman" w:cs="Times New Roman" w:eastAsia="Times New Roman" w:hAnsi="Times New Roman"/>
          <w:sz w:val="16"/>
          <w:szCs w:val="16"/>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(including, for the avoidance of doubt, any Affiliate Notes);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the Trustee shall be entitled to accept such Officer’s Certificate as conclusive evidence of the facts therein set forth and of the fact that all Notes not listed therein are outstanding for the purpose of any such determination.</w:t>
      </w:r>
    </w:p>
    <w:p>
      <w:pPr>
        <w:spacing w:after="0" w:line="169"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9.05. </w:t>
      </w:r>
      <w:r>
        <w:rPr>
          <w:rFonts w:ascii="Times New Roman" w:cs="Times New Roman" w:eastAsia="Times New Roman" w:hAnsi="Times New Roman"/>
          <w:sz w:val="16"/>
          <w:szCs w:val="16"/>
          <w:i w:val="1"/>
          <w:iCs w:val="1"/>
          <w:color w:val="auto"/>
        </w:rPr>
        <w:t>Revocation of Consents; Future Holders Bound.</w:t>
      </w:r>
      <w:r>
        <w:rPr>
          <w:rFonts w:ascii="Times New Roman" w:cs="Times New Roman" w:eastAsia="Times New Roman" w:hAnsi="Times New Roman"/>
          <w:sz w:val="16"/>
          <w:szCs w:val="16"/>
          <w:color w:val="auto"/>
        </w:rPr>
        <w:t xml:space="preserve"> At any time prior to (but not after) the evidencing to the Trustee, as provided in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w:t>
      </w:r>
      <w:r>
        <w:rPr>
          <w:rFonts w:ascii="Times New Roman" w:cs="Times New Roman" w:eastAsia="Times New Roman" w:hAnsi="Times New Roman"/>
          <w:sz w:val="16"/>
          <w:szCs w:val="16"/>
          <w:u w:val="single" w:color="auto"/>
          <w:color w:val="auto"/>
        </w:rPr>
        <w:t>Section 9.02</w:t>
      </w:r>
      <w:r>
        <w:rPr>
          <w:rFonts w:ascii="Times New Roman" w:cs="Times New Roman" w:eastAsia="Times New Roman" w:hAnsi="Times New Roman"/>
          <w:sz w:val="16"/>
          <w:szCs w:val="16"/>
          <w:color w:val="auto"/>
        </w:rPr>
        <w:t>,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HOLDERS’ MEETINGS</w:t>
      </w:r>
    </w:p>
    <w:p>
      <w:pPr>
        <w:spacing w:after="0" w:line="18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10.01. </w:t>
      </w:r>
      <w:r>
        <w:rPr>
          <w:rFonts w:ascii="Times New Roman" w:cs="Times New Roman" w:eastAsia="Times New Roman" w:hAnsi="Times New Roman"/>
          <w:sz w:val="16"/>
          <w:szCs w:val="16"/>
          <w:i w:val="1"/>
          <w:iCs w:val="1"/>
          <w:color w:val="auto"/>
        </w:rPr>
        <w:t>Purpose of Meetings.</w:t>
      </w:r>
      <w:r>
        <w:rPr>
          <w:rFonts w:ascii="Times New Roman" w:cs="Times New Roman" w:eastAsia="Times New Roman" w:hAnsi="Times New Roman"/>
          <w:sz w:val="16"/>
          <w:szCs w:val="16"/>
          <w:color w:val="auto"/>
        </w:rPr>
        <w:t xml:space="preserve"> A meeting of Holders may be called at any time and from time to time pursuant to the provisions of this </w:t>
      </w:r>
      <w:r>
        <w:rPr>
          <w:rFonts w:ascii="Times New Roman" w:cs="Times New Roman" w:eastAsia="Times New Roman" w:hAnsi="Times New Roman"/>
          <w:sz w:val="16"/>
          <w:szCs w:val="16"/>
          <w:u w:val="single" w:color="auto"/>
          <w:color w:val="auto"/>
        </w:rPr>
        <w:t>Article 10</w:t>
      </w:r>
      <w:r>
        <w:rPr>
          <w:rFonts w:ascii="Times New Roman" w:cs="Times New Roman" w:eastAsia="Times New Roman" w:hAnsi="Times New Roman"/>
          <w:sz w:val="16"/>
          <w:szCs w:val="16"/>
          <w:color w:val="auto"/>
        </w:rPr>
        <w:t xml:space="preserve"> for any of the following purposes:</w:t>
      </w:r>
    </w:p>
    <w:p>
      <w:pPr>
        <w:spacing w:after="0" w:line="142" w:lineRule="exact"/>
        <w:rPr>
          <w:sz w:val="20"/>
          <w:szCs w:val="20"/>
          <w:color w:val="auto"/>
        </w:rPr>
      </w:pPr>
    </w:p>
    <w:p>
      <w:pPr>
        <w:jc w:val="both"/>
        <w:ind w:right="20" w:firstLine="569"/>
        <w:spacing w:after="0" w:line="265" w:lineRule="auto"/>
        <w:tabs>
          <w:tab w:leader="none" w:pos="80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remove the Trustee and nominate a successor trustee pursuant to the provisions of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ind w:left="780" w:hanging="211"/>
        <w:spacing w:after="0"/>
        <w:tabs>
          <w:tab w:leader="none" w:pos="7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consent to the execution of an indenture or indentures supplemental hereto pursuant to the provisions of </w:t>
      </w:r>
      <w:r>
        <w:rPr>
          <w:rFonts w:ascii="Times New Roman" w:cs="Times New Roman" w:eastAsia="Times New Roman" w:hAnsi="Times New Roman"/>
          <w:sz w:val="16"/>
          <w:szCs w:val="16"/>
          <w:u w:val="single" w:color="auto"/>
          <w:color w:val="auto"/>
        </w:rPr>
        <w:t>Section 11.02</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42" w:lineRule="exact"/>
        <w:rPr>
          <w:sz w:val="20"/>
          <w:szCs w:val="20"/>
          <w:color w:val="auto"/>
        </w:rPr>
      </w:pPr>
    </w:p>
    <w:p>
      <w:pPr>
        <w:jc w:val="both"/>
        <w:ind w:right="20"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10.02. </w:t>
      </w:r>
      <w:r>
        <w:rPr>
          <w:rFonts w:ascii="Times New Roman" w:cs="Times New Roman" w:eastAsia="Times New Roman" w:hAnsi="Times New Roman"/>
          <w:sz w:val="16"/>
          <w:szCs w:val="16"/>
          <w:i w:val="1"/>
          <w:iCs w:val="1"/>
          <w:color w:val="auto"/>
        </w:rPr>
        <w:t>Call of Meetings by Trustee.</w:t>
      </w:r>
      <w:r>
        <w:rPr>
          <w:rFonts w:ascii="Times New Roman" w:cs="Times New Roman" w:eastAsia="Times New Roman" w:hAnsi="Times New Roman"/>
          <w:sz w:val="16"/>
          <w:szCs w:val="16"/>
          <w:color w:val="auto"/>
        </w:rPr>
        <w:t xml:space="preserve"> The Trustee may at any time call a meeting of Holders to take any action specified in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shall be delivered to Holders of such Notes. Such notice shall also be delivered to the Company. Such notices shall be delivered not less than 20 nor more than 90 days prior to the date fixed for the meeting.</w:t>
      </w:r>
    </w:p>
    <w:p>
      <w:pPr>
        <w:spacing w:after="0" w:line="161"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5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10.03. </w:t>
      </w:r>
      <w:r>
        <w:rPr>
          <w:rFonts w:ascii="Times New Roman" w:cs="Times New Roman" w:eastAsia="Times New Roman" w:hAnsi="Times New Roman"/>
          <w:sz w:val="16"/>
          <w:szCs w:val="16"/>
          <w:i w:val="1"/>
          <w:iCs w:val="1"/>
          <w:color w:val="auto"/>
        </w:rPr>
        <w:t>Call of Meetings by Company or Holders.</w:t>
      </w:r>
      <w:r>
        <w:rPr>
          <w:rFonts w:ascii="Times New Roman" w:cs="Times New Roman" w:eastAsia="Times New Roman" w:hAnsi="Times New Roman"/>
          <w:sz w:val="16"/>
          <w:szCs w:val="16"/>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w:t>
      </w:r>
      <w:r>
        <w:rPr>
          <w:rFonts w:ascii="Times New Roman" w:cs="Times New Roman" w:eastAsia="Times New Roman" w:hAnsi="Times New Roman"/>
          <w:sz w:val="16"/>
          <w:szCs w:val="16"/>
          <w:u w:val="single" w:color="auto"/>
          <w:color w:val="auto"/>
        </w:rPr>
        <w:t>Section 10.01</w:t>
      </w:r>
      <w:r>
        <w:rPr>
          <w:rFonts w:ascii="Times New Roman" w:cs="Times New Roman" w:eastAsia="Times New Roman" w:hAnsi="Times New Roman"/>
          <w:sz w:val="16"/>
          <w:szCs w:val="16"/>
          <w:color w:val="auto"/>
        </w:rPr>
        <w:t xml:space="preserve">, by delivering notice thereof as provided in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10.04. </w:t>
      </w:r>
      <w:r>
        <w:rPr>
          <w:rFonts w:ascii="Times New Roman" w:cs="Times New Roman" w:eastAsia="Times New Roman" w:hAnsi="Times New Roman"/>
          <w:sz w:val="16"/>
          <w:szCs w:val="16"/>
          <w:i w:val="1"/>
          <w:iCs w:val="1"/>
          <w:color w:val="auto"/>
        </w:rPr>
        <w:t>Qualifications for Voting.</w:t>
      </w:r>
      <w:r>
        <w:rPr>
          <w:rFonts w:ascii="Times New Roman" w:cs="Times New Roman" w:eastAsia="Times New Roman" w:hAnsi="Times New Roman"/>
          <w:sz w:val="16"/>
          <w:szCs w:val="16"/>
          <w:color w:val="auto"/>
        </w:rPr>
        <w:t xml:space="preserve"> To be entitled to vote at any meeting of Holders a Person shall be a Holder of one or more Notes on the record date pertaining to such meeting or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9"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10.05. </w:t>
      </w:r>
      <w:r>
        <w:rPr>
          <w:rFonts w:ascii="Times New Roman" w:cs="Times New Roman" w:eastAsia="Times New Roman" w:hAnsi="Times New Roman"/>
          <w:sz w:val="16"/>
          <w:szCs w:val="16"/>
          <w:i w:val="1"/>
          <w:iCs w:val="1"/>
          <w:color w:val="auto"/>
        </w:rPr>
        <w:t>Regulations.</w:t>
      </w:r>
      <w:r>
        <w:rPr>
          <w:rFonts w:ascii="Times New Roman" w:cs="Times New Roman" w:eastAsia="Times New Roman" w:hAnsi="Times New Roman"/>
          <w:sz w:val="16"/>
          <w:szCs w:val="16"/>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The Trustee shall, by an instrument in writing, appoint a temporary chairman of the meeting, unless the meeting shall have been called by the Company or by Holders as provided in </w:t>
      </w:r>
      <w:r>
        <w:rPr>
          <w:rFonts w:ascii="Times New Roman" w:cs="Times New Roman" w:eastAsia="Times New Roman" w:hAnsi="Times New Roman"/>
          <w:sz w:val="16"/>
          <w:szCs w:val="16"/>
          <w:u w:val="single" w:color="auto"/>
          <w:color w:val="auto"/>
        </w:rPr>
        <w:t>Section 10.03</w:t>
      </w:r>
      <w:r>
        <w:rPr>
          <w:rFonts w:ascii="Times New Roman" w:cs="Times New Roman" w:eastAsia="Times New Roman" w:hAnsi="Times New Roman"/>
          <w:sz w:val="16"/>
          <w:szCs w:val="16"/>
          <w:color w:val="auto"/>
        </w:rPr>
        <w:t>,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6" w:name="page97"/>
    <w:bookmarkEnd w:id="96"/>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Subject to the provisions of </w:t>
      </w:r>
      <w:r>
        <w:rPr>
          <w:rFonts w:ascii="Times New Roman" w:cs="Times New Roman" w:eastAsia="Times New Roman" w:hAnsi="Times New Roman"/>
          <w:sz w:val="16"/>
          <w:szCs w:val="16"/>
          <w:u w:val="single" w:color="auto"/>
          <w:color w:val="auto"/>
        </w:rPr>
        <w:t>Section 9.04</w:t>
      </w:r>
      <w:r>
        <w:rPr>
          <w:rFonts w:ascii="Times New Roman" w:cs="Times New Roman" w:eastAsia="Times New Roman" w:hAnsi="Times New Roman"/>
          <w:sz w:val="16"/>
          <w:szCs w:val="16"/>
          <w:color w:val="auto"/>
        </w:rPr>
        <w:t xml:space="preserve">, at any meeting of Holders each Holder or proxyholder shall be entitled to one vote for each $1,000 principal amount of Notes held or represented by him or her;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10.03</w:t>
      </w:r>
      <w:r>
        <w:rPr>
          <w:rFonts w:ascii="Times New Roman" w:cs="Times New Roman" w:eastAsia="Times New Roman" w:hAnsi="Times New Roman"/>
          <w:sz w:val="16"/>
          <w:szCs w:val="16"/>
          <w:color w:val="auto"/>
        </w:rPr>
        <w:t xml:space="preserve"> may be adjourned from time to time by the Holders of a majority of the aggregate principal amount of Notes represented at the meeting, whether or not constituting a quorum, and the meeting may be held as so adjourned without further notice.</w:t>
      </w:r>
    </w:p>
    <w:p>
      <w:pPr>
        <w:spacing w:after="0" w:line="16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10.06. </w:t>
      </w:r>
      <w:r>
        <w:rPr>
          <w:rFonts w:ascii="Times New Roman" w:cs="Times New Roman" w:eastAsia="Times New Roman" w:hAnsi="Times New Roman"/>
          <w:sz w:val="16"/>
          <w:szCs w:val="16"/>
          <w:i w:val="1"/>
          <w:iCs w:val="1"/>
          <w:color w:val="auto"/>
        </w:rPr>
        <w:t>Voting.</w:t>
      </w:r>
      <w:r>
        <w:rPr>
          <w:rFonts w:ascii="Times New Roman" w:cs="Times New Roman" w:eastAsia="Times New Roman" w:hAnsi="Times New Roman"/>
          <w:sz w:val="16"/>
          <w:szCs w:val="16"/>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Times New Roman" w:cs="Times New Roman" w:eastAsia="Times New Roman" w:hAnsi="Times New Roman"/>
          <w:sz w:val="16"/>
          <w:szCs w:val="16"/>
          <w:u w:val="single" w:color="auto"/>
          <w:color w:val="auto"/>
        </w:rPr>
        <w:t>Section 10.02</w:t>
      </w:r>
      <w:r>
        <w:rPr>
          <w:rFonts w:ascii="Times New Roman" w:cs="Times New Roman" w:eastAsia="Times New Roman" w:hAnsi="Times New Roman"/>
          <w:sz w:val="16"/>
          <w:szCs w:val="16"/>
          <w:color w:val="auto"/>
        </w:rPr>
        <w:t>.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Any record so signed and verified shall be conclusive evidence of the matters therein stated.</w:t>
      </w:r>
    </w:p>
    <w:p>
      <w:pPr>
        <w:spacing w:after="0" w:line="196"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10.07. </w:t>
      </w:r>
      <w:r>
        <w:rPr>
          <w:rFonts w:ascii="Times New Roman" w:cs="Times New Roman" w:eastAsia="Times New Roman" w:hAnsi="Times New Roman"/>
          <w:sz w:val="16"/>
          <w:szCs w:val="16"/>
          <w:i w:val="1"/>
          <w:iCs w:val="1"/>
          <w:color w:val="auto"/>
        </w:rPr>
        <w:t>No Delay of Rights by Meeting.</w:t>
      </w:r>
      <w:r>
        <w:rPr>
          <w:rFonts w:ascii="Times New Roman" w:cs="Times New Roman" w:eastAsia="Times New Roman" w:hAnsi="Times New Roman"/>
          <w:sz w:val="16"/>
          <w:szCs w:val="16"/>
          <w:color w:val="auto"/>
        </w:rPr>
        <w:t xml:space="preserve"> Nothing contained in this </w:t>
      </w:r>
      <w:r>
        <w:rPr>
          <w:rFonts w:ascii="Times New Roman" w:cs="Times New Roman" w:eastAsia="Times New Roman" w:hAnsi="Times New Roman"/>
          <w:sz w:val="16"/>
          <w:szCs w:val="16"/>
          <w:u w:val="single" w:color="auto"/>
          <w:color w:val="auto"/>
        </w:rPr>
        <w:t>Article 10</w:t>
      </w:r>
      <w:r>
        <w:rPr>
          <w:rFonts w:ascii="Times New Roman" w:cs="Times New Roman" w:eastAsia="Times New Roman" w:hAnsi="Times New Roman"/>
          <w:sz w:val="16"/>
          <w:szCs w:val="16"/>
          <w:color w:val="auto"/>
        </w:rPr>
        <w:t xml:space="preserve">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SUPPLEMENTAL INDENTURES</w:t>
      </w:r>
    </w:p>
    <w:p>
      <w:pPr>
        <w:spacing w:after="0" w:line="180"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i w:val="1"/>
          <w:iCs w:val="1"/>
          <w:color w:val="auto"/>
        </w:rPr>
        <w:t>Supplemental Indentures Without Consent of Holders.</w:t>
      </w:r>
      <w:r>
        <w:rPr>
          <w:rFonts w:ascii="Times New Roman" w:cs="Times New Roman" w:eastAsia="Times New Roman" w:hAnsi="Times New Roman"/>
          <w:sz w:val="16"/>
          <w:szCs w:val="16"/>
          <w:color w:val="auto"/>
        </w:rPr>
        <w:t xml:space="preserve"> The Company, when authorized by the resolutions of the Board of Directors, and the Trustee and the Collateral Agent, at the Company’s expense, may from time to time and at any time enter into an indenture or indentures supplemental hereto or an amendment or supplement to the Collateral Documents for one or more of the following purposes: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 to cure any ambiguity, omission, defect or inconsistency;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ind w:left="800" w:hanging="231"/>
        <w:spacing w:after="0"/>
        <w:tabs>
          <w:tab w:leader="none" w:pos="8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assumption by a Successor Company or Successor Guarantor of the obligations of the Company or a Guarantor under this Indenture pursuant to</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w:t>
      </w:r>
    </w:p>
    <w:p>
      <w:pPr>
        <w:spacing w:after="0" w:line="181" w:lineRule="exact"/>
        <w:rPr>
          <w:rFonts w:ascii="Times New Roman" w:cs="Times New Roman" w:eastAsia="Times New Roman" w:hAnsi="Times New Roman"/>
          <w:sz w:val="16"/>
          <w:szCs w:val="16"/>
          <w:color w:val="auto"/>
        </w:rPr>
      </w:pPr>
    </w:p>
    <w:p>
      <w:pPr>
        <w:ind w:right="20" w:firstLine="569"/>
        <w:spacing w:after="0" w:line="280" w:lineRule="auto"/>
        <w:tabs>
          <w:tab w:leader="none" w:pos="79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guarantees with respect to the Notes, or to confirm and evidence the release, termination or discharge of any guarantee with respect to the Notes when such release, termination or discharge is provided for under this Indenture or the other Notes Documents, as applicable;</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add to the covenants or Events of Default of the Company for the benefit of the Holders or surrender any right or power conferred upon the Company;</w:t>
      </w:r>
    </w:p>
    <w:p>
      <w:pPr>
        <w:spacing w:after="0" w:line="198"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any change that does not adversely affect the rights of any Holder as determined by the Company in good faith;</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8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any Share Exchange Event, to provide that the Notes are convertible into Reference Property, subject to the provisions of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and make such related changes to the terms of the Notes to the extent expressly required by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01"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comply with the rules of any applicable Depositary, including The Depository Trust Company, so long as such amendment does not adversely affect the rights of any Holder in any material respect;</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release of Collateral from the Lien pursuant to this Indenture and the Collateral Documents when permitted or required by this Indenture;</w:t>
      </w:r>
    </w:p>
    <w:p>
      <w:pPr>
        <w:spacing w:after="0" w:line="198"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appoint a successor trustee with respect to the Notes;</w:t>
      </w:r>
    </w:p>
    <w:p>
      <w:pPr>
        <w:spacing w:after="0" w:line="198"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increase the Conversion Rate as provided in this Indenture;</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0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provide for the issuance of additional Notes in accordance with the terms of this Indenture, to the extent that the Company deems such amendment necessary or advisable in connection with such issuance;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amendment or supplement may impair the rights or interests of any Holder of Notes;</w:t>
      </w:r>
    </w:p>
    <w:p>
      <w:pPr>
        <w:spacing w:after="0" w:line="144"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entry into an intercreditor agreement as described in clause (c) of the definition of the term “Permitted Liens”;</w:t>
      </w:r>
    </w:p>
    <w:p>
      <w:pPr>
        <w:spacing w:after="0" w:line="198" w:lineRule="exact"/>
        <w:rPr>
          <w:rFonts w:ascii="Times New Roman" w:cs="Times New Roman" w:eastAsia="Times New Roman" w:hAnsi="Times New Roman"/>
          <w:sz w:val="16"/>
          <w:szCs w:val="16"/>
          <w:color w:val="auto"/>
        </w:rPr>
      </w:pPr>
    </w:p>
    <w:p>
      <w:pPr>
        <w:jc w:val="both"/>
        <w:ind w:firstLine="569"/>
        <w:spacing w:after="0" w:line="290" w:lineRule="auto"/>
        <w:tabs>
          <w:tab w:leader="none" w:pos="844"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mortgage, pledge, hypothecate or grant any other Lien in favor of the Collateral Agent for its benefit and the benefit of the Secured Parties as additional security for the payment and performance of all or any portion of the Obligations, in any property or assets, including any which are required to be mortgaged, pledged or hypothecated, or in which a Lien is required to be granted to or for the benefit of the Trustee or the Collateral Agent pursuant to this Indenture, any of the Collateral Documents or otherwise;</w:t>
      </w:r>
    </w:p>
    <w:p>
      <w:pPr>
        <w:spacing w:after="0" w:line="139" w:lineRule="exact"/>
        <w:rPr>
          <w:rFonts w:ascii="Times New Roman" w:cs="Times New Roman" w:eastAsia="Times New Roman" w:hAnsi="Times New Roman"/>
          <w:sz w:val="15"/>
          <w:szCs w:val="15"/>
          <w:color w:val="auto"/>
        </w:rPr>
      </w:pPr>
    </w:p>
    <w:p>
      <w:pPr>
        <w:ind w:firstLine="569"/>
        <w:spacing w:after="0" w:line="280" w:lineRule="auto"/>
        <w:tabs>
          <w:tab w:leader="none" w:pos="80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irrevocably elect a Settlement Method and/or a Specified Dollar Amount (or a minimum Specified Dollar Amount), or eliminate the Company’s right to elect a Settlement Method;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8" w:name="page99"/>
    <w:bookmarkEnd w:id="98"/>
    <w:p>
      <w:pPr>
        <w:ind w:right="20" w:firstLine="569"/>
        <w:spacing w:after="0" w:line="280" w:lineRule="auto"/>
        <w:tabs>
          <w:tab w:leader="none" w:pos="82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acceptance of appointment by a successor Trustee, Collateral Agent, Note Registrar, Paying Agent or Conversion Agent to facilitate the administration of the trusts under this Indenture by more than one trustee; or</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conversion of Notes to satisfy the Company’s Conversion Obligation in accordance with the provisions of this Indenture.</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Upon the written request of the Company, the Trustee and the Collateral Agent are hereby authorized to join with the Company in the execution of any such supplemental indenture, to make any further appropriate agreements and stipulations that may be therein contained, but the Trustee and the Collateral Agent shall not be obligated to, but may in its discretion, enter into any supplemental indenture that affects the Trustee’s or the Collateral Agent’s own rights, duties or immunities under this Indenture, the other Notes Documents or otherwise.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Any supplemental indenture authorized by the provisions of this Section 11.01 may be executed by the Company, the Trustee and the Collateral Agent without the consent of the Holders of any of the Notes at the time outstanding, notwithstanding any of the provisions of </w:t>
      </w:r>
      <w:r>
        <w:rPr>
          <w:rFonts w:ascii="Times New Roman" w:cs="Times New Roman" w:eastAsia="Times New Roman" w:hAnsi="Times New Roman"/>
          <w:sz w:val="16"/>
          <w:szCs w:val="16"/>
          <w:u w:val="single" w:color="auto"/>
          <w:color w:val="auto"/>
        </w:rPr>
        <w:t>Section 11.02</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i w:val="1"/>
          <w:iCs w:val="1"/>
          <w:color w:val="auto"/>
        </w:rPr>
        <w:t>Supplemental Indentures with Consent of Holders.</w:t>
      </w:r>
      <w:r>
        <w:rPr>
          <w:rFonts w:ascii="Times New Roman" w:cs="Times New Roman" w:eastAsia="Times New Roman" w:hAnsi="Times New Roman"/>
          <w:sz w:val="16"/>
          <w:szCs w:val="16"/>
          <w:color w:val="auto"/>
        </w:rPr>
        <w:t xml:space="preserve"> With the consent (evidenced as provided in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of the Holders of at least 60% of the aggregate principal amount of the Notes then outstanding (determined in accordance with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and including, without limitation, consents obtained in connection with a repurchase of, or tender or exchange offer for, Notes), the Company, when authorized by the resolutions of the Board of Directors and the Trustee and the Collateral Agent, at the Company’s expense, may from time to time and at any time enter into an indenture or indentures supplemental hereto or an amendment or supplement to the Collateral Documents for the purpose of adding any provisions to or changing in any manner or eliminating any of the provisions of this Indenture, the Notes, any supplemental indenture or any Collateral Document or of modifying in any manner the rights of the 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without the consent of each Holder of an outstanding Note affected, no such supplemental indenture shall:</w:t>
      </w:r>
    </w:p>
    <w:p>
      <w:pPr>
        <w:spacing w:after="0" w:line="163" w:lineRule="exact"/>
        <w:rPr>
          <w:sz w:val="20"/>
          <w:szCs w:val="20"/>
          <w:color w:val="auto"/>
        </w:rPr>
      </w:pPr>
    </w:p>
    <w:p>
      <w:pPr>
        <w:ind w:left="780" w:hanging="211"/>
        <w:spacing w:after="0"/>
        <w:tabs>
          <w:tab w:leader="none" w:pos="7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amount of Notes whose Holders must consent to an amendment;</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rate of or postpone or extend the stated time for payment of interest on any Note;</w:t>
      </w:r>
    </w:p>
    <w:p>
      <w:pPr>
        <w:spacing w:after="0" w:line="198"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principal of or postpone or extend the Maturity Date of any Note;</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required by this Indenture, make any change that adversely affects the conversion rights of any Notes;</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79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44"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Note payable in a currency or at a place of payment other than that stated in such Note or in this Indenture;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ind w:left="800" w:hanging="231"/>
        <w:spacing w:after="0"/>
        <w:tabs>
          <w:tab w:leader="none" w:pos="8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ranking of the Notes;</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0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the provisions of this Indenture or the other Notes Documents, in each case dealing with the application of proceeds of Collateral, that would adversely affect the Holders of the Notes (including rights with respect to any payments) in any material respect;</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76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expressly subordinate the Notes in right of payment to any other Indebtedness of the Company or any Guarantor or subordinate the Lien on the Collateral securing the Obligations or as otherwise provided for in the Notes Documents to the Lien granted to secure any other Indebtedness (other than in accordance with the terms of this Indenture and the other Notes Documents in effect as of the Issue Date);</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781"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(or has the effect of releasing) all or substantially all of the value of the Note Guarantees of the Guarantors (except as expressly provided in the Notes Documents);</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make any change in this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that requires each Holder’s consent or in the waiver provisions in </w:t>
      </w:r>
      <w:r>
        <w:rPr>
          <w:rFonts w:ascii="Times New Roman" w:cs="Times New Roman" w:eastAsia="Times New Roman" w:hAnsi="Times New Roman"/>
          <w:sz w:val="16"/>
          <w:szCs w:val="16"/>
          <w:u w:val="single" w:color="auto"/>
          <w:color w:val="auto"/>
        </w:rPr>
        <w:t>Section 6.02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6.09</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firstLine="569"/>
        <w:spacing w:after="0" w:line="280" w:lineRule="auto"/>
        <w:tabs>
          <w:tab w:leader="none" w:pos="76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any provision of any Notes Documents in a manner that by its terms adversely affects the rights in respect of payments due to one or more Holders different than other Holders; or</w:t>
      </w:r>
    </w:p>
    <w:p>
      <w:pPr>
        <w:spacing w:after="0" w:line="144" w:lineRule="exact"/>
        <w:rPr>
          <w:rFonts w:ascii="Times New Roman" w:cs="Times New Roman" w:eastAsia="Times New Roman" w:hAnsi="Times New Roman"/>
          <w:sz w:val="16"/>
          <w:szCs w:val="16"/>
          <w:color w:val="auto"/>
        </w:rPr>
      </w:pPr>
    </w:p>
    <w:p>
      <w:pPr>
        <w:ind w:left="840" w:hanging="271"/>
        <w:spacing w:after="0"/>
        <w:tabs>
          <w:tab w:leader="none" w:pos="84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make any change to </w:t>
      </w:r>
      <w:r>
        <w:rPr>
          <w:rFonts w:ascii="Times New Roman" w:cs="Times New Roman" w:eastAsia="Times New Roman" w:hAnsi="Times New Roman"/>
          <w:sz w:val="16"/>
          <w:szCs w:val="16"/>
          <w:u w:val="single" w:color="auto"/>
          <w:color w:val="auto"/>
        </w:rPr>
        <w:t>Section 4.19</w:t>
      </w:r>
      <w:r>
        <w:rPr>
          <w:rFonts w:ascii="Times New Roman" w:cs="Times New Roman" w:eastAsia="Times New Roman" w:hAnsi="Times New Roman"/>
          <w:sz w:val="16"/>
          <w:szCs w:val="16"/>
          <w:color w:val="auto"/>
        </w:rPr>
        <w:t xml:space="preserve"> or any language in other definitions or provisions to the extent used therein.</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In addition, notwithstanding the foregoing, any amendment to, or waiver of, the provisions of this Indenture or any Notes Document that has the effect of releasing all or substantially all of the Collateral shall require the consent of the Holders of at least 75% in aggregate principal amount of the Notes then outstanding under this Indenture (including any consents obtained in connection with a tender offer or exchange for the Notes). If any amendment to, or waiver of, the provisions of this Indenture or any Notes Document to which it is a party affects the rights or obligations of the Collateral Agent, then in such case the consent of the Collateral Agent shall also be required.</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Upon the written request of the Company, and upon the filing with the Trustee and Collateral Agent of evidence of the consent of Holders as aforesaid and subject to </w:t>
      </w:r>
      <w:r>
        <w:rPr>
          <w:rFonts w:ascii="Times New Roman" w:cs="Times New Roman" w:eastAsia="Times New Roman" w:hAnsi="Times New Roman"/>
          <w:sz w:val="16"/>
          <w:szCs w:val="16"/>
          <w:u w:val="single" w:color="auto"/>
          <w:color w:val="auto"/>
        </w:rPr>
        <w:t>Section 11.05</w:t>
      </w:r>
      <w:r>
        <w:rPr>
          <w:rFonts w:ascii="Times New Roman" w:cs="Times New Roman" w:eastAsia="Times New Roman" w:hAnsi="Times New Roman"/>
          <w:sz w:val="16"/>
          <w:szCs w:val="16"/>
          <w:color w:val="auto"/>
        </w:rPr>
        <w:t>, the Trustee and the Collateral Agent shall join with the Company in the execution of such supplemental indenture unless such supplemental indenture affects the Trustee’s or the Collateral Agent’s own rights, duties or immunities under this Indenture, the other Notes Documents or otherwise, in which case the Trustee and Collateral Agent, as applicable, may in its discretion, but shall not be obligated to, enter into such supplemental indenture.</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Holders do not need under this </w:t>
      </w:r>
      <w:r>
        <w:rPr>
          <w:rFonts w:ascii="Times New Roman" w:cs="Times New Roman" w:eastAsia="Times New Roman" w:hAnsi="Times New Roman"/>
          <w:sz w:val="16"/>
          <w:szCs w:val="16"/>
          <w:u w:val="single" w:color="auto"/>
          <w:color w:val="auto"/>
        </w:rPr>
        <w:t>Section 11.02</w:t>
      </w:r>
      <w:r>
        <w:rPr>
          <w:rFonts w:ascii="Times New Roman" w:cs="Times New Roman" w:eastAsia="Times New Roman" w:hAnsi="Times New Roman"/>
          <w:sz w:val="16"/>
          <w:szCs w:val="16"/>
          <w:color w:val="auto"/>
        </w:rPr>
        <w:t xml:space="preserve"> to approve the particular form of any proposed supplemental indenture. It shall be sufficient if such Holders approve the substance thereof. After any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0" w:name="page101"/>
    <w:bookmarkEnd w:id="100"/>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11.03. </w:t>
      </w:r>
      <w:r>
        <w:rPr>
          <w:rFonts w:ascii="Times New Roman" w:cs="Times New Roman" w:eastAsia="Times New Roman" w:hAnsi="Times New Roman"/>
          <w:sz w:val="16"/>
          <w:szCs w:val="16"/>
          <w:i w:val="1"/>
          <w:iCs w:val="1"/>
          <w:color w:val="auto"/>
        </w:rPr>
        <w:t>Effect of Supplemental Indentures.</w:t>
      </w:r>
      <w:r>
        <w:rPr>
          <w:rFonts w:ascii="Times New Roman" w:cs="Times New Roman" w:eastAsia="Times New Roman" w:hAnsi="Times New Roman"/>
          <w:sz w:val="16"/>
          <w:szCs w:val="16"/>
          <w:color w:val="auto"/>
        </w:rPr>
        <w:t xml:space="preserve"> Upon the execution of any supplemental indenture pursuant to the provisions of this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this Indenture shall be and be deemed to be modified and amended in accordance therewith and the respective rights, limitation of rights, obligations, duties, indemnities, privileges and immunities under this Indenture of the Trustee, the Collateral Agent,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11.04. </w:t>
      </w:r>
      <w:r>
        <w:rPr>
          <w:rFonts w:ascii="Times New Roman" w:cs="Times New Roman" w:eastAsia="Times New Roman" w:hAnsi="Times New Roman"/>
          <w:sz w:val="16"/>
          <w:szCs w:val="16"/>
          <w:i w:val="1"/>
          <w:iCs w:val="1"/>
          <w:color w:val="auto"/>
        </w:rPr>
        <w:t>Notation on Notes .</w:t>
      </w:r>
      <w:r>
        <w:rPr>
          <w:rFonts w:ascii="Times New Roman" w:cs="Times New Roman" w:eastAsia="Times New Roman" w:hAnsi="Times New Roman"/>
          <w:sz w:val="16"/>
          <w:szCs w:val="16"/>
          <w:color w:val="auto"/>
        </w:rPr>
        <w:t xml:space="preserve"> Notes authenticated and delivered after the execution of any supplemental indenture pursuant to the provisions of this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w:t>
      </w:r>
      <w:r>
        <w:rPr>
          <w:rFonts w:ascii="Times New Roman" w:cs="Times New Roman" w:eastAsia="Times New Roman" w:hAnsi="Times New Roman"/>
          <w:sz w:val="16"/>
          <w:szCs w:val="16"/>
          <w:u w:val="single" w:color="auto"/>
          <w:color w:val="auto"/>
        </w:rPr>
        <w:t>Section 18.10</w:t>
      </w:r>
      <w:r>
        <w:rPr>
          <w:rFonts w:ascii="Times New Roman" w:cs="Times New Roman" w:eastAsia="Times New Roman" w:hAnsi="Times New Roman"/>
          <w:sz w:val="16"/>
          <w:szCs w:val="16"/>
          <w:color w:val="auto"/>
        </w:rPr>
        <w:t>) and delivered in exchange for the Notes then outstanding, upon surrender of such Notes then outstanding.</w:t>
      </w:r>
    </w:p>
    <w:p>
      <w:pPr>
        <w:spacing w:after="0" w:line="162" w:lineRule="exact"/>
        <w:rPr>
          <w:sz w:val="20"/>
          <w:szCs w:val="20"/>
          <w:color w:val="auto"/>
        </w:rPr>
      </w:pPr>
    </w:p>
    <w:p>
      <w:pPr>
        <w:jc w:val="both"/>
        <w:ind w:right="20"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11.05. </w:t>
      </w:r>
      <w:r>
        <w:rPr>
          <w:rFonts w:ascii="Times New Roman" w:cs="Times New Roman" w:eastAsia="Times New Roman" w:hAnsi="Times New Roman"/>
          <w:sz w:val="16"/>
          <w:szCs w:val="16"/>
          <w:i w:val="1"/>
          <w:iCs w:val="1"/>
          <w:color w:val="auto"/>
        </w:rPr>
        <w:t>Evidence of Compliance of Amendments and Supplements and Enforceability of the Supplemental Indenture to Be Furnished Trustee and Collateral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Agent</w:t>
      </w:r>
      <w:r>
        <w:rPr>
          <w:rFonts w:ascii="Times New Roman" w:cs="Times New Roman" w:eastAsia="Times New Roman" w:hAnsi="Times New Roman"/>
          <w:sz w:val="16"/>
          <w:szCs w:val="16"/>
          <w:color w:val="auto"/>
        </w:rPr>
        <w:t>. In addition to the documents required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18.05</w:t>
      </w:r>
      <w:r>
        <w:rPr>
          <w:rFonts w:ascii="Times New Roman" w:cs="Times New Roman" w:eastAsia="Times New Roman" w:hAnsi="Times New Roman"/>
          <w:sz w:val="16"/>
          <w:szCs w:val="16"/>
          <w:color w:val="auto"/>
        </w:rPr>
        <w:t>, the Trustee and the Collateral Agent shall receive an Officer’s Certificate and an Opinion of Counsel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conclusive evidence that any supplemental indenture executed pursuant hereto complies with the requirements of this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and is permitted or authorized by this Indenture and the Notes Documents and an Opinion of Counsel that such supplemental indenture constitutes the legal, valid and binding obligation of the Company enforceable against it in accordance with its terms, subject to customary exceptions and qualifications as to enforceability by such counsel. The Trustee shall have no responsibility for determining whether any amendment or supplemental indenture will or may have an adverse effect on any Holder.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CONSOLIDATION, MERGER, SALE, CONVEYANCE AND LEASE</w:t>
      </w:r>
    </w:p>
    <w:p>
      <w:pPr>
        <w:spacing w:after="0" w:line="180"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i w:val="1"/>
          <w:iCs w:val="1"/>
          <w:color w:val="auto"/>
        </w:rPr>
        <w:t>Company May Consolidate, Etc. on Certain Terms.</w:t>
      </w:r>
      <w:r>
        <w:rPr>
          <w:rFonts w:ascii="Times New Roman" w:cs="Times New Roman" w:eastAsia="Times New Roman" w:hAnsi="Times New Roman"/>
          <w:sz w:val="16"/>
          <w:szCs w:val="16"/>
          <w:color w:val="auto"/>
        </w:rPr>
        <w:t xml:space="preserve"> Subject to the provisions of </w:t>
      </w:r>
      <w:r>
        <w:rPr>
          <w:rFonts w:ascii="Times New Roman" w:cs="Times New Roman" w:eastAsia="Times New Roman" w:hAnsi="Times New Roman"/>
          <w:sz w:val="16"/>
          <w:szCs w:val="16"/>
          <w:u w:val="single" w:color="auto"/>
          <w:color w:val="auto"/>
        </w:rPr>
        <w:t>Section 12.02</w:t>
      </w:r>
      <w:r>
        <w:rPr>
          <w:rFonts w:ascii="Times New Roman" w:cs="Times New Roman" w:eastAsia="Times New Roman" w:hAnsi="Times New Roman"/>
          <w:sz w:val="16"/>
          <w:szCs w:val="16"/>
          <w:color w:val="auto"/>
        </w:rPr>
        <w:t>,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(a “</w:t>
      </w:r>
      <w:r>
        <w:rPr>
          <w:rFonts w:ascii="Times New Roman" w:cs="Times New Roman" w:eastAsia="Times New Roman" w:hAnsi="Times New Roman"/>
          <w:sz w:val="16"/>
          <w:szCs w:val="16"/>
          <w:b w:val="1"/>
          <w:bCs w:val="1"/>
          <w:color w:val="auto"/>
        </w:rPr>
        <w:t>Business Combination Event</w:t>
      </w:r>
      <w:r>
        <w:rPr>
          <w:rFonts w:ascii="Times New Roman" w:cs="Times New Roman" w:eastAsia="Times New Roman" w:hAnsi="Times New Roman"/>
          <w:sz w:val="16"/>
          <w:szCs w:val="16"/>
          <w:color w:val="auto"/>
        </w:rPr>
        <w:t>”) unless:</w:t>
      </w:r>
    </w:p>
    <w:p>
      <w:pPr>
        <w:spacing w:after="0" w:line="159" w:lineRule="exact"/>
        <w:rPr>
          <w:sz w:val="20"/>
          <w:szCs w:val="20"/>
          <w:color w:val="auto"/>
        </w:rPr>
      </w:pPr>
    </w:p>
    <w:p>
      <w:pPr>
        <w:jc w:val="both"/>
        <w:ind w:right="20" w:firstLine="569"/>
        <w:spacing w:after="0" w:line="266" w:lineRule="auto"/>
        <w:tabs>
          <w:tab w:leader="none" w:pos="79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(the “</w:t>
      </w:r>
      <w:r>
        <w:rPr>
          <w:rFonts w:ascii="Times New Roman" w:cs="Times New Roman" w:eastAsia="Times New Roman" w:hAnsi="Times New Roman"/>
          <w:sz w:val="16"/>
          <w:szCs w:val="16"/>
          <w:b w:val="1"/>
          <w:bCs w:val="1"/>
          <w:color w:val="auto"/>
        </w:rPr>
        <w:t>Successor Company</w:t>
      </w:r>
      <w:r>
        <w:rPr>
          <w:rFonts w:ascii="Times New Roman" w:cs="Times New Roman" w:eastAsia="Times New Roman" w:hAnsi="Times New Roman"/>
          <w:sz w:val="16"/>
          <w:szCs w:val="16"/>
          <w:color w:val="auto"/>
        </w:rPr>
        <w:t>”), if not the Company, shall be a Qualified Successor Entity organized and existing under the laws of the United States of America, any State thereof or the District of Columbia, and the Successor Company (if not the Company) shall expressly assume, by supplemental indenture all of the obligations of the Company under the Notes, this Indenture and the Collateral Documents;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1" w:name="page102"/>
    <w:bookmarkEnd w:id="101"/>
    <w:p>
      <w:pPr>
        <w:jc w:val="both"/>
        <w:ind w:right="20" w:firstLine="569"/>
        <w:spacing w:after="0" w:line="257" w:lineRule="auto"/>
        <w:tabs>
          <w:tab w:leader="none" w:pos="81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property and assets of the Person which is merged or consolidated with or into the Successor Company, as applicable, to the extent that they are property or assets or of the types which would constitute Collateral under the Collateral Documents, shall be treated as after-acquired property and the Successor Company shall take such action as may be reasonably necessary to cause such property and assets to be made subject to the Lien under the Collateral Documents in the manner and to the extent required in this Indenture or any Collateral Document and shall take all reasonably necessary action so that such Liens are perfected to the extent required by this Indenture or any Collateral Document;</w:t>
      </w:r>
    </w:p>
    <w:p>
      <w:pPr>
        <w:spacing w:after="0" w:line="162"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Business Combination Event, no Default or Event of Default shall have occurred and be continuing under this Indenture;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w:t>
      </w:r>
    </w:p>
    <w:p>
      <w:pPr>
        <w:spacing w:after="0" w:line="18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Company has delivered to the Trustee and Collateral Agent an Officer’s Certificate and an Opinion of Counsel, each stating that (x) such Business Combination Event (and, if applicable, the related supplemental indenture) complies with this Indenture and (y) all conditions precedent to such Business Combination Event provided in this Indenture have been complied with.</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12.01</w:t>
      </w:r>
      <w:r>
        <w:rPr>
          <w:rFonts w:ascii="Times New Roman" w:cs="Times New Roman" w:eastAsia="Times New Roman" w:hAnsi="Times New Roman"/>
          <w:sz w:val="16"/>
          <w:szCs w:val="16"/>
          <w:color w:val="auto"/>
        </w:rPr>
        <w:t>,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60"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i w:val="1"/>
          <w:iCs w:val="1"/>
          <w:color w:val="auto"/>
        </w:rPr>
        <w:t>Successor Corporation to Be Substituted.</w:t>
      </w:r>
      <w:r>
        <w:rPr>
          <w:rFonts w:ascii="Times New Roman" w:cs="Times New Roman" w:eastAsia="Times New Roman" w:hAnsi="Times New Roman"/>
          <w:sz w:val="16"/>
          <w:szCs w:val="16"/>
          <w:color w:val="auto"/>
        </w:rPr>
        <w:t xml:space="preserve"> In case of any such Business Combination Event and upon the assumption by the Successor Company (if not the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Business Combination Event that is a consolidation, merger, sale, conveyance or transfer (but not in the case of a lease), upon compliance with this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xml:space="preserve"> the Person named as the “Company” in the first paragraph of this Indenture (or any successor that shall thereafter have become such in the manner prescribed in this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may be dissolved, wound up and liquidated at any time thereafter and, except in the case of a lease, such Person shall be released from its liabilities as obligor and maker of the Notes and from its obligations under this Indenture and the Notes. In case of any such Business Combination Event, such changes in phraseology and form (but not in substance) may be made in the Notes thereafter to be issued as may be appropriate.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2" w:name="page103"/>
    <w:bookmarkEnd w:id="102"/>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i w:val="1"/>
          <w:iCs w:val="1"/>
          <w:color w:val="auto"/>
        </w:rPr>
        <w:t>Guarantors May Consolidate on Certain Terms.</w:t>
      </w:r>
      <w:r>
        <w:rPr>
          <w:rFonts w:ascii="Times New Roman" w:cs="Times New Roman" w:eastAsia="Times New Roman" w:hAnsi="Times New Roman"/>
          <w:sz w:val="16"/>
          <w:szCs w:val="16"/>
          <w:color w:val="auto"/>
        </w:rPr>
        <w:t xml:space="preserve"> No Guarantor shall, and the Company shall not permit any Guarantor to, consolidate with, merge with or into, or sell, convey, transfer or lease all or substantially all of the consolidated properties and assets of such Guarantor, to another Person unless:</w:t>
      </w:r>
    </w:p>
    <w:p>
      <w:pPr>
        <w:spacing w:after="0" w:line="140" w:lineRule="exact"/>
        <w:rPr>
          <w:sz w:val="20"/>
          <w:szCs w:val="20"/>
          <w:color w:val="auto"/>
        </w:rPr>
      </w:pPr>
    </w:p>
    <w:p>
      <w:pPr>
        <w:jc w:val="both"/>
        <w:ind w:right="20" w:firstLine="569"/>
        <w:spacing w:after="0" w:line="266" w:lineRule="auto"/>
        <w:tabs>
          <w:tab w:leader="none" w:pos="80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(the “</w:t>
      </w:r>
      <w:r>
        <w:rPr>
          <w:rFonts w:ascii="Times New Roman" w:cs="Times New Roman" w:eastAsia="Times New Roman" w:hAnsi="Times New Roman"/>
          <w:sz w:val="16"/>
          <w:szCs w:val="16"/>
          <w:b w:val="1"/>
          <w:bCs w:val="1"/>
          <w:color w:val="auto"/>
        </w:rPr>
        <w:t>Successor Guarantor</w:t>
      </w:r>
      <w:r>
        <w:rPr>
          <w:rFonts w:ascii="Times New Roman" w:cs="Times New Roman" w:eastAsia="Times New Roman" w:hAnsi="Times New Roman"/>
          <w:sz w:val="16"/>
          <w:szCs w:val="16"/>
          <w:color w:val="auto"/>
        </w:rPr>
        <w:t>”) shall be a corporation organized and existing under the laws of the United States of America, any State thereof or the District of Columbia, and the Successor Guarantor shall expressly assume, by supplemental indenture and other supplements or agreements all of the obligations of the Guarantor under the Notes, and this Indenture and the Collateral Documents;</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80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property and assets of the Person which is merged or consolidated with or into the Successor Guarantor, as applicable, to the extent that they are property or assets or of the types which would constitute Collateral under the Collateral Documents, shall be treated as after-acquired property and the Successor Guarantor shall take such action as may be reasonably necessary to cause such property and assets to be made subject to the Lien under the Collateral Documents in the manner and to the extent required in this Indenture or any Collateral Document and shall take all reasonably necessary action so that such Liens are perfected to the extent required by this Indenture or any Collateral Document;</w:t>
      </w:r>
    </w:p>
    <w:p>
      <w:pPr>
        <w:spacing w:after="0" w:line="162"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transaction, no Default or Event of Default shall have occurred and be continuing under this Indenture; and</w:t>
      </w:r>
    </w:p>
    <w:p>
      <w:pPr>
        <w:spacing w:after="0" w:line="198" w:lineRule="exact"/>
        <w:rPr>
          <w:rFonts w:ascii="Times New Roman" w:cs="Times New Roman" w:eastAsia="Times New Roman" w:hAnsi="Times New Roman"/>
          <w:sz w:val="16"/>
          <w:szCs w:val="16"/>
          <w:color w:val="auto"/>
        </w:rPr>
      </w:pPr>
    </w:p>
    <w:p>
      <w:pPr>
        <w:jc w:val="both"/>
        <w:ind w:firstLine="569"/>
        <w:spacing w:after="0" w:line="265" w:lineRule="auto"/>
        <w:tabs>
          <w:tab w:leader="none" w:pos="832"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Successor Guarantor has delivered to the Trustee and Collateral Agent an Officer’s Certificate and an Opinion of Counsel, each stating that (x) such consolidation, amalgamation, merger or transfer (and, if applicable, the related supplemental indenture) complies with this Indenture and (y) all conditions precedent to such consolidation, amalgamation, merger or transfer provided in this Indenture have been complied with.</w:t>
      </w:r>
    </w:p>
    <w:p>
      <w:pPr>
        <w:spacing w:after="0" w:line="15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The Successor Guarantor (if other than such Guarantor) will succeed to, and be substituted for, such Guarantor under this Indenture, the Notes, the Note Guarantee and the Collateral Documents, as applicable.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ARTICLE 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GUARANTEES</w:t>
      </w:r>
    </w:p>
    <w:p>
      <w:pPr>
        <w:spacing w:after="0" w:line="180"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13.01. </w:t>
      </w:r>
      <w:r>
        <w:rPr>
          <w:rFonts w:ascii="Times New Roman" w:cs="Times New Roman" w:eastAsia="Times New Roman" w:hAnsi="Times New Roman"/>
          <w:sz w:val="16"/>
          <w:szCs w:val="16"/>
          <w:i w:val="1"/>
          <w:iCs w:val="1"/>
          <w:color w:val="auto"/>
        </w:rPr>
        <w:t>Guarantee</w:t>
      </w:r>
      <w:r>
        <w:rPr>
          <w:rFonts w:ascii="Times New Roman" w:cs="Times New Roman" w:eastAsia="Times New Roman" w:hAnsi="Times New Roman"/>
          <w:sz w:val="16"/>
          <w:szCs w:val="16"/>
          <w:color w:val="auto"/>
        </w:rPr>
        <w:t xml:space="preserve">. Subject to the provisions of this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each Guarantor hereby fully, unconditionally and irrevocably guarantees, as primary obligor and not merely as surety, jointly and severally with each other Guarantor, to each Holder of the Notes, the Trustee and the Collateral Agent the full and punctual payment when due, whether at maturity, by acceleration or otherwise, of the principal of, premium, if any, and interest (including Additional Interest, if any) on the Notes, fees, expenses, indemnities and all other Obligations and liabilities of the Company under this Indenture and the Collateral Documents (including without limitation interest (including Additional Interest, if any) accruing after the filing of any petition or application in bankruptcy, or the commencement of any insolvency, reorganization or like proceeding, relating to the Company or any Guarantor whether or not a claim for post-filing or post-petition interest is allowed in such proceeding) (all the foregoing being hereinafter collectively called the “</w:t>
      </w:r>
      <w:r>
        <w:rPr>
          <w:rFonts w:ascii="Times New Roman" w:cs="Times New Roman" w:eastAsia="Times New Roman" w:hAnsi="Times New Roman"/>
          <w:sz w:val="16"/>
          <w:szCs w:val="16"/>
          <w:b w:val="1"/>
          <w:bCs w:val="1"/>
          <w:color w:val="auto"/>
        </w:rPr>
        <w:t>Guaranteed Obligations</w:t>
      </w:r>
      <w:r>
        <w:rPr>
          <w:rFonts w:ascii="Times New Roman" w:cs="Times New Roman" w:eastAsia="Times New Roman" w:hAnsi="Times New Roman"/>
          <w:sz w:val="16"/>
          <w:szCs w:val="16"/>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Note Guarantees will rank senior in right of payment to such other Indebtedness.</w:t>
      </w:r>
    </w:p>
    <w:p>
      <w:pPr>
        <w:spacing w:after="0" w:line="16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To evidence its Note Guarantee set forth in this </w:t>
      </w:r>
      <w:r>
        <w:rPr>
          <w:rFonts w:ascii="Times New Roman" w:cs="Times New Roman" w:eastAsia="Times New Roman" w:hAnsi="Times New Roman"/>
          <w:sz w:val="16"/>
          <w:szCs w:val="16"/>
          <w:u w:val="single" w:color="auto"/>
          <w:color w:val="auto"/>
        </w:rPr>
        <w:t>Section 13.01</w:t>
      </w:r>
      <w:r>
        <w:rPr>
          <w:rFonts w:ascii="Times New Roman" w:cs="Times New Roman" w:eastAsia="Times New Roman" w:hAnsi="Times New Roman"/>
          <w:sz w:val="16"/>
          <w:szCs w:val="16"/>
          <w:color w:val="auto"/>
        </w:rPr>
        <w:t>, each Guarantor hereby agrees that this Indenture shall be executed on behalf of such Guarantor by an Officer of such Guarantor.</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Each Guarantor hereby agrees that its Note Guarantee set forth in this </w:t>
      </w:r>
      <w:r>
        <w:rPr>
          <w:rFonts w:ascii="Times New Roman" w:cs="Times New Roman" w:eastAsia="Times New Roman" w:hAnsi="Times New Roman"/>
          <w:sz w:val="16"/>
          <w:szCs w:val="16"/>
          <w:u w:val="single" w:color="auto"/>
          <w:color w:val="auto"/>
        </w:rPr>
        <w:t>Section 13.01</w:t>
      </w:r>
      <w:r>
        <w:rPr>
          <w:rFonts w:ascii="Times New Roman" w:cs="Times New Roman" w:eastAsia="Times New Roman" w:hAnsi="Times New Roman"/>
          <w:sz w:val="16"/>
          <w:szCs w:val="16"/>
          <w:color w:val="auto"/>
        </w:rPr>
        <w:t xml:space="preserve"> shall remain in full force and effect notwithstanding the absence of the endorsement of any notation of such Note Guarantee on the Notes.</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If an Officer whose signature is on this Indenture no longer holds that office at the time the Trustee authenticates the Note, the Note Guarantee shall be valid nevertheless.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notwithstanding any extension or renewal of any Guaranteed Obligation.</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Each Guarantor waives presentation to, demand of payment from and protest to the Company of any of the Guaranteed Obligations and also waives notice of protest for nonpayment. Each Guarantor waives notice of any default under the Notes or the Guaranteed Obligations.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Each Guarantor further agrees that its Note Guarantee herein constitutes a Guarantee of payment when due (and not a Guarantee of collection) and waives any right to require that any resort be had by any Holder to any security held for payment of the Guaranteed Obligations.</w:t>
      </w:r>
    </w:p>
    <w:p>
      <w:pPr>
        <w:spacing w:after="0" w:line="144"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 13.02</w:t>
      </w:r>
      <w:r>
        <w:rPr>
          <w:rFonts w:ascii="Times New Roman" w:cs="Times New Roman" w:eastAsia="Times New Roman" w:hAnsi="Times New Roman"/>
          <w:sz w:val="16"/>
          <w:szCs w:val="16"/>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the Trustee, the Collateral Agent or any Holder to assert any claim or demand or to enforce any right or remedy against the Company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the Collateral Agent or any Holder for the Guaranteed Obligations; (e) the failure of the Trustee, the Collateral Agent or any Holder to exercise any right or remedy against any other Guarantor; (f) any change in the ownership of the Company;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 (other than, in each case, payment in full of the Obligations (other than contingent obligations and expense reimbursement not yet due and payable)).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4" w:name="page105"/>
    <w:bookmarkEnd w:id="104"/>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Each Guarantor agrees that its Note Guarantee herein shall remain in full force and effect until payment in full of all the Guaranteed Obligations or such Guarantor is released from its Note Guarantee in compliance with </w:t>
      </w:r>
      <w:r>
        <w:rPr>
          <w:rFonts w:ascii="Times New Roman" w:cs="Times New Roman" w:eastAsia="Times New Roman" w:hAnsi="Times New Roman"/>
          <w:sz w:val="16"/>
          <w:szCs w:val="16"/>
          <w:u w:val="single" w:color="auto"/>
          <w:color w:val="auto"/>
        </w:rPr>
        <w:t>Section 13.02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Each Guarantor further agrees that its Note Guarantee herein shall continue to be effective or be reinstated, as the case may be, if at any time payment, or any part thereof, of principal of, premium, if any, or interest (including Additional Interest, if any) on any of the Guaranteed Obligations is rescinded or must otherwise be restored by any Holder upon the bankruptcy, insolvency or reorganization of the Company or otherwise.</w:t>
      </w:r>
    </w:p>
    <w:p>
      <w:pPr>
        <w:spacing w:after="0" w:line="16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In furtherance of the foregoing and not in limitation of any other right which any Holder has at law or in equity against any Guarantor by virtue hereof, upon the failure of the Company to pay any of the Guaranteed Obligations when and as the same shall become due, whether at maturity, by acceleration,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accrued and unpaid interest (including Additional Interest, if any) on such Guaranteed Obligations then due and owing (but only to the extent not prohibited by law) (including interest accruing after the filing of any petition or application in bankruptcy or the commencement of any insolvency, reorganization or like proceeding relating to the Company or any Guarantor whether or not a claim for post filing or post petition interest is allowed in such proceeding).</w:t>
      </w:r>
    </w:p>
    <w:p>
      <w:pPr>
        <w:spacing w:after="0" w:line="167"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Each Guarantor further agrees that, as between such Guarantor, on the one hand, and the Holders, on the other hand, (x) the maturity of the Guaranteed Obligations guaranteed hereby may be accelerated as provided in this Indenture for the purposes of its Note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Note Guarantee.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Each Guarantor also agrees to pay any and all fees, costs and expenses (including reasonable out-of-pocket attorneys’ fees and expenses) incurred by the Collateral Agent, Trustee or the Holders in enforcing any rights under this </w:t>
      </w:r>
      <w:r>
        <w:rPr>
          <w:rFonts w:ascii="Times New Roman" w:cs="Times New Roman" w:eastAsia="Times New Roman" w:hAnsi="Times New Roman"/>
          <w:sz w:val="16"/>
          <w:szCs w:val="16"/>
          <w:u w:val="single" w:color="auto"/>
          <w:color w:val="auto"/>
        </w:rPr>
        <w:t>Section 13.01</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5" w:name="page106"/>
    <w:bookmarkEnd w:id="105"/>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Each Guarantor assumes all responsibility for being and keeping itself informed of the Company’s and each other Guarantor’s financial condition and assets, and of all other circumstances bearing upon the risk of nonpayment of the Guaranteed Obligations and the nature, scope and extent of the risks that such Guarantor assumes and incurs hereunder, and agrees that none of the Secured Parties will have any duty to advise such Guarantor of information known to it or any of them regarding such circumstances or risks.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13.02. </w:t>
      </w:r>
      <w:r>
        <w:rPr>
          <w:rFonts w:ascii="Times New Roman" w:cs="Times New Roman" w:eastAsia="Times New Roman" w:hAnsi="Times New Roman"/>
          <w:sz w:val="16"/>
          <w:szCs w:val="16"/>
          <w:i w:val="1"/>
          <w:iCs w:val="1"/>
          <w:color w:val="auto"/>
        </w:rPr>
        <w:t>Limitation on Liability; Termination, Release and Discharge.</w:t>
      </w:r>
    </w:p>
    <w:p>
      <w:pPr>
        <w:spacing w:after="0" w:line="200" w:lineRule="exact"/>
        <w:rPr>
          <w:sz w:val="20"/>
          <w:szCs w:val="20"/>
          <w:color w:val="auto"/>
        </w:rPr>
      </w:pPr>
    </w:p>
    <w:p>
      <w:pPr>
        <w:jc w:val="both"/>
        <w:ind w:firstLine="569"/>
        <w:spacing w:after="0" w:line="257" w:lineRule="auto"/>
        <w:tabs>
          <w:tab w:leader="none" w:pos="802"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term or provision of this Indenture to the contrary notwithstanding, the obligations of each Guarantor 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not render the obligations of such Guarantor under its Note Guarantee subject to avoidance under applicable law as a fraudulent conveyance, fraudulent transfer or unjust preference, including under federal, foreign, or state law, or otherwise void or voidable under any similar laws affecting the rights of creditors generally.</w:t>
      </w:r>
    </w:p>
    <w:p>
      <w:pPr>
        <w:spacing w:after="0" w:line="162" w:lineRule="exact"/>
        <w:rPr>
          <w:rFonts w:ascii="Times New Roman" w:cs="Times New Roman" w:eastAsia="Times New Roman" w:hAnsi="Times New Roman"/>
          <w:sz w:val="16"/>
          <w:szCs w:val="16"/>
          <w:color w:val="auto"/>
        </w:rPr>
      </w:pPr>
    </w:p>
    <w:p>
      <w:pPr>
        <w:jc w:val="both"/>
        <w:ind w:firstLine="569"/>
        <w:spacing w:after="0" w:line="259" w:lineRule="auto"/>
        <w:tabs>
          <w:tab w:leader="none" w:pos="80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Note Guarantee of a Guarantor (x) in the case of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below, at the election of the Company, may be released and discharged and such Guarantor and its obligations under this Indenture and the other Notes Documents shall be released and discharged and (y) in the case of </w:t>
      </w:r>
      <w:r>
        <w:rPr>
          <w:rFonts w:ascii="Times New Roman" w:cs="Times New Roman" w:eastAsia="Times New Roman" w:hAnsi="Times New Roman"/>
          <w:sz w:val="16"/>
          <w:szCs w:val="16"/>
          <w:u w:val="single" w:color="auto"/>
          <w:color w:val="auto"/>
        </w:rPr>
        <w:t>clauses (ii)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xml:space="preserve"> below, shall be automatically (and without any further action on the part of the Company or any Secured Party) be released and discharged and such Guarantor and its obligations under this Indenture and the other Notes Documents shall be released and discharged:</w:t>
      </w:r>
    </w:p>
    <w:p>
      <w:pPr>
        <w:spacing w:after="0" w:line="161"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44"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any sale or other disposition of all or substantially all of the assets of such Guarantor (including by way of merger or consolidation or amalgamation) to a Person that is not (either before or after giving effect to such transaction) a Subsidiary of the Company, so long as (1) no Default or Event of Default shall have occurred and be continuing under this Indenture at the time of such sale or other disposition, (2) such sale or other disposition shall be completed in a transaction permitted (or not prohibited) by the terms of this Indenture with a legitimate business purpose and not for the purpose of releasing such Notes Guarantee or for the incurrence of Indebtedness or liability management and (3) the consideration received by the Company and its Subsidiaries in such sale or other disposition shall be at least equal to the Fair Market Value of the assets of such Guarantor sold or disposed 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Notes Guarantee of such Guarantor will continue to be in full force and effect as a result of any sale or other disposition not in compliance with this </w:t>
      </w:r>
      <w:r>
        <w:rPr>
          <w:rFonts w:ascii="Times New Roman" w:cs="Times New Roman" w:eastAsia="Times New Roman" w:hAnsi="Times New Roman"/>
          <w:sz w:val="16"/>
          <w:szCs w:val="16"/>
          <w:u w:val="single" w:color="auto"/>
          <w:color w:val="auto"/>
        </w:rPr>
        <w:t>Section 13.02(b)(i)</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402"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any sale or other disposition of the Capital Stock of such Guarantor after which such Guarantor is no longer a Subsidiary of the Company, so long as (1) no Default or Event of Default shall have occurred and be continuing under this Indenture at the time of such sale or other disposition, (2) such sale or other disposition shall be completed in a transaction permitted (or not prohibited) by the terms of this Indenture with a legitimate business purpose and not for the purpose of releasing such Notes Guarantee or for the incurrence of Indebtedness or liability management and (3) the consideration received by the Company and its Subsidiaries in such sale or other disposition shall be at least equal to the Fair Market Value of the Capital Stock of such Guarantor sold or disposed 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Notes Guarantee of such Guarantor will continue to be in full force and effect as a result of any sale or other disposition not in compliance with this </w:t>
      </w:r>
      <w:r>
        <w:rPr>
          <w:rFonts w:ascii="Times New Roman" w:cs="Times New Roman" w:eastAsia="Times New Roman" w:hAnsi="Times New Roman"/>
          <w:sz w:val="16"/>
          <w:szCs w:val="16"/>
          <w:u w:val="single" w:color="auto"/>
          <w:color w:val="auto"/>
        </w:rPr>
        <w:t>Section 13.02(b)(ii)</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6" w:name="page107"/>
    <w:bookmarkEnd w:id="106"/>
    <w:p>
      <w:pPr>
        <w:ind w:right="20" w:firstLine="1143"/>
        <w:spacing w:after="0" w:line="283" w:lineRule="auto"/>
        <w:tabs>
          <w:tab w:leader="none" w:pos="1429"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the dissolution of such Guarantor under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Person who receives the assets of such dissolving Guarantor shall be or become a Note Party if such Person is a Subsidiary of the Company; or</w:t>
      </w:r>
    </w:p>
    <w:p>
      <w:pPr>
        <w:spacing w:after="0" w:line="141"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discharge of the Notes as provided in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569"/>
        <w:spacing w:after="0" w:line="253" w:lineRule="auto"/>
        <w:tabs>
          <w:tab w:leader="none" w:pos="80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release of any Note Guarantee, upon receipt of an Officer’s Certificate and an Opinion of Counsel each stating that all conditions precedent under this Indenture and the other Notes Documents, as applicable, to such release have been met and that it is proper for the Trustee or the Collateral Agent to execute and deliver the documents requested by the Company in connection with such release, and any instruments of termination, satisfaction, discharge or release prepared by the Company, the Trustee and the Collateral Agent shall execute, deliver or acknowledge (at the Company’s expense) such instruments or releases to evidence the release and discharge of any Note Guarantee permitted to be released pursuant to this Indenture. Neither the Trustee nor the Collateral Agent shall be liable for any such release undertaken in reliance upon any such Officer’s Certificate or Opinion of Counsel, and notwithstanding any term hereof or in any other Notes Document to the contrary, the Trustee and the Collateral Agent shall not be under any obligation to execute and deliver any such instrument of release, satisfaction, discharge or termination, unless and until it receives such Officer’s Certificate and Opinion of Counsel.</w:t>
      </w:r>
    </w:p>
    <w:p>
      <w:pPr>
        <w:spacing w:after="0" w:line="167"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13.03. </w:t>
      </w:r>
      <w:r>
        <w:rPr>
          <w:rFonts w:ascii="Times New Roman" w:cs="Times New Roman" w:eastAsia="Times New Roman" w:hAnsi="Times New Roman"/>
          <w:sz w:val="16"/>
          <w:szCs w:val="16"/>
          <w:i w:val="1"/>
          <w:iCs w:val="1"/>
          <w:color w:val="auto"/>
        </w:rPr>
        <w:t>Right of Contribution</w:t>
      </w:r>
      <w:r>
        <w:rPr>
          <w:rFonts w:ascii="Times New Roman" w:cs="Times New Roman" w:eastAsia="Times New Roman" w:hAnsi="Times New Roman"/>
          <w:sz w:val="16"/>
          <w:szCs w:val="16"/>
          <w:color w:val="auto"/>
        </w:rPr>
        <w:t xml:space="preserve">. Each Guarantor hereby agrees that to the extent that any Guarantor shall have paid more than its proportionate share of any payment made on the obligations under the Note Guarantees, such Guarantor shall be entitled to seek and receive contribution from and against the Company or any other Guarantor who has not paid its proportionate share of such payment. The provisions of this </w:t>
      </w:r>
      <w:r>
        <w:rPr>
          <w:rFonts w:ascii="Times New Roman" w:cs="Times New Roman" w:eastAsia="Times New Roman" w:hAnsi="Times New Roman"/>
          <w:sz w:val="16"/>
          <w:szCs w:val="16"/>
          <w:u w:val="single" w:color="auto"/>
          <w:color w:val="auto"/>
        </w:rPr>
        <w:t>Section 13.03</w:t>
      </w:r>
      <w:r>
        <w:rPr>
          <w:rFonts w:ascii="Times New Roman" w:cs="Times New Roman" w:eastAsia="Times New Roman" w:hAnsi="Times New Roman"/>
          <w:sz w:val="16"/>
          <w:szCs w:val="16"/>
          <w:color w:val="auto"/>
        </w:rPr>
        <w:t xml:space="preserve"> shall in no respect limit the obligations and liabilities of each Guarantor to the Trustee, the Collateral Agent and the Holders and each Guarantor shall remain liable to the Trustee, the Collateral Agent and the Holders for the full amount guaranteed by such Guarantor hereunder.</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13.04. </w:t>
      </w:r>
      <w:r>
        <w:rPr>
          <w:rFonts w:ascii="Times New Roman" w:cs="Times New Roman" w:eastAsia="Times New Roman" w:hAnsi="Times New Roman"/>
          <w:sz w:val="16"/>
          <w:szCs w:val="16"/>
          <w:i w:val="1"/>
          <w:iCs w:val="1"/>
          <w:color w:val="auto"/>
        </w:rPr>
        <w:t>No Subrogation</w:t>
      </w:r>
      <w:r>
        <w:rPr>
          <w:rFonts w:ascii="Times New Roman" w:cs="Times New Roman" w:eastAsia="Times New Roman" w:hAnsi="Times New Roman"/>
          <w:sz w:val="16"/>
          <w:szCs w:val="16"/>
          <w:color w:val="auto"/>
        </w:rPr>
        <w:t>. Notwithstanding any payment or payments made by each Guarantor hereunder, no Guarantor shall be entitled to be subrogated to any of the rights of the Trustee, the Collateral Agent or any Holder against the Company or any other Guarantor or any collateral security or guarantee or right of offset held by the Trustee, the Collateral Agent or any Holder for the payment of the Guaranteed Obligations, nor shall any Guarantor seek or be entitled to seek any contribution or reimbursement from the Company or any other Guarantor in respect of payments made by such Guarantor hereunder, until all amounts owing to the Trustee, the Collateral Agent and the Holders by the Company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the Collateral Agent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7" w:name="page108"/>
    <w:bookmarkEnd w:id="107"/>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13.05. </w:t>
      </w:r>
      <w:r>
        <w:rPr>
          <w:rFonts w:ascii="Times New Roman" w:cs="Times New Roman" w:eastAsia="Times New Roman" w:hAnsi="Times New Roman"/>
          <w:sz w:val="16"/>
          <w:szCs w:val="16"/>
          <w:i w:val="1"/>
          <w:iCs w:val="1"/>
          <w:color w:val="auto"/>
        </w:rPr>
        <w:t>Subordination.</w:t>
      </w:r>
      <w:r>
        <w:rPr>
          <w:rFonts w:ascii="Times New Roman" w:cs="Times New Roman" w:eastAsia="Times New Roman" w:hAnsi="Times New Roman"/>
          <w:sz w:val="16"/>
          <w:szCs w:val="16"/>
          <w:color w:val="auto"/>
        </w:rPr>
        <w:t xml:space="preserve"> Notwithstanding any provision of this Indenture to the contrary, all rights of the Guarantors under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and all other rights of indemnity, contribution or subrogation under applicable law or otherwise, shall be fully subordinated to the payment in full in cash of the Obligations. No failure on the part of the Company or any Guarantor to make the payments required by </w:t>
      </w:r>
      <w:r>
        <w:rPr>
          <w:rFonts w:ascii="Times New Roman" w:cs="Times New Roman" w:eastAsia="Times New Roman" w:hAnsi="Times New Roman"/>
          <w:sz w:val="16"/>
          <w:szCs w:val="16"/>
          <w:u w:val="single" w:color="auto"/>
          <w:color w:val="auto"/>
        </w:rPr>
        <w:t>Section 13.04</w:t>
      </w:r>
      <w:r>
        <w:rPr>
          <w:rFonts w:ascii="Times New Roman" w:cs="Times New Roman" w:eastAsia="Times New Roman" w:hAnsi="Times New Roman"/>
          <w:sz w:val="16"/>
          <w:szCs w:val="16"/>
          <w:color w:val="auto"/>
        </w:rPr>
        <w:t xml:space="preserve"> (or any other payments required under applicable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IMMUNITY OF INCORPORATORS, STOCKHOLDERS, OFFICERS AND DIRECTORS</w:t>
      </w:r>
    </w:p>
    <w:p>
      <w:pPr>
        <w:spacing w:after="0" w:line="180" w:lineRule="exact"/>
        <w:rPr>
          <w:sz w:val="20"/>
          <w:szCs w:val="20"/>
          <w:color w:val="auto"/>
        </w:rPr>
      </w:pPr>
    </w:p>
    <w:p>
      <w:pPr>
        <w:jc w:val="both"/>
        <w:ind w:right="20" w:firstLine="574"/>
        <w:spacing w:after="0" w:line="276" w:lineRule="auto"/>
        <w:rPr>
          <w:sz w:val="20"/>
          <w:szCs w:val="20"/>
          <w:color w:val="auto"/>
        </w:rPr>
      </w:pPr>
      <w:r>
        <w:rPr>
          <w:rFonts w:ascii="Times New Roman" w:cs="Times New Roman" w:eastAsia="Times New Roman" w:hAnsi="Times New Roman"/>
          <w:sz w:val="15"/>
          <w:szCs w:val="15"/>
          <w:color w:val="auto"/>
        </w:rPr>
        <w:t xml:space="preserve">Section 14.01. </w:t>
      </w:r>
      <w:r>
        <w:rPr>
          <w:rFonts w:ascii="Times New Roman" w:cs="Times New Roman" w:eastAsia="Times New Roman" w:hAnsi="Times New Roman"/>
          <w:sz w:val="15"/>
          <w:szCs w:val="15"/>
          <w:i w:val="1"/>
          <w:iCs w:val="1"/>
          <w:color w:val="auto"/>
        </w:rPr>
        <w:t>Indenture and Notes Solely Corporate Obligations.</w:t>
      </w:r>
      <w:r>
        <w:rPr>
          <w:rFonts w:ascii="Times New Roman" w:cs="Times New Roman" w:eastAsia="Times New Roman" w:hAnsi="Times New Roman"/>
          <w:sz w:val="15"/>
          <w:szCs w:val="15"/>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CONVERSION OF NOTES</w:t>
      </w:r>
    </w:p>
    <w:p>
      <w:pPr>
        <w:spacing w:after="0" w:line="18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15.01. </w:t>
      </w:r>
      <w:r>
        <w:rPr>
          <w:rFonts w:ascii="Times New Roman" w:cs="Times New Roman" w:eastAsia="Times New Roman" w:hAnsi="Times New Roman"/>
          <w:sz w:val="16"/>
          <w:szCs w:val="16"/>
          <w:i w:val="1"/>
          <w:iCs w:val="1"/>
          <w:color w:val="auto"/>
        </w:rPr>
        <w:t>Conversion Privilege.</w:t>
      </w:r>
      <w:r>
        <w:rPr>
          <w:rFonts w:ascii="Times New Roman" w:cs="Times New Roman" w:eastAsia="Times New Roman" w:hAnsi="Times New Roman"/>
          <w:sz w:val="16"/>
          <w:szCs w:val="16"/>
          <w:color w:val="auto"/>
        </w:rPr>
        <w:t xml:space="preserve"> Subject to and upon compliance with the provisions of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(including, without limitation,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 xml:space="preserve">), each Holder of a Note shall have the right, at such Holder’s option, to convert all or any portion (if the portion to be converted is $1,000 principal amount or an integral multiple thereof) of such Note, at any time on or after the date hereof and prior to the close of business on the Business Day immediately preceding the Maturity Date at an initial conversion rate of 610.3143 shares of Common Stock (subject to adjustment as provided in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Conversion Rate</w:t>
      </w:r>
      <w:r>
        <w:rPr>
          <w:rFonts w:ascii="Times New Roman" w:cs="Times New Roman" w:eastAsia="Times New Roman" w:hAnsi="Times New Roman"/>
          <w:sz w:val="16"/>
          <w:szCs w:val="16"/>
          <w:color w:val="auto"/>
        </w:rPr>
        <w:t xml:space="preserve">”) per $1,000 principal amount of Notes (subject to, and in accordance with, the settlement provisions of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Conversion Obligation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15.02. </w:t>
      </w:r>
      <w:r>
        <w:rPr>
          <w:rFonts w:ascii="Times New Roman" w:cs="Times New Roman" w:eastAsia="Times New Roman" w:hAnsi="Times New Roman"/>
          <w:sz w:val="16"/>
          <w:szCs w:val="16"/>
          <w:i w:val="1"/>
          <w:iCs w:val="1"/>
          <w:color w:val="auto"/>
        </w:rPr>
        <w:t>Conversion Procedure; Settlement Upon Conversion.</w:t>
      </w:r>
    </w:p>
    <w:p>
      <w:pPr>
        <w:spacing w:after="0" w:line="200" w:lineRule="exact"/>
        <w:rPr>
          <w:sz w:val="20"/>
          <w:szCs w:val="20"/>
          <w:color w:val="auto"/>
        </w:rPr>
      </w:pPr>
    </w:p>
    <w:p>
      <w:pPr>
        <w:jc w:val="both"/>
        <w:ind w:firstLine="569"/>
        <w:spacing w:after="0" w:line="257" w:lineRule="auto"/>
        <w:tabs>
          <w:tab w:leader="none" w:pos="79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this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15.03(b)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15.07(a)</w:t>
      </w:r>
      <w:r>
        <w:rPr>
          <w:rFonts w:ascii="Times New Roman" w:cs="Times New Roman" w:eastAsia="Times New Roman" w:hAnsi="Times New Roman"/>
          <w:sz w:val="16"/>
          <w:szCs w:val="16"/>
          <w:color w:val="auto"/>
        </w:rPr>
        <w:t>, upon conversion of any Note, the Company shall pay or deliver, as the case may be, to the converting Holder, in respect of each $1,000 principal amount of Notes being converted, cash (“</w:t>
      </w:r>
      <w:r>
        <w:rPr>
          <w:rFonts w:ascii="Times New Roman" w:cs="Times New Roman" w:eastAsia="Times New Roman" w:hAnsi="Times New Roman"/>
          <w:sz w:val="16"/>
          <w:szCs w:val="16"/>
          <w:b w:val="1"/>
          <w:bCs w:val="1"/>
          <w:color w:val="auto"/>
        </w:rPr>
        <w:t>Cash Settlement</w:t>
      </w:r>
      <w:r>
        <w:rPr>
          <w:rFonts w:ascii="Times New Roman" w:cs="Times New Roman" w:eastAsia="Times New Roman" w:hAnsi="Times New Roman"/>
          <w:sz w:val="16"/>
          <w:szCs w:val="16"/>
          <w:color w:val="auto"/>
        </w:rPr>
        <w:t xml:space="preserve">”), shares of Common Stock, together with cash, if applicable, in lieu of delivering any fractional share of Common Stock in accordance with </w:t>
      </w:r>
      <w:r>
        <w:rPr>
          <w:rFonts w:ascii="Times New Roman" w:cs="Times New Roman" w:eastAsia="Times New Roman" w:hAnsi="Times New Roman"/>
          <w:sz w:val="16"/>
          <w:szCs w:val="16"/>
          <w:u w:val="single" w:color="auto"/>
          <w:color w:val="auto"/>
        </w:rPr>
        <w:t>subsection (j)</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Physical Settlement</w:t>
      </w:r>
      <w:r>
        <w:rPr>
          <w:rFonts w:ascii="Times New Roman" w:cs="Times New Roman" w:eastAsia="Times New Roman" w:hAnsi="Times New Roman"/>
          <w:sz w:val="16"/>
          <w:szCs w:val="16"/>
          <w:color w:val="auto"/>
        </w:rPr>
        <w:t xml:space="preserve">”) or a combination of cash and shares of Common Stock, together with cash, if applicable, in lieu of delivering any fractional share of Common Stock in accordance with </w:t>
      </w:r>
      <w:r>
        <w:rPr>
          <w:rFonts w:ascii="Times New Roman" w:cs="Times New Roman" w:eastAsia="Times New Roman" w:hAnsi="Times New Roman"/>
          <w:sz w:val="16"/>
          <w:szCs w:val="16"/>
          <w:u w:val="single" w:color="auto"/>
          <w:color w:val="auto"/>
        </w:rPr>
        <w:t>subsection (j)</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Combination Settlement</w:t>
      </w:r>
      <w:r>
        <w:rPr>
          <w:rFonts w:ascii="Times New Roman" w:cs="Times New Roman" w:eastAsia="Times New Roman" w:hAnsi="Times New Roman"/>
          <w:sz w:val="16"/>
          <w:szCs w:val="16"/>
          <w:color w:val="auto"/>
        </w:rPr>
        <w:t xml:space="preserve">”), at its election, as set forth in this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8" w:name="page109"/>
    <w:bookmarkEnd w:id="108"/>
    <w:p>
      <w:pPr>
        <w:ind w:right="20" w:firstLine="1143"/>
        <w:spacing w:after="0" w:line="280" w:lineRule="auto"/>
        <w:tabs>
          <w:tab w:leader="none" w:pos="1354"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the same Settlement Method for all conversions occurring on the same Conversion Date, but the Company shall not have any obligation to use the same Settlement Method with respect to conversions with different Conversion Dates.</w:t>
      </w:r>
    </w:p>
    <w:p>
      <w:pPr>
        <w:spacing w:after="0" w:line="142"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91"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respect of any Conversion Date, the Company elects to deliver a notice (the “</w:t>
      </w:r>
      <w:r>
        <w:rPr>
          <w:rFonts w:ascii="Times New Roman" w:cs="Times New Roman" w:eastAsia="Times New Roman" w:hAnsi="Times New Roman"/>
          <w:sz w:val="16"/>
          <w:szCs w:val="16"/>
          <w:b w:val="1"/>
          <w:bCs w:val="1"/>
          <w:color w:val="auto"/>
        </w:rPr>
        <w:t>Settlement Notice</w:t>
      </w:r>
      <w:r>
        <w:rPr>
          <w:rFonts w:ascii="Times New Roman" w:cs="Times New Roman" w:eastAsia="Times New Roman" w:hAnsi="Times New Roman"/>
          <w:sz w:val="16"/>
          <w:szCs w:val="16"/>
          <w:color w:val="auto"/>
        </w:rPr>
        <w:t xml:space="preserve">”) of the relevant Settlement Method in respect of such Conversion Date, and the Company has not previously irrevocably elected a Settlement Method as described under </w:t>
      </w:r>
      <w:r>
        <w:rPr>
          <w:rFonts w:ascii="Times New Roman" w:cs="Times New Roman" w:eastAsia="Times New Roman" w:hAnsi="Times New Roman"/>
          <w:sz w:val="16"/>
          <w:szCs w:val="16"/>
          <w:u w:val="single" w:color="auto"/>
          <w:color w:val="auto"/>
        </w:rPr>
        <w:t>Section 15.02(a)(iv)</w:t>
      </w:r>
      <w:r>
        <w:rPr>
          <w:rFonts w:ascii="Times New Roman" w:cs="Times New Roman" w:eastAsia="Times New Roman" w:hAnsi="Times New Roman"/>
          <w:sz w:val="16"/>
          <w:szCs w:val="16"/>
          <w:color w:val="auto"/>
        </w:rPr>
        <w:t xml:space="preserve">, the Company shall deliver such Settlement Notice to converting Holders, the Trustee and the Conversion Agent (if other than the Trustee) no later than the close of business on the Trading Day immediately following the relevant Conversion Date. If the Company does not elect a Settlement Method prior to the deadline set forth in the immediately preceding sentence, unless the Company has previously irrevocably elected a Settlement Method as described under </w:t>
      </w:r>
      <w:r>
        <w:rPr>
          <w:rFonts w:ascii="Times New Roman" w:cs="Times New Roman" w:eastAsia="Times New Roman" w:hAnsi="Times New Roman"/>
          <w:sz w:val="16"/>
          <w:szCs w:val="16"/>
          <w:u w:val="single" w:color="auto"/>
          <w:color w:val="auto"/>
        </w:rPr>
        <w:t>Section 15.02(a)(iv)</w:t>
      </w:r>
      <w:r>
        <w:rPr>
          <w:rFonts w:ascii="Times New Roman" w:cs="Times New Roman" w:eastAsia="Times New Roman" w:hAnsi="Times New Roman"/>
          <w:sz w:val="16"/>
          <w:szCs w:val="16"/>
          <w:color w:val="auto"/>
        </w:rPr>
        <w:t>, the Company shall no longer have the right to elect Cash Settlement or Physical Settlement for such conversion and the Company shall be deemed to have elected Combination Settlement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in respect of its Conversion Obligation but does not indicate a Specified Dollar Amount per $1,000 principal amount of Notes in such Settlement Notice, the Specified Dollar Amount per $1,000 principal amount of Notes shall be deemed to be $1,000.(iv) The cash, shares of Common Stock or combination of cash and shares of Common Stock in respect of any conversion of Notes (the “</w:t>
      </w:r>
      <w:r>
        <w:rPr>
          <w:rFonts w:ascii="Times New Roman" w:cs="Times New Roman" w:eastAsia="Times New Roman" w:hAnsi="Times New Roman"/>
          <w:sz w:val="16"/>
          <w:szCs w:val="16"/>
          <w:b w:val="1"/>
          <w:bCs w:val="1"/>
          <w:color w:val="auto"/>
        </w:rPr>
        <w:t>Settlement Amount</w:t>
      </w:r>
      <w:r>
        <w:rPr>
          <w:rFonts w:ascii="Times New Roman" w:cs="Times New Roman" w:eastAsia="Times New Roman" w:hAnsi="Times New Roman"/>
          <w:sz w:val="16"/>
          <w:szCs w:val="16"/>
          <w:color w:val="auto"/>
        </w:rPr>
        <w:t>”) shall be computed as follows:</w:t>
      </w:r>
    </w:p>
    <w:p>
      <w:pPr>
        <w:spacing w:after="0" w:line="17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5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155" w:lineRule="exact"/>
        <w:rPr>
          <w:rFonts w:ascii="Times New Roman" w:cs="Times New Roman" w:eastAsia="Times New Roman" w:hAnsi="Times New Roman"/>
          <w:sz w:val="16"/>
          <w:szCs w:val="16"/>
          <w:color w:val="auto"/>
        </w:rPr>
      </w:pPr>
    </w:p>
    <w:p>
      <w:pPr>
        <w:jc w:val="both"/>
        <w:ind w:firstLine="569"/>
        <w:spacing w:after="0" w:line="265" w:lineRule="auto"/>
        <w:tabs>
          <w:tab w:leader="none" w:pos="82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20 consecutive Trading Days during the related Observation Period; and</w:t>
      </w:r>
    </w:p>
    <w:p>
      <w:pPr>
        <w:spacing w:after="0" w:line="155" w:lineRule="exact"/>
        <w:rPr>
          <w:rFonts w:ascii="Times New Roman" w:cs="Times New Roman" w:eastAsia="Times New Roman" w:hAnsi="Times New Roman"/>
          <w:sz w:val="16"/>
          <w:szCs w:val="16"/>
          <w:color w:val="auto"/>
        </w:rPr>
      </w:pPr>
    </w:p>
    <w:p>
      <w:pPr>
        <w:jc w:val="both"/>
        <w:ind w:firstLine="569"/>
        <w:spacing w:after="0" w:line="265" w:lineRule="auto"/>
        <w:tabs>
          <w:tab w:leader="none" w:pos="826"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elects (or is deemed to have elected) to satisfy its Conversion Obligation in respect of such conversion by Combination Settlement, the Company shall pay or deliver, as the case may be, in respect of each $1,000 principal amount of Notes being converted, a Settlement Amount equal to the sum of the Daily Settlement Amounts for each of the 20 consecutive Trading Days during the related Observation Period.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9" w:name="page110"/>
    <w:bookmarkEnd w:id="109"/>
    <w:p>
      <w:pPr>
        <w:jc w:val="both"/>
        <w:ind w:firstLine="1143"/>
        <w:spacing w:after="0" w:line="257" w:lineRule="auto"/>
        <w:tabs>
          <w:tab w:leader="none" w:pos="143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62"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42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unless the Company has previously elected (or is deemed to have elected) a Settlement Method, at any time prior to any Conversion Date for any Note, and without the consent of the Holders, irrevocably elect a Settlement Method to apply in respect of such Notes converted following the date of the Company’s election. The Company will inform Holders, the Trustee and the Conversion Agent (if other than the Trustee), of such election and, if Combination Settlement applies, the Specified Dollar Amount.</w:t>
      </w:r>
    </w:p>
    <w:p>
      <w:pPr>
        <w:spacing w:after="0" w:line="161" w:lineRule="exact"/>
        <w:rPr>
          <w:rFonts w:ascii="Times New Roman" w:cs="Times New Roman" w:eastAsia="Times New Roman" w:hAnsi="Times New Roman"/>
          <w:sz w:val="16"/>
          <w:szCs w:val="16"/>
          <w:color w:val="auto"/>
        </w:rPr>
      </w:pPr>
    </w:p>
    <w:p>
      <w:pPr>
        <w:jc w:val="both"/>
        <w:ind w:firstLine="569"/>
        <w:spacing w:after="0" w:line="252" w:lineRule="auto"/>
        <w:tabs>
          <w:tab w:leader="none" w:pos="807"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15.02(e)</w:t>
      </w:r>
      <w:r>
        <w:rPr>
          <w:rFonts w:ascii="Times New Roman" w:cs="Times New Roman" w:eastAsia="Times New Roman" w:hAnsi="Times New Roman"/>
          <w:sz w:val="16"/>
          <w:szCs w:val="16"/>
          <w:color w:val="auto"/>
        </w:rPr>
        <w:t xml:space="preserv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w:t>
      </w:r>
      <w:r>
        <w:rPr>
          <w:rFonts w:ascii="Times New Roman" w:cs="Times New Roman" w:eastAsia="Times New Roman" w:hAnsi="Times New Roman"/>
          <w:sz w:val="16"/>
          <w:szCs w:val="16"/>
          <w:u w:val="single" w:color="auto"/>
          <w:color w:val="auto"/>
        </w:rPr>
        <w:t>Section 15.02(h)</w:t>
      </w:r>
      <w:r>
        <w:rPr>
          <w:rFonts w:ascii="Times New Roman" w:cs="Times New Roman" w:eastAsia="Times New Roman" w:hAnsi="Times New Roman"/>
          <w:sz w:val="16"/>
          <w:szCs w:val="16"/>
          <w:color w:val="auto"/>
        </w:rPr>
        <w:t xml:space="preserve">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cs="Times New Roman" w:eastAsia="Times New Roman" w:hAnsi="Times New Roman"/>
          <w:sz w:val="16"/>
          <w:szCs w:val="16"/>
          <w:b w:val="1"/>
          <w:bCs w:val="1"/>
          <w:color w:val="auto"/>
        </w:rPr>
        <w:t>Notice of Conversion</w:t>
      </w:r>
      <w:r>
        <w:rPr>
          <w:rFonts w:ascii="Times New Roman" w:cs="Times New Roman" w:eastAsia="Times New Roman" w:hAnsi="Times New Roman"/>
          <w:sz w:val="16"/>
          <w:szCs w:val="16"/>
          <w:color w:val="auto"/>
        </w:rPr>
        <w:t xml:space="preserve">”)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unpaid interest and is payable on the next Interest Payment Date to which such Holder is not entitled as set forth in </w:t>
      </w:r>
      <w:r>
        <w:rPr>
          <w:rFonts w:ascii="Times New Roman" w:cs="Times New Roman" w:eastAsia="Times New Roman" w:hAnsi="Times New Roman"/>
          <w:sz w:val="16"/>
          <w:szCs w:val="16"/>
          <w:u w:val="single" w:color="auto"/>
          <w:color w:val="auto"/>
        </w:rPr>
        <w:t>Section 15.02(h)</w:t>
      </w:r>
      <w:r>
        <w:rPr>
          <w:rFonts w:ascii="Times New Roman" w:cs="Times New Roman" w:eastAsia="Times New Roman" w:hAnsi="Times New Roman"/>
          <w:sz w:val="16"/>
          <w:szCs w:val="16"/>
          <w:color w:val="auto"/>
        </w:rPr>
        <w:t xml:space="preserve">. The Trustee (and if different, the Conversion Agent) shall notify the Company of any conversion pursuant to this Article 15 promptly following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w:t>
      </w:r>
      <w:r>
        <w:rPr>
          <w:rFonts w:ascii="Times New Roman" w:cs="Times New Roman" w:eastAsia="Times New Roman" w:hAnsi="Times New Roman"/>
          <w:sz w:val="16"/>
          <w:szCs w:val="16"/>
          <w:u w:val="single" w:color="auto"/>
          <w:color w:val="auto"/>
        </w:rPr>
        <w:t>Section 16.03</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0" w:name="page111"/>
    <w:bookmarkEnd w:id="110"/>
    <w:p>
      <w:pPr>
        <w:jc w:val="both"/>
        <w:ind w:firstLine="569"/>
        <w:spacing w:after="0" w:line="254" w:lineRule="auto"/>
        <w:tabs>
          <w:tab w:leader="none" w:pos="79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Note shall be deemed to have been converted immediately prior to the close of business on the date (the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xml:space="preserve">”) that the Holder has complied with the requirements set forth in </w:t>
      </w:r>
      <w:r>
        <w:rPr>
          <w:rFonts w:ascii="Times New Roman" w:cs="Times New Roman" w:eastAsia="Times New Roman" w:hAnsi="Times New Roman"/>
          <w:sz w:val="16"/>
          <w:szCs w:val="16"/>
          <w:u w:val="single" w:color="auto"/>
          <w:color w:val="auto"/>
        </w:rPr>
        <w:t>subsection (b)</w:t>
      </w:r>
      <w:r>
        <w:rPr>
          <w:rFonts w:ascii="Times New Roman" w:cs="Times New Roman" w:eastAsia="Times New Roman" w:hAnsi="Times New Roman"/>
          <w:sz w:val="16"/>
          <w:szCs w:val="16"/>
          <w:color w:val="auto"/>
        </w:rPr>
        <w:t xml:space="preserve"> above. Except as set forth in Section 15.03 and </w:t>
      </w:r>
      <w:r>
        <w:rPr>
          <w:rFonts w:ascii="Times New Roman" w:cs="Times New Roman" w:eastAsia="Times New Roman" w:hAnsi="Times New Roman"/>
          <w:sz w:val="16"/>
          <w:szCs w:val="16"/>
          <w:u w:val="single" w:color="auto"/>
          <w:color w:val="auto"/>
        </w:rPr>
        <w:t>Section 15.07(a)</w:t>
      </w:r>
      <w:r>
        <w:rPr>
          <w:rFonts w:ascii="Times New Roman" w:cs="Times New Roman" w:eastAsia="Times New Roman" w:hAnsi="Times New Roman"/>
          <w:sz w:val="16"/>
          <w:szCs w:val="16"/>
          <w:color w:val="auto"/>
        </w:rPr>
        <w:t>, the Company shall pay or deliver, as the case may be, the consideration due in respect of the Conversion Obligation on the second Business Day immediately following the relevant Conversion Date (or, in respect of any Conversion Date occurring after April 15, 2029, on the Maturity Date), if the Company elects Physical Settlement, or on the second Business Day immediately following the last Trading Day of the Observation Period, in the case of any other Settlement Method. If any shares of Common Stock are due to a converting Holder, the Company shall issue or cause to be issued, and deliver to the Conversion Agent or to such Holder, or such Holder’s nominee or nominees, the full number of shares of Common Stock to which such Holder shall be entitled, in certificated form or book-entry format through the Depositary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shares of Common Stock required to bear the Affiliate Restrictive Stock Legend shall be issued in certificated form or in book-entry form on the books of the Company’s transfer agent), in satisfaction of the Company’s Conversion Obligation.</w:t>
      </w:r>
    </w:p>
    <w:p>
      <w:pPr>
        <w:spacing w:after="0" w:line="165" w:lineRule="exact"/>
        <w:rPr>
          <w:rFonts w:ascii="Times New Roman" w:cs="Times New Roman" w:eastAsia="Times New Roman" w:hAnsi="Times New Roman"/>
          <w:sz w:val="16"/>
          <w:szCs w:val="16"/>
          <w:color w:val="auto"/>
        </w:rPr>
      </w:pPr>
    </w:p>
    <w:p>
      <w:pPr>
        <w:jc w:val="both"/>
        <w:ind w:firstLine="569"/>
        <w:spacing w:after="0" w:line="257" w:lineRule="auto"/>
        <w:tabs>
          <w:tab w:leader="none" w:pos="80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62"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811"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61" w:lineRule="exact"/>
        <w:rPr>
          <w:rFonts w:ascii="Times New Roman" w:cs="Times New Roman" w:eastAsia="Times New Roman" w:hAnsi="Times New Roman"/>
          <w:sz w:val="16"/>
          <w:szCs w:val="16"/>
          <w:color w:val="auto"/>
        </w:rPr>
      </w:pPr>
    </w:p>
    <w:p>
      <w:pPr>
        <w:ind w:right="20" w:firstLine="569"/>
        <w:spacing w:after="0" w:line="280" w:lineRule="auto"/>
        <w:tabs>
          <w:tab w:leader="none" w:pos="79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no adjustment shall be made for dividends on any shares of Common Stock issued upon the conversion of any Note as provided in this </w:t>
      </w:r>
      <w:r>
        <w:rPr>
          <w:rFonts w:ascii="Times New Roman" w:cs="Times New Roman" w:eastAsia="Times New Roman" w:hAnsi="Times New Roman"/>
          <w:sz w:val="16"/>
          <w:szCs w:val="16"/>
          <w:u w:val="single" w:color="auto"/>
          <w:color w:val="auto"/>
        </w:rPr>
        <w:t>Article 15.</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80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1" w:name="page112"/>
    <w:bookmarkEnd w:id="111"/>
    <w:p>
      <w:pPr>
        <w:jc w:val="both"/>
        <w:ind w:firstLine="569"/>
        <w:spacing w:after="0" w:line="269" w:lineRule="auto"/>
        <w:tabs>
          <w:tab w:leader="none" w:pos="80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unpaid interest, if any, to, but not including, the relevant Conversion Date. As a result, any unpaid interest to, but not including, the relevant Conversion Date shall be deemed to be paid in full rather than cancelled, extinguished or forfeited. Upon a conversion of Notes into a combination of cash and shares of Common Stock, any accrued and unpaid interest will be deemed to be paid first out of the cash paid upon such conversion (excluding cash payments for fractional shares).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such payment shall be required (1) for conversions following the close of business on the Regular Record Date immediately preceding the Maturity Date; (2) if the Company has specified a Fundamental Change Repurchase Date that is after a Regular Record Date and on or prior to the Business Day immediately following the corresponding Interest Payment Date; or (3) to the extent of any Defaulted Amounts, if any Defaulted Amounts exists at the time of conversion with respect to such Note. Therefore, for the avoidance of doubt, all Holders of record on the Regular Record Date immediately preceding the Maturity Date or any Fundamental Change Repurchase Date, in each case described above, shall receive the full interest payment due on the Maturity Date or other applicable Interest Payment Date in cash regardless of whether their Notes have been converted following such Regular Record Date.</w:t>
      </w:r>
    </w:p>
    <w:p>
      <w:pPr>
        <w:spacing w:after="0" w:line="161" w:lineRule="exact"/>
        <w:rPr>
          <w:rFonts w:ascii="Times New Roman" w:cs="Times New Roman" w:eastAsia="Times New Roman" w:hAnsi="Times New Roman"/>
          <w:sz w:val="15"/>
          <w:szCs w:val="15"/>
          <w:color w:val="auto"/>
        </w:rPr>
      </w:pPr>
    </w:p>
    <w:p>
      <w:pPr>
        <w:jc w:val="both"/>
        <w:ind w:right="20" w:firstLine="569"/>
        <w:spacing w:after="0" w:line="259" w:lineRule="auto"/>
        <w:tabs>
          <w:tab w:leader="none" w:pos="76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in whose name the shares of Common Stock shall be issuable upon conversion shall be treated as a stockholder of record as of the close of business on the relevant Conversion Date (if the Company elects to satisfy the related Conversion Obligations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61" w:lineRule="exact"/>
        <w:rPr>
          <w:rFonts w:ascii="Times New Roman" w:cs="Times New Roman" w:eastAsia="Times New Roman" w:hAnsi="Times New Roman"/>
          <w:sz w:val="16"/>
          <w:szCs w:val="16"/>
          <w:color w:val="auto"/>
        </w:rPr>
      </w:pPr>
    </w:p>
    <w:p>
      <w:pPr>
        <w:jc w:val="both"/>
        <w:ind w:firstLine="569"/>
        <w:spacing w:after="0" w:line="257" w:lineRule="auto"/>
        <w:tabs>
          <w:tab w:leader="none" w:pos="77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2" w:name="page113"/>
    <w:bookmarkEnd w:id="112"/>
    <w:p>
      <w:pPr>
        <w:ind w:left="560"/>
        <w:spacing w:after="0"/>
        <w:rPr>
          <w:sz w:val="20"/>
          <w:szCs w:val="20"/>
          <w:color w:val="auto"/>
        </w:rPr>
      </w:pPr>
      <w:r>
        <w:rPr>
          <w:rFonts w:ascii="Times New Roman" w:cs="Times New Roman" w:eastAsia="Times New Roman" w:hAnsi="Times New Roman"/>
          <w:sz w:val="16"/>
          <w:szCs w:val="16"/>
          <w:color w:val="auto"/>
        </w:rPr>
        <w:t xml:space="preserve">Section 15.03. </w:t>
      </w:r>
      <w:r>
        <w:rPr>
          <w:rFonts w:ascii="Times New Roman" w:cs="Times New Roman" w:eastAsia="Times New Roman" w:hAnsi="Times New Roman"/>
          <w:sz w:val="16"/>
          <w:szCs w:val="16"/>
          <w:i w:val="1"/>
          <w:iCs w:val="1"/>
          <w:color w:val="auto"/>
        </w:rPr>
        <w:t>Increased Conversion Rate Applicable to Certain Notes Surrendered in Connection with a Make-Whole Fundamental Change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569"/>
        <w:spacing w:after="0" w:line="254" w:lineRule="auto"/>
        <w:tabs>
          <w:tab w:leader="none" w:pos="80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Effective Date of a Make-Whole Fundamental Change occurs prior to the Maturity Date and a Holder elects to convert its Notes in connection with such Make-Whole Fundamental Change, the Company shall, under the circumstances described below, increase the Conversion Rate for the Notes so surrendered for conversion by a number of additional shares of Common Stock (the “</w:t>
      </w:r>
      <w:r>
        <w:rPr>
          <w:rFonts w:ascii="Times New Roman" w:cs="Times New Roman" w:eastAsia="Times New Roman" w:hAnsi="Times New Roman"/>
          <w:sz w:val="16"/>
          <w:szCs w:val="16"/>
          <w:b w:val="1"/>
          <w:bCs w:val="1"/>
          <w:color w:val="auto"/>
        </w:rPr>
        <w:t>Additional Shares</w:t>
      </w:r>
      <w:r>
        <w:rPr>
          <w:rFonts w:ascii="Times New Roman" w:cs="Times New Roman" w:eastAsia="Times New Roman" w:hAnsi="Times New Roman"/>
          <w:sz w:val="16"/>
          <w:szCs w:val="16"/>
          <w:color w:val="auto"/>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proviso in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the definition thereof, the 35th Trading Day immediately following the Effective Date of such Make-Whole Fundamental Change) (such period, the “</w:t>
      </w:r>
      <w:r>
        <w:rPr>
          <w:rFonts w:ascii="Times New Roman" w:cs="Times New Roman" w:eastAsia="Times New Roman" w:hAnsi="Times New Roman"/>
          <w:sz w:val="16"/>
          <w:szCs w:val="16"/>
          <w:b w:val="1"/>
          <w:bCs w:val="1"/>
          <w:color w:val="auto"/>
        </w:rPr>
        <w:t>Make-Whole Fundamental Change Period</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569"/>
        <w:spacing w:after="0" w:line="253" w:lineRule="auto"/>
        <w:tabs>
          <w:tab w:leader="none" w:pos="823"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surrender of Notes for conversion during a Make-Whole Fundamental Change Period, the Company shall, at its option, satisfy the related Conversion Obligation by Physical Settlement, Cash Settlement or Combination Settlement in accordance with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based on the Conversion Rate as increased to reflect the Additional Shares pursuant to the table below;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if, at the effective time of a Make-Whole Fundamental Change described in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66" w:lineRule="exact"/>
        <w:rPr>
          <w:rFonts w:ascii="Times New Roman" w:cs="Times New Roman" w:eastAsia="Times New Roman" w:hAnsi="Times New Roman"/>
          <w:sz w:val="16"/>
          <w:szCs w:val="16"/>
          <w:color w:val="auto"/>
        </w:rPr>
      </w:pPr>
    </w:p>
    <w:p>
      <w:pPr>
        <w:jc w:val="both"/>
        <w:ind w:firstLine="569"/>
        <w:spacing w:after="0" w:line="253" w:lineRule="auto"/>
        <w:tabs>
          <w:tab w:leader="none" w:pos="802"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Additional Shares, if any, by which the Conversion Rate shall be increased for conversions during the Make-Whole Fundamental Change Period shall be determined by reference to the table below, based on the date on which the Make-Whole Fundamental Change occurs or becomes effective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and the price paid (or deemed to be paid) per share of the Common Stock in the Make-Whole Fundamental Change (the “</w:t>
      </w:r>
      <w:r>
        <w:rPr>
          <w:rFonts w:ascii="Times New Roman" w:cs="Times New Roman" w:eastAsia="Times New Roman" w:hAnsi="Times New Roman"/>
          <w:sz w:val="16"/>
          <w:szCs w:val="16"/>
          <w:b w:val="1"/>
          <w:bCs w:val="1"/>
          <w:color w:val="auto"/>
        </w:rPr>
        <w:t>Stock Price</w:t>
      </w:r>
      <w:r>
        <w:rPr>
          <w:rFonts w:ascii="Times New Roman" w:cs="Times New Roman" w:eastAsia="Times New Roman" w:hAnsi="Times New Roman"/>
          <w:sz w:val="16"/>
          <w:szCs w:val="16"/>
          <w:color w:val="auto"/>
        </w:rPr>
        <w:t xml:space="preserve">”). If the holders of the Common Stock receive in exchange for their Common Stock only cash in a Make-Whole Fundamental Change described in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the definition of Fundamental Change, the Stock Price shall be the cash amount paid per share. In the case of any other Make-Whole Fundamental Change, the Stock Price shall be the average of the Last Reported Sale Prices of the Common Stock over the five consecutive Trading Day period ending on, and including, the Trading Day immediately preceding the Effective Date of the Make-Whole Fundamental Change. The Company shall make appropriate adjustments to the Stock Price, in good faith and in a commercially reasonable manner, to account for any adjustment to the Conversion Rate that becomes effective, or any event requiring an adjustment to the Conversion Rate where the Ex-Dividend Date, Effective Date (as such term is used in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or expiration date of the event occurs during such five consecutive Trading Day period.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jc w:val="both"/>
        <w:ind w:left="4" w:firstLine="569"/>
        <w:spacing w:after="0" w:line="259" w:lineRule="auto"/>
        <w:tabs>
          <w:tab w:leader="none" w:pos="8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ind w:left="4" w:right="20" w:firstLine="569"/>
        <w:spacing w:after="0" w:line="280" w:lineRule="auto"/>
        <w:tabs>
          <w:tab w:leader="none" w:pos="80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Additional Shares by which the Conversion Rate shall be increased per $1,000 principal amount of Notes pursuant to this Section 15.03 for each Stock Price and Effective Date set forth below:</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$1.13</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$ 1.30</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$ 1.45</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$ 1.64</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$ 2.00</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$ 3.00</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$ 5.00</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$ 10.00</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$ 25.00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$ 50.00</w:t>
            </w:r>
          </w:p>
        </w:tc>
        <w:tc>
          <w:tcPr>
            <w:tcW w:w="60" w:type="dxa"/>
            <w:vAlign w:val="bottom"/>
            <w:tcBorders>
              <w:bottom w:val="single" w:sz="8" w:color="CCEEFF"/>
            </w:tcBorders>
          </w:tcPr>
          <w:p>
            <w:pPr>
              <w:spacing w:after="0"/>
              <w:rPr>
                <w:sz w:val="18"/>
                <w:szCs w:val="18"/>
                <w:color w:val="auto"/>
              </w:rPr>
            </w:pPr>
          </w:p>
        </w:tc>
      </w:tr>
      <w:tr>
        <w:trPr>
          <w:trHeight w:val="191"/>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4/23/2026</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3"/>
              </w:rPr>
              <w:t>274.6414</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274.6414</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243.6759</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199.2683</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145.6100</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82.4667</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44.7700</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18.9890</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0.0000</w:t>
            </w:r>
          </w:p>
        </w:tc>
        <w:tc>
          <w:tcPr>
            <w:tcW w:w="60" w:type="dxa"/>
            <w:vAlign w:val="bottom"/>
            <w:shd w:val="clear" w:color="auto" w:fill="CCEEFF"/>
          </w:tcPr>
          <w:p>
            <w:pPr>
              <w:spacing w:after="0"/>
              <w:rPr>
                <w:sz w:val="16"/>
                <w:szCs w:val="16"/>
                <w:color w:val="auto"/>
              </w:rPr>
            </w:pPr>
          </w:p>
        </w:tc>
      </w:tr>
      <w:tr>
        <w:trPr>
          <w:trHeight w:val="191"/>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5/1/2027</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274.6414</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267.5308</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214.3931</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166.5061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112.1700</w:t>
            </w:r>
          </w:p>
        </w:tc>
        <w:tc>
          <w:tcPr>
            <w:tcW w:w="1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57.8667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31.1500</w:t>
            </w:r>
          </w:p>
        </w:tc>
        <w:tc>
          <w:tcPr>
            <w:tcW w:w="2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13.2420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2.4424</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0.0000</w:t>
            </w:r>
          </w:p>
        </w:tc>
      </w:tr>
      <w:tr>
        <w:trPr>
          <w:trHeight w:val="191"/>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5/1/2028</w:t>
            </w:r>
          </w:p>
        </w:tc>
        <w:tc>
          <w:tcPr>
            <w:tcW w:w="1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274.6414</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247.8923</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184.3931</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128.3049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70.4550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29.8133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16.2540</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6.9220</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1.2772</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0.0000</w:t>
            </w:r>
          </w:p>
        </w:tc>
      </w:tr>
      <w:tr>
        <w:trPr>
          <w:trHeight w:val="210"/>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5/1/2029</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274.6414</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247.8923</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170.9241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91.0244</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0.0000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0.0000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0.0000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0.0000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0.0000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0.0000</w:t>
            </w:r>
          </w:p>
        </w:tc>
      </w:tr>
    </w:tbl>
    <w:p>
      <w:pPr>
        <w:spacing w:after="0" w:line="156" w:lineRule="exact"/>
        <w:rPr>
          <w:sz w:val="20"/>
          <w:szCs w:val="20"/>
          <w:color w:val="auto"/>
        </w:rPr>
      </w:pPr>
    </w:p>
    <w:p>
      <w:pPr>
        <w:ind w:left="764" w:hanging="191"/>
        <w:spacing w:after="0"/>
        <w:tabs>
          <w:tab w:leader="none" w:pos="76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exact Stock Price and Effective Date may not be set forth in the table above, in which case:</w:t>
      </w:r>
    </w:p>
    <w:p>
      <w:pPr>
        <w:spacing w:after="0" w:line="198"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spacing w:after="0" w:line="155"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95"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 Price is greater than $50.00 per share (subject to adjustment in the same manner as the Stock Prices set forth in the column headings of the table above pursuant to </w:t>
      </w:r>
      <w:r>
        <w:rPr>
          <w:rFonts w:ascii="Times New Roman" w:cs="Times New Roman" w:eastAsia="Times New Roman" w:hAnsi="Times New Roman"/>
          <w:sz w:val="16"/>
          <w:szCs w:val="16"/>
          <w:u w:val="single" w:color="auto"/>
          <w:color w:val="auto"/>
        </w:rPr>
        <w:t>subsection (d)</w:t>
      </w:r>
      <w:r>
        <w:rPr>
          <w:rFonts w:ascii="Times New Roman" w:cs="Times New Roman" w:eastAsia="Times New Roman" w:hAnsi="Times New Roman"/>
          <w:sz w:val="16"/>
          <w:szCs w:val="16"/>
          <w:color w:val="auto"/>
        </w:rPr>
        <w:t xml:space="preserve"> above), no Additional Shares shall be added to the Conversion Rate; and</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435"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 Price is less than $1.13 per share (subject to adjustment in the same manner as the Stock Prices set forth in the column headings of the table above pursuant to </w:t>
      </w:r>
      <w:r>
        <w:rPr>
          <w:rFonts w:ascii="Times New Roman" w:cs="Times New Roman" w:eastAsia="Times New Roman" w:hAnsi="Times New Roman"/>
          <w:sz w:val="16"/>
          <w:szCs w:val="16"/>
          <w:u w:val="single" w:color="auto"/>
          <w:color w:val="auto"/>
        </w:rPr>
        <w:t>subsection (d)</w:t>
      </w:r>
      <w:r>
        <w:rPr>
          <w:rFonts w:ascii="Times New Roman" w:cs="Times New Roman" w:eastAsia="Times New Roman" w:hAnsi="Times New Roman"/>
          <w:sz w:val="16"/>
          <w:szCs w:val="16"/>
          <w:color w:val="auto"/>
        </w:rPr>
        <w:t xml:space="preserve"> above), no Additional Shares shall be added to the Conversion Rate.</w:t>
      </w:r>
    </w:p>
    <w:p>
      <w:pPr>
        <w:spacing w:after="0" w:line="144" w:lineRule="exact"/>
        <w:rPr>
          <w:sz w:val="20"/>
          <w:szCs w:val="20"/>
          <w:color w:val="auto"/>
        </w:rPr>
      </w:pPr>
    </w:p>
    <w:p>
      <w:pPr>
        <w:ind w:left="4" w:firstLine="574"/>
        <w:spacing w:after="0" w:line="280" w:lineRule="auto"/>
        <w:rPr>
          <w:sz w:val="20"/>
          <w:szCs w:val="20"/>
          <w:color w:val="auto"/>
        </w:rPr>
      </w:pPr>
      <w:r>
        <w:rPr>
          <w:rFonts w:ascii="Times New Roman" w:cs="Times New Roman" w:eastAsia="Times New Roman" w:hAnsi="Times New Roman"/>
          <w:sz w:val="16"/>
          <w:szCs w:val="16"/>
          <w:color w:val="auto"/>
        </w:rPr>
        <w:t xml:space="preserve">Notwithstanding the foregoing, in no event shall the Conversion Rate per $1,000 principal amount of Notes exceed 884.9557 shares of Common Stock, subject to adjustment in the same manner as the Conversion Rate pursuant to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4" w:right="20" w:firstLine="569"/>
        <w:spacing w:after="0" w:line="280" w:lineRule="auto"/>
        <w:tabs>
          <w:tab w:leader="none" w:pos="807"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Section 15.03 shall prevent an adjustment to the Conversion Rate that would otherwise be required pursuant to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in respect of a Make-Whole Fundamental Change.</w:t>
      </w:r>
    </w:p>
    <w:p>
      <w:pPr>
        <w:spacing w:after="0" w:line="142" w:lineRule="exact"/>
        <w:rPr>
          <w:sz w:val="20"/>
          <w:szCs w:val="20"/>
          <w:color w:val="auto"/>
        </w:rPr>
      </w:pPr>
    </w:p>
    <w:p>
      <w:pPr>
        <w:ind w:left="4" w:firstLine="574"/>
        <w:spacing w:after="0" w:line="261" w:lineRule="auto"/>
        <w:rPr>
          <w:sz w:val="20"/>
          <w:szCs w:val="20"/>
          <w:color w:val="auto"/>
        </w:rPr>
      </w:pPr>
      <w:r>
        <w:rPr>
          <w:rFonts w:ascii="Times New Roman" w:cs="Times New Roman" w:eastAsia="Times New Roman" w:hAnsi="Times New Roman"/>
          <w:sz w:val="16"/>
          <w:szCs w:val="16"/>
          <w:color w:val="auto"/>
        </w:rPr>
        <w:t xml:space="preserve">Section 15.04. </w:t>
      </w:r>
      <w:r>
        <w:rPr>
          <w:rFonts w:ascii="Times New Roman" w:cs="Times New Roman" w:eastAsia="Times New Roman" w:hAnsi="Times New Roman"/>
          <w:sz w:val="16"/>
          <w:szCs w:val="16"/>
          <w:i w:val="1"/>
          <w:iCs w:val="1"/>
          <w:color w:val="auto"/>
        </w:rPr>
        <w:t>Adjustment of Conversion Rate.</w:t>
      </w:r>
      <w:r>
        <w:rPr>
          <w:rFonts w:ascii="Times New Roman" w:cs="Times New Roman" w:eastAsia="Times New Roman" w:hAnsi="Times New Roman"/>
          <w:sz w:val="16"/>
          <w:szCs w:val="16"/>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w:t>
      </w:r>
    </w:p>
    <w:p>
      <w:pPr>
        <w:spacing w:after="0" w:line="1" w:lineRule="exact"/>
        <w:rPr>
          <w:sz w:val="20"/>
          <w:szCs w:val="20"/>
          <w:color w:val="auto"/>
        </w:rPr>
      </w:pPr>
    </w:p>
    <w:p>
      <w:pPr>
        <w:jc w:val="both"/>
        <w:ind w:left="4" w:right="20" w:hanging="4"/>
        <w:spacing w:after="0" w:line="254" w:lineRule="auto"/>
        <w:tabs>
          <w:tab w:leader="none" w:pos="23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tender or exchange offer), at the same time and upon the same terms as holders of the Common Stock and solely as a result of holding the Notes, in any of the transactions described in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without having to convert their Notes, as if they held a number of shares of Common Stock equal to the Conversion Rate,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principal amount (expressed in thousands) of Notes held by such Holder.</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14" w:name="page115"/>
    <w:bookmarkEnd w:id="114"/>
    <w:p>
      <w:pPr>
        <w:ind w:firstLine="569"/>
        <w:spacing w:after="0" w:line="280" w:lineRule="auto"/>
        <w:tabs>
          <w:tab w:leader="none" w:pos="792"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-18415</wp:posOffset>
            </wp:positionV>
            <wp:extent cx="1289685" cy="447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685"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w:t>
      </w:r>
    </w:p>
    <w:p>
      <w:pPr>
        <w:spacing w:after="0" w:line="8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xml:space="preserve"> = the Conversion Rate in effect immediately after the open of business on such Ex-Dividend Date or Effective Date;</w:t>
      </w:r>
    </w:p>
    <w:p>
      <w:pPr>
        <w:spacing w:after="0" w:line="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number of shares of Common Stock outstanding immediately prior to the open of business on such Ex-Dividend Date or Effective Date (before giving effect to any such dividend, distribution, split or combination);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xml:space="preserve"> = the number of shares of Common Stock outstanding immediately after giving effect to such dividend, distribution, share split or share combination.</w:t>
      </w:r>
    </w:p>
    <w:p>
      <w:pPr>
        <w:spacing w:after="0" w:line="209"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Any adjustment made under this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62" w:lineRule="exact"/>
        <w:rPr>
          <w:sz w:val="20"/>
          <w:szCs w:val="20"/>
          <w:color w:val="auto"/>
        </w:rPr>
      </w:pPr>
    </w:p>
    <w:p>
      <w:pPr>
        <w:jc w:val="both"/>
        <w:ind w:firstLine="569"/>
        <w:spacing w:after="0" w:line="259" w:lineRule="auto"/>
        <w:tabs>
          <w:tab w:leader="none" w:pos="802"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113030</wp:posOffset>
            </wp:positionV>
            <wp:extent cx="1289685" cy="349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68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Conversion Rate in effect immediately prior to the open of business on the Ex-Dividend Date for such distribution;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xml:space="preserve"> = the Conversion Rate in effect immediately after the open of business on such Ex-Dividend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number of shares of Common Stock outstanding immediately prior to the open of business on such Ex-Dividend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 = the total number of shares of Common Stock distributable pursuant to such rights, options or warrants; and</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Y = the number of shares of Common Stock equal to the aggregate price payable to exercise such rights, options or warrants,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average of the Last Reported Sale Prices of the Common Stock over the 10 consecutive Trading Day period ending on, and including, the Trading Day immediately preceding the date of announcement of the distribution of such rights, options or warrants.</w:t>
      </w:r>
    </w:p>
    <w:p>
      <w:pPr>
        <w:spacing w:after="0" w:line="15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Any increase made under this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 xml:space="preserve">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02" w:right="319" w:bottom="1440" w:gutter="0" w:footer="0" w:header="0"/>
        </w:sectPr>
      </w:pPr>
    </w:p>
    <w:bookmarkStart w:id="116" w:name="page117"/>
    <w:bookmarkEnd w:id="116"/>
    <w:p>
      <w:pPr>
        <w:jc w:val="both"/>
        <w:ind w:firstLine="569"/>
        <w:spacing w:after="0" w:line="254" w:lineRule="auto"/>
        <w:tabs>
          <w:tab w:leader="none" w:pos="80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distributes shares of its Capital Stock, evidences of its indebtedness, other assets or property of the Company or rights, options or warrants to acquire its Capital Stock or other securities, to all or substantially all holders of the Common Stock, excluding dividends, distributions or issuances (including share splits) as to which an adjustment was effected pursuant to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 xml:space="preserve">, dividends or distributions paid exclusively in cash as to which the provisions set forth in </w:t>
      </w:r>
      <w:r>
        <w:rPr>
          <w:rFonts w:ascii="Times New Roman" w:cs="Times New Roman" w:eastAsia="Times New Roman" w:hAnsi="Times New Roman"/>
          <w:sz w:val="16"/>
          <w:szCs w:val="16"/>
          <w:u w:val="single" w:color="auto"/>
          <w:color w:val="auto"/>
        </w:rPr>
        <w:t>Section 15.04(d)</w:t>
      </w:r>
      <w:r>
        <w:rPr>
          <w:rFonts w:ascii="Times New Roman" w:cs="Times New Roman" w:eastAsia="Times New Roman" w:hAnsi="Times New Roman"/>
          <w:sz w:val="16"/>
          <w:szCs w:val="16"/>
          <w:color w:val="auto"/>
        </w:rPr>
        <w:t xml:space="preserve"> shall apply, except as otherwise described in </w:t>
      </w:r>
      <w:r>
        <w:rPr>
          <w:rFonts w:ascii="Times New Roman" w:cs="Times New Roman" w:eastAsia="Times New Roman" w:hAnsi="Times New Roman"/>
          <w:sz w:val="16"/>
          <w:szCs w:val="16"/>
          <w:u w:val="single" w:color="auto"/>
          <w:color w:val="auto"/>
        </w:rPr>
        <w:t>Section 15.11</w:t>
      </w:r>
      <w:r>
        <w:rPr>
          <w:rFonts w:ascii="Times New Roman" w:cs="Times New Roman" w:eastAsia="Times New Roman" w:hAnsi="Times New Roman"/>
          <w:sz w:val="16"/>
          <w:szCs w:val="16"/>
          <w:color w:val="auto"/>
        </w:rPr>
        <w:t xml:space="preserve">, rights issued pursuant to a stockholder rights plan of the Company, (iv) distributions of Reference Property in a Share Exchange Event, and (v) Spin-Offs as to which the provisions set forth below in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6"/>
          <w:szCs w:val="16"/>
          <w:b w:val="1"/>
          <w:bCs w:val="1"/>
          <w:color w:val="auto"/>
        </w:rPr>
        <w:t>Distributed Property</w:t>
      </w:r>
      <w:r>
        <w:rPr>
          <w:rFonts w:ascii="Times New Roman" w:cs="Times New Roman" w:eastAsia="Times New Roman" w:hAnsi="Times New Roman"/>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116205</wp:posOffset>
            </wp:positionV>
            <wp:extent cx="1289685" cy="326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685"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w:t>
      </w:r>
    </w:p>
    <w:p>
      <w:pPr>
        <w:spacing w:after="0" w:line="84" w:lineRule="exact"/>
        <w:rPr>
          <w:sz w:val="20"/>
          <w:szCs w:val="20"/>
          <w:color w:val="auto"/>
        </w:rPr>
      </w:pPr>
    </w:p>
    <w:p>
      <w:pPr>
        <w:ind w:right="3260"/>
        <w:spacing w:after="0" w:line="316" w:lineRule="auto"/>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Conversion Rate in effect immediately prior to the open of business on the Ex-Dividend Date for such distribution; 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the Conversion Rate in effect immediately after the open of business on such Ex-Dividend Date;</w:t>
      </w:r>
    </w:p>
    <w:p>
      <w:pPr>
        <w:spacing w:after="0" w:line="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average of the Last Reported Sale Prices of the Common Stock over the 10 consecutive Trading Day period ending on, and including, the Trading Day immediately preceding the Ex-Dividend Date for such distribution; and</w:t>
      </w:r>
    </w:p>
    <w:p>
      <w:pPr>
        <w:spacing w:after="0" w:line="1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FMV = the fair market value (as determined by the Company in good faith) of the Distributed Property with respect to each outstanding share of the Common Stock on the Ex-Dividend Date for such distribution.</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Any increase made under the portion of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7" w:name="page118"/>
    <w:bookmarkEnd w:id="117"/>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With respect to an adjustment pursuant to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6"/>
          <w:szCs w:val="16"/>
          <w:b w:val="1"/>
          <w:bCs w:val="1"/>
          <w:color w:val="auto"/>
        </w:rPr>
        <w:t>Spin-Off</w:t>
      </w:r>
      <w:r>
        <w:rPr>
          <w:rFonts w:ascii="Times New Roman" w:cs="Times New Roman" w:eastAsia="Times New Roman" w:hAnsi="Times New Roman"/>
          <w:sz w:val="16"/>
          <w:szCs w:val="16"/>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109220</wp:posOffset>
            </wp:positionV>
            <wp:extent cx="1244600" cy="341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4460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where,</w:t>
      </w:r>
    </w:p>
    <w:p>
      <w:pPr>
        <w:spacing w:after="0" w:line="84" w:lineRule="exact"/>
        <w:rPr>
          <w:sz w:val="20"/>
          <w:szCs w:val="20"/>
          <w:color w:val="auto"/>
        </w:rPr>
      </w:pPr>
    </w:p>
    <w:p>
      <w:pPr>
        <w:ind w:left="4" w:right="5540"/>
        <w:spacing w:after="0" w:line="329" w:lineRule="auto"/>
        <w:rPr>
          <w:sz w:val="20"/>
          <w:szCs w:val="20"/>
          <w:color w:val="auto"/>
        </w:rPr>
      </w:pPr>
      <w:r>
        <w:rPr>
          <w:rFonts w:ascii="Times New Roman" w:cs="Times New Roman" w:eastAsia="Times New Roman" w:hAnsi="Times New Roman"/>
          <w:sz w:val="15"/>
          <w:szCs w:val="15"/>
          <w:color w:val="auto"/>
        </w:rPr>
        <w:t>CR</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5"/>
          <w:szCs w:val="15"/>
          <w:color w:val="auto"/>
        </w:rPr>
        <w:t xml:space="preserve"> = the Conversion Rate in effect immediately prior to the end of the Valuation Period; CR</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15"/>
          <w:szCs w:val="15"/>
          <w:color w:val="auto"/>
        </w:rPr>
        <w:t xml:space="preserve"> = the Conversion Rate in effect immediately after the end of the Valuation Period;</w:t>
      </w:r>
    </w:p>
    <w:p>
      <w:pPr>
        <w:spacing w:after="0" w:line="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5"/>
          <w:szCs w:val="15"/>
          <w:color w:val="auto"/>
        </w:rPr>
        <w:t>FMV</w:t>
      </w: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15"/>
          <w:szCs w:val="15"/>
          <w:color w:val="auto"/>
        </w:rPr>
        <w:t xml:space="preserve"> = the average of the Last Reported Sale Prices of the Capital Stock or similar Equity Interest distributed to holders of the Common Stock applicable to one share of the Common Stock (determined by reference to the definition of Last Reported Sale Price as set forth in </w:t>
      </w:r>
      <w:r>
        <w:rPr>
          <w:rFonts w:ascii="Times New Roman" w:cs="Times New Roman" w:eastAsia="Times New Roman" w:hAnsi="Times New Roman"/>
          <w:sz w:val="15"/>
          <w:szCs w:val="15"/>
          <w:u w:val="single" w:color="auto"/>
          <w:color w:val="auto"/>
        </w:rPr>
        <w:t>Section 1.01</w:t>
      </w:r>
      <w:r>
        <w:rPr>
          <w:rFonts w:ascii="Times New Roman" w:cs="Times New Roman" w:eastAsia="Times New Roman" w:hAnsi="Times New Roman"/>
          <w:sz w:val="15"/>
          <w:szCs w:val="15"/>
          <w:color w:val="auto"/>
        </w:rPr>
        <w:t xml:space="preserve"> as if references therein to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5"/>
          <w:szCs w:val="15"/>
          <w:b w:val="1"/>
          <w:bCs w:val="1"/>
          <w:color w:val="auto"/>
        </w:rPr>
        <w:t>Valuation Period</w:t>
      </w:r>
      <w:r>
        <w:rPr>
          <w:rFonts w:ascii="Times New Roman" w:cs="Times New Roman" w:eastAsia="Times New Roman" w:hAnsi="Times New Roman"/>
          <w:sz w:val="15"/>
          <w:szCs w:val="15"/>
          <w:color w:val="auto"/>
        </w:rPr>
        <w:t>”);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average of the Last Reported Sale Prices of the Common Stock over the Valuation Period.</w:t>
      </w:r>
    </w:p>
    <w:p>
      <w:pPr>
        <w:spacing w:after="0" w:line="20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w:t>
      </w:r>
    </w:p>
    <w:p>
      <w:pPr>
        <w:spacing w:after="0" w:line="26" w:lineRule="exact"/>
        <w:rPr>
          <w:sz w:val="20"/>
          <w:szCs w:val="20"/>
          <w:color w:val="auto"/>
        </w:rPr>
      </w:pPr>
    </w:p>
    <w:p>
      <w:pPr>
        <w:jc w:val="both"/>
        <w:ind w:left="4" w:hanging="4"/>
        <w:spacing w:after="0" w:line="250" w:lineRule="auto"/>
        <w:tabs>
          <w:tab w:leader="none" w:pos="23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any conversion of Notes for which Physical Settlement is applicable,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of such Spin-Off to, and including, such Trading Day in determining the Conversion Rate as of such Trading Day.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71" w:lineRule="exact"/>
        <w:rPr>
          <w:sz w:val="20"/>
          <w:szCs w:val="20"/>
          <w:color w:val="auto"/>
        </w:rPr>
      </w:pPr>
    </w:p>
    <w:p>
      <w:pPr>
        <w:jc w:val="both"/>
        <w:ind w:left="4" w:firstLine="574"/>
        <w:spacing w:after="0" w:line="267" w:lineRule="auto"/>
        <w:rPr>
          <w:sz w:val="20"/>
          <w:szCs w:val="20"/>
          <w:color w:val="auto"/>
        </w:rPr>
      </w:pPr>
      <w:r>
        <w:rPr>
          <w:rFonts w:ascii="Times New Roman" w:cs="Times New Roman" w:eastAsia="Times New Roman" w:hAnsi="Times New Roman"/>
          <w:sz w:val="15"/>
          <w:szCs w:val="15"/>
          <w:color w:val="auto"/>
        </w:rPr>
        <w:t xml:space="preserve">For purposes of this </w:t>
      </w:r>
      <w:r>
        <w:rPr>
          <w:rFonts w:ascii="Times New Roman" w:cs="Times New Roman" w:eastAsia="Times New Roman" w:hAnsi="Times New Roman"/>
          <w:sz w:val="15"/>
          <w:szCs w:val="15"/>
          <w:u w:val="single" w:color="auto"/>
          <w:color w:val="auto"/>
        </w:rPr>
        <w:t>Section 15.04(c)</w:t>
      </w:r>
      <w:r>
        <w:rPr>
          <w:rFonts w:ascii="Times New Roman" w:cs="Times New Roman" w:eastAsia="Times New Roman" w:hAnsi="Times New Roman"/>
          <w:sz w:val="15"/>
          <w:szCs w:val="15"/>
          <w:color w:val="auto"/>
        </w:rPr>
        <w:t xml:space="preserve"> (and subject in all respect to </w:t>
      </w:r>
      <w:r>
        <w:rPr>
          <w:rFonts w:ascii="Times New Roman" w:cs="Times New Roman" w:eastAsia="Times New Roman" w:hAnsi="Times New Roman"/>
          <w:sz w:val="15"/>
          <w:szCs w:val="15"/>
          <w:u w:val="single" w:color="auto"/>
          <w:color w:val="auto"/>
        </w:rPr>
        <w:t>Section 15.11</w:t>
      </w:r>
      <w:r>
        <w:rPr>
          <w:rFonts w:ascii="Times New Roman" w:cs="Times New Roman" w:eastAsia="Times New Roman" w:hAnsi="Times New Roman"/>
          <w:sz w:val="15"/>
          <w:szCs w:val="15"/>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cs="Times New Roman" w:eastAsia="Times New Roman" w:hAnsi="Times New Roman"/>
          <w:sz w:val="15"/>
          <w:szCs w:val="15"/>
          <w:b w:val="1"/>
          <w:bCs w:val="1"/>
          <w:color w:val="auto"/>
        </w:rPr>
        <w:t>Trigger Event</w:t>
      </w:r>
      <w:r>
        <w:rPr>
          <w:rFonts w:ascii="Times New Roman" w:cs="Times New Roman" w:eastAsia="Times New Roman" w:hAnsi="Times New Roman"/>
          <w:sz w:val="15"/>
          <w:szCs w:val="15"/>
          <w:color w:val="auto"/>
        </w:rPr>
        <w:t xml:space="preserve">”): (i) are deemed to be transferred with such shares of the Common Stock; (ii) are not exercisable; and (iii) are also issued in respect of future issuances of the Common Stock, shall be deemed not to have been distributed for purposes of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15.04(c)</w:t>
      </w:r>
      <w:r>
        <w:rPr>
          <w:rFonts w:ascii="Times New Roman" w:cs="Times New Roman" w:eastAsia="Times New Roman" w:hAnsi="Times New Roman"/>
          <w:sz w:val="15"/>
          <w:szCs w:val="15"/>
          <w:color w:val="auto"/>
        </w:rPr>
        <w:t xml:space="preserve"> (and no adjustment to the Conversion Rate under this </w:t>
      </w:r>
      <w:r>
        <w:rPr>
          <w:rFonts w:ascii="Times New Roman" w:cs="Times New Roman" w:eastAsia="Times New Roman" w:hAnsi="Times New Roman"/>
          <w:sz w:val="15"/>
          <w:szCs w:val="15"/>
          <w:u w:val="single" w:color="auto"/>
          <w:color w:val="auto"/>
        </w:rPr>
        <w:t>Section 15.04(c)</w:t>
      </w:r>
      <w:r>
        <w:rPr>
          <w:rFonts w:ascii="Times New Roman" w:cs="Times New Roman" w:eastAsia="Times New Roman" w:hAnsi="Times New Roman"/>
          <w:sz w:val="15"/>
          <w:szCs w:val="15"/>
          <w:color w:val="auto"/>
        </w:rPr>
        <w:t xml:space="preserve"> will be required) until the occurrence of the earliest Trigger Event, whereupon such rights, options or warrants shall be deemed to have been distributed and an appropriate adjustment (if any is required) to the Conversion Rate shall be made under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15.04(c)</w:t>
      </w:r>
      <w:r>
        <w:rPr>
          <w:rFonts w:ascii="Times New Roman" w:cs="Times New Roman" w:eastAsia="Times New Roman" w:hAnsi="Times New Roman"/>
          <w:sz w:val="15"/>
          <w:szCs w:val="15"/>
          <w:color w:val="auto"/>
        </w:rPr>
        <w:t xml:space="preserv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Times New Roman" w:cs="Times New Roman" w:eastAsia="Times New Roman" w:hAnsi="Times New Roman"/>
          <w:sz w:val="15"/>
          <w:szCs w:val="15"/>
          <w:u w:val="single" w:color="auto"/>
          <w:color w:val="auto"/>
        </w:rPr>
        <w:t>Section 15.04(c)</w:t>
      </w:r>
      <w:r>
        <w:rPr>
          <w:rFonts w:ascii="Times New Roman" w:cs="Times New Roman" w:eastAsia="Times New Roman" w:hAnsi="Times New Roman"/>
          <w:sz w:val="15"/>
          <w:szCs w:val="15"/>
          <w:color w:val="auto"/>
        </w:rPr>
        <w:t xml:space="preserve"> was made,</w:t>
      </w:r>
    </w:p>
    <w:p>
      <w:pPr>
        <w:spacing w:after="0" w:line="8" w:lineRule="exact"/>
        <w:rPr>
          <w:sz w:val="20"/>
          <w:szCs w:val="20"/>
          <w:color w:val="auto"/>
        </w:rPr>
      </w:pPr>
    </w:p>
    <w:p>
      <w:pPr>
        <w:jc w:val="both"/>
        <w:ind w:left="4" w:hanging="4"/>
        <w:spacing w:after="0" w:line="251" w:lineRule="auto"/>
        <w:tabs>
          <w:tab w:leader="none" w:pos="24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18" w:name="page119"/>
    <w:bookmarkEnd w:id="118"/>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For purposes of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if any dividend or distribution to which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is applicable also includes one or both of:</w:t>
      </w:r>
    </w:p>
    <w:p>
      <w:pPr>
        <w:spacing w:after="0" w:line="142" w:lineRule="exact"/>
        <w:rPr>
          <w:sz w:val="20"/>
          <w:szCs w:val="20"/>
          <w:color w:val="auto"/>
        </w:rPr>
      </w:pPr>
    </w:p>
    <w:p>
      <w:pPr>
        <w:ind w:left="840" w:hanging="271"/>
        <w:spacing w:after="0"/>
        <w:tabs>
          <w:tab w:leader="none" w:pos="84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dividend or distribution of shares of Common Stock to which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is applicable (the “</w:t>
      </w:r>
      <w:r>
        <w:rPr>
          <w:rFonts w:ascii="Times New Roman" w:cs="Times New Roman" w:eastAsia="Times New Roman" w:hAnsi="Times New Roman"/>
          <w:sz w:val="16"/>
          <w:szCs w:val="16"/>
          <w:b w:val="1"/>
          <w:bCs w:val="1"/>
          <w:color w:val="auto"/>
        </w:rPr>
        <w:t>Clause A Distribution</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ind w:left="820" w:hanging="251"/>
        <w:spacing w:after="0"/>
        <w:tabs>
          <w:tab w:leader="none" w:pos="8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dividend or distribution of rights, options or warrants to which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 xml:space="preserve"> is applicable (the “</w:t>
      </w:r>
      <w:r>
        <w:rPr>
          <w:rFonts w:ascii="Times New Roman" w:cs="Times New Roman" w:eastAsia="Times New Roman" w:hAnsi="Times New Roman"/>
          <w:sz w:val="16"/>
          <w:szCs w:val="16"/>
          <w:b w:val="1"/>
          <w:bCs w:val="1"/>
          <w:color w:val="auto"/>
        </w:rPr>
        <w:t>Clause B Distribution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then, in either case, (1) such dividend or distribution, other than the Clause A Distribution and the Clause B Distribution, shall be deemed to be a dividend or distribution to which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is applicable (the “</w:t>
      </w:r>
      <w:r>
        <w:rPr>
          <w:rFonts w:ascii="Times New Roman" w:cs="Times New Roman" w:eastAsia="Times New Roman" w:hAnsi="Times New Roman"/>
          <w:sz w:val="16"/>
          <w:szCs w:val="16"/>
          <w:b w:val="1"/>
          <w:bCs w:val="1"/>
          <w:color w:val="auto"/>
        </w:rPr>
        <w:t>Clause C Distribution</w:t>
      </w:r>
      <w:r>
        <w:rPr>
          <w:rFonts w:ascii="Times New Roman" w:cs="Times New Roman" w:eastAsia="Times New Roman" w:hAnsi="Times New Roman"/>
          <w:sz w:val="16"/>
          <w:szCs w:val="16"/>
          <w:color w:val="auto"/>
        </w:rPr>
        <w:t xml:space="preserve">”) and any Conversion Rate adjustment required by this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xml:space="preserve"> with respect to such Clause C Distribution shall then be made, and (2) the Clause A Distribution and Clause B Distribution shall be deemed to immediately follow the Clause C Distribution and any Conversion Rate adjustment required by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 xml:space="preserve">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w:t>
      </w:r>
      <w:r>
        <w:rPr>
          <w:rFonts w:ascii="Times New Roman" w:cs="Times New Roman" w:eastAsia="Times New Roman" w:hAnsi="Times New Roman"/>
          <w:sz w:val="16"/>
          <w:szCs w:val="16"/>
          <w:u w:val="single" w:color="auto"/>
          <w:color w:val="auto"/>
        </w:rPr>
        <w:t>Section 15.04(a)</w:t>
      </w:r>
      <w:r>
        <w:rPr>
          <w:rFonts w:ascii="Times New Roman" w:cs="Times New Roman" w:eastAsia="Times New Roman" w:hAnsi="Times New Roman"/>
          <w:sz w:val="16"/>
          <w:szCs w:val="16"/>
          <w:color w:val="auto"/>
        </w:rPr>
        <w:t xml:space="preserve"> or “outstanding immediately prior to the open of business on such Ex-Dividend Date” within the meaning of </w:t>
      </w:r>
      <w:r>
        <w:rPr>
          <w:rFonts w:ascii="Times New Roman" w:cs="Times New Roman" w:eastAsia="Times New Roman" w:hAnsi="Times New Roman"/>
          <w:sz w:val="16"/>
          <w:szCs w:val="16"/>
          <w:u w:val="single" w:color="auto"/>
          <w:color w:val="auto"/>
        </w:rPr>
        <w:t>Section 15.04(b)</w:t>
      </w:r>
      <w:r>
        <w:rPr>
          <w:rFonts w:ascii="Times New Roman" w:cs="Times New Roman" w:eastAsia="Times New Roman" w:hAnsi="Times New Roman"/>
          <w:sz w:val="16"/>
          <w:szCs w:val="16"/>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9" w:name="page120"/>
    <w:bookmarkEnd w:id="119"/>
    <w:p>
      <w:pPr>
        <w:ind w:right="20" w:firstLine="569"/>
        <w:spacing w:after="0" w:line="280" w:lineRule="auto"/>
        <w:tabs>
          <w:tab w:leader="none" w:pos="8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makes any cash dividend or distribution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102235</wp:posOffset>
            </wp:positionV>
            <wp:extent cx="1016635" cy="273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16635" cy="27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Conversion Rate in effect immediately prior to the open of business on the Ex-Dividend Date for such dividend or distribution;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xml:space="preserve"> = the Conversion Rate in effect immediately after the open of business on the Ex-Dividend Date for such dividend or distribution;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Last Reported Sale Price of the Common Stock on the Trading Day immediately preceding the Ex-Dividend Date for such dividend or distribution; and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 = the amount in cash per share the Company distributes to all or substantially all holders of the Common Stock.</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Any increase pursuant to this </w:t>
      </w:r>
      <w:r>
        <w:rPr>
          <w:rFonts w:ascii="Times New Roman" w:cs="Times New Roman" w:eastAsia="Times New Roman" w:hAnsi="Times New Roman"/>
          <w:sz w:val="16"/>
          <w:szCs w:val="16"/>
          <w:u w:val="single" w:color="auto"/>
          <w:color w:val="auto"/>
        </w:rPr>
        <w:t>Section 15.04(d)</w:t>
      </w:r>
      <w:r>
        <w:rPr>
          <w:rFonts w:ascii="Times New Roman" w:cs="Times New Roman" w:eastAsia="Times New Roman" w:hAnsi="Times New Roman"/>
          <w:sz w:val="16"/>
          <w:szCs w:val="16"/>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in effect on the Ex-Dividend Date for such cash dividend or distribution.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0" w:name="page121"/>
    <w:bookmarkEnd w:id="120"/>
    <w:p>
      <w:pPr>
        <w:jc w:val="both"/>
        <w:ind w:firstLine="569"/>
        <w:spacing w:after="0" w:line="257" w:lineRule="auto"/>
        <w:tabs>
          <w:tab w:leader="none" w:pos="80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or any of its Subsidiaries make a payment in respect of a tender or exchange offer for the Common Stock that is subject to the then-applicable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113665</wp:posOffset>
            </wp:positionV>
            <wp:extent cx="1479550" cy="2501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79550" cy="25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w:t>
      </w:r>
    </w:p>
    <w:p>
      <w:pPr>
        <w:spacing w:after="0" w:line="8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Conversion Rate in effect immediately prior to the close of business on the 10th Trading Day immediately following, and including, the Trading Day next succeeding the date such tender or exchange offer expires;</w:t>
      </w:r>
    </w:p>
    <w:p>
      <w:pPr>
        <w:spacing w:after="0" w:line="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the Conversion Rate in effect immediately after the close of business on the 10th Trading Day immediately following, and including, the Trading Day next succeeding the date such tender or exchange offer expires;</w:t>
      </w:r>
    </w:p>
    <w:p>
      <w:pPr>
        <w:spacing w:after="0" w:line="10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AC = the aggregate value of all cash and any other consideration (as determined by the Company in good faith) paid or payable for shares of Common Stock purchased in such tender or exchange offer;</w:t>
      </w:r>
    </w:p>
    <w:p>
      <w:pPr>
        <w:spacing w:after="0" w:line="30"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6"/>
          <w:szCs w:val="16"/>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SP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6"/>
          <w:szCs w:val="16"/>
          <w:color w:val="auto"/>
        </w:rPr>
        <w:t>= the average of the Last Reported Sale Prices of the Common Stock over the 10 consecutive Trading Day period commencing on, and including, the Trading Day next succeeding the date such tender or exchange offer expires.</w:t>
      </w:r>
    </w:p>
    <w:p>
      <w:pPr>
        <w:spacing w:after="0" w:line="108" w:lineRule="exact"/>
        <w:rPr>
          <w:sz w:val="20"/>
          <w:szCs w:val="20"/>
          <w:color w:val="auto"/>
        </w:rPr>
      </w:pPr>
    </w:p>
    <w:p>
      <w:pPr>
        <w:jc w:val="both"/>
        <w:ind w:right="20" w:firstLine="574"/>
        <w:spacing w:after="0" w:line="272" w:lineRule="auto"/>
        <w:rPr>
          <w:sz w:val="20"/>
          <w:szCs w:val="20"/>
          <w:color w:val="auto"/>
        </w:rPr>
      </w:pPr>
      <w:r>
        <w:rPr>
          <w:rFonts w:ascii="Times New Roman" w:cs="Times New Roman" w:eastAsia="Times New Roman" w:hAnsi="Times New Roman"/>
          <w:sz w:val="15"/>
          <w:szCs w:val="15"/>
          <w:color w:val="auto"/>
        </w:rPr>
        <w:t xml:space="preserve">The increase to the Conversion Rate under this </w:t>
      </w:r>
      <w:r>
        <w:rPr>
          <w:rFonts w:ascii="Times New Roman" w:cs="Times New Roman" w:eastAsia="Times New Roman" w:hAnsi="Times New Roman"/>
          <w:sz w:val="15"/>
          <w:szCs w:val="15"/>
          <w:u w:val="single" w:color="auto"/>
          <w:color w:val="auto"/>
        </w:rPr>
        <w:t>Section 15.04(e)</w:t>
      </w:r>
      <w:r>
        <w:rPr>
          <w:rFonts w:ascii="Times New Roman" w:cs="Times New Roman" w:eastAsia="Times New Roman" w:hAnsi="Times New Roman"/>
          <w:sz w:val="15"/>
          <w:szCs w:val="15"/>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w:t>
      </w:r>
    </w:p>
    <w:p>
      <w:pPr>
        <w:spacing w:after="0" w:line="153"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If the Company or one of its Subsidiaries is obligated to purchase shares of Common Stock pursuant to any such tender or exchange offer described in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15.04(e)</w:t>
      </w:r>
      <w:r>
        <w:rPr>
          <w:rFonts w:ascii="Times New Roman" w:cs="Times New Roman" w:eastAsia="Times New Roman" w:hAnsi="Times New Roman"/>
          <w:sz w:val="16"/>
          <w:szCs w:val="16"/>
          <w:color w:val="auto"/>
        </w:rPr>
        <w:t xml:space="preserv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1" w:name="page122"/>
    <w:bookmarkEnd w:id="121"/>
    <w:p>
      <w:pPr>
        <w:jc w:val="both"/>
        <w:ind w:firstLine="569"/>
        <w:spacing w:after="0" w:line="255" w:lineRule="auto"/>
        <w:tabs>
          <w:tab w:leader="none" w:pos="7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w:t>
      </w:r>
      <w:r>
        <w:rPr>
          <w:rFonts w:ascii="Times New Roman" w:cs="Times New Roman" w:eastAsia="Times New Roman" w:hAnsi="Times New Roman"/>
          <w:sz w:val="16"/>
          <w:szCs w:val="16"/>
          <w:u w:val="single" w:color="auto"/>
          <w:color w:val="auto"/>
        </w:rPr>
        <w:t>Section 15.02(i)</w:t>
      </w:r>
      <w:r>
        <w:rPr>
          <w:rFonts w:ascii="Times New Roman" w:cs="Times New Roman" w:eastAsia="Times New Roman" w:hAnsi="Times New Roman"/>
          <w:sz w:val="16"/>
          <w:szCs w:val="16"/>
          <w:color w:val="auto"/>
        </w:rPr>
        <w:t xml:space="preserve"> based on an adjusted Conversion Rate for such Ex-Dividend Date, then, notwithstanding the Conversion Rate adjustment provisions in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65" w:lineRule="exact"/>
        <w:rPr>
          <w:rFonts w:ascii="Times New Roman" w:cs="Times New Roman" w:eastAsia="Times New Roman" w:hAnsi="Times New Roman"/>
          <w:sz w:val="16"/>
          <w:szCs w:val="16"/>
          <w:color w:val="auto"/>
        </w:rPr>
      </w:pPr>
    </w:p>
    <w:p>
      <w:pPr>
        <w:ind w:firstLine="569"/>
        <w:spacing w:after="0" w:line="280" w:lineRule="auto"/>
        <w:tabs>
          <w:tab w:leader="none" w:pos="811"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7" w:lineRule="auto"/>
        <w:tabs>
          <w:tab w:leader="none" w:pos="80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those adjustments required by clauses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w:t>
      </w:r>
    </w:p>
    <w:p>
      <w:pPr>
        <w:spacing w:after="0" w:line="162"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the Conversion Rate shall not be adjusted:</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1"/>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upon the issuance of any shares of Common Stock at a price below the Conversion Price or otherwise, other than any such issuance described in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w:t>
      </w:r>
    </w:p>
    <w:p>
      <w:pPr>
        <w:spacing w:after="0" w:line="181" w:lineRule="exact"/>
        <w:rPr>
          <w:rFonts w:ascii="Times New Roman" w:cs="Times New Roman" w:eastAsia="Times New Roman" w:hAnsi="Times New Roman"/>
          <w:sz w:val="15"/>
          <w:szCs w:val="15"/>
          <w:color w:val="auto"/>
        </w:rPr>
      </w:pPr>
    </w:p>
    <w:p>
      <w:pPr>
        <w:ind w:right="20" w:firstLine="1143"/>
        <w:spacing w:after="0" w:line="280" w:lineRule="auto"/>
        <w:tabs>
          <w:tab w:leader="none" w:pos="1389"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35"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33"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issuance of any shares of the Common Stock pursuant to any option, warrant, right or exercisable, exchangeable or convertible security not described in </w:t>
      </w:r>
      <w:r>
        <w:rPr>
          <w:rFonts w:ascii="Times New Roman" w:cs="Times New Roman" w:eastAsia="Times New Roman" w:hAnsi="Times New Roman"/>
          <w:sz w:val="16"/>
          <w:szCs w:val="16"/>
          <w:u w:val="single" w:color="auto"/>
          <w:color w:val="auto"/>
        </w:rPr>
        <w:t>clause (iii)</w:t>
      </w:r>
      <w:r>
        <w:rPr>
          <w:rFonts w:ascii="Times New Roman" w:cs="Times New Roman" w:eastAsia="Times New Roman" w:hAnsi="Times New Roman"/>
          <w:sz w:val="16"/>
          <w:szCs w:val="16"/>
          <w:color w:val="auto"/>
        </w:rPr>
        <w:t xml:space="preserve"> of this subsection and outstanding as of the date the Notes were first issued;</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 third-party tender offer by any party other than a tender offer by one or more of the Company’s Subsidiaries as described in </w:t>
      </w:r>
      <w:r>
        <w:rPr>
          <w:rFonts w:ascii="Times New Roman" w:cs="Times New Roman" w:eastAsia="Times New Roman" w:hAnsi="Times New Roman"/>
          <w:sz w:val="16"/>
          <w:szCs w:val="16"/>
          <w:u w:val="single" w:color="auto"/>
          <w:color w:val="auto"/>
        </w:rPr>
        <w:t>clause (e)</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15.04</w:t>
      </w:r>
      <w:r>
        <w:rPr>
          <w:rFonts w:ascii="Times New Roman" w:cs="Times New Roman" w:eastAsia="Times New Roman" w:hAnsi="Times New Roman"/>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2" w:name="page123"/>
    <w:bookmarkEnd w:id="122"/>
    <w:p>
      <w:pPr>
        <w:jc w:val="both"/>
        <w:ind w:right="20" w:firstLine="1143"/>
        <w:spacing w:after="0" w:line="265" w:lineRule="auto"/>
        <w:tabs>
          <w:tab w:leader="none" w:pos="1427"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repurchase of any shares of Common Stock pursuant to an open-market share purchase program or other buy-back transaction, including, any structured or derivative transactions such as accelerated share repurchase transactions or similar forward derivatives, or other buy-back transaction, that is not a tender offer or exchange offer of the kind described under </w:t>
      </w:r>
      <w:r>
        <w:rPr>
          <w:rFonts w:ascii="Times New Roman" w:cs="Times New Roman" w:eastAsia="Times New Roman" w:hAnsi="Times New Roman"/>
          <w:sz w:val="16"/>
          <w:szCs w:val="16"/>
          <w:u w:val="single" w:color="auto"/>
          <w:color w:val="auto"/>
        </w:rPr>
        <w:t>clause (e)</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solely for a change in the par value (or lack of par value) of the Common Stock; or</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accrued and unpaid interest, if any.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All calculations and other determinations under this </w:t>
      </w:r>
      <w:r>
        <w:rPr>
          <w:rFonts w:ascii="Times New Roman" w:cs="Times New Roman" w:eastAsia="Times New Roman" w:hAnsi="Times New Roman"/>
          <w:sz w:val="16"/>
          <w:szCs w:val="16"/>
          <w:u w:val="single" w:color="auto"/>
          <w:color w:val="auto"/>
        </w:rPr>
        <w:t>Article 14</w:t>
      </w:r>
      <w:r>
        <w:rPr>
          <w:rFonts w:ascii="Times New Roman" w:cs="Times New Roman" w:eastAsia="Times New Roman" w:hAnsi="Times New Roman"/>
          <w:sz w:val="16"/>
          <w:szCs w:val="16"/>
          <w:color w:val="auto"/>
        </w:rPr>
        <w:t xml:space="preserve"> shall be made by the Company and shall be made to the nearest one-ten thousandth (1/10,000th) of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w:t>
      </w:r>
    </w:p>
    <w:p>
      <w:pPr>
        <w:spacing w:after="0" w:line="182" w:lineRule="exact"/>
        <w:rPr>
          <w:sz w:val="20"/>
          <w:szCs w:val="20"/>
          <w:color w:val="auto"/>
        </w:rPr>
      </w:pPr>
    </w:p>
    <w:p>
      <w:pPr>
        <w:jc w:val="both"/>
        <w:ind w:firstLine="569"/>
        <w:spacing w:after="0" w:line="257" w:lineRule="auto"/>
        <w:tabs>
          <w:tab w:leader="none" w:pos="79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 adjustment to the Conversion Rate otherwise required by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and (iii) on the effective date of any Fundamental Change and/or Make-Whole Fundamental Change, in each case, unless the adjustment has already been made.</w:t>
      </w:r>
    </w:p>
    <w:p>
      <w:pPr>
        <w:spacing w:after="0" w:line="162" w:lineRule="exact"/>
        <w:rPr>
          <w:rFonts w:ascii="Times New Roman" w:cs="Times New Roman" w:eastAsia="Times New Roman" w:hAnsi="Times New Roman"/>
          <w:sz w:val="16"/>
          <w:szCs w:val="16"/>
          <w:color w:val="auto"/>
        </w:rPr>
      </w:pPr>
    </w:p>
    <w:p>
      <w:pPr>
        <w:jc w:val="both"/>
        <w:ind w:firstLine="569"/>
        <w:spacing w:after="0" w:line="255" w:lineRule="auto"/>
        <w:tabs>
          <w:tab w:leader="none" w:pos="80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65" w:lineRule="exact"/>
        <w:rPr>
          <w:rFonts w:ascii="Times New Roman" w:cs="Times New Roman" w:eastAsia="Times New Roman" w:hAnsi="Times New Roman"/>
          <w:sz w:val="16"/>
          <w:szCs w:val="16"/>
          <w:color w:val="auto"/>
        </w:rPr>
      </w:pPr>
    </w:p>
    <w:p>
      <w:pPr>
        <w:jc w:val="both"/>
        <w:ind w:firstLine="569"/>
        <w:spacing w:after="0" w:line="265" w:lineRule="auto"/>
        <w:tabs>
          <w:tab w:leader="none" w:pos="76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53" w:lineRule="exact"/>
        <w:rPr>
          <w:sz w:val="20"/>
          <w:szCs w:val="20"/>
          <w:color w:val="auto"/>
        </w:rPr>
      </w:pPr>
    </w:p>
    <w:p>
      <w:pPr>
        <w:jc w:val="both"/>
        <w:ind w:firstLine="574"/>
        <w:spacing w:after="0" w:line="276" w:lineRule="auto"/>
        <w:rPr>
          <w:sz w:val="20"/>
          <w:szCs w:val="20"/>
          <w:color w:val="auto"/>
        </w:rPr>
      </w:pPr>
      <w:r>
        <w:rPr>
          <w:rFonts w:ascii="Times New Roman" w:cs="Times New Roman" w:eastAsia="Times New Roman" w:hAnsi="Times New Roman"/>
          <w:sz w:val="15"/>
          <w:szCs w:val="15"/>
          <w:color w:val="auto"/>
        </w:rPr>
        <w:t xml:space="preserve">Section 15.05. </w:t>
      </w:r>
      <w:r>
        <w:rPr>
          <w:rFonts w:ascii="Times New Roman" w:cs="Times New Roman" w:eastAsia="Times New Roman" w:hAnsi="Times New Roman"/>
          <w:sz w:val="15"/>
          <w:szCs w:val="15"/>
          <w:i w:val="1"/>
          <w:iCs w:val="1"/>
          <w:color w:val="auto"/>
        </w:rPr>
        <w:t>Adjustments of Prices.</w:t>
      </w:r>
      <w:r>
        <w:rPr>
          <w:rFonts w:ascii="Times New Roman" w:cs="Times New Roman" w:eastAsia="Times New Roman" w:hAnsi="Times New Roman"/>
          <w:sz w:val="15"/>
          <w:szCs w:val="15"/>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for determining the Stock Price for purposes of a Make-Whole Fundamental Change), the Company shall, in good faith, make appropriate adjustments without duplication in respect of any adjustment made pursuant to </w:t>
      </w:r>
      <w:r>
        <w:rPr>
          <w:rFonts w:ascii="Times New Roman" w:cs="Times New Roman" w:eastAsia="Times New Roman" w:hAnsi="Times New Roman"/>
          <w:sz w:val="15"/>
          <w:szCs w:val="15"/>
          <w:u w:val="single" w:color="auto"/>
          <w:color w:val="auto"/>
        </w:rPr>
        <w:t>Section 15.04(a)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15.04(b)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15.04(c)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15.04(d)</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15.04(e)</w:t>
      </w:r>
      <w:r>
        <w:rPr>
          <w:rFonts w:ascii="Times New Roman" w:cs="Times New Roman" w:eastAsia="Times New Roman" w:hAnsi="Times New Roman"/>
          <w:sz w:val="15"/>
          <w:szCs w:val="15"/>
          <w:color w:val="auto"/>
        </w:rPr>
        <w:t xml:space="preserve"> to each to account for any adjustment to the Conversion Rate that becomes effective, or any event requiring an adjustment to the Conversion Rate where the Ex-Dividend Date, Effective Date or expiration date, as the case may be, of the event occurs, at any time during the period when such Last Reported Sale Prices, Daily VWAPs, Daily Conversion Values or Daily Settlement Amounts are to be calculated.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3" w:name="page124"/>
    <w:bookmarkEnd w:id="123"/>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15.06. </w:t>
      </w:r>
      <w:r>
        <w:rPr>
          <w:rFonts w:ascii="Times New Roman" w:cs="Times New Roman" w:eastAsia="Times New Roman" w:hAnsi="Times New Roman"/>
          <w:sz w:val="16"/>
          <w:szCs w:val="16"/>
          <w:i w:val="1"/>
          <w:iCs w:val="1"/>
          <w:color w:val="auto"/>
        </w:rPr>
        <w:t>Shares to Be Fully Paid.</w:t>
      </w:r>
      <w:r>
        <w:rPr>
          <w:rFonts w:ascii="Times New Roman" w:cs="Times New Roman" w:eastAsia="Times New Roman" w:hAnsi="Times New Roman"/>
          <w:sz w:val="16"/>
          <w:szCs w:val="16"/>
          <w:color w:val="auto"/>
        </w:rPr>
        <w:t xml:space="preserve"> The Company shall at all times reserve, free from preemptive rights, out of its authorized but unissued shares or shares held in treasury, a number of shares of Common Stock equal to the product of (a) the number of outstanding Notes and (b) the Conversion Rate (assuming the Conversion Rate has been increased by the maximum number of Additional Shares pursuant to </w:t>
      </w:r>
      <w:r>
        <w:rPr>
          <w:rFonts w:ascii="Times New Roman" w:cs="Times New Roman" w:eastAsia="Times New Roman" w:hAnsi="Times New Roman"/>
          <w:sz w:val="16"/>
          <w:szCs w:val="16"/>
          <w:u w:val="single" w:color="auto"/>
          <w:color w:val="auto"/>
        </w:rPr>
        <w:t>Section 15.03</w:t>
      </w:r>
      <w:r>
        <w:rPr>
          <w:rFonts w:ascii="Times New Roman" w:cs="Times New Roman" w:eastAsia="Times New Roman" w:hAnsi="Times New Roman"/>
          <w:sz w:val="16"/>
          <w:szCs w:val="16"/>
          <w:color w:val="auto"/>
        </w:rPr>
        <w:t>), to provide for conversion of the Notes from time to time as such Notes are presented for conversion.</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15.07. </w:t>
      </w:r>
      <w:r>
        <w:rPr>
          <w:rFonts w:ascii="Times New Roman" w:cs="Times New Roman" w:eastAsia="Times New Roman" w:hAnsi="Times New Roman"/>
          <w:sz w:val="16"/>
          <w:szCs w:val="16"/>
          <w:i w:val="1"/>
          <w:iCs w:val="1"/>
          <w:color w:val="auto"/>
        </w:rPr>
        <w:t>Effect of Recapitalizations, Reclassifications and Changes of the Common Stock.</w:t>
      </w:r>
    </w:p>
    <w:p>
      <w:pPr>
        <w:spacing w:after="0" w:line="200" w:lineRule="exact"/>
        <w:rPr>
          <w:sz w:val="20"/>
          <w:szCs w:val="20"/>
          <w:color w:val="auto"/>
        </w:rPr>
      </w:pPr>
    </w:p>
    <w:p>
      <w:pPr>
        <w:ind w:left="780" w:hanging="211"/>
        <w:spacing w:after="0"/>
        <w:tabs>
          <w:tab w:leader="none" w:pos="7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54"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recapitalization, reclassification or change of the Common Stock (other than a change to par value, or from par value to no par value, or changes resulting from a subdivision or combination),</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consolidation, merger, combination or similar transaction involving the Company,</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or other transfer to a third party of the consolidated assets of the Company and the Company’s Subsidiaries substantially as an entirety or</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statutory share exchange,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each case, as a result of which the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6"/>
          <w:szCs w:val="16"/>
          <w:b w:val="1"/>
          <w:bCs w:val="1"/>
          <w:color w:val="auto"/>
        </w:rPr>
        <w:t>Share Exchange Event</w:t>
      </w:r>
      <w:r>
        <w:rPr>
          <w:rFonts w:ascii="Times New Roman" w:cs="Times New Roman" w:eastAsia="Times New Roman" w:hAnsi="Times New Roman"/>
          <w:sz w:val="16"/>
          <w:szCs w:val="16"/>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cs="Times New Roman" w:eastAsia="Times New Roman" w:hAnsi="Times New Roman"/>
          <w:sz w:val="16"/>
          <w:szCs w:val="16"/>
          <w:b w:val="1"/>
          <w:bCs w:val="1"/>
          <w:color w:val="auto"/>
        </w:rPr>
        <w:t>Reference Property</w:t>
      </w:r>
      <w:r>
        <w:rPr>
          <w:rFonts w:ascii="Times New Roman" w:cs="Times New Roman" w:eastAsia="Times New Roman" w:hAnsi="Times New Roman"/>
          <w:sz w:val="16"/>
          <w:szCs w:val="16"/>
          <w:color w:val="auto"/>
        </w:rPr>
        <w:t>,” with each “</w:t>
      </w:r>
      <w:r>
        <w:rPr>
          <w:rFonts w:ascii="Times New Roman" w:cs="Times New Roman" w:eastAsia="Times New Roman" w:hAnsi="Times New Roman"/>
          <w:sz w:val="16"/>
          <w:szCs w:val="16"/>
          <w:b w:val="1"/>
          <w:bCs w:val="1"/>
          <w:color w:val="auto"/>
        </w:rPr>
        <w:t>unit of Reference Property</w:t>
      </w:r>
      <w:r>
        <w:rPr>
          <w:rFonts w:ascii="Times New Roman" w:cs="Times New Roman" w:eastAsia="Times New Roman" w:hAnsi="Times New Roman"/>
          <w:sz w:val="16"/>
          <w:szCs w:val="16"/>
          <w:color w:val="auto"/>
        </w:rPr>
        <w:t xml:space="preserve">”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10.01(h)</w:t>
      </w:r>
      <w:r>
        <w:rPr>
          <w:rFonts w:ascii="Times New Roman" w:cs="Times New Roman" w:eastAsia="Times New Roman" w:hAnsi="Times New Roman"/>
          <w:sz w:val="16"/>
          <w:szCs w:val="16"/>
          <w:color w:val="auto"/>
        </w:rPr>
        <w:t xml:space="preserve"> providing for such change in the right to convert each $1,000 Principal amount of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at and after the effective time of the Share Exchange Event the number of shares of Common Stock otherwise deliverable upon conversion of the Notes in accordance with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shall instead be deliverable in the amount and type of Reference Property that a holder of that number of shares of Common Stock would have received in such Share Exchange Event.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4" w:name="page125"/>
    <w:bookmarkEnd w:id="124"/>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15.03,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the price paid per share of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71"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If the Reference Property in respect of any such Share Exchange Event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69"/>
        <w:spacing w:after="0" w:line="257" w:lineRule="auto"/>
        <w:tabs>
          <w:tab w:leader="none" w:pos="81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When the Company executes a supplemental indenture pursuant to </w:t>
      </w:r>
      <w:r>
        <w:rPr>
          <w:rFonts w:ascii="Times New Roman" w:cs="Times New Roman" w:eastAsia="Times New Roman" w:hAnsi="Times New Roman"/>
          <w:sz w:val="16"/>
          <w:szCs w:val="16"/>
          <w:u w:val="single" w:color="auto"/>
          <w:color w:val="auto"/>
        </w:rPr>
        <w:t>subsection (a)</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62" w:lineRule="exact"/>
        <w:rPr>
          <w:rFonts w:ascii="Times New Roman" w:cs="Times New Roman" w:eastAsia="Times New Roman" w:hAnsi="Times New Roman"/>
          <w:sz w:val="16"/>
          <w:szCs w:val="16"/>
          <w:color w:val="auto"/>
        </w:rPr>
      </w:pPr>
    </w:p>
    <w:p>
      <w:pPr>
        <w:jc w:val="both"/>
        <w:ind w:firstLine="569"/>
        <w:spacing w:after="0" w:line="265" w:lineRule="auto"/>
        <w:tabs>
          <w:tab w:leader="none" w:pos="79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become a party to any Share Exchange Event unless its terms are consistent with this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 xml:space="preserve">. None of the foregoing provisions shall affect the right of a Holder of Notes to convert its Notes into shares of Common Stock as set forth in </w:t>
      </w:r>
      <w:r>
        <w:rPr>
          <w:rFonts w:ascii="Times New Roman" w:cs="Times New Roman" w:eastAsia="Times New Roman" w:hAnsi="Times New Roman"/>
          <w:sz w:val="16"/>
          <w:szCs w:val="16"/>
          <w:u w:val="single" w:color="auto"/>
          <w:color w:val="auto"/>
        </w:rPr>
        <w:t>Section 15.01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prior to the effective date of such Share Exchange Event.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5" w:name="page126"/>
    <w:bookmarkEnd w:id="125"/>
    <w:p>
      <w:pPr>
        <w:ind w:left="560"/>
        <w:spacing w:after="0"/>
        <w:rPr>
          <w:sz w:val="20"/>
          <w:szCs w:val="20"/>
          <w:color w:val="auto"/>
        </w:rPr>
      </w:pPr>
      <w:r>
        <w:rPr>
          <w:rFonts w:ascii="Times New Roman" w:cs="Times New Roman" w:eastAsia="Times New Roman" w:hAnsi="Times New Roman"/>
          <w:sz w:val="16"/>
          <w:szCs w:val="16"/>
          <w:color w:val="auto"/>
        </w:rPr>
        <w:t>(d) The above provisions of this Section shall similarly apply to successive Share Exchange Events.</w:t>
      </w:r>
    </w:p>
    <w:p>
      <w:pPr>
        <w:spacing w:after="0" w:line="196"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15.08. </w:t>
      </w:r>
      <w:r>
        <w:rPr>
          <w:rFonts w:ascii="Times New Roman" w:cs="Times New Roman" w:eastAsia="Times New Roman" w:hAnsi="Times New Roman"/>
          <w:sz w:val="16"/>
          <w:szCs w:val="16"/>
          <w:i w:val="1"/>
          <w:iCs w:val="1"/>
          <w:color w:val="auto"/>
        </w:rPr>
        <w:t>Certain Covenants.</w:t>
      </w:r>
      <w:r>
        <w:rPr>
          <w:rFonts w:ascii="Times New Roman" w:cs="Times New Roman" w:eastAsia="Times New Roman" w:hAnsi="Times New Roman"/>
          <w:sz w:val="16"/>
          <w:szCs w:val="16"/>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142" w:lineRule="exact"/>
        <w:rPr>
          <w:sz w:val="20"/>
          <w:szCs w:val="20"/>
          <w:color w:val="auto"/>
        </w:rPr>
      </w:pPr>
    </w:p>
    <w:p>
      <w:pPr>
        <w:jc w:val="both"/>
        <w:ind w:firstLine="569"/>
        <w:spacing w:after="0" w:line="265" w:lineRule="auto"/>
        <w:tabs>
          <w:tab w:leader="none" w:pos="80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55"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11"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53" w:lineRule="exact"/>
        <w:rPr>
          <w:sz w:val="20"/>
          <w:szCs w:val="20"/>
          <w:color w:val="auto"/>
        </w:rPr>
      </w:pPr>
    </w:p>
    <w:p>
      <w:pPr>
        <w:jc w:val="both"/>
        <w:ind w:right="20"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15.09. </w:t>
      </w:r>
      <w:r>
        <w:rPr>
          <w:rFonts w:ascii="Times New Roman" w:cs="Times New Roman" w:eastAsia="Times New Roman" w:hAnsi="Times New Roman"/>
          <w:sz w:val="16"/>
          <w:szCs w:val="16"/>
          <w:i w:val="1"/>
          <w:iCs w:val="1"/>
          <w:color w:val="auto"/>
        </w:rPr>
        <w:t>Responsibility of Trustee.</w:t>
      </w:r>
      <w:r>
        <w:rPr>
          <w:rFonts w:ascii="Times New Roman" w:cs="Times New Roman" w:eastAsia="Times New Roman" w:hAnsi="Times New Roman"/>
          <w:sz w:val="16"/>
          <w:szCs w:val="16"/>
          <w:color w:val="auto"/>
        </w:rPr>
        <w:t xml:space="preserve"> The Trustee and any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Conversion Agent shall not be accountable with respect to the validity or value (or the kind or amount) of any shares of Common Stock, or of any securities, property or cash that may at any time be issued or delivered upon the conversion of any Note; and the Trustee and any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 xml:space="preserve"> relating either to the kind or amount of shares of stock or securities or property (including cash) receivable by Holders upon the conversion of their Notes after any event referred to in such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 xml:space="preserve"> or to any adjustment to be made with respect thereto, but, subject to the provisions of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15.10. </w:t>
      </w:r>
      <w:r>
        <w:rPr>
          <w:rFonts w:ascii="Times New Roman" w:cs="Times New Roman" w:eastAsia="Times New Roman" w:hAnsi="Times New Roman"/>
          <w:sz w:val="16"/>
          <w:szCs w:val="16"/>
          <w:i w:val="1"/>
          <w:iCs w:val="1"/>
          <w:color w:val="auto"/>
        </w:rPr>
        <w:t>Notice to Holders Prior to Certain Actions</w:t>
      </w:r>
      <w:r>
        <w:rPr>
          <w:rFonts w:ascii="Times New Roman" w:cs="Times New Roman" w:eastAsia="Times New Roman" w:hAnsi="Times New Roman"/>
          <w:sz w:val="16"/>
          <w:szCs w:val="16"/>
          <w:color w:val="auto"/>
        </w:rPr>
        <w:t>. In case of any:</w:t>
      </w:r>
    </w:p>
    <w:p>
      <w:pPr>
        <w:spacing w:after="0" w:line="200" w:lineRule="exact"/>
        <w:rPr>
          <w:sz w:val="20"/>
          <w:szCs w:val="20"/>
          <w:color w:val="auto"/>
        </w:rPr>
      </w:pPr>
    </w:p>
    <w:p>
      <w:pPr>
        <w:ind w:left="780" w:hanging="211"/>
        <w:spacing w:after="0"/>
        <w:tabs>
          <w:tab w:leader="none" w:pos="78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action by the Company or one of its Subsidiaries that would require an adjustment in the Conversion Rate pursuant to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15.11</w:t>
      </w:r>
      <w:r>
        <w:rPr>
          <w:rFonts w:ascii="Times New Roman" w:cs="Times New Roman" w:eastAsia="Times New Roman" w:hAnsi="Times New Roman"/>
          <w:sz w:val="16"/>
          <w:szCs w:val="16"/>
          <w:color w:val="auto"/>
        </w:rPr>
        <w:t>;</w:t>
      </w:r>
    </w:p>
    <w:p>
      <w:pPr>
        <w:spacing w:after="0" w:line="389" w:lineRule="exact"/>
        <w:rPr>
          <w:rFonts w:ascii="Times New Roman" w:cs="Times New Roman" w:eastAsia="Times New Roman" w:hAnsi="Times New Roman"/>
          <w:sz w:val="16"/>
          <w:szCs w:val="16"/>
          <w:color w:val="auto"/>
        </w:rPr>
      </w:pPr>
    </w:p>
    <w:p>
      <w:pPr>
        <w:ind w:left="5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6" w:name="page127"/>
    <w:bookmarkEnd w:id="126"/>
    <w:p>
      <w:pPr>
        <w:ind w:left="800" w:hanging="231"/>
        <w:spacing w:after="0"/>
        <w:tabs>
          <w:tab w:leader="none" w:pos="8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Exchange Event; or</w:t>
      </w:r>
    </w:p>
    <w:p>
      <w:pPr>
        <w:spacing w:after="0" w:line="198"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voluntary or involuntary dissolution, liquidation or winding-up of the Company or any of its Subsidiaries;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Share Exchange Event, dissolution, liquidation or winding-up is expected to become effective or occur, and the date as of which it is expected that holders of Common Stock of record shall be entitled to exchange their Common Stock for securities or other property deliverable upon such Share Exchange Event, dissolution, liquidation or winding-up. Failure to give such notice, or any defect therein, shall not affect the legality or validity of such action by the Company or one of its Subsidiaries, Share Exchange Event, dissolution, liquidation or winding-up.</w:t>
      </w:r>
    </w:p>
    <w:p>
      <w:pPr>
        <w:spacing w:after="0" w:line="167"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 xml:space="preserve">Section 15.11. </w:t>
      </w:r>
      <w:r>
        <w:rPr>
          <w:rFonts w:ascii="Times New Roman" w:cs="Times New Roman" w:eastAsia="Times New Roman" w:hAnsi="Times New Roman"/>
          <w:sz w:val="16"/>
          <w:szCs w:val="16"/>
          <w:i w:val="1"/>
          <w:iCs w:val="1"/>
          <w:color w:val="auto"/>
        </w:rPr>
        <w:t>Stockholder Rights Plans.</w:t>
      </w:r>
      <w:r>
        <w:rPr>
          <w:rFonts w:ascii="Times New Roman" w:cs="Times New Roman" w:eastAsia="Times New Roman" w:hAnsi="Times New Roman"/>
          <w:sz w:val="16"/>
          <w:szCs w:val="16"/>
          <w:color w:val="auto"/>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Times New Roman" w:cs="Times New Roman" w:eastAsia="Times New Roman" w:hAnsi="Times New Roman"/>
          <w:sz w:val="16"/>
          <w:szCs w:val="16"/>
          <w:u w:val="single" w:color="auto"/>
          <w:color w:val="auto"/>
        </w:rPr>
        <w:t>Section 15.04(c)</w:t>
      </w:r>
      <w:r>
        <w:rPr>
          <w:rFonts w:ascii="Times New Roman" w:cs="Times New Roman" w:eastAsia="Times New Roman" w:hAnsi="Times New Roman"/>
          <w:sz w:val="16"/>
          <w:szCs w:val="16"/>
          <w:color w:val="auto"/>
        </w:rPr>
        <w:t>, subject to readjustment in the event of the expiration, termination or redemption of such rights.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15.12. </w:t>
      </w:r>
      <w:r>
        <w:rPr>
          <w:rFonts w:ascii="Times New Roman" w:cs="Times New Roman" w:eastAsia="Times New Roman" w:hAnsi="Times New Roman"/>
          <w:sz w:val="16"/>
          <w:szCs w:val="16"/>
          <w:i w:val="1"/>
          <w:iCs w:val="1"/>
          <w:color w:val="auto"/>
        </w:rPr>
        <w:t>Exchange in Lieu of Conversion.</w:t>
      </w:r>
    </w:p>
    <w:p>
      <w:pPr>
        <w:spacing w:after="0" w:line="198" w:lineRule="exact"/>
        <w:rPr>
          <w:sz w:val="20"/>
          <w:szCs w:val="20"/>
          <w:color w:val="auto"/>
        </w:rPr>
      </w:pPr>
    </w:p>
    <w:p>
      <w:pPr>
        <w:jc w:val="both"/>
        <w:ind w:firstLine="569"/>
        <w:spacing w:after="0" w:line="254" w:lineRule="auto"/>
        <w:tabs>
          <w:tab w:leader="none" w:pos="792"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Holder surrenders its Notes for conversion, the Company may, at its election (an “</w:t>
      </w:r>
      <w:r>
        <w:rPr>
          <w:rFonts w:ascii="Times New Roman" w:cs="Times New Roman" w:eastAsia="Times New Roman" w:hAnsi="Times New Roman"/>
          <w:sz w:val="16"/>
          <w:szCs w:val="16"/>
          <w:b w:val="1"/>
          <w:bCs w:val="1"/>
          <w:color w:val="auto"/>
        </w:rPr>
        <w:t>Exchange Election</w:t>
      </w:r>
      <w:r>
        <w:rPr>
          <w:rFonts w:ascii="Times New Roman" w:cs="Times New Roman" w:eastAsia="Times New Roman" w:hAnsi="Times New Roman"/>
          <w:sz w:val="16"/>
          <w:szCs w:val="16"/>
          <w:color w:val="auto"/>
        </w:rPr>
        <w:t xml:space="preserve">”), direct the Conversion Agent to deliver, on or prior to the second Trading Day immediately following the relevant Conversion Date, such Notes to one or more financial institutions designated by the Company for exchange in lieu of conversion. In order to accept any Notes surrendered for conversion, the designated institution(s) must agree to timely pay and/or deliver, as the case may be, in exchange for such Notes, the cash, shares of the Common Stock or any combination thereof that would otherwise be due upon conversion pursuant to </w:t>
      </w:r>
      <w:r>
        <w:rPr>
          <w:rFonts w:ascii="Times New Roman" w:cs="Times New Roman" w:eastAsia="Times New Roman" w:hAnsi="Times New Roman"/>
          <w:sz w:val="16"/>
          <w:szCs w:val="16"/>
          <w:u w:val="single" w:color="auto"/>
          <w:color w:val="auto"/>
        </w:rPr>
        <w:t>Section 15.02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Conversion Consideration</w:t>
      </w:r>
      <w:r>
        <w:rPr>
          <w:rFonts w:ascii="Times New Roman" w:cs="Times New Roman" w:eastAsia="Times New Roman" w:hAnsi="Times New Roman"/>
          <w:sz w:val="16"/>
          <w:szCs w:val="16"/>
          <w:color w:val="auto"/>
        </w:rPr>
        <w:t>”) or such other amount agreed to by the Holder and the designated financial institution(s). If the Company makes an Exchange Election, the Company shall, by the close of business on the Trading Day following the relevant Conversion Date, notify the Holder surrendering its Notes for conversion, the Trustee and the Conversion Agent (if other than the Trustee) in writing that it has made the Exchange Election and it will notify the designated financial institution(s) of the relevant deadline for delivery of the Conversion Consideration and the type of Conversion Consideration to be paid and/or delivered, as the case may be.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7" w:name="page128"/>
    <w:bookmarkEnd w:id="127"/>
    <w:p>
      <w:pPr>
        <w:jc w:val="both"/>
        <w:ind w:right="20" w:firstLine="569"/>
        <w:spacing w:after="0" w:line="259" w:lineRule="auto"/>
        <w:tabs>
          <w:tab w:leader="none" w:pos="80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Notes delivered to the designated institution(s) shall remain outstanding, subject to applicable Depositary procedures. If the designated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if it had not made an Exchange Election.</w:t>
      </w:r>
    </w:p>
    <w:p>
      <w:pPr>
        <w:spacing w:after="0" w:line="161"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designation of any financial institution(s) to which the Notes may be submitted for exchange does not require such financial institution(s) to accept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Section 15.13. [RESERVED].</w:t>
      </w:r>
    </w:p>
    <w:p>
      <w:pPr>
        <w:spacing w:after="0" w:line="196"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Section 15.14. </w:t>
      </w:r>
      <w:r>
        <w:rPr>
          <w:rFonts w:ascii="Times New Roman" w:cs="Times New Roman" w:eastAsia="Times New Roman" w:hAnsi="Times New Roman"/>
          <w:sz w:val="16"/>
          <w:szCs w:val="16"/>
          <w:i w:val="1"/>
          <w:iCs w:val="1"/>
          <w:color w:val="auto"/>
        </w:rPr>
        <w:t>Beneficial Ownership Limitations</w:t>
      </w:r>
      <w:r>
        <w:rPr>
          <w:rFonts w:ascii="Times New Roman" w:cs="Times New Roman" w:eastAsia="Times New Roman" w:hAnsi="Times New Roman"/>
          <w:sz w:val="16"/>
          <w:szCs w:val="16"/>
          <w:color w:val="auto"/>
        </w:rPr>
        <w:t xml:space="preserve">. (a) Notwithstanding anything to the contrary in this Indenture, no Holder will be entitled to receive shares of Common Stock upon conversion of Notes and no conversion of Notes shall take place to the extent (but only to the extent) that such receipt (or conversion) would cause such Holder and its Affiliates (in each case together with any other persons whose beneficial ownership would be aggregated for purposes of Section 13(d) of the Exchange Act, including any “group” of which Holder, its Affiliates or such person is a member) to beneficially own shares in excess of the Beneficial Ownership Limitations. For purposes of the foregoing sentence, the number of shares of Common Stock beneficially owned by the Holder and its Affiliates (in each case together with any other persons whose beneficial ownership would be aggregated for purposes of Section 13(d) of the Exchange Act, including any “group” of which Holder, its Affiliates or such person is a member) shall include the number of shares of Common Stock issuable upon conversion of any Notes with respect to which such determination is being made, but shall exclude the number of shares of Common Stock which are issuable upon (i) conversion of the remaining, unconverted principal amount of Notes beneficially owned by the Holder and its Affiliates (in each case together with any other persons whose beneficial ownership would be aggregated for purposes of Section 13(d) of the Exchange Act, including any “group” of which Holder, its Affiliates or such person is a member) and (ii) exercise or conversion of the unexercised or unconverted portion of any other securities of the Company subject to a limitation on conversion or exercise analogous to the limitation contained herein (including, without limitation, any other Notes) beneficially owned by the Holder and its Affiliates (in each case together with any other persons whose beneficial ownership would be aggregated for purposes of Section 13(d) of the Exchange Act, including any “group” of which Holder, its Affiliates or such person is a member). Except as set forth in the preceding sentence, for purposes of this provision, beneficial ownership shall be calculated in accordance with Section 13(d) of the Exchange Act and the rules and regulations promulgated thereunder. Any purported delivery of shares of Common Stock upon conversion of the Notes shall be void and have no effect to the extent (but only to the extent) that such delivery would result in the violation of the Beneficial Ownership Limitations in this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 xml:space="preserve">. For the purpose of this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 in the case of Global Notes, “Holder” shall mean a person that holds a beneficial interest in the Notes and not the Depository for such Global Notes or its nominee.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8" w:name="page129"/>
    <w:bookmarkEnd w:id="128"/>
    <w:p>
      <w:pPr>
        <w:jc w:val="both"/>
        <w:ind w:right="20" w:firstLine="569"/>
        <w:spacing w:after="0" w:line="254" w:lineRule="auto"/>
        <w:tabs>
          <w:tab w:leader="none" w:pos="82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that the limitation contained in this provision applies, the determination of whether any Notes are convertible (in each case in relation to other securities beneficially owned by the Holder) and of which principal amount of such Notes are convertible shall be in the sole discretion of the Holder, and the submission of a Notice of Conversion shall be deemed to be the Holder’s determination of whether any Notes may be converted (in each case in relation to other securities beneficially owned by the Holder) and which principal amount such Notes are convertible, in each case subject to the Beneficial Ownership Limitations. To ensure compliance with this restriction, the Holder shall be deemed to represent to the Company each time it delivers a Notice of Conversion that such notice has not violated the restrictions set forth in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15.14</w:t>
      </w:r>
      <w:r>
        <w:rPr>
          <w:rFonts w:ascii="Times New Roman" w:cs="Times New Roman" w:eastAsia="Times New Roman" w:hAnsi="Times New Roman"/>
          <w:sz w:val="16"/>
          <w:szCs w:val="16"/>
          <w:color w:val="auto"/>
        </w:rPr>
        <w:t xml:space="preserve">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w:t>
      </w:r>
    </w:p>
    <w:p>
      <w:pPr>
        <w:spacing w:after="0" w:line="166" w:lineRule="exact"/>
        <w:rPr>
          <w:rFonts w:ascii="Times New Roman" w:cs="Times New Roman" w:eastAsia="Times New Roman" w:hAnsi="Times New Roman"/>
          <w:sz w:val="16"/>
          <w:szCs w:val="16"/>
          <w:color w:val="auto"/>
        </w:rPr>
      </w:pPr>
    </w:p>
    <w:p>
      <w:pPr>
        <w:jc w:val="both"/>
        <w:ind w:right="20" w:firstLine="569"/>
        <w:spacing w:after="0" w:line="254" w:lineRule="auto"/>
        <w:tabs>
          <w:tab w:leader="none" w:pos="790"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 in determining the number of outstanding shares of Common Stock, the Holder may rely on the number of outstanding shares of Common Stock as stated in the most recent of the following: (i) the Company’s most recent periodic or annual report filed with the Commissions, as the case may be, (ii) a more recent public announcement by the Company, or (iii) a more recent written notice by the Company or the Company’s transfer agent to such Holder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the Notes, by the Holder since the date as of which such number of outstanding shares of Common Stock was reported.</w:t>
      </w:r>
    </w:p>
    <w:p>
      <w:pPr>
        <w:spacing w:after="0" w:line="164" w:lineRule="exact"/>
        <w:rPr>
          <w:rFonts w:ascii="Times New Roman" w:cs="Times New Roman" w:eastAsia="Times New Roman" w:hAnsi="Times New Roman"/>
          <w:sz w:val="16"/>
          <w:szCs w:val="16"/>
          <w:color w:val="auto"/>
        </w:rPr>
      </w:pPr>
    </w:p>
    <w:p>
      <w:pPr>
        <w:jc w:val="both"/>
        <w:ind w:firstLine="569"/>
        <w:spacing w:after="0" w:line="255" w:lineRule="auto"/>
        <w:tabs>
          <w:tab w:leader="none" w:pos="79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General Beneficial Ownership Limitation</w:t>
      </w:r>
      <w:r>
        <w:rPr>
          <w:rFonts w:ascii="Times New Roman" w:cs="Times New Roman" w:eastAsia="Times New Roman" w:hAnsi="Times New Roman"/>
          <w:sz w:val="16"/>
          <w:szCs w:val="16"/>
          <w:color w:val="auto"/>
        </w:rPr>
        <w:t>” shall be 9.99% of the number of shares of the Common Stock outstanding immediately after giving effect to the issuance of shares of Common Stock issuable upon conversion of any Notes held by the Holder. The Holder, by prior written notice to the Company, may elect a beneficial ownership limit as to such Holder (but not as to any other Holder) (such limit, a “</w:t>
      </w:r>
      <w:r>
        <w:rPr>
          <w:rFonts w:ascii="Times New Roman" w:cs="Times New Roman" w:eastAsia="Times New Roman" w:hAnsi="Times New Roman"/>
          <w:sz w:val="16"/>
          <w:szCs w:val="16"/>
          <w:b w:val="1"/>
          <w:bCs w:val="1"/>
          <w:color w:val="auto"/>
        </w:rPr>
        <w:t>Holder Beneficial Ownership Limitation</w:t>
      </w:r>
      <w:r>
        <w:rPr>
          <w:rFonts w:ascii="Times New Roman" w:cs="Times New Roman" w:eastAsia="Times New Roman" w:hAnsi="Times New Roman"/>
          <w:sz w:val="16"/>
          <w:szCs w:val="16"/>
          <w:color w:val="auto"/>
        </w:rPr>
        <w:t>” and together with the General Beneficial Ownership Limitation, the “</w:t>
      </w:r>
      <w:r>
        <w:rPr>
          <w:rFonts w:ascii="Times New Roman" w:cs="Times New Roman" w:eastAsia="Times New Roman" w:hAnsi="Times New Roman"/>
          <w:sz w:val="16"/>
          <w:szCs w:val="16"/>
          <w:b w:val="1"/>
          <w:bCs w:val="1"/>
          <w:color w:val="auto"/>
        </w:rPr>
        <w:t>Beneficial Ownership Limitations</w:t>
      </w:r>
      <w:r>
        <w:rPr>
          <w:rFonts w:ascii="Times New Roman" w:cs="Times New Roman" w:eastAsia="Times New Roman" w:hAnsi="Times New Roman"/>
          <w:sz w:val="16"/>
          <w:szCs w:val="16"/>
          <w:color w:val="auto"/>
        </w:rPr>
        <w:t>”) that is less than or equal to the General Beneficial Ownership Limitation then applicable to the Holders. Any Holder Beneficial Ownership Limitation will be effective as of (i) the date set forth in the applicable written notice to the Company with respect to any decrease in the Holder Beneficial Ownership Limitation (or decrease from the General Beneficial Ownership Limitation if such Holder has not previously provided notice of a Holder Beneficial Ownership Limitation), and (ii) the 61st day after such notice is delivered to the Company in all other cases.</w:t>
      </w:r>
    </w:p>
    <w:p>
      <w:pPr>
        <w:spacing w:after="0" w:line="163" w:lineRule="exact"/>
        <w:rPr>
          <w:rFonts w:ascii="Times New Roman" w:cs="Times New Roman" w:eastAsia="Times New Roman" w:hAnsi="Times New Roman"/>
          <w:sz w:val="16"/>
          <w:szCs w:val="16"/>
          <w:color w:val="auto"/>
        </w:rPr>
      </w:pPr>
    </w:p>
    <w:p>
      <w:pPr>
        <w:ind w:right="20" w:firstLine="569"/>
        <w:spacing w:after="0" w:line="280" w:lineRule="auto"/>
        <w:tabs>
          <w:tab w:leader="none" w:pos="795"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Notes surrendered for conversion for which shares of Common Stock are not delivered due to the Beneficial Ownership Limitations shall not be extinguished and, such Holder may either:</w:t>
      </w:r>
    </w:p>
    <w:p>
      <w:pPr>
        <w:spacing w:after="0" w:line="144" w:lineRule="exact"/>
        <w:rPr>
          <w:rFonts w:ascii="Times New Roman" w:cs="Times New Roman" w:eastAsia="Times New Roman" w:hAnsi="Times New Roman"/>
          <w:sz w:val="16"/>
          <w:szCs w:val="16"/>
          <w:color w:val="auto"/>
        </w:rPr>
      </w:pPr>
    </w:p>
    <w:p>
      <w:pPr>
        <w:ind w:right="20" w:firstLine="1214"/>
        <w:spacing w:after="0" w:line="280" w:lineRule="auto"/>
        <w:tabs>
          <w:tab w:leader="none" w:pos="1425"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request return of the Notes surrendered by such Holder for conversion, after which the Company shall deliver such Notes to such Holder within two trading days after receipt of such request; or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9" w:name="page130"/>
    <w:bookmarkEnd w:id="129"/>
    <w:p>
      <w:pPr>
        <w:jc w:val="both"/>
        <w:ind w:right="20" w:firstLine="1143"/>
        <w:spacing w:after="0" w:line="255" w:lineRule="auto"/>
        <w:tabs>
          <w:tab w:leader="none" w:pos="1405"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 certify to the Company that the person (or persons) receiving shares of Common Stock upon conversion is not, and would not, as a result of such conversion, become the beneficial owner of shares of Common Stock outstanding at such time in excess of the applicable Beneficial Ownership Limitations in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15.14</w:t>
      </w:r>
      <w:r>
        <w:rPr>
          <w:rFonts w:ascii="Times New Roman" w:cs="Times New Roman" w:eastAsia="Times New Roman" w:hAnsi="Times New Roman"/>
          <w:sz w:val="16"/>
          <w:szCs w:val="16"/>
          <w:color w:val="auto"/>
        </w:rPr>
        <w:t xml:space="preserve">, after which the Company shall deliver any such shares of Common Stock withheld on account of such applicable Beneficial Ownership Limitations by the later of (x) the date such shares were otherwise due to such person (or persons) and (y) two Trading Days after receipt of such certification;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until such time as the affected Holder gives such notice, no person shall be deemed to be the stockholder of record with respect to the shares of Common Stock otherwise deliverable upon conversion in excess of any applicable Beneficial Ownership Limitations in this </w:t>
      </w:r>
      <w:r>
        <w:rPr>
          <w:rFonts w:ascii="Times New Roman" w:cs="Times New Roman" w:eastAsia="Times New Roman" w:hAnsi="Times New Roman"/>
          <w:sz w:val="16"/>
          <w:szCs w:val="16"/>
          <w:u w:val="single" w:color="auto"/>
          <w:color w:val="auto"/>
        </w:rPr>
        <w:t>Section 15.14</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left="760" w:hanging="191"/>
        <w:spacing w:after="0"/>
        <w:tabs>
          <w:tab w:leader="none" w:pos="7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Trustee nor the Conversion Agent shall have any obligation to monitor the Ownership Limitations (as to a particular Person or as to all Persons).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REPURCHASE OF NOTES AT OPTION OF 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16.01. </w:t>
      </w:r>
      <w:r>
        <w:rPr>
          <w:rFonts w:ascii="Times New Roman" w:cs="Times New Roman" w:eastAsia="Times New Roman" w:hAnsi="Times New Roman"/>
          <w:sz w:val="16"/>
          <w:szCs w:val="16"/>
          <w:i w:val="1"/>
          <w:iCs w:val="1"/>
          <w:color w:val="auto"/>
        </w:rPr>
        <w:t>Intentionally Omitted.</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16.02. </w:t>
      </w:r>
      <w:r>
        <w:rPr>
          <w:rFonts w:ascii="Times New Roman" w:cs="Times New Roman" w:eastAsia="Times New Roman" w:hAnsi="Times New Roman"/>
          <w:sz w:val="16"/>
          <w:szCs w:val="16"/>
          <w:i w:val="1"/>
          <w:iCs w:val="1"/>
          <w:color w:val="auto"/>
        </w:rPr>
        <w:t>Repurchase at Option of Holders Upon a Fundamental Change.</w:t>
      </w:r>
      <w:r>
        <w:rPr>
          <w:rFonts w:ascii="Times New Roman" w:cs="Times New Roman" w:eastAsia="Times New Roman" w:hAnsi="Times New Roman"/>
          <w:sz w:val="16"/>
          <w:szCs w:val="16"/>
          <w:color w:val="auto"/>
        </w:rPr>
        <w:t xml:space="preserve"> (a) If a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w:t>
      </w:r>
      <w:r>
        <w:rPr>
          <w:rFonts w:ascii="Times New Roman" w:cs="Times New Roman" w:eastAsia="Times New Roman" w:hAnsi="Times New Roman"/>
          <w:sz w:val="16"/>
          <w:szCs w:val="16"/>
          <w:u w:val="single" w:color="auto"/>
          <w:color w:val="auto"/>
        </w:rPr>
        <w:t>Section 16.03</w:t>
      </w:r>
      <w:r>
        <w:rPr>
          <w:rFonts w:ascii="Times New Roman" w:cs="Times New Roman" w:eastAsia="Times New Roman" w:hAnsi="Times New Roman"/>
          <w:sz w:val="16"/>
          <w:szCs w:val="16"/>
          <w:color w:val="auto"/>
        </w:rPr>
        <w:t xml:space="preserve"> that is equal to $1,000 or an integral multiple thereof, on the date (the “</w:t>
      </w:r>
      <w:r>
        <w:rPr>
          <w:rFonts w:ascii="Times New Roman" w:cs="Times New Roman" w:eastAsia="Times New Roman" w:hAnsi="Times New Roman"/>
          <w:sz w:val="16"/>
          <w:szCs w:val="16"/>
          <w:b w:val="1"/>
          <w:bCs w:val="1"/>
          <w:color w:val="auto"/>
        </w:rPr>
        <w:t>Fundamental Change Repurchase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16"/>
          <w:szCs w:val="16"/>
          <w:color w:val="auto"/>
        </w:rPr>
        <w:t>”) specified by the Company that is not less than 20 Business Days or more than 35 Business Days following the date of the Fundamental Change Company Notice at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repurchase price equal to 100% of the principal amount thereof,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accrued and unpaid interest thereon to, but excluding, the Fundamental Change Repurchase Date (the “</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xml:space="preserve">”),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or at the Company’s election, before such Interest Payment Date, and the Fundamental Change Repurchase Price shall be equal to 100% of the principal amount of Notes to be repurchased pursuant to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left="800" w:hanging="231"/>
        <w:spacing w:after="0"/>
        <w:tabs>
          <w:tab w:leader="none" w:pos="8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Repurchases of Notes under this </w:t>
      </w:r>
      <w:r>
        <w:rPr>
          <w:rFonts w:ascii="Times New Roman" w:cs="Times New Roman" w:eastAsia="Times New Roman" w:hAnsi="Times New Roman"/>
          <w:sz w:val="16"/>
          <w:szCs w:val="16"/>
          <w:u w:val="single" w:color="auto"/>
          <w:color w:val="auto"/>
        </w:rPr>
        <w:t>Section 16.02</w:t>
      </w:r>
      <w:r>
        <w:rPr>
          <w:rFonts w:ascii="Times New Roman" w:cs="Times New Roman" w:eastAsia="Times New Roman" w:hAnsi="Times New Roman"/>
          <w:sz w:val="16"/>
          <w:szCs w:val="16"/>
          <w:color w:val="auto"/>
        </w:rPr>
        <w:t xml:space="preserve"> shall be made, at the option of the Holder thereof, upon:</w:t>
      </w:r>
    </w:p>
    <w:p>
      <w:pPr>
        <w:spacing w:after="0" w:line="196" w:lineRule="exact"/>
        <w:rPr>
          <w:rFonts w:ascii="Times New Roman" w:cs="Times New Roman" w:eastAsia="Times New Roman" w:hAnsi="Times New Roman"/>
          <w:sz w:val="16"/>
          <w:szCs w:val="16"/>
          <w:color w:val="auto"/>
        </w:rPr>
      </w:pPr>
    </w:p>
    <w:p>
      <w:pPr>
        <w:jc w:val="both"/>
        <w:ind w:right="20" w:firstLine="1143"/>
        <w:spacing w:after="0" w:line="260" w:lineRule="auto"/>
        <w:tabs>
          <w:tab w:leader="none" w:pos="1369"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to the Paying Agent by a Holder of a duly completed notice (the “</w:t>
      </w:r>
      <w:r>
        <w:rPr>
          <w:rFonts w:ascii="Times New Roman" w:cs="Times New Roman" w:eastAsia="Times New Roman" w:hAnsi="Times New Roman"/>
          <w:sz w:val="16"/>
          <w:szCs w:val="16"/>
          <w:b w:val="1"/>
          <w:bCs w:val="1"/>
          <w:color w:val="auto"/>
        </w:rPr>
        <w:t>Fundamental Change Repurchase Notice</w:t>
      </w:r>
      <w:r>
        <w:rPr>
          <w:rFonts w:ascii="Times New Roman" w:cs="Times New Roman" w:eastAsia="Times New Roman" w:hAnsi="Times New Roman"/>
          <w:sz w:val="16"/>
          <w:szCs w:val="16"/>
          <w:color w:val="auto"/>
        </w:rPr>
        <w:t xml:space="preserve">”) in the form set forth in Attachment 2 to the Form of Note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0" w:name="page131"/>
    <w:bookmarkEnd w:id="130"/>
    <w:p>
      <w:pPr>
        <w:jc w:val="both"/>
        <w:ind w:firstLine="1143"/>
        <w:spacing w:after="0" w:line="259" w:lineRule="auto"/>
        <w:tabs>
          <w:tab w:leader="none" w:pos="139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Fundamental Change Repurchase Notice in respect of any Notes to be repurchased shall state:</w:t>
      </w:r>
    </w:p>
    <w:p>
      <w:pPr>
        <w:spacing w:after="0" w:line="198" w:lineRule="exact"/>
        <w:rPr>
          <w:sz w:val="20"/>
          <w:szCs w:val="20"/>
          <w:color w:val="auto"/>
        </w:rPr>
      </w:pPr>
    </w:p>
    <w:p>
      <w:pPr>
        <w:ind w:firstLine="1143"/>
        <w:spacing w:after="0" w:line="280" w:lineRule="auto"/>
        <w:tabs>
          <w:tab w:leader="none" w:pos="1339"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Physical Notes, the certificate numbers of the Notes to be delivered for repurchase or if the Notes are Global Notes, the Fundamental Change Repurchase Notice must comply with applicable Depositary procedures;</w:t>
      </w:r>
    </w:p>
    <w:p>
      <w:pPr>
        <w:spacing w:after="0" w:line="144"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the principal amount of Notes to be repurchased, which must be $1,000 or an integral multiple thereof; and</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are to be repurchased by the Company pursuant to the applicable provisions of the Notes and this Indenture.</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If the Notes are Global Notes, to exercise the Fundamental Change repurchase right, Holders must surrender their Notes in accordance with applicable Depositary procedures.</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Notwithstanding anything herein to the contrary, any Holder delivering to the Paying Agent the Fundamental Change Repurchase Notice contemplated by this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16.02</w:t>
      </w:r>
      <w:r>
        <w:rPr>
          <w:rFonts w:ascii="Times New Roman" w:cs="Times New Roman" w:eastAsia="Times New Roman" w:hAnsi="Times New Roman"/>
          <w:sz w:val="16"/>
          <w:szCs w:val="16"/>
          <w:color w:val="auto"/>
        </w:rPr>
        <w:t xml:space="preserve">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w:t>
      </w:r>
      <w:r>
        <w:rPr>
          <w:rFonts w:ascii="Times New Roman" w:cs="Times New Roman" w:eastAsia="Times New Roman" w:hAnsi="Times New Roman"/>
          <w:sz w:val="16"/>
          <w:szCs w:val="16"/>
          <w:u w:val="single" w:color="auto"/>
          <w:color w:val="auto"/>
        </w:rPr>
        <w:t>Section 16.03</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Paying Agent shall promptly notify the Company of the receipt by it of any Fundamental Change Repurchase Notice or written notice of withdrawal thereof.</w:t>
      </w:r>
    </w:p>
    <w:p>
      <w:pPr>
        <w:spacing w:after="0" w:line="198" w:lineRule="exact"/>
        <w:rPr>
          <w:sz w:val="20"/>
          <w:szCs w:val="20"/>
          <w:color w:val="auto"/>
        </w:rPr>
      </w:pPr>
    </w:p>
    <w:p>
      <w:pPr>
        <w:jc w:val="both"/>
        <w:ind w:firstLine="569"/>
        <w:spacing w:after="0" w:line="255" w:lineRule="auto"/>
        <w:tabs>
          <w:tab w:leader="none" w:pos="79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20th Business Day after the occurrence of the effective date of a Fundamental Change, the Company shall provide to all Holders and the Trustee and the Paying Agent (in the case of a Paying Agent other than the Trustee) a notice (the “</w:t>
      </w:r>
      <w:r>
        <w:rPr>
          <w:rFonts w:ascii="Times New Roman" w:cs="Times New Roman" w:eastAsia="Times New Roman" w:hAnsi="Times New Roman"/>
          <w:sz w:val="16"/>
          <w:szCs w:val="16"/>
          <w:b w:val="1"/>
          <w:bCs w:val="1"/>
          <w:color w:val="auto"/>
        </w:rPr>
        <w:t>Fundamental Change Company Notice</w:t>
      </w:r>
      <w:r>
        <w:rPr>
          <w:rFonts w:ascii="Times New Roman" w:cs="Times New Roman" w:eastAsia="Times New Roman" w:hAnsi="Times New Roman"/>
          <w:sz w:val="16"/>
          <w:szCs w:val="16"/>
          <w:color w:val="auto"/>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set forth in the Fundamental Change Company Notice on the Company’s website or through such other public medium as the Company may use at that time. Each Fundamental Change Company Notice shall specify:</w:t>
      </w:r>
    </w:p>
    <w:p>
      <w:pPr>
        <w:spacing w:after="0" w:line="165"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events causing the Fundamental Change;</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of the Fundamental Change;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1" w:name="page132"/>
    <w:bookmarkEnd w:id="131"/>
    <w:p>
      <w:pPr>
        <w:ind w:left="1420" w:hanging="277"/>
        <w:spacing w:after="0"/>
        <w:tabs>
          <w:tab w:leader="none" w:pos="14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last date on which a Holder may exercise the repurchase right pursuant to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Price;</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Fundamental Change Repurchase Date;</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and address of the Paying Agent and the Conversion Agent, if applicable;</w:t>
      </w:r>
    </w:p>
    <w:p>
      <w:pPr>
        <w:spacing w:after="0" w:line="198"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Conversion Rate and any adjustments to the Conversion Rate as a result of the Fundamental Change (or related Make-Whole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Fundamental Change);</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519"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that Holders must follow to require the Company to repurchase their Notes.</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No failure of the Company to give the foregoing notices and no defect therein shall limit the Holders’ repurchase rights or affect the validity of the proceedings for the repurchase of the Notes pursuant to this </w:t>
      </w:r>
      <w:r>
        <w:rPr>
          <w:rFonts w:ascii="Times New Roman" w:cs="Times New Roman" w:eastAsia="Times New Roman" w:hAnsi="Times New Roman"/>
          <w:sz w:val="16"/>
          <w:szCs w:val="16"/>
          <w:u w:val="single" w:color="auto"/>
          <w:color w:val="auto"/>
        </w:rPr>
        <w:t>Section 16.02</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all cases, the text of such Fundamental Change Company Notice shall be prepared by the Company.</w:t>
      </w:r>
    </w:p>
    <w:p>
      <w:pPr>
        <w:spacing w:after="0" w:line="155" w:lineRule="exact"/>
        <w:rPr>
          <w:sz w:val="20"/>
          <w:szCs w:val="20"/>
          <w:color w:val="auto"/>
        </w:rPr>
      </w:pPr>
    </w:p>
    <w:p>
      <w:pPr>
        <w:jc w:val="both"/>
        <w:ind w:right="20" w:firstLine="569"/>
        <w:spacing w:after="0" w:line="259" w:lineRule="auto"/>
        <w:tabs>
          <w:tab w:leader="none" w:pos="805"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61" w:lineRule="exact"/>
        <w:rPr>
          <w:rFonts w:ascii="Times New Roman" w:cs="Times New Roman" w:eastAsia="Times New Roman" w:hAnsi="Times New Roman"/>
          <w:sz w:val="16"/>
          <w:szCs w:val="16"/>
          <w:color w:val="auto"/>
        </w:rPr>
      </w:pPr>
    </w:p>
    <w:p>
      <w:pPr>
        <w:jc w:val="both"/>
        <w:ind w:firstLine="569"/>
        <w:spacing w:after="0" w:line="254" w:lineRule="auto"/>
        <w:tabs>
          <w:tab w:leader="none" w:pos="79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2" w:name="page133"/>
    <w:bookmarkEnd w:id="132"/>
    <w:p>
      <w:pPr>
        <w:jc w:val="both"/>
        <w:ind w:firstLine="569"/>
        <w:spacing w:after="0" w:line="272" w:lineRule="auto"/>
        <w:tabs>
          <w:tab w:leader="none" w:pos="787"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in this </w:t>
      </w:r>
      <w:r>
        <w:rPr>
          <w:rFonts w:ascii="Times New Roman" w:cs="Times New Roman" w:eastAsia="Times New Roman" w:hAnsi="Times New Roman"/>
          <w:sz w:val="15"/>
          <w:szCs w:val="15"/>
          <w:u w:val="single" w:color="auto"/>
          <w:color w:val="auto"/>
        </w:rPr>
        <w:t>Section 16.02</w:t>
      </w:r>
      <w:r>
        <w:rPr>
          <w:rFonts w:ascii="Times New Roman" w:cs="Times New Roman" w:eastAsia="Times New Roman" w:hAnsi="Times New Roman"/>
          <w:sz w:val="15"/>
          <w:szCs w:val="15"/>
          <w:color w:val="auto"/>
        </w:rPr>
        <w:t xml:space="preserve">, the Company shall not be required to send a Fundamental Change Company Notice, or offer to repurchase or repurchase any Notes, as set forth in this </w:t>
      </w:r>
      <w:r>
        <w:rPr>
          <w:rFonts w:ascii="Times New Roman" w:cs="Times New Roman" w:eastAsia="Times New Roman" w:hAnsi="Times New Roman"/>
          <w:sz w:val="15"/>
          <w:szCs w:val="15"/>
          <w:u w:val="single" w:color="auto"/>
          <w:color w:val="auto"/>
        </w:rPr>
        <w:t>Article 16</w:t>
      </w:r>
      <w:r>
        <w:rPr>
          <w:rFonts w:ascii="Times New Roman" w:cs="Times New Roman" w:eastAsia="Times New Roman" w:hAnsi="Times New Roman"/>
          <w:sz w:val="15"/>
          <w:szCs w:val="15"/>
          <w:color w:val="auto"/>
        </w:rPr>
        <w:t xml:space="preserve">,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w:t>
      </w:r>
      <w:r>
        <w:rPr>
          <w:rFonts w:ascii="Times New Roman" w:cs="Times New Roman" w:eastAsia="Times New Roman" w:hAnsi="Times New Roman"/>
          <w:sz w:val="15"/>
          <w:szCs w:val="15"/>
          <w:u w:val="single" w:color="auto"/>
          <w:color w:val="auto"/>
        </w:rPr>
        <w:t>Section 15.07</w:t>
      </w:r>
      <w:r>
        <w:rPr>
          <w:rFonts w:ascii="Times New Roman" w:cs="Times New Roman" w:eastAsia="Times New Roman" w:hAnsi="Times New Roman"/>
          <w:sz w:val="15"/>
          <w:szCs w:val="15"/>
          <w:color w:val="auto"/>
        </w:rPr>
        <w:t xml:space="preserve"> and, if applicable, </w:t>
      </w:r>
      <w:r>
        <w:rPr>
          <w:rFonts w:ascii="Times New Roman" w:cs="Times New Roman" w:eastAsia="Times New Roman" w:hAnsi="Times New Roman"/>
          <w:sz w:val="15"/>
          <w:szCs w:val="15"/>
          <w:u w:val="single" w:color="auto"/>
          <w:color w:val="auto"/>
        </w:rPr>
        <w:t>Section 15.03</w:t>
      </w:r>
      <w:r>
        <w:rPr>
          <w:rFonts w:ascii="Times New Roman" w:cs="Times New Roman" w:eastAsia="Times New Roman" w:hAnsi="Times New Roman"/>
          <w:sz w:val="15"/>
          <w:szCs w:val="15"/>
          <w:color w:val="auto"/>
        </w:rPr>
        <w:t xml:space="preserve">)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provides written notice to Holders of the effective date of any such transaction as promptly as practicable following the date the Company publicly announces such transaction or, if practicable to do so using commercially reasonable efforts, prior to such effective date. Any Fundamental Change with respect to which, in accordance with the provisions described in this </w:t>
      </w:r>
      <w:r>
        <w:rPr>
          <w:rFonts w:ascii="Times New Roman" w:cs="Times New Roman" w:eastAsia="Times New Roman" w:hAnsi="Times New Roman"/>
          <w:sz w:val="15"/>
          <w:szCs w:val="15"/>
          <w:u w:val="single" w:color="auto"/>
          <w:color w:val="auto"/>
        </w:rPr>
        <w:t>Section 16.02(f)</w:t>
      </w:r>
      <w:r>
        <w:rPr>
          <w:rFonts w:ascii="Times New Roman" w:cs="Times New Roman" w:eastAsia="Times New Roman" w:hAnsi="Times New Roman"/>
          <w:sz w:val="15"/>
          <w:szCs w:val="15"/>
          <w:color w:val="auto"/>
        </w:rPr>
        <w:t>, the Company does not offer to repurchase any Notes is referred to as herein as an “</w:t>
      </w:r>
      <w:r>
        <w:rPr>
          <w:rFonts w:ascii="Times New Roman" w:cs="Times New Roman" w:eastAsia="Times New Roman" w:hAnsi="Times New Roman"/>
          <w:sz w:val="15"/>
          <w:szCs w:val="15"/>
          <w:b w:val="1"/>
          <w:bCs w:val="1"/>
          <w:color w:val="auto"/>
        </w:rPr>
        <w:t>Exempted Fundamental Change</w:t>
      </w:r>
      <w:r>
        <w:rPr>
          <w:rFonts w:ascii="Times New Roman" w:cs="Times New Roman" w:eastAsia="Times New Roman" w:hAnsi="Times New Roman"/>
          <w:sz w:val="15"/>
          <w:szCs w:val="15"/>
          <w:color w:val="auto"/>
        </w:rPr>
        <w:t>.”</w:t>
      </w:r>
    </w:p>
    <w:p>
      <w:pPr>
        <w:spacing w:after="0" w:line="152" w:lineRule="exact"/>
        <w:rPr>
          <w:rFonts w:ascii="Times New Roman" w:cs="Times New Roman" w:eastAsia="Times New Roman" w:hAnsi="Times New Roman"/>
          <w:sz w:val="15"/>
          <w:szCs w:val="15"/>
          <w:color w:val="auto"/>
        </w:rPr>
      </w:pPr>
    </w:p>
    <w:p>
      <w:pPr>
        <w:jc w:val="both"/>
        <w:ind w:right="20" w:firstLine="569"/>
        <w:spacing w:after="0" w:line="259" w:lineRule="auto"/>
        <w:tabs>
          <w:tab w:leader="none" w:pos="805"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above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6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16.03. </w:t>
      </w:r>
      <w:r>
        <w:rPr>
          <w:rFonts w:ascii="Times New Roman" w:cs="Times New Roman" w:eastAsia="Times New Roman" w:hAnsi="Times New Roman"/>
          <w:sz w:val="16"/>
          <w:szCs w:val="16"/>
          <w:i w:val="1"/>
          <w:iCs w:val="1"/>
          <w:color w:val="auto"/>
        </w:rPr>
        <w:t>Withdrawal of Fundamental Change Repurchase Notice.</w:t>
      </w:r>
      <w:r>
        <w:rPr>
          <w:rFonts w:ascii="Times New Roman" w:cs="Times New Roman" w:eastAsia="Times New Roman" w:hAnsi="Times New Roman"/>
          <w:sz w:val="16"/>
          <w:szCs w:val="16"/>
          <w:color w:val="auto"/>
        </w:rPr>
        <w:t xml:space="preserve"> A Fundamental Change Repurchase Notice may be withdrawn (in whole or in part) by means of a written notice of withdrawal delivered to the Corporate Trust Office of the Paying Agent in accordance with this </w:t>
      </w:r>
      <w:r>
        <w:rPr>
          <w:rFonts w:ascii="Times New Roman" w:cs="Times New Roman" w:eastAsia="Times New Roman" w:hAnsi="Times New Roman"/>
          <w:sz w:val="16"/>
          <w:szCs w:val="16"/>
          <w:u w:val="single" w:color="auto"/>
          <w:color w:val="auto"/>
        </w:rPr>
        <w:t>Section 16.03</w:t>
      </w:r>
      <w:r>
        <w:rPr>
          <w:rFonts w:ascii="Times New Roman" w:cs="Times New Roman" w:eastAsia="Times New Roman" w:hAnsi="Times New Roman"/>
          <w:sz w:val="16"/>
          <w:szCs w:val="16"/>
          <w:color w:val="auto"/>
        </w:rPr>
        <w:t xml:space="preserve"> at any time prior to the close of business on the Business Day immediately preceding the Fundamental Change Repurchase Date, specifying:</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 the principal amount of the Notes with respect to which such notice of withdrawal is being submitted, which must be $1,000 or an integral multiple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thereof;</w:t>
      </w:r>
    </w:p>
    <w:p>
      <w:pPr>
        <w:spacing w:after="0" w:line="182" w:lineRule="exact"/>
        <w:rPr>
          <w:sz w:val="20"/>
          <w:szCs w:val="20"/>
          <w:color w:val="auto"/>
        </w:rPr>
      </w:pPr>
    </w:p>
    <w:p>
      <w:pPr>
        <w:ind w:right="20" w:firstLine="1143"/>
        <w:spacing w:after="0" w:line="280" w:lineRule="auto"/>
        <w:tabs>
          <w:tab w:leader="none" w:pos="138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Physical Notes have been issued, the certificate number of the Note in respect of which such notice of withdrawal is being submitted, or if the Notes are Global Notes, the notice must comply with applicable procedures of the Depositary;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44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amount, if any, of such Note that remains subject to the original Fundamental Change Repurchase Notice, which must be $1,000 or an integral multiple thereof.</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respect to Notes held in book-entry form, withdrawals shall be made in accordance with the Depositary’s applicable procedures.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3" w:name="page134"/>
    <w:bookmarkEnd w:id="133"/>
    <w:p>
      <w:pPr>
        <w:ind w:left="560"/>
        <w:spacing w:after="0"/>
        <w:rPr>
          <w:sz w:val="20"/>
          <w:szCs w:val="20"/>
          <w:color w:val="auto"/>
        </w:rPr>
      </w:pPr>
      <w:r>
        <w:rPr>
          <w:rFonts w:ascii="Times New Roman" w:cs="Times New Roman" w:eastAsia="Times New Roman" w:hAnsi="Times New Roman"/>
          <w:sz w:val="16"/>
          <w:szCs w:val="16"/>
          <w:color w:val="auto"/>
        </w:rPr>
        <w:t xml:space="preserve">Section 16.04. </w:t>
      </w:r>
      <w:r>
        <w:rPr>
          <w:rFonts w:ascii="Times New Roman" w:cs="Times New Roman" w:eastAsia="Times New Roman" w:hAnsi="Times New Roman"/>
          <w:sz w:val="16"/>
          <w:szCs w:val="16"/>
          <w:i w:val="1"/>
          <w:iCs w:val="1"/>
          <w:color w:val="auto"/>
        </w:rPr>
        <w:t>Deposit of Fundamental Change Repurchase Price.</w:t>
      </w:r>
    </w:p>
    <w:p>
      <w:pPr>
        <w:spacing w:after="0" w:line="200" w:lineRule="exact"/>
        <w:rPr>
          <w:sz w:val="20"/>
          <w:szCs w:val="20"/>
          <w:color w:val="auto"/>
        </w:rPr>
      </w:pPr>
    </w:p>
    <w:p>
      <w:pPr>
        <w:jc w:val="both"/>
        <w:ind w:firstLine="569"/>
        <w:spacing w:after="0" w:line="252" w:lineRule="auto"/>
        <w:tabs>
          <w:tab w:leader="none" w:pos="80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will deposit with the Trustee (or other Paying Agent appointed by the Company, or if the Company is acting as its own Paying Agent, set aside, segregate and hold in trust as provided in </w:t>
      </w:r>
      <w:r>
        <w:rPr>
          <w:rFonts w:ascii="Times New Roman" w:cs="Times New Roman" w:eastAsia="Times New Roman" w:hAnsi="Times New Roman"/>
          <w:sz w:val="16"/>
          <w:szCs w:val="16"/>
          <w:u w:val="single" w:color="auto"/>
          <w:color w:val="auto"/>
        </w:rPr>
        <w:t>Section 4.04</w:t>
      </w:r>
      <w:r>
        <w:rPr>
          <w:rFonts w:ascii="Times New Roman" w:cs="Times New Roman" w:eastAsia="Times New Roman" w:hAnsi="Times New Roman"/>
          <w:sz w:val="16"/>
          <w:szCs w:val="16"/>
          <w:color w:val="auto"/>
        </w:rPr>
        <w:t>)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the Holder has satisfied the conditions in </w:t>
      </w:r>
      <w:r>
        <w:rPr>
          <w:rFonts w:ascii="Times New Roman" w:cs="Times New Roman" w:eastAsia="Times New Roman" w:hAnsi="Times New Roman"/>
          <w:sz w:val="16"/>
          <w:szCs w:val="16"/>
          <w:u w:val="single" w:color="auto"/>
          <w:color w:val="auto"/>
        </w:rPr>
        <w:t>Section 16.02</w:t>
      </w:r>
      <w:r>
        <w:rPr>
          <w:rFonts w:ascii="Times New Roman" w:cs="Times New Roman" w:eastAsia="Times New Roman" w:hAnsi="Times New Roman"/>
          <w:sz w:val="16"/>
          <w:szCs w:val="16"/>
          <w:color w:val="auto"/>
        </w:rPr>
        <w:t xml:space="preserve"> and (ii) the time of book-entry transfer or the delivery of such Note to the Trustee (or other Paying Agent appointed by the Company) by the Holder thereof in the manner required by </w:t>
      </w:r>
      <w:r>
        <w:rPr>
          <w:rFonts w:ascii="Times New Roman" w:cs="Times New Roman" w:eastAsia="Times New Roman" w:hAnsi="Times New Roman"/>
          <w:sz w:val="16"/>
          <w:szCs w:val="16"/>
          <w:u w:val="single" w:color="auto"/>
          <w:color w:val="auto"/>
        </w:rPr>
        <w:t>Section 16.02</w:t>
      </w:r>
      <w:r>
        <w:rPr>
          <w:rFonts w:ascii="Times New Roman" w:cs="Times New Roman" w:eastAsia="Times New Roman" w:hAnsi="Times New Roman"/>
          <w:sz w:val="16"/>
          <w:szCs w:val="16"/>
          <w:color w:val="auto"/>
        </w:rPr>
        <w:t xml:space="preserve"> by mailing checks for the amount payable to the Holders of such Notes entitled thereto as they shall appear in the Note Register;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71" w:lineRule="exact"/>
        <w:rPr>
          <w:rFonts w:ascii="Times New Roman" w:cs="Times New Roman" w:eastAsia="Times New Roman" w:hAnsi="Times New Roman"/>
          <w:sz w:val="16"/>
          <w:szCs w:val="16"/>
          <w:color w:val="auto"/>
        </w:rPr>
      </w:pPr>
    </w:p>
    <w:p>
      <w:pPr>
        <w:jc w:val="both"/>
        <w:ind w:firstLine="569"/>
        <w:spacing w:after="0" w:line="257" w:lineRule="auto"/>
        <w:tabs>
          <w:tab w:leader="none" w:pos="805"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by 11:00 a.m. New York City time, on the Fundamental Change Repurchase Date, the Trustee (or other Paying Agent appointed by the Company) holds money sufficient to make payment on all the Notes or portions thereof that are to be repurchased on such Fundamental Change Repurchase Date, then, with respect to the Notes that have been properly surrendered for repurchase and have not been validly withdrawn, such Notes will cease to be outstanding, interest will cease to accrue on such Notes (whether or not book-entry transfer of the Notes has been made or the Notes have been delivered to the Trustee or Paying Agent) and all other rights of the Holders of such Notes will terminate (other than the right to receive the Fundamental Change Repurchase Price and, if applicable, accrued and unpaid interest).</w:t>
      </w:r>
    </w:p>
    <w:p>
      <w:pPr>
        <w:spacing w:after="0" w:line="162" w:lineRule="exact"/>
        <w:rPr>
          <w:rFonts w:ascii="Times New Roman" w:cs="Times New Roman" w:eastAsia="Times New Roman" w:hAnsi="Times New Roman"/>
          <w:sz w:val="16"/>
          <w:szCs w:val="16"/>
          <w:color w:val="auto"/>
        </w:rPr>
      </w:pPr>
    </w:p>
    <w:p>
      <w:pPr>
        <w:ind w:right="20" w:firstLine="569"/>
        <w:spacing w:after="0" w:line="280" w:lineRule="auto"/>
        <w:tabs>
          <w:tab w:leader="none" w:pos="79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surrender of a Note that is to be repurchased in part pursuant to </w:t>
      </w:r>
      <w:r>
        <w:rPr>
          <w:rFonts w:ascii="Times New Roman" w:cs="Times New Roman" w:eastAsia="Times New Roman" w:hAnsi="Times New Roman"/>
          <w:sz w:val="16"/>
          <w:szCs w:val="16"/>
          <w:u w:val="single" w:color="auto"/>
          <w:color w:val="auto"/>
        </w:rPr>
        <w:t>Section 16.02</w:t>
      </w:r>
      <w:r>
        <w:rPr>
          <w:rFonts w:ascii="Times New Roman" w:cs="Times New Roman" w:eastAsia="Times New Roman" w:hAnsi="Times New Roman"/>
          <w:sz w:val="16"/>
          <w:szCs w:val="16"/>
          <w:color w:val="auto"/>
        </w:rPr>
        <w:t>, the Company shall execute and the Trustee shall authenticate and deliver to the Holder a new Note in an authorized denomination equal in principal amount to the unrepurchased portion of the Note surrendered.</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16.05. </w:t>
      </w:r>
      <w:r>
        <w:rPr>
          <w:rFonts w:ascii="Times New Roman" w:cs="Times New Roman" w:eastAsia="Times New Roman" w:hAnsi="Times New Roman"/>
          <w:sz w:val="16"/>
          <w:szCs w:val="16"/>
          <w:i w:val="1"/>
          <w:iCs w:val="1"/>
          <w:color w:val="auto"/>
        </w:rPr>
        <w:t>Covenant to Comply with Applicable Laws Upon Repurchase of Notes</w:t>
      </w:r>
      <w:r>
        <w:rPr>
          <w:rFonts w:ascii="Times New Roman" w:cs="Times New Roman" w:eastAsia="Times New Roman" w:hAnsi="Times New Roman"/>
          <w:sz w:val="16"/>
          <w:szCs w:val="16"/>
          <w:color w:val="auto"/>
        </w:rPr>
        <w:t xml:space="preserve">. In connection with any repurchase offer pursuant to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will, if required:</w:t>
      </w:r>
    </w:p>
    <w:p>
      <w:pPr>
        <w:spacing w:after="0" w:line="182" w:lineRule="exact"/>
        <w:rPr>
          <w:sz w:val="20"/>
          <w:szCs w:val="20"/>
          <w:color w:val="auto"/>
        </w:rPr>
      </w:pPr>
    </w:p>
    <w:p>
      <w:pPr>
        <w:ind w:left="780" w:hanging="211"/>
        <w:spacing w:after="0"/>
        <w:tabs>
          <w:tab w:leader="none" w:pos="7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tender offer rules under the Exchange Act that may then be applicable;</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 Schedule TO or any other required schedule under the Exchange Act; and</w:t>
      </w:r>
    </w:p>
    <w:p>
      <w:pPr>
        <w:spacing w:after="0" w:line="198" w:lineRule="exact"/>
        <w:rPr>
          <w:rFonts w:ascii="Times New Roman" w:cs="Times New Roman" w:eastAsia="Times New Roman" w:hAnsi="Times New Roman"/>
          <w:sz w:val="16"/>
          <w:szCs w:val="16"/>
          <w:color w:val="auto"/>
        </w:rPr>
      </w:pPr>
    </w:p>
    <w:p>
      <w:pPr>
        <w:ind w:right="760" w:firstLine="569"/>
        <w:spacing w:after="0" w:line="530" w:lineRule="auto"/>
        <w:tabs>
          <w:tab w:leader="none" w:pos="79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otherwise comply in all material respects with all federal and state securities laws in connection with any offer by the Company to repurchase the Notes; in each case, so as to permit the rights and obligations under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 xml:space="preserve"> to be exercised in the time and in the manner specified in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34" w:name="page135"/>
    <w:bookmarkEnd w:id="134"/>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To the extent that the provisions of any securities laws or regulations enacted or adopted after the date of this Indenture conflict with the provisions of this Indenture relating to the Company’s obligations to repurchase the Notes pursuant to this </w:t>
      </w:r>
      <w:r>
        <w:rPr>
          <w:rFonts w:ascii="Times New Roman" w:cs="Times New Roman" w:eastAsia="Times New Roman" w:hAnsi="Times New Roman"/>
          <w:sz w:val="16"/>
          <w:szCs w:val="16"/>
          <w:u w:val="single" w:color="auto"/>
          <w:color w:val="auto"/>
        </w:rPr>
        <w:t>Article 16</w:t>
      </w:r>
      <w:r>
        <w:rPr>
          <w:rFonts w:ascii="Times New Roman" w:cs="Times New Roman" w:eastAsia="Times New Roman" w:hAnsi="Times New Roman"/>
          <w:sz w:val="16"/>
          <w:szCs w:val="16"/>
          <w:color w:val="auto"/>
        </w:rPr>
        <w:t>, the Company shall comply with such securities laws and regulations and shall not be deemed to have breached its obligations under such provisions of this Indenture by virtue of such conflict.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 OPTIONAL REDEMPTION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17.01. </w:t>
      </w:r>
      <w:r>
        <w:rPr>
          <w:rFonts w:ascii="Times New Roman" w:cs="Times New Roman" w:eastAsia="Times New Roman" w:hAnsi="Times New Roman"/>
          <w:sz w:val="16"/>
          <w:szCs w:val="16"/>
          <w:i w:val="1"/>
          <w:iCs w:val="1"/>
          <w:color w:val="auto"/>
        </w:rPr>
        <w:t>No Optional Redemption</w:t>
      </w:r>
      <w:r>
        <w:rPr>
          <w:rFonts w:ascii="Times New Roman" w:cs="Times New Roman" w:eastAsia="Times New Roman" w:hAnsi="Times New Roman"/>
          <w:sz w:val="16"/>
          <w:szCs w:val="16"/>
          <w:color w:val="auto"/>
        </w:rPr>
        <w:t>. No sinking fund is provided for the Notes. The Notes shall not be redeemable by the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 PROVISIONS</w:t>
      </w:r>
    </w:p>
    <w:p>
      <w:pPr>
        <w:spacing w:after="0" w:line="18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18.01. </w:t>
      </w:r>
      <w:r>
        <w:rPr>
          <w:rFonts w:ascii="Times New Roman" w:cs="Times New Roman" w:eastAsia="Times New Roman" w:hAnsi="Times New Roman"/>
          <w:sz w:val="16"/>
          <w:szCs w:val="16"/>
          <w:i w:val="1"/>
          <w:iCs w:val="1"/>
          <w:color w:val="auto"/>
        </w:rPr>
        <w:t>Provisions Binding on Company’s Successors.</w:t>
      </w:r>
      <w:r>
        <w:rPr>
          <w:rFonts w:ascii="Times New Roman" w:cs="Times New Roman" w:eastAsia="Times New Roman" w:hAnsi="Times New Roman"/>
          <w:sz w:val="16"/>
          <w:szCs w:val="16"/>
          <w:color w:val="auto"/>
        </w:rPr>
        <w:t xml:space="preserve"> All the covenants, stipulations, promises and agreements of the Company contained in this Indenture shall bind its successors and assigns whether so expressed or not.</w:t>
      </w:r>
    </w:p>
    <w:p>
      <w:pPr>
        <w:spacing w:after="0" w:line="140"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18.02. </w:t>
      </w:r>
      <w:r>
        <w:rPr>
          <w:rFonts w:ascii="Times New Roman" w:cs="Times New Roman" w:eastAsia="Times New Roman" w:hAnsi="Times New Roman"/>
          <w:sz w:val="16"/>
          <w:szCs w:val="16"/>
          <w:i w:val="1"/>
          <w:iCs w:val="1"/>
          <w:color w:val="auto"/>
        </w:rPr>
        <w:t>Official Acts by Successor Corporation.</w:t>
      </w:r>
      <w:r>
        <w:rPr>
          <w:rFonts w:ascii="Times New Roman" w:cs="Times New Roman" w:eastAsia="Times New Roman" w:hAnsi="Times New Roman"/>
          <w:sz w:val="16"/>
          <w:szCs w:val="16"/>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53"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18.03. </w:t>
      </w:r>
      <w:r>
        <w:rPr>
          <w:rFonts w:ascii="Times New Roman" w:cs="Times New Roman" w:eastAsia="Times New Roman" w:hAnsi="Times New Roman"/>
          <w:sz w:val="16"/>
          <w:szCs w:val="16"/>
          <w:i w:val="1"/>
          <w:iCs w:val="1"/>
          <w:color w:val="auto"/>
        </w:rPr>
        <w:t>Addresses for Notices, Etc.</w:t>
      </w:r>
      <w:r>
        <w:rPr>
          <w:rFonts w:ascii="Times New Roman" w:cs="Times New Roman" w:eastAsia="Times New Roman" w:hAnsi="Times New Roman"/>
          <w:sz w:val="16"/>
          <w:szCs w:val="16"/>
          <w:color w:val="auto"/>
        </w:rPr>
        <w:t xml:space="preserve"> Any notice or demand that by any provision of this Indenture is required or permitted to be given or served by the Trustee, the Collateral Agent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and the Collateral Agent) to SunPower Inc., 1403 N. Research Way, Orem, UT 84097, ATTN: Nicolas Wenker, Chief Legal Officer and General Counsel. Any notice, direction, request or demand hereunder to or upon the Trustee or the Collateral Agent shall be deemed to have been sufficiently given or made, for all purposes, if given or served by being deposited postage prepaid by registered or certified mail in a post office letter box, electronic transmission or overnight delivery addressed to the applicable Corporate Trust Office. Notices served on the Trustee or Collateral Agent shall be deemed given when actually received by the Trustee or Collateral Agent, as applicable.</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Trustee and the Collateral Agent, by notice to the Company, may designate additional or different addresses for subsequent notices or communications.</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5" w:name="page136"/>
    <w:bookmarkEnd w:id="135"/>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42"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18.04. </w:t>
      </w:r>
      <w:r>
        <w:rPr>
          <w:rFonts w:ascii="Times New Roman" w:cs="Times New Roman" w:eastAsia="Times New Roman" w:hAnsi="Times New Roman"/>
          <w:sz w:val="16"/>
          <w:szCs w:val="16"/>
          <w:i w:val="1"/>
          <w:iCs w:val="1"/>
          <w:color w:val="auto"/>
        </w:rPr>
        <w:t>Governing Law; Jurisdiction.</w:t>
      </w:r>
      <w:r>
        <w:rPr>
          <w:rFonts w:ascii="Times New Roman" w:cs="Times New Roman" w:eastAsia="Times New Roman" w:hAnsi="Times New Roman"/>
          <w:sz w:val="16"/>
          <w:szCs w:val="16"/>
          <w:color w:val="auto"/>
        </w:rPr>
        <w:t xml:space="preserve"> THIS INDENTURE AND EACH NOTE, AND ANY CLAIM, CONTROVERSY OR DISPUTE ARISING UNDER OR RELATED TO THIS INDENTURE AND EACH NOTE, SHALL BE GOVERNED BY, AND CONSTRUED IN ACCORDANCE WITH, THE LAWS OF THE STATE OF NEW YORK (WITHOUT REGARD TO THE CONFLICTS OF LAWS PROVISIONS THEREOF).</w:t>
      </w:r>
    </w:p>
    <w:p>
      <w:pPr>
        <w:spacing w:after="0" w:line="15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The Company irrevocably consents and agrees, for the benefit of the Holders from time to time of the Notes, the Trustee and the Collateral Agent,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6"/>
          <w:szCs w:val="16"/>
          <w:i w:val="1"/>
          <w:iCs w:val="1"/>
          <w:color w:val="auto"/>
        </w:rPr>
        <w:t>in personam</w:t>
      </w:r>
      <w:r>
        <w:rPr>
          <w:rFonts w:ascii="Times New Roman" w:cs="Times New Roman" w:eastAsia="Times New Roman" w:hAnsi="Times New Roman"/>
          <w:sz w:val="16"/>
          <w:szCs w:val="16"/>
          <w:color w:val="auto"/>
        </w:rPr>
        <w:t>, generally and unconditionally with respect to any action, suit or proceeding for itself in respect of its properties, assets and revenues.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60" w:lineRule="exact"/>
        <w:rPr>
          <w:sz w:val="20"/>
          <w:szCs w:val="20"/>
          <w:color w:val="auto"/>
        </w:rPr>
      </w:pPr>
    </w:p>
    <w:p>
      <w:pPr>
        <w:jc w:val="both"/>
        <w:ind w:firstLine="574"/>
        <w:spacing w:after="0" w:line="260" w:lineRule="auto"/>
        <w:rPr>
          <w:sz w:val="20"/>
          <w:szCs w:val="20"/>
          <w:color w:val="auto"/>
        </w:rPr>
      </w:pPr>
      <w:r>
        <w:rPr>
          <w:rFonts w:ascii="Times New Roman" w:cs="Times New Roman" w:eastAsia="Times New Roman" w:hAnsi="Times New Roman"/>
          <w:sz w:val="16"/>
          <w:szCs w:val="16"/>
          <w:color w:val="auto"/>
        </w:rPr>
        <w:t xml:space="preserve">Section 18.05. </w:t>
      </w:r>
      <w:r>
        <w:rPr>
          <w:rFonts w:ascii="Times New Roman" w:cs="Times New Roman" w:eastAsia="Times New Roman" w:hAnsi="Times New Roman"/>
          <w:sz w:val="16"/>
          <w:szCs w:val="16"/>
          <w:i w:val="1"/>
          <w:iCs w:val="1"/>
          <w:color w:val="auto"/>
        </w:rPr>
        <w:t>Evidence of Compliance with Conditions Precedent; Certificates and Opinions of Counsel to Trustee and Collateral Agent.</w:t>
      </w:r>
      <w:r>
        <w:rPr>
          <w:rFonts w:ascii="Times New Roman" w:cs="Times New Roman" w:eastAsia="Times New Roman" w:hAnsi="Times New Roman"/>
          <w:sz w:val="16"/>
          <w:szCs w:val="16"/>
          <w:color w:val="auto"/>
        </w:rPr>
        <w:t xml:space="preserve"> Upon any application or demand by the Company to the Trustee or the Collateral Agent to take any action under any of the provisions of this Indenture or the Collateral Documents, the Company shall, if requested by the Trustee or the Collateral Agent, furnish to the Trustee and Collateral Agent an Officer’s Certificate and Opinion of Counsel stating that such action is permitted by the terms of this Indenture and such Collateral Documents.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6" w:name="page137"/>
    <w:bookmarkEnd w:id="136"/>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Each Officer’s Certificate and Opinion of Counsel provided for, by or on behalf of the Company in this Indenture and delivered to the Trustee or Collateral Agent with respect to compliance with this Indenture or the Collateral Documents (other than the Officer’s Certificates provided for in </w:t>
      </w:r>
      <w:r>
        <w:rPr>
          <w:rFonts w:ascii="Times New Roman" w:cs="Times New Roman" w:eastAsia="Times New Roman" w:hAnsi="Times New Roman"/>
          <w:sz w:val="16"/>
          <w:szCs w:val="16"/>
          <w:u w:val="single" w:color="auto"/>
          <w:color w:val="auto"/>
        </w:rPr>
        <w:t>Section 4.08</w:t>
      </w:r>
      <w:r>
        <w:rPr>
          <w:rFonts w:ascii="Times New Roman" w:cs="Times New Roman" w:eastAsia="Times New Roman" w:hAnsi="Times New Roman"/>
          <w:sz w:val="16"/>
          <w:szCs w:val="16"/>
          <w:color w:val="auto"/>
        </w:rPr>
        <w:t xml:space="preserve">) shall include a statement that the Person signing such certificate is familiar with the requested action and this Indenture and the applicable Collateral Documents; a brief statement as to the nature and scope of the examination or investigation upon which the statement contained in such certificate is based; a statement that, in the judgment of such Person, he or she has made such examination or investigation as is necessary to enable him or her to express an informed judgment as to whether or not such action is permitted by this Indenture and the applicable Collateral Documents; and a statement as to whether or not, in the judgment of such Person, such action is permitted by this Indenture and the applicable Collateral Documents;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Opinion of Counsel shall be required to be delivered in connection with (1) the original issuance of Notes on the date hereof under this Indenture or (2)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66" w:lineRule="exact"/>
        <w:rPr>
          <w:sz w:val="20"/>
          <w:szCs w:val="20"/>
          <w:color w:val="auto"/>
        </w:rPr>
      </w:pPr>
    </w:p>
    <w:p>
      <w:pPr>
        <w:jc w:val="both"/>
        <w:ind w:firstLine="574"/>
        <w:spacing w:after="0" w:line="315" w:lineRule="auto"/>
        <w:rPr>
          <w:sz w:val="20"/>
          <w:szCs w:val="20"/>
          <w:color w:val="auto"/>
        </w:rPr>
      </w:pPr>
      <w:r>
        <w:rPr>
          <w:rFonts w:ascii="Times New Roman" w:cs="Times New Roman" w:eastAsia="Times New Roman" w:hAnsi="Times New Roman"/>
          <w:sz w:val="15"/>
          <w:szCs w:val="15"/>
          <w:color w:val="auto"/>
        </w:rPr>
        <w:t xml:space="preserve">Notwithstanding anything to the contrary in this </w:t>
      </w:r>
      <w:r>
        <w:rPr>
          <w:rFonts w:ascii="Times New Roman" w:cs="Times New Roman" w:eastAsia="Times New Roman" w:hAnsi="Times New Roman"/>
          <w:sz w:val="15"/>
          <w:szCs w:val="15"/>
          <w:u w:val="single" w:color="auto"/>
          <w:color w:val="auto"/>
        </w:rPr>
        <w:t>Section 18.05</w:t>
      </w:r>
      <w:r>
        <w:rPr>
          <w:rFonts w:ascii="Times New Roman" w:cs="Times New Roman" w:eastAsia="Times New Roman" w:hAnsi="Times New Roman"/>
          <w:sz w:val="15"/>
          <w:szCs w:val="15"/>
          <w:color w:val="auto"/>
        </w:rPr>
        <w:t>,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19"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18.06. </w:t>
      </w:r>
      <w:r>
        <w:rPr>
          <w:rFonts w:ascii="Times New Roman" w:cs="Times New Roman" w:eastAsia="Times New Roman" w:hAnsi="Times New Roman"/>
          <w:sz w:val="16"/>
          <w:szCs w:val="16"/>
          <w:i w:val="1"/>
          <w:iCs w:val="1"/>
          <w:color w:val="auto"/>
        </w:rPr>
        <w:t>Legal Holidays.</w:t>
      </w:r>
      <w:r>
        <w:rPr>
          <w:rFonts w:ascii="Times New Roman" w:cs="Times New Roman" w:eastAsia="Times New Roman" w:hAnsi="Times New Roman"/>
          <w:sz w:val="16"/>
          <w:szCs w:val="16"/>
          <w:color w:val="auto"/>
        </w:rPr>
        <w:t xml:space="preserve"> In any case where any Interest Payment Date, any Fundamental Change Repurchase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spacing w:after="0" w:line="162"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18.07. </w:t>
      </w:r>
      <w:r>
        <w:rPr>
          <w:rFonts w:ascii="Times New Roman" w:cs="Times New Roman" w:eastAsia="Times New Roman" w:hAnsi="Times New Roman"/>
          <w:sz w:val="16"/>
          <w:szCs w:val="16"/>
          <w:i w:val="1"/>
          <w:iCs w:val="1"/>
          <w:color w:val="auto"/>
        </w:rPr>
        <w:t>No Security Interest Created.</w:t>
      </w:r>
      <w:r>
        <w:rPr>
          <w:rFonts w:ascii="Times New Roman" w:cs="Times New Roman" w:eastAsia="Times New Roman" w:hAnsi="Times New Roman"/>
          <w:sz w:val="16"/>
          <w:szCs w:val="16"/>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4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18.08. </w:t>
      </w:r>
      <w:r>
        <w:rPr>
          <w:rFonts w:ascii="Times New Roman" w:cs="Times New Roman" w:eastAsia="Times New Roman" w:hAnsi="Times New Roman"/>
          <w:sz w:val="16"/>
          <w:szCs w:val="16"/>
          <w:i w:val="1"/>
          <w:iCs w:val="1"/>
          <w:color w:val="auto"/>
        </w:rPr>
        <w:t>Benefits of Indenture.</w:t>
      </w:r>
      <w:r>
        <w:rPr>
          <w:rFonts w:ascii="Times New Roman" w:cs="Times New Roman" w:eastAsia="Times New Roman" w:hAnsi="Times New Roman"/>
          <w:sz w:val="16"/>
          <w:szCs w:val="16"/>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53" w:lineRule="exact"/>
        <w:rPr>
          <w:sz w:val="20"/>
          <w:szCs w:val="20"/>
          <w:color w:val="auto"/>
        </w:rPr>
      </w:pPr>
    </w:p>
    <w:p>
      <w:pPr>
        <w:jc w:val="both"/>
        <w:ind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18.09. </w:t>
      </w:r>
      <w:r>
        <w:rPr>
          <w:rFonts w:ascii="Times New Roman" w:cs="Times New Roman" w:eastAsia="Times New Roman" w:hAnsi="Times New Roman"/>
          <w:sz w:val="16"/>
          <w:szCs w:val="16"/>
          <w:i w:val="1"/>
          <w:iCs w:val="1"/>
          <w:color w:val="auto"/>
        </w:rPr>
        <w:t>Table of Contents, Headings, Etc.</w:t>
      </w:r>
      <w:r>
        <w:rPr>
          <w:rFonts w:ascii="Times New Roman" w:cs="Times New Roman" w:eastAsia="Times New Roman" w:hAnsi="Times New Roman"/>
          <w:sz w:val="16"/>
          <w:szCs w:val="16"/>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37" w:name="page138"/>
    <w:bookmarkEnd w:id="137"/>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18.10. </w:t>
      </w:r>
      <w:r>
        <w:rPr>
          <w:rFonts w:ascii="Times New Roman" w:cs="Times New Roman" w:eastAsia="Times New Roman" w:hAnsi="Times New Roman"/>
          <w:sz w:val="16"/>
          <w:szCs w:val="16"/>
          <w:i w:val="1"/>
          <w:iCs w:val="1"/>
          <w:color w:val="auto"/>
        </w:rPr>
        <w:t>Authenticating Agent.</w:t>
      </w:r>
      <w:r>
        <w:rPr>
          <w:rFonts w:ascii="Times New Roman" w:cs="Times New Roman" w:eastAsia="Times New Roman" w:hAnsi="Times New Roman"/>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2.07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11.04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16.04</w:t>
      </w:r>
      <w:r>
        <w:rPr>
          <w:rFonts w:ascii="Times New Roman" w:cs="Times New Roman" w:eastAsia="Times New Roman" w:hAnsi="Times New Roman"/>
          <w:sz w:val="16"/>
          <w:szCs w:val="16"/>
          <w:color w:val="auto"/>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Times New Roman" w:cs="Times New Roman" w:eastAsia="Times New Roman" w:hAnsi="Times New Roman"/>
          <w:sz w:val="16"/>
          <w:szCs w:val="16"/>
          <w:u w:val="single" w:color="auto"/>
          <w:color w:val="auto"/>
        </w:rPr>
        <w:t>Section 7.08</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w:t>
      </w:r>
      <w:r>
        <w:rPr>
          <w:rFonts w:ascii="Times New Roman" w:cs="Times New Roman" w:eastAsia="Times New Roman" w:hAnsi="Times New Roman"/>
          <w:sz w:val="16"/>
          <w:szCs w:val="16"/>
          <w:u w:val="single" w:color="auto"/>
          <w:color w:val="auto"/>
        </w:rPr>
        <w:t>Section 18.10</w:t>
      </w:r>
      <w:r>
        <w:rPr>
          <w:rFonts w:ascii="Times New Roman" w:cs="Times New Roman" w:eastAsia="Times New Roman" w:hAnsi="Times New Roman"/>
          <w:sz w:val="16"/>
          <w:szCs w:val="16"/>
          <w:color w:val="auto"/>
        </w:rPr>
        <w:t>, without the execution or filing of any paper or any further act on the part of the parties hereto or the authenticating agent or such successor corporation or other entity.</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The provisions of </w:t>
      </w:r>
      <w:r>
        <w:rPr>
          <w:rFonts w:ascii="Times New Roman" w:cs="Times New Roman" w:eastAsia="Times New Roman" w:hAnsi="Times New Roman"/>
          <w:sz w:val="16"/>
          <w:szCs w:val="16"/>
          <w:u w:val="single" w:color="auto"/>
          <w:color w:val="auto"/>
        </w:rPr>
        <w:t>Section 7.02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7.03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9.03</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18.10</w:t>
      </w:r>
      <w:r>
        <w:rPr>
          <w:rFonts w:ascii="Times New Roman" w:cs="Times New Roman" w:eastAsia="Times New Roman" w:hAnsi="Times New Roman"/>
          <w:sz w:val="16"/>
          <w:szCs w:val="16"/>
          <w:color w:val="auto"/>
        </w:rPr>
        <w:t xml:space="preserve"> shall be applicable to any authenticating agent.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If an authenticating agent is appointed pursuant to this </w:t>
      </w:r>
      <w:r>
        <w:rPr>
          <w:rFonts w:ascii="Times New Roman" w:cs="Times New Roman" w:eastAsia="Times New Roman" w:hAnsi="Times New Roman"/>
          <w:sz w:val="16"/>
          <w:szCs w:val="16"/>
          <w:u w:val="single" w:color="auto"/>
          <w:color w:val="auto"/>
        </w:rPr>
        <w:t>Section 18.10</w:t>
      </w:r>
      <w:r>
        <w:rPr>
          <w:rFonts w:ascii="Times New Roman" w:cs="Times New Roman" w:eastAsia="Times New Roman" w:hAnsi="Times New Roman"/>
          <w:sz w:val="16"/>
          <w:szCs w:val="16"/>
          <w:color w:val="auto"/>
        </w:rPr>
        <w:t>, the Notes may have endorsed thereon, in addition to the Trustee’s certificate of authentication, an alternative certificate of authentication in the following form:</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Authenticating Agent, certifies that this is one of the Notes described in the within-named Indenture.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By: ____________________</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96"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18.11. </w:t>
      </w:r>
      <w:r>
        <w:rPr>
          <w:rFonts w:ascii="Times New Roman" w:cs="Times New Roman" w:eastAsia="Times New Roman" w:hAnsi="Times New Roman"/>
          <w:sz w:val="16"/>
          <w:szCs w:val="16"/>
          <w:i w:val="1"/>
          <w:iCs w:val="1"/>
          <w:color w:val="auto"/>
        </w:rPr>
        <w:t>Execution in Counterparts.</w:t>
      </w:r>
      <w:r>
        <w:rPr>
          <w:rFonts w:ascii="Times New Roman" w:cs="Times New Roman" w:eastAsia="Times New Roman" w:hAnsi="Times New Roman"/>
          <w:sz w:val="16"/>
          <w:szCs w:val="16"/>
          <w:color w:val="auto"/>
        </w:rPr>
        <w:t xml:space="preserve"> The parties may sign multiple counterparts of this Indenture. Each signed counterpart shall be deemed an original, but all of them together represent the same agreement. Delivery of an executed counterpart by facsimile, PDF or other electronic means shall be effective as delivery of a manually executed counterpart thereof. 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herein to the contrary, neither the Trustee nor the Collateral Agent is under any obligation to agree to accept electronic signatures in any form or in any format unless expressly agreed to by the Trustee and the Collateral Agent, as applicable, pursuant to procedures approved by the Trustee or Collateral Agent. All notices, approvals, consents, requests and any communications hereunder must be in writing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communication sent to Trustee hereunder must be in the form of a document that is signed manually or by way of a digital signature provided by DocuSign, AdobeSign or other electronic signature provider (such other digital signature provider as specified in writing to Trustee by an Officer), in English. The Company agrees to assume all risks arising out of the use of using digital signatures and electronic methods to submit communications to Trustee or the Collateral Agent, including without limitation the risk of Trustee or the Collateral Agent acting on unauthorized instructions, and the risk of interception and misuse by third parties.</w:t>
      </w:r>
    </w:p>
    <w:p>
      <w:pPr>
        <w:spacing w:after="0" w:line="16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18.12.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0"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color w:val="auto"/>
        </w:rPr>
        <w:t xml:space="preserve">Section 18.13.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xml:space="preserve"> EACH OF THE COMPANY, THE TRUSTEE, AND THE COLLATERAL AGENT HEREBY IRREVOCABLY WAIVES, TO THE FULLEST EXTENT PERMITTED BY APPLICABLE LAW, ANY AND ALL RIGHT TO TRIAL BY JURY IN ANY LEGAL PROCEEDING ARISING OUT OF OR RELATING TO THIS INDENTURE, THE NOTES OR THE TRANSACTIONS CONTEMPLATED HEREBY.</w:t>
      </w:r>
    </w:p>
    <w:p>
      <w:pPr>
        <w:spacing w:after="0" w:line="15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18.14.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In no event shall the Trustee or the Collateral Agent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and the Collateral Agent shall use reasonable efforts that are consistent with accepted practices in the banking industry to resume performance as soon as practicable under the circumstances.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9" w:name="page140"/>
    <w:bookmarkEnd w:id="139"/>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18.15. </w:t>
      </w:r>
      <w:r>
        <w:rPr>
          <w:rFonts w:ascii="Times New Roman" w:cs="Times New Roman" w:eastAsia="Times New Roman" w:hAnsi="Times New Roman"/>
          <w:sz w:val="16"/>
          <w:szCs w:val="16"/>
          <w:i w:val="1"/>
          <w:iCs w:val="1"/>
          <w:color w:val="auto"/>
        </w:rPr>
        <w:t>Calculations</w:t>
      </w:r>
      <w:r>
        <w:rPr>
          <w:rFonts w:ascii="Times New Roman" w:cs="Times New Roman" w:eastAsia="Times New Roman" w:hAnsi="Times New Roman"/>
          <w:sz w:val="16"/>
          <w:szCs w:val="16"/>
          <w:color w:val="auto"/>
        </w:rPr>
        <w:t>. Except as otherwise provided herein, the Company shall be responsible for making all calculations called for under this Indenture and the Notes. These calculations include, but are not limited to, determinations of the Last Reported Sale Prices of the Common Stock, the Daily VWAPs, the Daily Conversion Values, the Daily Settlement Amounts, accrued interest payable on the Notes, the Conversion Rate of the Notes, premium, if any, and the Offer Amount.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written request of that Holder at the sole cost and expense of the Company.</w:t>
      </w:r>
    </w:p>
    <w:p>
      <w:pPr>
        <w:spacing w:after="0" w:line="161"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18.16. </w:t>
      </w:r>
      <w:r>
        <w:rPr>
          <w:rFonts w:ascii="Times New Roman" w:cs="Times New Roman" w:eastAsia="Times New Roman" w:hAnsi="Times New Roman"/>
          <w:sz w:val="16"/>
          <w:szCs w:val="16"/>
          <w:i w:val="1"/>
          <w:iCs w:val="1"/>
          <w:color w:val="auto"/>
        </w:rPr>
        <w:t>USA PATRIOT Act.</w:t>
      </w:r>
      <w:r>
        <w:rPr>
          <w:rFonts w:ascii="Times New Roman" w:cs="Times New Roman" w:eastAsia="Times New Roman" w:hAnsi="Times New Roman"/>
          <w:sz w:val="16"/>
          <w:szCs w:val="16"/>
          <w:color w:val="auto"/>
        </w:rPr>
        <w:t xml:space="preserve"> The parties hereto acknowledge that in accordance with Section 326 of the USA PATRIOT Act, the Trustee and the Collateral Agent, like all financial institutions and in order to help fight the funding of terrorism and money laundering, are required to obtain, verify, and record information that identifies each person or legal entity that establishes a relationship or opens an account with the Trustee or the Collateral Agent. The parties to this Indenture agree that they will provide the Trustee and the Collateral Agent with such information as it may request in order for the Trustee and the Collateral Agent to satisfy the requirements of the USA PATRIOT Act.</w:t>
      </w:r>
    </w:p>
    <w:p>
      <w:pPr>
        <w:spacing w:after="0" w:line="16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18.17. </w:t>
      </w:r>
      <w:r>
        <w:rPr>
          <w:rFonts w:ascii="Times New Roman" w:cs="Times New Roman" w:eastAsia="Times New Roman" w:hAnsi="Times New Roman"/>
          <w:sz w:val="16"/>
          <w:szCs w:val="16"/>
          <w:i w:val="1"/>
          <w:iCs w:val="1"/>
          <w:color w:val="auto"/>
        </w:rPr>
        <w:t>Tax Matters</w:t>
      </w:r>
      <w:r>
        <w:rPr>
          <w:rFonts w:ascii="Times New Roman" w:cs="Times New Roman" w:eastAsia="Times New Roman" w:hAnsi="Times New Roman"/>
          <w:sz w:val="16"/>
          <w:szCs w:val="16"/>
          <w:color w:val="auto"/>
        </w:rPr>
        <w:t xml:space="preserve">. The Company and the Holders of the Notes by acceptance of their Notes intend, for U.S. federal (and applicable state and local) income tax purposes: (i) to treat the Notes as indebtedness that are not “contingent payment debt instruments” within the meaning of Treasury Regulations Section 1.1275-4, (ii) to treat any adjustment to the Conversion Rate of the Notes pursuant to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(other than clause (e) thereof), </w:t>
      </w:r>
      <w:r>
        <w:rPr>
          <w:rFonts w:ascii="Times New Roman" w:cs="Times New Roman" w:eastAsia="Times New Roman" w:hAnsi="Times New Roman"/>
          <w:sz w:val="16"/>
          <w:szCs w:val="16"/>
          <w:u w:val="single" w:color="auto"/>
          <w:color w:val="auto"/>
        </w:rPr>
        <w:t>Section 15.07</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15.11</w:t>
      </w:r>
      <w:r>
        <w:rPr>
          <w:rFonts w:ascii="Times New Roman" w:cs="Times New Roman" w:eastAsia="Times New Roman" w:hAnsi="Times New Roman"/>
          <w:sz w:val="16"/>
          <w:szCs w:val="16"/>
          <w:color w:val="auto"/>
        </w:rPr>
        <w:t xml:space="preserve"> as being made pursuant to a “bona fide, adjustment formula” within the meaning of Treasury Regulations Section 1.305-7 (except to the extent otherwise required pursuant to the last sentence of Treasury Regulations Section 1.305-7(b)(1)), and (iii) to treat any adjustment to the Conversion Rate occurring pursuant to </w:t>
      </w:r>
      <w:r>
        <w:rPr>
          <w:rFonts w:ascii="Times New Roman" w:cs="Times New Roman" w:eastAsia="Times New Roman" w:hAnsi="Times New Roman"/>
          <w:sz w:val="16"/>
          <w:szCs w:val="16"/>
          <w:u w:val="single" w:color="auto"/>
          <w:color w:val="auto"/>
        </w:rPr>
        <w:t>Section 15.03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15.04(e)</w:t>
      </w:r>
      <w:r>
        <w:rPr>
          <w:rFonts w:ascii="Times New Roman" w:cs="Times New Roman" w:eastAsia="Times New Roman" w:hAnsi="Times New Roman"/>
          <w:sz w:val="16"/>
          <w:szCs w:val="16"/>
          <w:color w:val="auto"/>
        </w:rPr>
        <w:t xml:space="preserve"> as not giving rise to a constructive distribution pursuant to Section 305 of the Code. The Company and the Holders of the Notes by acceptance of their Notes agree that they shall not take any position for U.S. federal (and applicable state and local) income tax purposes inconsistent with the foregoing clauses (i) through (iii), in each case, except to the extent otherwise required by a change in applicable law or a “determination” within the meaning of Section 1313(a) of the Code.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40" w:name="page141"/>
    <w:bookmarkEnd w:id="140"/>
    <w:p>
      <w:pPr>
        <w:ind w:left="560"/>
        <w:spacing w:after="0"/>
        <w:rPr>
          <w:sz w:val="20"/>
          <w:szCs w:val="20"/>
          <w:color w:val="auto"/>
        </w:rPr>
      </w:pPr>
      <w:r>
        <w:rPr>
          <w:rFonts w:ascii="Times New Roman" w:cs="Times New Roman" w:eastAsia="Times New Roman" w:hAnsi="Times New Roman"/>
          <w:sz w:val="15"/>
          <w:szCs w:val="15"/>
          <w:color w:val="auto"/>
        </w:rPr>
        <w:t>IN WITNESS WHEREOF, the parties hereto have caused this Indenture to be duly executed as of the date first written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SUNPOWER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COMPLETE SOLAR, INC., as a Guarantor.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1007"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color w:val="auto"/>
        </w:rPr>
        <w:t>US BANK TRUST COMPANY, NATIONAL ASSOCIATION,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 and Collateral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FACE OF NOTE]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[INCLUDE FOLLOWING LEGEND IF A GLOBAL NOTE]</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[INCLUDE FOLLOWING LEGEND IF A RESTRICTED SECURITY]</w:t>
      </w:r>
    </w:p>
    <w:p>
      <w:pPr>
        <w:spacing w:after="0" w:line="198" w:lineRule="exact"/>
        <w:rPr>
          <w:sz w:val="20"/>
          <w:szCs w:val="20"/>
          <w:color w:val="auto"/>
        </w:rPr>
      </w:pPr>
    </w:p>
    <w:p>
      <w:pPr>
        <w:jc w:val="both"/>
        <w:ind w:right="20" w:firstLine="574"/>
        <w:spacing w:after="0" w:line="290" w:lineRule="auto"/>
        <w:rPr>
          <w:sz w:val="20"/>
          <w:szCs w:val="20"/>
          <w:color w:val="auto"/>
        </w:rPr>
      </w:pPr>
      <w:r>
        <w:rPr>
          <w:rFonts w:ascii="Times New Roman" w:cs="Times New Roman" w:eastAsia="Times New Roman" w:hAnsi="Times New Roman"/>
          <w:sz w:val="15"/>
          <w:szCs w:val="15"/>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40" w:lineRule="exact"/>
        <w:rPr>
          <w:sz w:val="20"/>
          <w:szCs w:val="20"/>
          <w:color w:val="auto"/>
        </w:rPr>
      </w:pPr>
    </w:p>
    <w:p>
      <w:pPr>
        <w:ind w:right="20" w:firstLine="569"/>
        <w:spacing w:after="0" w:line="315" w:lineRule="auto"/>
        <w:tabs>
          <w:tab w:leader="none" w:pos="802"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20" w:lineRule="exact"/>
        <w:rPr>
          <w:rFonts w:ascii="Times New Roman" w:cs="Times New Roman" w:eastAsia="Times New Roman" w:hAnsi="Times New Roman"/>
          <w:sz w:val="15"/>
          <w:szCs w:val="15"/>
          <w:color w:val="auto"/>
        </w:rPr>
      </w:pPr>
    </w:p>
    <w:p>
      <w:pPr>
        <w:ind w:right="20" w:firstLine="569"/>
        <w:spacing w:after="0" w:line="280" w:lineRule="auto"/>
        <w:tabs>
          <w:tab w:leader="none" w:pos="815"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SUNPOWER INC. (THE “COMPANY”) THAT IT WILL NOT OFFER, SELL, PLEDGE OR OTHERWISE TRANSFER THIS SECURITY OR ANY BENEFICIAL INTEREST HEREIN, EXCEPT:</w:t>
      </w:r>
    </w:p>
    <w:p>
      <w:pPr>
        <w:spacing w:after="0" w:line="144" w:lineRule="exact"/>
        <w:rPr>
          <w:sz w:val="20"/>
          <w:szCs w:val="20"/>
          <w:color w:val="auto"/>
        </w:rPr>
      </w:pPr>
    </w:p>
    <w:p>
      <w:pPr>
        <w:ind w:left="840" w:hanging="271"/>
        <w:spacing w:after="0"/>
        <w:tabs>
          <w:tab w:leader="none" w:pos="84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 OR</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47"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REGISTRATION STATEMENT THAT HAS BECOME EFFECTIVE UNDER THE SECURITIES ACT AND IS EFFECTIVE AT THE TIME OF SUCH TRANSFER, OR</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PERSON REASONABLY BELIEVED TO BE A QUALIFIED INSTITUTIONAL BUYER IN COMPLIANCE WITH RULE 144A UNDER THE SECURITIES ACT, OR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43" w:name="page144"/>
    <w:bookmarkEnd w:id="143"/>
    <w:p>
      <w:pPr>
        <w:ind w:right="20" w:firstLine="569"/>
        <w:spacing w:after="0" w:line="280" w:lineRule="auto"/>
        <w:tabs>
          <w:tab w:leader="none" w:pos="84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EXEMPTION FROM REGISTRATION PROVIDED BY RULE 144 UNDER THE SECURITIES ACT OR ANY OTHER AVAILABLE EXEMPTION FROM THE REGISTRATION REQUIREMENTS OF THE SECURITIES ACT.</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[INCLUDE FOLLOWING LEGEND IF AN AFFILIATE NOTE]</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[THIS SECURITY HAS NOT BEEN REGISTERED UNDER THE SECURITIES ACT OF 1933, AS AMENDED (THE “SECURITIES ACT”), AND ACCORDINGLY,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ind w:right="20" w:firstLine="569"/>
        <w:spacing w:after="0" w:line="280" w:lineRule="auto"/>
        <w:tabs>
          <w:tab w:leader="none" w:pos="802"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THAT IT AND ANY ACCOUNT FOR WHICH IT IS ACTING IS AN “ACCREDITED INVESTOR” (WITHIN THE MEANING OF RULE 501 UNDER THE SECURITIES ACT) AND THAT IT EXERCISES SOLE INVESTMENT DISCRETION WITH RESPECT TO EACH SUCH ACCOUNT, AND</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815"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FOR THE BENEFIT OF SUNPOWER INC. (THE “COMPANY”) THAT IT WILL NOT OFFER, SELL, PLEDGE OR OTHERWISE TRANSFER THIS SECURITY OR ANY BENEFICIAL INTEREST HEREIN, EXCEPT:</w:t>
      </w:r>
    </w:p>
    <w:p>
      <w:pPr>
        <w:spacing w:after="0" w:line="144" w:lineRule="exact"/>
        <w:rPr>
          <w:sz w:val="20"/>
          <w:szCs w:val="20"/>
          <w:color w:val="auto"/>
        </w:rPr>
      </w:pPr>
    </w:p>
    <w:p>
      <w:pPr>
        <w:ind w:left="840" w:hanging="271"/>
        <w:spacing w:after="0"/>
        <w:tabs>
          <w:tab w:leader="none" w:pos="8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OR ANY SUBSIDIARY THEREOF;</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27"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AND IN ACCORDANCE WITH, A REGISTRATION STATEMENT THAT IS EFFECTIVE UNDER THE SECURITIES ACT AT THE TIME OF SUCH TRANSFER;</w:t>
      </w:r>
    </w:p>
    <w:p>
      <w:pPr>
        <w:spacing w:after="0" w:line="144" w:lineRule="exact"/>
        <w:rPr>
          <w:rFonts w:ascii="Times New Roman" w:cs="Times New Roman" w:eastAsia="Times New Roman" w:hAnsi="Times New Roman"/>
          <w:sz w:val="16"/>
          <w:szCs w:val="16"/>
          <w:color w:val="auto"/>
        </w:rPr>
      </w:pPr>
    </w:p>
    <w:p>
      <w:pPr>
        <w:ind w:left="820" w:hanging="251"/>
        <w:spacing w:after="0"/>
        <w:tabs>
          <w:tab w:leader="none" w:pos="82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QUALIFIED INSTITUTIONAL BUYER IN COMPLIANCE WITH RULE 144A UNDER THE SECURITIES ACT; OR</w:t>
      </w:r>
    </w:p>
    <w:p>
      <w:pPr>
        <w:spacing w:after="0" w:line="198" w:lineRule="exact"/>
        <w:rPr>
          <w:rFonts w:ascii="Times New Roman" w:cs="Times New Roman" w:eastAsia="Times New Roman" w:hAnsi="Times New Roman"/>
          <w:sz w:val="16"/>
          <w:szCs w:val="16"/>
          <w:color w:val="auto"/>
        </w:rPr>
      </w:pPr>
    </w:p>
    <w:p>
      <w:pPr>
        <w:ind w:right="20" w:firstLine="569"/>
        <w:spacing w:after="0" w:line="280" w:lineRule="auto"/>
        <w:tabs>
          <w:tab w:leader="none" w:pos="85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ANY OTHER AVAILABLE EXEMPTION FROM, OR IN A TRANSACTION NOT SUBJECT TO, THE REGISTRATION REQUIREMENTS OF THE SECURITIES ACT (INCLUDING, IF AVAILABLE, THE EXEMPTION PROVIDED BY RULE 144 UNDER THE SECURITIES ACT).</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WITH RESPECT TO ANY TRANSFER PURSUANT TO THE FOREGOING CLAUSE (D),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 NO REPRESENTATION IS MADE AS TO THE AVAILABILITY OF ANY EXEMPTION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4" w:name="page145"/>
    <w:bookmarkEnd w:id="144"/>
    <w:p>
      <w:pPr>
        <w:jc w:val="center"/>
        <w:ind w:right="-3"/>
        <w:spacing w:after="0"/>
        <w:rPr>
          <w:sz w:val="20"/>
          <w:szCs w:val="20"/>
          <w:color w:val="auto"/>
        </w:rPr>
      </w:pPr>
      <w:r>
        <w:rPr>
          <w:rFonts w:ascii="Times New Roman" w:cs="Times New Roman" w:eastAsia="Times New Roman" w:hAnsi="Times New Roman"/>
          <w:sz w:val="16"/>
          <w:szCs w:val="16"/>
          <w:color w:val="auto"/>
        </w:rPr>
        <w:t>SunPower Inc.</w:t>
      </w:r>
    </w:p>
    <w:p>
      <w:pPr>
        <w:spacing w:after="0" w:line="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10.0% Convertible Senior Secured Note due 2029</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 [_____] [Initially]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$[_________]</w:t>
      </w: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CUSIP No. [•]</w:t>
      </w:r>
    </w:p>
    <w:p>
      <w:pPr>
        <w:spacing w:after="0" w:line="196" w:lineRule="exact"/>
        <w:rPr>
          <w:sz w:val="20"/>
          <w:szCs w:val="20"/>
          <w:color w:val="auto"/>
        </w:rPr>
      </w:pPr>
    </w:p>
    <w:p>
      <w:pPr>
        <w:jc w:val="both"/>
        <w:ind w:left="4" w:right="20" w:firstLine="574"/>
        <w:spacing w:after="0" w:line="217" w:lineRule="auto"/>
        <w:rPr>
          <w:sz w:val="20"/>
          <w:szCs w:val="20"/>
          <w:color w:val="auto"/>
        </w:rPr>
      </w:pPr>
      <w:r>
        <w:rPr>
          <w:rFonts w:ascii="Times New Roman" w:cs="Times New Roman" w:eastAsia="Times New Roman" w:hAnsi="Times New Roman"/>
          <w:sz w:val="16"/>
          <w:szCs w:val="16"/>
          <w:color w:val="auto"/>
        </w:rPr>
        <w:t>SunPower Inc., a corporation duly organized and validly existing under the laws of the State of Delaware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[_______]</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or registered</w:t>
      </w:r>
    </w:p>
    <w:p>
      <w:pPr>
        <w:ind w:left="4"/>
        <w:spacing w:after="0" w:line="183" w:lineRule="auto"/>
        <w:rPr>
          <w:sz w:val="20"/>
          <w:szCs w:val="20"/>
          <w:color w:val="auto"/>
        </w:rPr>
      </w:pPr>
      <w:r>
        <w:rPr>
          <w:rFonts w:ascii="Times New Roman" w:cs="Times New Roman" w:eastAsia="Times New Roman" w:hAnsi="Times New Roman"/>
          <w:sz w:val="16"/>
          <w:szCs w:val="16"/>
          <w:color w:val="auto"/>
        </w:rPr>
        <w:t>assigns, the principal sum [as set forth in the “Schedule of Exchanges of Notes” attached hereto]</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[of $[_______]] </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6"/>
          <w:szCs w:val="16"/>
          <w:color w:val="auto"/>
        </w:rPr>
        <w:t>, which amount, taken together with the principal amounts</w:t>
      </w:r>
    </w:p>
    <w:p>
      <w:pPr>
        <w:spacing w:after="0" w:line="1"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of all other outstanding Notes, shall not, unless permitted by the Indenture, exceed in aggregate at any time $41,000,000, in accordance with the rules and applicable procedures of the Depositary, on May 1, 2029, and interest thereon as set forth below.</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Note shall bear interest at the rate of 10.0% per year from April [______], 2026, or from the most recent date to which interest had been paid or provided for to,</w:t>
      </w:r>
    </w:p>
    <w:p>
      <w:pPr>
        <w:spacing w:after="0" w:line="24"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color w:val="auto"/>
        </w:rPr>
        <w:t xml:space="preserve">but excluding, the next scheduled Interest Payment Date until May 1, 2029. Interest is payable quarterly in arrears on each January 1, April 1, July 1 and October 1, commencing on July 1, 2026, to Holders of record at the close of business on the preceding December 15, March 15, June 15 and September 15 (whether or not such day is a Business Day), respectively. Additional Interest will be payable as set forth in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4.06(e)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of the within-mentioned Indenture, and any reference to interest on, or in respect of, any Note therein shall be deemed to include Additional Interest if, in such context, Additional Interest is, was or would be payable pursuant to any of such </w:t>
      </w:r>
      <w:r>
        <w:rPr>
          <w:rFonts w:ascii="Times New Roman" w:cs="Times New Roman" w:eastAsia="Times New Roman" w:hAnsi="Times New Roman"/>
          <w:sz w:val="16"/>
          <w:szCs w:val="16"/>
          <w:u w:val="single" w:color="auto"/>
          <w:color w:val="auto"/>
        </w:rPr>
        <w:t>Section 4.06(d)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4.06(e)</w:t>
      </w:r>
      <w:r>
        <w:rPr>
          <w:rFonts w:ascii="Times New Roman" w:cs="Times New Roman" w:eastAsia="Times New Roman" w:hAnsi="Times New Roman"/>
          <w:sz w:val="16"/>
          <w:szCs w:val="16"/>
          <w:color w:val="auto"/>
        </w:rPr>
        <w:t xml:space="preserve"> and/or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and any express mention of the payment of Additional Interest in any provision therein shall not be construed as excluding Additional Interest in those provisions thereof where such express mention is not made.</w:t>
      </w:r>
    </w:p>
    <w:p>
      <w:pPr>
        <w:spacing w:after="0" w:line="167" w:lineRule="exact"/>
        <w:rPr>
          <w:sz w:val="20"/>
          <w:szCs w:val="20"/>
          <w:color w:val="auto"/>
        </w:rPr>
      </w:pPr>
    </w:p>
    <w:p>
      <w:pPr>
        <w:jc w:val="both"/>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w:t>
      </w:r>
      <w:r>
        <w:rPr>
          <w:rFonts w:ascii="Times New Roman" w:cs="Times New Roman" w:eastAsia="Times New Roman" w:hAnsi="Times New Roman"/>
          <w:sz w:val="16"/>
          <w:szCs w:val="16"/>
          <w:u w:val="single" w:color="auto"/>
          <w:color w:val="auto"/>
        </w:rPr>
        <w:t>Section 2.03(c)</w:t>
      </w:r>
      <w:r>
        <w:rPr>
          <w:rFonts w:ascii="Times New Roman" w:cs="Times New Roman" w:eastAsia="Times New Roman" w:hAnsi="Times New Roman"/>
          <w:sz w:val="16"/>
          <w:szCs w:val="16"/>
          <w:color w:val="auto"/>
        </w:rPr>
        <w:t xml:space="preserve">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9070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04" w:lineRule="exact"/>
        <w:rPr>
          <w:sz w:val="20"/>
          <w:szCs w:val="20"/>
          <w:color w:val="auto"/>
        </w:rPr>
      </w:pPr>
    </w:p>
    <w:p>
      <w:pPr>
        <w:ind w:left="104" w:hanging="104"/>
        <w:spacing w:after="0"/>
        <w:tabs>
          <w:tab w:leader="none" w:pos="104" w:val="left"/>
        </w:tabs>
        <w:numPr>
          <w:ilvl w:val="0"/>
          <w:numId w:val="1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 be included if the Notes bear the Restrictive Notes Legend: At such time as the Company notifies the Trustee to remove the Restrictive Notes Legend pursuant to Section</w:t>
      </w:r>
    </w:p>
    <w:p>
      <w:pPr>
        <w:spacing w:after="0" w:line="1" w:lineRule="exact"/>
        <w:rPr>
          <w:rFonts w:ascii="Times New Roman" w:cs="Times New Roman" w:eastAsia="Times New Roman" w:hAnsi="Times New Roman"/>
          <w:sz w:val="27"/>
          <w:szCs w:val="27"/>
          <w:color w:val="auto"/>
          <w:vertAlign w:val="superscript"/>
        </w:rPr>
      </w:pPr>
    </w:p>
    <w:p>
      <w:pPr>
        <w:jc w:val="both"/>
        <w:ind w:left="4" w:right="20"/>
        <w:spacing w:after="0" w:line="24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2.05(c) of the Indenture and all such conditions to the removal or deemed removal of the Restrictive Notes Legend (including the assignment of an unrestricted CUSIP number and, if this Note is a Global Note and the applicable procedures of the Depositary require additional actions for this Note to be assigned an unrestricted CUSIP number within the systems of the Depositary, the taking of such additional actions) have been met, the CUSIP number for this Note shall be deemed to be CUSIP No. [20460L AF1]. Additional Notes issued pursuant to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of the Indenture may have different CUSIP numbers.</w:t>
      </w:r>
    </w:p>
    <w:p>
      <w:pPr>
        <w:spacing w:after="0" w:line="3" w:lineRule="exact"/>
        <w:rPr>
          <w:rFonts w:ascii="Times New Roman" w:cs="Times New Roman" w:eastAsia="Times New Roman" w:hAnsi="Times New Roman"/>
          <w:sz w:val="27"/>
          <w:szCs w:val="27"/>
          <w:color w:val="auto"/>
          <w:vertAlign w:val="superscript"/>
        </w:rPr>
      </w:pPr>
    </w:p>
    <w:p>
      <w:pPr>
        <w:ind w:left="4"/>
        <w:spacing w:after="0" w:line="21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Include if a global note.</w:t>
      </w:r>
    </w:p>
    <w:p>
      <w:pPr>
        <w:ind w:left="4"/>
        <w:spacing w:after="0" w:line="18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Include if a physical note.</w:t>
      </w:r>
    </w:p>
    <w:p>
      <w:pPr>
        <w:ind w:left="4"/>
        <w:spacing w:after="0" w:line="18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6"/>
          <w:szCs w:val="16"/>
          <w:color w:val="auto"/>
        </w:rPr>
        <w:t xml:space="preserve"> Include if a global note.</w:t>
      </w:r>
    </w:p>
    <w:p>
      <w:pPr>
        <w:ind w:left="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6"/>
          <w:szCs w:val="16"/>
          <w:color w:val="auto"/>
        </w:rPr>
        <w:t xml:space="preserve"> Include if a physical note.</w:t>
      </w:r>
    </w:p>
    <w:p>
      <w:pPr>
        <w:spacing w:after="0" w:line="2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5" w:name="page146"/>
    <w:bookmarkEnd w:id="145"/>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Company shall pay (or cause the Paying Agent to pay) the principal of and interest on this Note, if and so long as such Note is a Global Note, in immediately available funds to the Depositary or its nominee by wire transfer, as the case may be, as the registered 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Trustee as its Paying Agent and Note Registrar in respect of the Notes and the Corporate Trust Office as a place where Notes may be presented for payment or for registration of transfer and exchange.</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This Note, and any claim, controversy or dispute arising under or related to this Note, shall be construed in accordance with and governed by the laws of the State of New York (without regard to the conflicts of laws provisions thereof).</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 the case of any conflict between this Note and the Indenture, the provisions of the Indenture shall control and govern.</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6" w:name="page147"/>
    <w:bookmarkEnd w:id="146"/>
    <w:p>
      <w:pPr>
        <w:ind w:left="560"/>
        <w:spacing w:after="0"/>
        <w:rPr>
          <w:sz w:val="20"/>
          <w:szCs w:val="20"/>
          <w:color w:val="auto"/>
        </w:rPr>
      </w:pPr>
      <w:r>
        <w:rPr>
          <w:rFonts w:ascii="Times New Roman" w:cs="Times New Roman" w:eastAsia="Times New Roman" w:hAnsi="Times New Roman"/>
          <w:sz w:val="15"/>
          <w:szCs w:val="15"/>
          <w:color w:val="auto"/>
        </w:rPr>
        <w:t>IN WITNESS WHEREOF, the Company has caused this Note to be duly executed.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SUNPOWER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TRUSTEE’S CERTIFICATE OF AUTHENTICATION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Trustee, certifies that this is one of the Notes described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within-named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Signatory</w:t>
      </w: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color w:val="auto"/>
        </w:rPr>
        <w:t>[FORM OF REVERSE OF NOTE]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SUNPOWER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 Convertible Senior Secured Note due 2029</w:t>
      </w:r>
    </w:p>
    <w:p>
      <w:pPr>
        <w:spacing w:after="0" w:line="196"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This Note is one of a duly authorized issue of Notes of the Company, designated as its 10.0% Convertible Senior Secured Notes due 2029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limited to the aggregate principal amount of $41,000,000, which initially includes $6,000,000 aggregate principal amount of Affiliate Notes, all issued or to be issued under and pursuant to an Indenture dated as of April [__], 2026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among the Company, the Guarantors and U.S. Bank Trust Company, National Association, as trustee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and as collateral agent (the “</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to which Indenture and all indentures supplemental thereto reference is hereby made for a description of the rights, limitations of rights, obligations, duties and immunities thereunder of the Trustee, the Collateral Agent,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63"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To guarantee the due and punctual payment of the principal and interest (including post-filing or post-petition interest) on the Notes and all other amounts payable by the Company under the Indenture, the Notes and the other Note Documents when and as the same shall be due and payable, whether at maturity, by acceleration or otherwise, according to the terms of the Notes and the Indenture, the Guarantors will unconditionally guarantee (and future guarantors, jointly and severally with the Guarantors, will fully and unconditionally Guarantee) such obligations on a senior secured basis pursuant to the terms of the Indenture.</w:t>
      </w:r>
    </w:p>
    <w:p>
      <w:pPr>
        <w:spacing w:after="0" w:line="16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Notes and the Guarantor’s Guarantees of the Notes will be secured by the Collateral on the terms and subject to the conditions set forth in the Indenture and the Collateral Documents. The Collateral Agent will hold the Collateral for the benefit of the Secured Parties pursuant to the Collateral Documents. Each Holder, by accepting this Note, consents and agrees to the terms of the Collateral Documents (including the provisions providing for the foreclosure and release of Collateral), as the same may be in effect or may be amended from time to time in accordance with their terms and the Indenture and authorizes and directs the Collateral Agent to enter into the Collateral Documents and to perform its obligations and exercise its rights thereunder in accordance therewith.</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8" w:name="page149"/>
    <w:bookmarkEnd w:id="148"/>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Indenture contains provisions permitting the Company and the Trustee in certain circumstances, without the consent of the Holders of the Notes, and in certain other circumstances, with the consent of the Holders of not less than at least 60%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at least 60% in aggregate principal amount of the Notes at the time outstanding may on behalf of the Holders of all of the Notes waive any past Default or Event of Default under the Indenture and its consequences.</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Each Holder shall have the right to receive payment or delivery, as the case may be, of (x) the principal (including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spacing w:after="0" w:line="15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Notes shall not be redeemable at the Company’s option and no sinking fund is provided for the Notes.</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color w:val="auto"/>
        </w:rPr>
        <w:t>ABBREVIATIONS</w:t>
      </w:r>
    </w:p>
    <w:p>
      <w:pPr>
        <w:spacing w:after="0" w:line="19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following abbreviations, when used in the inscription of the face of this Note, shall be construed as though they were written out in full according to applicable laws or regulations: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COM = as tenants in common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UNIF GIFT MIN ACT = Uniform Gifts to Minors 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 = Custodian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 ENT = as tenants by the entireties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JT TEN = joint tenants with right of survivorship and not as tenants in common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abbreviations may also be used though not in the above list.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0" w:name="page151"/>
    <w:bookmarkEnd w:id="150"/>
    <w:p>
      <w:pPr>
        <w:ind w:left="10164"/>
        <w:spacing w:after="0"/>
        <w:rPr>
          <w:sz w:val="20"/>
          <w:szCs w:val="20"/>
          <w:color w:val="auto"/>
        </w:rPr>
      </w:pPr>
      <w:r>
        <w:rPr>
          <w:rFonts w:ascii="Times New Roman" w:cs="Times New Roman" w:eastAsia="Times New Roman" w:hAnsi="Times New Roman"/>
          <w:sz w:val="15"/>
          <w:szCs w:val="15"/>
          <w:b w:val="1"/>
          <w:bCs w:val="1"/>
          <w:color w:val="auto"/>
        </w:rPr>
        <w:t>SCHEDULE A</w:t>
      </w:r>
      <w:r>
        <w:rPr>
          <w:rFonts w:ascii="Times New Roman" w:cs="Times New Roman" w:eastAsia="Times New Roman" w:hAnsi="Times New Roman"/>
          <w:sz w:val="25"/>
          <w:szCs w:val="25"/>
          <w:b w:val="1"/>
          <w:bCs w:val="1"/>
          <w:color w:val="auto"/>
          <w:vertAlign w:val="superscript"/>
        </w:rPr>
        <w:t>6</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SCHEDULE OF EXCHANGES OF NOTES</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SunPower Inc.</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10.00% Convertible Senior Secured Notes due 2029</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initial principal amount of this Global Note is _______ DOLLARS ($[_________]). The following increases or decreases in this Global Note have been made:</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Principal</w:t>
            </w: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Amount of</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Amount of</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amount of this Global Note following such</w:t>
            </w:r>
          </w:p>
        </w:tc>
      </w:tr>
      <w:tr>
        <w:trPr>
          <w:trHeight w:val="191"/>
        </w:trPr>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Date</w:t>
            </w:r>
          </w:p>
        </w:tc>
        <w:tc>
          <w:tcPr>
            <w:tcW w:w="800" w:type="dxa"/>
            <w:vAlign w:val="bottom"/>
          </w:tcPr>
          <w:p>
            <w:pPr>
              <w:spacing w:after="0"/>
              <w:rPr>
                <w:sz w:val="16"/>
                <w:szCs w:val="16"/>
                <w:color w:val="auto"/>
              </w:rPr>
            </w:pPr>
          </w:p>
        </w:tc>
        <w:tc>
          <w:tcPr>
            <w:tcW w:w="2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decrease in principal</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decrease in principal</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decrease or increase</w:t>
            </w:r>
          </w:p>
        </w:tc>
      </w:tr>
      <w:tr>
        <w:trPr>
          <w:trHeight w:val="208"/>
        </w:trPr>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of Exchange</w:t>
            </w:r>
          </w:p>
        </w:tc>
        <w:tc>
          <w:tcPr>
            <w:tcW w:w="800" w:type="dxa"/>
            <w:vAlign w:val="bottom"/>
          </w:tcPr>
          <w:p>
            <w:pPr>
              <w:spacing w:after="0"/>
              <w:rPr>
                <w:sz w:val="18"/>
                <w:szCs w:val="18"/>
                <w:color w:val="auto"/>
              </w:rPr>
            </w:pPr>
          </w:p>
        </w:tc>
        <w:tc>
          <w:tcPr>
            <w:tcW w:w="2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amount of this Global Note</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amount of this Global Note</w:t>
            </w:r>
          </w:p>
        </w:tc>
        <w:tc>
          <w:tcPr>
            <w:tcW w:w="2820" w:type="dxa"/>
            <w:vAlign w:val="bottom"/>
          </w:tcPr>
          <w:p>
            <w:pPr>
              <w:spacing w:after="0"/>
              <w:rPr>
                <w:sz w:val="18"/>
                <w:szCs w:val="18"/>
                <w:color w:val="auto"/>
              </w:rPr>
            </w:pPr>
          </w:p>
        </w:tc>
      </w:tr>
      <w:tr>
        <w:trPr>
          <w:trHeight w:val="191"/>
        </w:trPr>
        <w:tc>
          <w:tcPr>
            <w:tcW w:w="1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183"/>
        </w:trPr>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r>
      <w:tr>
        <w:trPr>
          <w:trHeight w:val="259"/>
        </w:trPr>
        <w:tc>
          <w:tcPr>
            <w:tcW w:w="1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20" w:type="dxa"/>
            <w:vAlign w:val="bottom"/>
          </w:tcPr>
          <w:p>
            <w:pPr>
              <w:spacing w:after="0"/>
              <w:rPr>
                <w:sz w:val="22"/>
                <w:szCs w:val="22"/>
                <w:color w:val="auto"/>
              </w:rPr>
            </w:pPr>
          </w:p>
        </w:tc>
      </w:tr>
    </w:tbl>
    <w:p>
      <w:pPr>
        <w:ind w:left="104" w:hanging="104"/>
        <w:spacing w:after="0" w:line="184" w:lineRule="auto"/>
        <w:tabs>
          <w:tab w:leader="none" w:pos="104" w:val="left"/>
        </w:tabs>
        <w:numPr>
          <w:ilvl w:val="0"/>
          <w:numId w:val="1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 if a Global Note.</w:t>
      </w:r>
    </w:p>
    <w:p>
      <w:pPr>
        <w:spacing w:after="0" w:line="3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8"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ATTACHMENT 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NOTICE OF CONVERSION]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Trust Company,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633 W. 5th Street, 24th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 90071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Bradley E. Scarbrough</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15.02(d) and </w:t>
      </w:r>
      <w:r>
        <w:rPr>
          <w:rFonts w:ascii="Times New Roman" w:cs="Times New Roman" w:eastAsia="Times New Roman" w:hAnsi="Times New Roman"/>
          <w:sz w:val="16"/>
          <w:szCs w:val="16"/>
          <w:u w:val="single" w:color="auto"/>
          <w:color w:val="auto"/>
        </w:rPr>
        <w:t>Section 15.02(e)</w:t>
      </w:r>
      <w:r>
        <w:rPr>
          <w:rFonts w:ascii="Times New Roman" w:cs="Times New Roman" w:eastAsia="Times New Roman" w:hAnsi="Times New Roman"/>
          <w:sz w:val="16"/>
          <w:szCs w:val="16"/>
          <w:color w:val="auto"/>
        </w:rPr>
        <w:t xml:space="preserve"> of the Indenture. Any amount required to be paid to the undersigned on account of interest accompanies this Note. Capitalized terms used herein but not defined shall have the meanings ascribed to such terms in the Indenture.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_____________________ ________________________________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 must be guaranteed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an eligible Guarantor Institution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(banks, stock brokers, savings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associations and credit unions)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membership in an approved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guarantee medallion program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Securities and Exchange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Commission Rule 17Ad-15 if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Common Stock are to be issued,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are to be delivered, other than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and in the name of the registered holder.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Fill in for registration of shares if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issued, and Notes if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delivered, other than to and in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the registered holder: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(Street Address)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(City, State and Zip Code)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name and address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to be converted (if less than all): $______,000</w:t>
      </w:r>
    </w:p>
    <w:p>
      <w:pPr>
        <w:spacing w:after="0" w:line="182" w:lineRule="exact"/>
        <w:rPr>
          <w:sz w:val="20"/>
          <w:szCs w:val="20"/>
          <w:color w:val="auto"/>
        </w:rPr>
      </w:pPr>
    </w:p>
    <w:p>
      <w:pPr>
        <w:ind w:right="720"/>
        <w:spacing w:after="0" w:line="280"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Att.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ATTACHMENT 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FUNDAMENTAL CHANGE REPURCHASE NOTICE]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U.S. Bank Trust Company,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633 W. 5th Street, 24th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 90071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Bradley E. Scarbrough</w:t>
      </w:r>
    </w:p>
    <w:p>
      <w:pPr>
        <w:spacing w:after="0" w:line="180" w:lineRule="exact"/>
        <w:rPr>
          <w:sz w:val="20"/>
          <w:szCs w:val="20"/>
          <w:color w:val="auto"/>
        </w:rPr>
      </w:pPr>
    </w:p>
    <w:p>
      <w:pPr>
        <w:jc w:val="both"/>
        <w:ind w:firstLine="574"/>
        <w:spacing w:after="0" w:line="256" w:lineRule="auto"/>
        <w:rPr>
          <w:sz w:val="20"/>
          <w:szCs w:val="20"/>
          <w:color w:val="auto"/>
        </w:rPr>
      </w:pPr>
      <w:r>
        <w:rPr>
          <w:rFonts w:ascii="Times New Roman" w:cs="Times New Roman" w:eastAsia="Times New Roman" w:hAnsi="Times New Roman"/>
          <w:sz w:val="16"/>
          <w:szCs w:val="16"/>
          <w:color w:val="auto"/>
        </w:rPr>
        <w:t>The undersigned registered owner of this Note hereby acknowledges receipt of a notice from SunPower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as to the occurrence of a Fundamental Change with respect to the Company and specifying the Fundamental Change Repurchase Date and requests and instructs the Company to pay to the registered holder hereof in accordance with </w:t>
      </w:r>
      <w:r>
        <w:rPr>
          <w:rFonts w:ascii="Times New Roman" w:cs="Times New Roman" w:eastAsia="Times New Roman" w:hAnsi="Times New Roman"/>
          <w:sz w:val="16"/>
          <w:szCs w:val="16"/>
          <w:u w:val="single" w:color="auto"/>
          <w:color w:val="auto"/>
        </w:rPr>
        <w:t>Section 16.02</w:t>
      </w:r>
      <w:r>
        <w:rPr>
          <w:rFonts w:ascii="Times New Roman" w:cs="Times New Roman" w:eastAsia="Times New Roman" w:hAnsi="Times New Roman"/>
          <w:sz w:val="16"/>
          <w:szCs w:val="16"/>
          <w:color w:val="auto"/>
        </w:rPr>
        <w:t xml:space="preserve">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 the case of Physical Notes, the certificate numbers of the Notes to be repurchased are as set forth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_____________________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Social Security or Other Taxpayer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to be repaid (if less than all): $______,000</w:t>
      </w:r>
    </w:p>
    <w:p>
      <w:pPr>
        <w:spacing w:after="0" w:line="19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Att.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ATTACHMENT 3</w:t>
      </w:r>
    </w:p>
    <w:p>
      <w:pPr>
        <w:spacing w:after="0" w:line="2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 OF ASSIGNMENT AND TRANSFER]</w:t>
      </w:r>
    </w:p>
    <w:p>
      <w:pPr>
        <w:spacing w:after="0" w:line="198"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For value received ____________________________ hereby sell(s), assign(s) and transfer(s) unto _________________ (Please insert social security or Taxpayer</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Identification Number of assignee) the within Note, and hereby irrevocably constitutes and appoints _________________ attorney to transfer the said Note on the books of the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Company, with full power of substitution in the premises.</w:t>
      </w:r>
    </w:p>
    <w:p>
      <w:pPr>
        <w:spacing w:after="0" w:line="18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In connection with any transfer of the within Note, the undersigned confirms that such Note is being transferred:</w:t>
      </w:r>
    </w:p>
    <w:p>
      <w:pPr>
        <w:spacing w:after="0" w:line="198" w:lineRule="exact"/>
        <w:rPr>
          <w:sz w:val="20"/>
          <w:szCs w:val="20"/>
          <w:color w:val="auto"/>
        </w:rPr>
      </w:pPr>
    </w:p>
    <w:p>
      <w:pPr>
        <w:ind w:left="184" w:hanging="184"/>
        <w:spacing w:after="0"/>
        <w:tabs>
          <w:tab w:leader="none" w:pos="184" w:val="left"/>
        </w:tabs>
        <w:numPr>
          <w:ilvl w:val="0"/>
          <w:numId w:val="1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SunPower Inc. or a subsidiary thereof; or</w:t>
      </w:r>
    </w:p>
    <w:p>
      <w:pPr>
        <w:spacing w:after="0" w:line="198" w:lineRule="exact"/>
        <w:rPr>
          <w:rFonts w:ascii="MS PGothic" w:cs="MS PGothic" w:eastAsia="MS PGothic" w:hAnsi="MS PGothic"/>
          <w:sz w:val="16"/>
          <w:szCs w:val="16"/>
          <w:color w:val="auto"/>
        </w:rPr>
      </w:pPr>
    </w:p>
    <w:p>
      <w:pPr>
        <w:ind w:left="4" w:hanging="4"/>
        <w:spacing w:after="0" w:line="280" w:lineRule="auto"/>
        <w:tabs>
          <w:tab w:leader="none" w:pos="190" w:val="left"/>
        </w:tabs>
        <w:numPr>
          <w:ilvl w:val="0"/>
          <w:numId w:val="1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 registration statement that has become or been declared effective under the Securities Act of 1933, as amended, and that continues to be effective at the time of such transfer; or</w:t>
      </w:r>
    </w:p>
    <w:p>
      <w:pPr>
        <w:spacing w:after="0" w:line="144" w:lineRule="exact"/>
        <w:rPr>
          <w:rFonts w:ascii="MS PGothic" w:cs="MS PGothic" w:eastAsia="MS PGothic" w:hAnsi="MS PGothic"/>
          <w:sz w:val="16"/>
          <w:szCs w:val="16"/>
          <w:color w:val="auto"/>
        </w:rPr>
      </w:pPr>
    </w:p>
    <w:p>
      <w:pPr>
        <w:ind w:left="184" w:hanging="184"/>
        <w:spacing w:after="0"/>
        <w:tabs>
          <w:tab w:leader="none" w:pos="184" w:val="left"/>
        </w:tabs>
        <w:numPr>
          <w:ilvl w:val="0"/>
          <w:numId w:val="1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144A under the Securities Act of 1933, as amended; or</w:t>
      </w:r>
    </w:p>
    <w:p>
      <w:pPr>
        <w:spacing w:after="0" w:line="198" w:lineRule="exact"/>
        <w:rPr>
          <w:rFonts w:ascii="MS PGothic" w:cs="MS PGothic" w:eastAsia="MS PGothic" w:hAnsi="MS PGothic"/>
          <w:sz w:val="16"/>
          <w:szCs w:val="16"/>
          <w:color w:val="auto"/>
        </w:rPr>
      </w:pPr>
    </w:p>
    <w:p>
      <w:pPr>
        <w:ind w:left="4" w:hanging="4"/>
        <w:spacing w:after="0" w:line="280" w:lineRule="auto"/>
        <w:tabs>
          <w:tab w:leader="none" w:pos="205" w:val="left"/>
        </w:tabs>
        <w:numPr>
          <w:ilvl w:val="0"/>
          <w:numId w:val="1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Pursuant to and in compliance with Rule 144 under the Securities Act of 1933, as amended, or any other available exemption from the registration requirements of the Securities Act of 1933, as amended.</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undersigned confirms that the foregoing transfer complies with the restrictions set forth in the Affiliate Restrictive Notes Legend.]</w:t>
      </w:r>
      <w:r>
        <w:rPr>
          <w:rFonts w:ascii="Times New Roman" w:cs="Times New Roman" w:eastAsia="Times New Roman" w:hAnsi="Times New Roman"/>
          <w:sz w:val="26"/>
          <w:szCs w:val="26"/>
          <w:color w:val="auto"/>
          <w:vertAlign w:val="superscript"/>
        </w:rPr>
        <w:t>7</w:t>
      </w:r>
    </w:p>
    <w:p>
      <w:pPr>
        <w:spacing w:after="0" w:line="1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Dated: ________________________</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_____________________________________</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Signature Guarantee</w:t>
      </w:r>
    </w:p>
    <w:p>
      <w:pPr>
        <w:spacing w:after="0" w:line="182"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spacing w:after="0" w:line="155"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NOTICE: The signature on the assignment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790700"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93" w:lineRule="exact"/>
        <w:rPr>
          <w:sz w:val="20"/>
          <w:szCs w:val="20"/>
          <w:color w:val="auto"/>
        </w:rPr>
      </w:pPr>
    </w:p>
    <w:p>
      <w:pPr>
        <w:ind w:left="104" w:hanging="104"/>
        <w:spacing w:after="0"/>
        <w:tabs>
          <w:tab w:leader="none" w:pos="104" w:val="left"/>
        </w:tabs>
        <w:numPr>
          <w:ilvl w:val="0"/>
          <w:numId w:val="1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 the case of a transfer of Notes bearing the Affiliate Restrictive Notes Legend.</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Att.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OF SUPPLEMENTAL INDENTURE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DELIVERED BY SUBSEQUENT GUARANTORS]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 ] SUPPLEMENTAL INDENTURE, dated as of ___________ __, 20__ is by and among ____________________________ (the “</w:t>
      </w:r>
      <w:r>
        <w:rPr>
          <w:rFonts w:ascii="Times New Roman" w:cs="Times New Roman" w:eastAsia="Times New Roman" w:hAnsi="Times New Roman"/>
          <w:sz w:val="16"/>
          <w:szCs w:val="16"/>
          <w:b w:val="1"/>
          <w:bCs w:val="1"/>
          <w:color w:val="auto"/>
        </w:rPr>
        <w:t>Guaranteeing Subsidiary</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subsidiary of SunPower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U.S. Bank Trust Company, National Association, as Trustee and Collateral Agent.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RECITALS</w:t>
      </w:r>
    </w:p>
    <w:p>
      <w:pPr>
        <w:spacing w:after="0" w:line="196"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color w:val="auto"/>
        </w:rPr>
        <w:t>WHEREAS, the Company has heretofore executed and delivered to the Trustee and the Collateral Agent the Indenture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dated as of April [__], 2026, providing for the issuance of 10.0% Senior Secured Convertible Notes due 2029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the Indenture provides that under certain circumstances the Guaranteeing Subsidiary shall execute and deliver to the Trustee and Collateral Agent a supplemental indenture pursuant to which the Guaranteeing Subsidiary shall unconditionally guarantee all of the Company’s obligations under the Notes and the Indenture on the terms and conditions set forth herein and under the Indenture (the “</w:t>
      </w:r>
      <w:r>
        <w:rPr>
          <w:rFonts w:ascii="Times New Roman" w:cs="Times New Roman" w:eastAsia="Times New Roman" w:hAnsi="Times New Roman"/>
          <w:sz w:val="16"/>
          <w:szCs w:val="16"/>
          <w:b w:val="1"/>
          <w:bCs w:val="1"/>
          <w:color w:val="auto"/>
        </w:rPr>
        <w:t>Guarantee</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WHEREAS,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of the Indenture provides that the parties may amend or supplement the Indenture in order to add Guarantors pursuant to the Indenture, without the consent of the Holders; and</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all acts and things prescribed by the Indenture to make this Supplemental Indenture a valid instrument legally binding on the parties in accordance with its terms, have been duly done and performed;</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NOW, THEREFORE, in compliance with the provisions of the Indenture and in consideration of the above premises, the parties covenant and agree for the equal and proportionate benefit of the respective Holders as follows:</w:t>
      </w:r>
    </w:p>
    <w:p>
      <w:pPr>
        <w:spacing w:after="0" w:line="144" w:lineRule="exact"/>
        <w:rPr>
          <w:sz w:val="20"/>
          <w:szCs w:val="20"/>
          <w:color w:val="auto"/>
        </w:rPr>
      </w:pPr>
    </w:p>
    <w:p>
      <w:pPr>
        <w:ind w:left="800" w:hanging="231"/>
        <w:spacing w:after="0"/>
        <w:tabs>
          <w:tab w:leader="none" w:pos="8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herein without definition shall have the meanings assigned to them in the Indenture.</w:t>
      </w:r>
    </w:p>
    <w:p>
      <w:pPr>
        <w:spacing w:after="0" w:line="198"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Guarantee</w:t>
      </w:r>
      <w:r>
        <w:rPr>
          <w:rFonts w:ascii="Times New Roman" w:cs="Times New Roman" w:eastAsia="Times New Roman" w:hAnsi="Times New Roman"/>
          <w:sz w:val="16"/>
          <w:szCs w:val="16"/>
          <w:color w:val="auto"/>
        </w:rPr>
        <w:t>. The Guaranteeing Subsidiary hereby agrees as follows:</w:t>
      </w:r>
    </w:p>
    <w:p>
      <w:pPr>
        <w:spacing w:after="0" w:line="198" w:lineRule="exact"/>
        <w:rPr>
          <w:sz w:val="20"/>
          <w:szCs w:val="20"/>
          <w:color w:val="auto"/>
        </w:rPr>
      </w:pPr>
    </w:p>
    <w:p>
      <w:pPr>
        <w:jc w:val="both"/>
        <w:ind w:right="20" w:firstLine="569"/>
        <w:spacing w:after="0" w:line="265" w:lineRule="auto"/>
        <w:tabs>
          <w:tab w:leader="none" w:pos="79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Along with all other Guarantors named in the Indenture (including pursuant to any supplemental indentures), to jointly and severally unconditionally guarantee to each Holder of a Note authenticated and delivered by the Trustee, the Trustee, the Collateral Agent and their respective successors and assigns, irrespective of the validity and enforceability of the Indenture, the Notes or the obligations of the Company hereunder or thereunder, that:</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0"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of and interest and premium, if any, on the Notes shall be promptly paid in full when due, whether at maturity, by acceleration, redemption or otherwise, and interest on the overdue principal of and interest on the Notes, if any, if lawful, and all other obligations of the Company to the Holders, the Trustee or the Collateral Agent thereunder shall be promptly paid in full, all in accordance with the terms thereof;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55" w:name="page156"/>
    <w:bookmarkEnd w:id="155"/>
    <w:p>
      <w:pPr>
        <w:jc w:val="both"/>
        <w:ind w:firstLine="1143"/>
        <w:spacing w:after="0" w:line="259" w:lineRule="auto"/>
        <w:tabs>
          <w:tab w:leader="none" w:pos="1384"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of any extension of time of payment or renewal of any Notes or any of such other obligations, that same shall be promptly paid in full when due in accordance with the terms of the extension or renewal, whether at stated maturity, by acceleration or otherwise. Failing payment when due of any amount so guaranteed for whatever reason, the Guarantors and the Guaranteeing Subsidiary shall be jointly and severally obligated to pay the same immediately. This is a guarantee of payment and not a guarantee of collection.</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802"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hereunder shall be unconditional, irrespective of the validity, regularity or enforceability of the Notes or the Indenture, the absence of any action to enforce the same, any waiver or consent by any Holder with respect to any provisions hereof or thereof, the recovery of any judgment against the Company or any other Guarantor, any action to enforce the same or any other circumstance which might otherwise constitute a legal or equitable discharge or defense of a guarantor.</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79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Guaranteeing Subsidiary hereby waives: diligence, presentment, demand of payment, filing of claims with a court in the event of insolvency or bankruptcy of the Company, any right to require a proceeding first against the Company, protest, notice and all demands whatsoever.</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82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the Indenture and herein, the Guarantee shall not be discharged except by full payment of the obligations contained in the Notes, the Indenture and this Supplemental Indenture. The Guaranteeing Subsidiary accepts all obligations applicable to a Guarantor under the Indenture, including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of the Indenture (which is deemed incorporated in this Supplemental Indenture and applicable to this Guarantee). The Guaranteeing Subsidiary acknowledges that by executing this Supplemental Indenture, it shall become a Guarantor under the Indenture and subject to all the terms and conditions applicable to Guarantors contained therein.</w:t>
      </w:r>
    </w:p>
    <w:p>
      <w:pPr>
        <w:spacing w:after="0" w:line="161" w:lineRule="exact"/>
        <w:rPr>
          <w:rFonts w:ascii="Times New Roman" w:cs="Times New Roman" w:eastAsia="Times New Roman" w:hAnsi="Times New Roman"/>
          <w:sz w:val="16"/>
          <w:szCs w:val="16"/>
          <w:color w:val="auto"/>
        </w:rPr>
      </w:pPr>
    </w:p>
    <w:p>
      <w:pPr>
        <w:jc w:val="both"/>
        <w:ind w:firstLine="569"/>
        <w:spacing w:after="0" w:line="265" w:lineRule="auto"/>
        <w:tabs>
          <w:tab w:leader="none" w:pos="808"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Holder, the Trustee or the Collateral Agent is required by any court or otherwise to return to the Company, the Guarantors (including the Guaranteeing Subsidiary), or any custodian, trustee, liquidator or other similar official acting in relation to any of the Company or the Guarantors, any amount paid either to the Trustee, the Collateral Agent or such Holder, this Guarantee, to the extent theretofore discharged, shall be reinstated in full force and effect.</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795"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Guaranteeing Subsidiary shall not be entitled to any right of subrogation in relation to the Holders in respect of any obligations guaranteed hereby until payment in full of all obligations guaranteed hereby.</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80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between the Guaranteeing Subsidiary, on the one hand, and the Holders, the Trustee and Collateral Agent, on the other hand, (x) the maturity of the obligations guaranteed hereby may be accelerated as provided in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of the Indenture for the purposes of this Guarantee, notwithstanding any stay, injunction or other prohibition preventing such acceleration in respect of the obligations guaranteed hereby, and (y) in the event of any declaration of acceleration of such obligations as provided in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of the Indenture, such obligations (whether or not due and payable) shall forthwith become due and payable by the Guaranteeing Subsidiary for the purpose of this Guarantee.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6" w:name="page157"/>
    <w:bookmarkEnd w:id="156"/>
    <w:p>
      <w:pPr>
        <w:ind w:right="20" w:firstLine="569"/>
        <w:spacing w:after="0" w:line="280" w:lineRule="auto"/>
        <w:tabs>
          <w:tab w:leader="none" w:pos="813"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Guaranteeing Subsidiary shall have the right to seek contribution from any non-paying Guarantor so long as the exercise of such right does not impair the rights of the Holders under this Guarantee.</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7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w:t>
      </w:r>
      <w:r>
        <w:rPr>
          <w:rFonts w:ascii="Times New Roman" w:cs="Times New Roman" w:eastAsia="Times New Roman" w:hAnsi="Times New Roman"/>
          <w:sz w:val="16"/>
          <w:szCs w:val="16"/>
          <w:u w:val="single" w:color="auto"/>
          <w:color w:val="auto"/>
        </w:rPr>
        <w:t>Section 13.02</w:t>
      </w:r>
      <w:r>
        <w:rPr>
          <w:rFonts w:ascii="Times New Roman" w:cs="Times New Roman" w:eastAsia="Times New Roman" w:hAnsi="Times New Roman"/>
          <w:sz w:val="16"/>
          <w:szCs w:val="16"/>
          <w:color w:val="auto"/>
        </w:rPr>
        <w:t xml:space="preserve"> of the Indenture, after giving effect to all other contingent and fixed liabilities that are relevant under any applicable Bankruptcy or fraudulent conveyance laws, or similar limitation, and after giving effect to any collections from, rights to receive contribution from or payments made by or on behalf of any other Guarantor in respect of the obligations of such other Guarantor under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of the Indenture, this new Guarantee shall be limited to the maximum amount permissible such that the obligations of such Guarantor under this Guarantee shall not constitute a fraudulent transfer or conveyance, or similar limitation.</w:t>
      </w:r>
    </w:p>
    <w:p>
      <w:pPr>
        <w:spacing w:after="0" w:line="161" w:lineRule="exact"/>
        <w:rPr>
          <w:rFonts w:ascii="Times New Roman" w:cs="Times New Roman" w:eastAsia="Times New Roman" w:hAnsi="Times New Roman"/>
          <w:sz w:val="16"/>
          <w:szCs w:val="16"/>
          <w:color w:val="auto"/>
        </w:rPr>
      </w:pPr>
    </w:p>
    <w:p>
      <w:pPr>
        <w:jc w:val="both"/>
        <w:ind w:firstLine="569"/>
        <w:spacing w:after="0" w:line="254" w:lineRule="auto"/>
        <w:tabs>
          <w:tab w:leader="none" w:pos="798"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Guarantee shall remain in full force and effect and continue to be effective should any petition be filed by or against the Company for liquidation,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and Guarantee, whether as a “voidable preference,” “fraudulent transfer” or otherwise, all as though such payment or performance had not been made. In the event that any payment or any part thereof, is rescinded, reduced, restored or returned, the Note shall, to the fullest extent permitted by law, be reinstated and deemed reduced only by such amount paid and not so rescinded, reduced, restored or returned.</w:t>
      </w:r>
    </w:p>
    <w:p>
      <w:pPr>
        <w:spacing w:after="0" w:line="166" w:lineRule="exact"/>
        <w:rPr>
          <w:rFonts w:ascii="Times New Roman" w:cs="Times New Roman" w:eastAsia="Times New Roman" w:hAnsi="Times New Roman"/>
          <w:sz w:val="16"/>
          <w:szCs w:val="16"/>
          <w:color w:val="auto"/>
        </w:rPr>
      </w:pPr>
    </w:p>
    <w:p>
      <w:pPr>
        <w:ind w:right="20" w:firstLine="569"/>
        <w:spacing w:after="0" w:line="280" w:lineRule="auto"/>
        <w:tabs>
          <w:tab w:leader="none" w:pos="80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any provision of this Guarantee shall be invalid, illegal or unenforceable, the validity, legality, and enforceability of the remaining provisions shall not in any way be affected or impaired thereby.</w:t>
      </w:r>
    </w:p>
    <w:p>
      <w:pPr>
        <w:spacing w:after="0" w:line="144" w:lineRule="exact"/>
        <w:rPr>
          <w:rFonts w:ascii="Times New Roman" w:cs="Times New Roman" w:eastAsia="Times New Roman" w:hAnsi="Times New Roman"/>
          <w:sz w:val="16"/>
          <w:szCs w:val="16"/>
          <w:color w:val="auto"/>
        </w:rPr>
      </w:pPr>
    </w:p>
    <w:p>
      <w:pPr>
        <w:ind w:firstLine="569"/>
        <w:spacing w:after="0" w:line="280" w:lineRule="auto"/>
        <w:tabs>
          <w:tab w:leader="none" w:pos="76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Guarantee shall be a general secured senior obligation of such Guaranteeing Subsidiary, ranking equally in right of payment with all existing and future Senior Indebtedness of the Guaranteeing Subsidiary, if any.</w:t>
      </w:r>
    </w:p>
    <w:p>
      <w:pPr>
        <w:spacing w:after="0" w:line="144" w:lineRule="exact"/>
        <w:rPr>
          <w:rFonts w:ascii="Times New Roman" w:cs="Times New Roman" w:eastAsia="Times New Roman" w:hAnsi="Times New Roman"/>
          <w:sz w:val="16"/>
          <w:szCs w:val="16"/>
          <w:color w:val="auto"/>
        </w:rPr>
      </w:pPr>
    </w:p>
    <w:p>
      <w:pPr>
        <w:ind w:firstLine="569"/>
        <w:spacing w:after="0" w:line="280" w:lineRule="auto"/>
        <w:tabs>
          <w:tab w:leader="none" w:pos="847"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payment to be made by the Guaranteeing Subsidiary in respect of this Guarantee shall be made without set-off, counterclaim, reduction or diminution of any kind or nature.</w:t>
      </w:r>
    </w:p>
    <w:p>
      <w:pPr>
        <w:spacing w:after="0" w:line="144" w:lineRule="exact"/>
        <w:rPr>
          <w:sz w:val="20"/>
          <w:szCs w:val="20"/>
          <w:color w:val="auto"/>
        </w:rPr>
      </w:pPr>
    </w:p>
    <w:p>
      <w:pPr>
        <w:ind w:right="20" w:firstLine="569"/>
        <w:spacing w:after="0" w:line="280" w:lineRule="auto"/>
        <w:tabs>
          <w:tab w:leader="none" w:pos="835"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and Delivery</w:t>
      </w:r>
      <w:r>
        <w:rPr>
          <w:rFonts w:ascii="Times New Roman" w:cs="Times New Roman" w:eastAsia="Times New Roman" w:hAnsi="Times New Roman"/>
          <w:sz w:val="16"/>
          <w:szCs w:val="16"/>
          <w:color w:val="auto"/>
        </w:rPr>
        <w:t>. The Guaranteeing Subsidiary agrees that the Guarantee shall remain in full force and effect notwithstanding the absence of the endorsement of any notation of such Guarantee on the Notes.</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799"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Recourse Against Others</w:t>
      </w:r>
      <w:r>
        <w:rPr>
          <w:rFonts w:ascii="Times New Roman" w:cs="Times New Roman" w:eastAsia="Times New Roman" w:hAnsi="Times New Roman"/>
          <w:sz w:val="16"/>
          <w:szCs w:val="16"/>
          <w:color w:val="auto"/>
        </w:rPr>
        <w:t>. No past, present or future director, officer, employee, incorporator, member, partner or stockholder of the Guaranteeing Subsidiary (other than the Company and the Guarantors) shall have any liability for any obligations of the Company or the Guarantors (including the Guaranteeing Subsidiary) under the Notes, any Guarantees, the Indenture or this Supplemental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7" w:name="page158"/>
    <w:bookmarkEnd w:id="157"/>
    <w:p>
      <w:pPr>
        <w:ind w:right="20" w:firstLine="569"/>
        <w:spacing w:after="0" w:line="280" w:lineRule="auto"/>
        <w:tabs>
          <w:tab w:leader="none" w:pos="811"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Jury Trial Waiver</w:t>
      </w:r>
      <w:r>
        <w:rPr>
          <w:rFonts w:ascii="Times New Roman" w:cs="Times New Roman" w:eastAsia="Times New Roman" w:hAnsi="Times New Roman"/>
          <w:sz w:val="16"/>
          <w:szCs w:val="16"/>
          <w:color w:val="auto"/>
        </w:rPr>
        <w:t>. THIS SUPPLEMENTAL INDENTURE WILL BE GOVERNED BY AND CONSTRUED IN ACCORDANCE WITH THE LAWS OF THE STATE OF NEW YORK.</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EACH OF THE COMPANY, THE GUARANTEEING SUBSIDIARY AND THE TRUSTEE HEREBY IRREVOCABLY WAIVES, TO THE FULLEST EXTENT PERMITTED BY APPLICABLE LAW, ANY AND ALL RIGHT TO TRIAL BY JURY IN ANY LEGAL PROCEEDING ARISING OUT OF OR RELATING TO THIS SUPPLEMENTAL INDENTURE OR THE TRANSACTIONS CONTEMPLATED HEREBY.</w:t>
      </w:r>
    </w:p>
    <w:p>
      <w:pPr>
        <w:spacing w:after="0" w:line="155" w:lineRule="exact"/>
        <w:rPr>
          <w:sz w:val="20"/>
          <w:szCs w:val="20"/>
          <w:color w:val="auto"/>
        </w:rPr>
      </w:pPr>
    </w:p>
    <w:p>
      <w:pPr>
        <w:jc w:val="both"/>
        <w:ind w:right="20" w:firstLine="569"/>
        <w:spacing w:after="0" w:line="259" w:lineRule="auto"/>
        <w:tabs>
          <w:tab w:leader="none" w:pos="79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61"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Headings</w:t>
      </w:r>
      <w:r>
        <w:rPr>
          <w:rFonts w:ascii="Times New Roman" w:cs="Times New Roman" w:eastAsia="Times New Roman" w:hAnsi="Times New Roman"/>
          <w:sz w:val="16"/>
          <w:szCs w:val="16"/>
          <w:color w:val="auto"/>
        </w:rPr>
        <w:t>. The Section headings herein are for convenience only and shall not affect the construction hereof.</w:t>
      </w:r>
    </w:p>
    <w:p>
      <w:pPr>
        <w:spacing w:after="0" w:line="198"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9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The Trustee and Collateral Agent</w:t>
      </w:r>
      <w:r>
        <w:rPr>
          <w:rFonts w:ascii="Times New Roman" w:cs="Times New Roman" w:eastAsia="Times New Roman" w:hAnsi="Times New Roman"/>
          <w:sz w:val="16"/>
          <w:szCs w:val="16"/>
          <w:color w:val="auto"/>
        </w:rPr>
        <w:t>. Neither the Trustee nor the Collateral Agent shall be responsible in any manner whatsoever for or in respect of the validity or sufficiency of this Supplemental Indenture, the Guarantee of the Guaranteeing Subsidiary or for or in respect of the recitals contained herein, all of which recitals are made solely by the Company and the Guaranteeing Subsidiary.</w:t>
      </w:r>
    </w:p>
    <w:p>
      <w:pPr>
        <w:spacing w:after="0" w:line="155"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79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Subrogation</w:t>
      </w:r>
      <w:r>
        <w:rPr>
          <w:rFonts w:ascii="Times New Roman" w:cs="Times New Roman" w:eastAsia="Times New Roman" w:hAnsi="Times New Roman"/>
          <w:sz w:val="16"/>
          <w:szCs w:val="16"/>
          <w:color w:val="auto"/>
        </w:rPr>
        <w:t xml:space="preserve">. The Guaranteeing Subsidiary shall be subrogated to all rights of Holders against the Company in respect of any amounts paid by the Guaranteeing Subsidiary pursuant to the provisions of </w:t>
      </w:r>
      <w:r>
        <w:rPr>
          <w:rFonts w:ascii="Times New Roman" w:cs="Times New Roman" w:eastAsia="Times New Roman" w:hAnsi="Times New Roman"/>
          <w:sz w:val="16"/>
          <w:szCs w:val="16"/>
          <w:u w:val="single" w:color="auto"/>
          <w:color w:val="auto"/>
        </w:rPr>
        <w:t>Section 2.01</w:t>
      </w:r>
      <w:r>
        <w:rPr>
          <w:rFonts w:ascii="Times New Roman" w:cs="Times New Roman" w:eastAsia="Times New Roman" w:hAnsi="Times New Roman"/>
          <w:sz w:val="16"/>
          <w:szCs w:val="16"/>
          <w:color w:val="auto"/>
        </w:rPr>
        <w:t xml:space="preserve"> hereof and </w:t>
      </w:r>
      <w:r>
        <w:rPr>
          <w:rFonts w:ascii="Times New Roman" w:cs="Times New Roman" w:eastAsia="Times New Roman" w:hAnsi="Times New Roman"/>
          <w:sz w:val="16"/>
          <w:szCs w:val="16"/>
          <w:u w:val="single" w:color="auto"/>
          <w:color w:val="auto"/>
        </w:rPr>
        <w:t>Section 13.01</w:t>
      </w:r>
      <w:r>
        <w:rPr>
          <w:rFonts w:ascii="Times New Roman" w:cs="Times New Roman" w:eastAsia="Times New Roman" w:hAnsi="Times New Roman"/>
          <w:sz w:val="16"/>
          <w:szCs w:val="16"/>
          <w:color w:val="auto"/>
        </w:rPr>
        <w:t xml:space="preserve"> of the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 Event of Default has occurred and is continuing, the Guaranteeing Subsidiary shall not be entitled to enforce or receive any payments arising out of, or based upon, such right of subrogation until all amounts then due and payable by the Company under the Indenture or the Notes shall have been paid in full.</w:t>
      </w:r>
    </w:p>
    <w:p>
      <w:pPr>
        <w:spacing w:after="0" w:line="161" w:lineRule="exact"/>
        <w:rPr>
          <w:rFonts w:ascii="Times New Roman" w:cs="Times New Roman" w:eastAsia="Times New Roman" w:hAnsi="Times New Roman"/>
          <w:sz w:val="16"/>
          <w:szCs w:val="16"/>
          <w:color w:val="auto"/>
        </w:rPr>
      </w:pPr>
    </w:p>
    <w:p>
      <w:pPr>
        <w:jc w:val="both"/>
        <w:ind w:firstLine="569"/>
        <w:spacing w:after="0" w:line="265" w:lineRule="auto"/>
        <w:tabs>
          <w:tab w:leader="none" w:pos="879"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Benefits Acknowledged</w:t>
      </w:r>
      <w:r>
        <w:rPr>
          <w:rFonts w:ascii="Times New Roman" w:cs="Times New Roman" w:eastAsia="Times New Roman" w:hAnsi="Times New Roman"/>
          <w:sz w:val="16"/>
          <w:szCs w:val="16"/>
          <w:color w:val="auto"/>
        </w:rPr>
        <w:t>. The Guaranteeing Subsidiary’s Guarantee is subject to the terms and conditions set forth in the Indenture. The Guaranteeing Subsidiary acknowledges that it shall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55" w:lineRule="exact"/>
        <w:rPr>
          <w:rFonts w:ascii="Times New Roman" w:cs="Times New Roman" w:eastAsia="Times New Roman" w:hAnsi="Times New Roman"/>
          <w:sz w:val="16"/>
          <w:szCs w:val="16"/>
          <w:color w:val="auto"/>
        </w:rPr>
      </w:pPr>
    </w:p>
    <w:p>
      <w:pPr>
        <w:ind w:right="20" w:firstLine="569"/>
        <w:spacing w:after="0" w:line="280" w:lineRule="auto"/>
        <w:tabs>
          <w:tab w:leader="none" w:pos="89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w:t>
      </w:r>
      <w:r>
        <w:rPr>
          <w:rFonts w:ascii="Times New Roman" w:cs="Times New Roman" w:eastAsia="Times New Roman" w:hAnsi="Times New Roman"/>
          <w:sz w:val="16"/>
          <w:szCs w:val="16"/>
          <w:color w:val="auto"/>
        </w:rPr>
        <w:t>. All agreements of the Guaranteeing Subsidiary in this Supplemental Indenture shall bind its Successors, except as otherwise provided in this Supplemental Indenture. All agreements of the Trustee and the Collateral Agent in this Supplemental Indenture shall bind its successors.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8" w:name="page159"/>
    <w:bookmarkEnd w:id="158"/>
    <w:p>
      <w:pPr>
        <w:ind w:left="560"/>
        <w:spacing w:after="0"/>
        <w:rPr>
          <w:sz w:val="20"/>
          <w:szCs w:val="20"/>
          <w:color w:val="auto"/>
        </w:rPr>
      </w:pPr>
      <w:r>
        <w:rPr>
          <w:rFonts w:ascii="Times New Roman" w:cs="Times New Roman" w:eastAsia="Times New Roman" w:hAnsi="Times New Roman"/>
          <w:sz w:val="15"/>
          <w:szCs w:val="15"/>
          <w:color w:val="auto"/>
        </w:rPr>
        <w:t>IN WITNESS WHEREOF, the parties hereto have caused this Supplemental Indenture to be duly executed, all as of the date first above written.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[GUARANTEEING SUBSIDIARY]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-113030</wp:posOffset>
            </wp:positionV>
            <wp:extent cx="249682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BANK TRUST COMPANY, NATIONAL ASSOCIATION,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Trustee and Collateral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color w:val="auto"/>
        </w:rPr>
        <w:t>Exh.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59" w:name="page160"/>
    <w:bookmarkEnd w:id="159"/>
    <w:p>
      <w:pPr>
        <w:ind w:left="1050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color w:val="auto"/>
        </w:rPr>
        <w:t>THE SECURITY REPRESENTED BY THIS NOTE HAS NOT BEEN REGISTERED UNDER THE SECURITIES ACT OF 1933, AS AMENDED (THE “</w:t>
      </w:r>
      <w:r>
        <w:rPr>
          <w:rFonts w:ascii="Times New Roman" w:cs="Times New Roman" w:eastAsia="Times New Roman" w:hAnsi="Times New Roman"/>
          <w:sz w:val="16"/>
          <w:szCs w:val="16"/>
          <w:b w:val="1"/>
          <w:bCs w:val="1"/>
          <w:u w:val="single" w:color="auto"/>
          <w:color w:val="auto"/>
        </w:rPr>
        <w:t>ACT</w:t>
      </w:r>
      <w:r>
        <w:rPr>
          <w:rFonts w:ascii="Times New Roman" w:cs="Times New Roman" w:eastAsia="Times New Roman" w:hAnsi="Times New Roman"/>
          <w:sz w:val="16"/>
          <w:szCs w:val="16"/>
          <w:b w:val="1"/>
          <w:bCs w:val="1"/>
          <w:color w:val="auto"/>
        </w:rPr>
        <w:t>”), AND MAY NOT BE SOLD OR TRANSFERRED IN THE ABSENCE OF AN EFFECTIVE REGISTRATION STATEMENT UNDER THE ACT OR AN EXEMPTION FROM REGISTRATION THEREUNDER.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PROMISSORY NOTE</w:t>
      </w:r>
    </w:p>
    <w:p>
      <w:pPr>
        <w:spacing w:after="0" w:line="200" w:lineRule="exact"/>
        <w:rPr>
          <w:sz w:val="20"/>
          <w:szCs w:val="20"/>
          <w:color w:val="auto"/>
        </w:rPr>
      </w:pPr>
    </w:p>
    <w:p>
      <w:pPr>
        <w:spacing w:after="0"/>
        <w:tabs>
          <w:tab w:leader="none" w:pos="10200" w:val="left"/>
        </w:tabs>
        <w:rPr>
          <w:sz w:val="20"/>
          <w:szCs w:val="20"/>
          <w:color w:val="auto"/>
        </w:rPr>
      </w:pPr>
      <w:r>
        <w:rPr>
          <w:rFonts w:ascii="Times New Roman" w:cs="Times New Roman" w:eastAsia="Times New Roman" w:hAnsi="Times New Roman"/>
          <w:sz w:val="16"/>
          <w:szCs w:val="16"/>
          <w:color w:val="auto"/>
        </w:rPr>
        <w:t>Principal Amount: $7,000,000.00</w:t>
      </w:r>
      <w:r>
        <w:rPr>
          <w:sz w:val="20"/>
          <w:szCs w:val="20"/>
          <w:color w:val="auto"/>
        </w:rPr>
        <w:tab/>
      </w:r>
      <w:r>
        <w:rPr>
          <w:rFonts w:ascii="Times New Roman" w:cs="Times New Roman" w:eastAsia="Times New Roman" w:hAnsi="Times New Roman"/>
          <w:sz w:val="15"/>
          <w:szCs w:val="15"/>
          <w:color w:val="auto"/>
        </w:rPr>
        <w:t>April [__], 2026</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FOR VALUE RECEIVED, the undersigned, SunPower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hereby promises to pay to Chicken Parm Pizza LLC, a Delaware limited liability company (together with its successors and registered assigns, “</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the principal amount of Seven Million and 00/100 Dollars ($7,000,000.00) (the “</w:t>
      </w:r>
      <w:r>
        <w:rPr>
          <w:rFonts w:ascii="Times New Roman" w:cs="Times New Roman" w:eastAsia="Times New Roman" w:hAnsi="Times New Roman"/>
          <w:sz w:val="16"/>
          <w:szCs w:val="16"/>
          <w:u w:val="single" w:color="auto"/>
          <w:color w:val="auto"/>
        </w:rPr>
        <w:t>Principal Amount</w:t>
      </w:r>
      <w:r>
        <w:rPr>
          <w:rFonts w:ascii="Times New Roman" w:cs="Times New Roman" w:eastAsia="Times New Roman" w:hAnsi="Times New Roman"/>
          <w:sz w:val="16"/>
          <w:szCs w:val="16"/>
          <w:color w:val="auto"/>
        </w:rPr>
        <w:t>” and the principal amount of this Note, the “</w:t>
      </w:r>
      <w:r>
        <w:rPr>
          <w:rFonts w:ascii="Times New Roman" w:cs="Times New Roman" w:eastAsia="Times New Roman" w:hAnsi="Times New Roman"/>
          <w:sz w:val="16"/>
          <w:szCs w:val="16"/>
          <w:u w:val="single" w:color="auto"/>
          <w:color w:val="auto"/>
        </w:rPr>
        <w:t>Loan</w:t>
      </w:r>
      <w:r>
        <w:rPr>
          <w:rFonts w:ascii="Times New Roman" w:cs="Times New Roman" w:eastAsia="Times New Roman" w:hAnsi="Times New Roman"/>
          <w:sz w:val="16"/>
          <w:szCs w:val="16"/>
          <w:color w:val="auto"/>
        </w:rPr>
        <w:t>”), together with all accrued interest thereon as provided in this Amended and Restated Promissory Note, and all other amounts due and payable under this Amended and Restated Promissory Note in accordance with its terms.</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This Amended and Restated Promissory Note amends and restates in its entirety the Promissory Note dated as of September 24, 2025, as amended (the “</w:t>
      </w:r>
      <w:r>
        <w:rPr>
          <w:rFonts w:ascii="Times New Roman" w:cs="Times New Roman" w:eastAsia="Times New Roman" w:hAnsi="Times New Roman"/>
          <w:sz w:val="16"/>
          <w:szCs w:val="16"/>
          <w:u w:val="single" w:color="auto"/>
          <w:color w:val="auto"/>
        </w:rPr>
        <w:t>Original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Promissory Note</w:t>
      </w:r>
      <w:r>
        <w:rPr>
          <w:rFonts w:ascii="Times New Roman" w:cs="Times New Roman" w:eastAsia="Times New Roman" w:hAnsi="Times New Roman"/>
          <w:sz w:val="16"/>
          <w:szCs w:val="16"/>
          <w:color w:val="auto"/>
        </w:rPr>
        <w:t>”, as amended and restated by this Amended and Restated Promissory Note, the “</w:t>
      </w:r>
      <w:r>
        <w:rPr>
          <w:rFonts w:ascii="Times New Roman" w:cs="Times New Roman" w:eastAsia="Times New Roman" w:hAnsi="Times New Roman"/>
          <w:sz w:val="16"/>
          <w:szCs w:val="16"/>
          <w:u w:val="single" w:color="auto"/>
          <w:color w:val="auto"/>
        </w:rPr>
        <w:t>Note</w:t>
      </w:r>
      <w:r>
        <w:rPr>
          <w:rFonts w:ascii="Times New Roman" w:cs="Times New Roman" w:eastAsia="Times New Roman" w:hAnsi="Times New Roman"/>
          <w:sz w:val="16"/>
          <w:szCs w:val="16"/>
          <w:color w:val="auto"/>
        </w:rPr>
        <w:t>”), that was issued by Borrower to Member in connection with the transactions under the Membership Interest Purchase Agreement, dated as of September 21, 2025, by and among Parent, Member and the other parties thereto (as amended in accordance with its terms and in effect from time to time,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This Note is being issued by Borrower to Member in connection with the transactions under that certain Note Purchase and Exchange Agreement, dated as of the date hereof, between Borrower and Member (the “</w:t>
      </w:r>
      <w:r>
        <w:rPr>
          <w:rFonts w:ascii="Times New Roman" w:cs="Times New Roman" w:eastAsia="Times New Roman" w:hAnsi="Times New Roman"/>
          <w:sz w:val="16"/>
          <w:szCs w:val="16"/>
          <w:u w:val="single" w:color="auto"/>
          <w:color w:val="auto"/>
        </w:rPr>
        <w:t>Note Purchase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720" w:hanging="151"/>
        <w:spacing w:after="0"/>
        <w:tabs>
          <w:tab w:leader="none" w:pos="72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firstLine="1143"/>
        <w:spacing w:after="0" w:line="280" w:lineRule="auto"/>
        <w:tabs>
          <w:tab w:leader="none" w:pos="1387"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Capitalized Terms</w:t>
      </w:r>
      <w:r>
        <w:rPr>
          <w:rFonts w:ascii="Times New Roman" w:cs="Times New Roman" w:eastAsia="Times New Roman" w:hAnsi="Times New Roman"/>
          <w:sz w:val="16"/>
          <w:szCs w:val="16"/>
          <w:color w:val="auto"/>
        </w:rPr>
        <w:t>. Capitalized terms used but not otherwise defined herein shall have the meanings given to them in the Purchase Agreement. For purposes of this Note, the following capitalized terms shall have the respective meanings assigned to them below:</w:t>
      </w:r>
    </w:p>
    <w:p>
      <w:pPr>
        <w:spacing w:after="0" w:line="142"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Rate</w:t>
      </w:r>
      <w:r>
        <w:rPr>
          <w:rFonts w:ascii="Times New Roman" w:cs="Times New Roman" w:eastAsia="Times New Roman" w:hAnsi="Times New Roman"/>
          <w:sz w:val="16"/>
          <w:szCs w:val="16"/>
          <w:color w:val="auto"/>
        </w:rPr>
        <w:t>” means 7.0% per annum, compounded at the end of each calendar quarter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June 30, September 30, December 31 and March 31); provided, however, the Applicable Rate shall increase effective as of May 15, 2026 to 10.0% per annum, until this Note is paid in full.</w:t>
      </w:r>
    </w:p>
    <w:p>
      <w:pPr>
        <w:spacing w:after="0" w:line="1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has the meaning set forth in the introductory paragraph.</w:t>
      </w:r>
    </w:p>
    <w:p>
      <w:pPr>
        <w:spacing w:after="0" w:line="198"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means (a) any Person or group of Persons within the meaning of Section 13(d)(3) of the Securities and Exchange Act of 1934, as amended, becomes the beneficial owner, directly or indirectly, of more than fifty percent (50%) of the outstanding equity interests of Parent; or (b) the sale of all or substantially all of the consolidated assets of Parent and its subsidiaries,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60" w:name="page161"/>
    <w:bookmarkEnd w:id="160"/>
    <w:p>
      <w:pPr>
        <w:jc w:val="both"/>
        <w:ind w:firstLine="1147"/>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xml:space="preserve">” means any of the events specified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which constitutes an Event of Default or which, upon the giving of notice, the lapse of time, or both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would, unless cured or waived, become an Event of Default.</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Rate</w:t>
      </w:r>
      <w:r>
        <w:rPr>
          <w:rFonts w:ascii="Times New Roman" w:cs="Times New Roman" w:eastAsia="Times New Roman" w:hAnsi="Times New Roman"/>
          <w:sz w:val="16"/>
          <w:szCs w:val="16"/>
          <w:color w:val="auto"/>
        </w:rPr>
        <w:t>” means 10.0% per annum, compounded daily.</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Installment Amount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Installment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Loan</w:t>
      </w:r>
      <w:r>
        <w:rPr>
          <w:rFonts w:ascii="Times New Roman" w:cs="Times New Roman" w:eastAsia="Times New Roman" w:hAnsi="Times New Roman"/>
          <w:sz w:val="16"/>
          <w:szCs w:val="16"/>
          <w:color w:val="auto"/>
        </w:rPr>
        <w:t>” has the meaning set forth in the introductory paragraph.</w:t>
      </w:r>
    </w:p>
    <w:p>
      <w:pPr>
        <w:spacing w:after="0" w:line="198"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means the earlier of (a) January 31, 2027 (the “</w:t>
      </w:r>
      <w:r>
        <w:rPr>
          <w:rFonts w:ascii="Times New Roman" w:cs="Times New Roman" w:eastAsia="Times New Roman" w:hAnsi="Times New Roman"/>
          <w:sz w:val="16"/>
          <w:szCs w:val="16"/>
          <w:u w:val="single" w:color="auto"/>
          <w:color w:val="auto"/>
        </w:rPr>
        <w:t>Outside Maturity Date</w:t>
      </w:r>
      <w:r>
        <w:rPr>
          <w:rFonts w:ascii="Times New Roman" w:cs="Times New Roman" w:eastAsia="Times New Roman" w:hAnsi="Times New Roman"/>
          <w:sz w:val="16"/>
          <w:szCs w:val="16"/>
          <w:color w:val="auto"/>
        </w:rPr>
        <w:t>”) and (b) the date on which all amounts under this Note shall become due and payable pursuant to Section 6; provided, however, if, as of the applicable Maturity Date, the Restrictive Provisions then prohibit the making of any payments by Borrower under this Note, then the Maturity Date shall be the earlier of (x) the date that is two (2) Business Days following the date on which the Restrictive Provisions no longer apply in accordance with the express terms of the YA Purchase Agreements (including as a result of section (i)(Y) and section (ii)(Y), as applicable, of the definitions of “Permitted Indebtedness” set forth in the YA Purchase Agreements) and (y) the Outside Maturity Date.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has the meaning set forth in the introductory paragraph.</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Note</w:t>
      </w:r>
      <w:r>
        <w:rPr>
          <w:rFonts w:ascii="Times New Roman" w:cs="Times New Roman" w:eastAsia="Times New Roman" w:hAnsi="Times New Roman"/>
          <w:sz w:val="16"/>
          <w:szCs w:val="16"/>
          <w:color w:val="auto"/>
        </w:rPr>
        <w:t>” has the meaning set forth in the introductory paragraph.</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Note Purchase Agreement</w:t>
      </w:r>
      <w:r>
        <w:rPr>
          <w:rFonts w:ascii="Times New Roman" w:cs="Times New Roman" w:eastAsia="Times New Roman" w:hAnsi="Times New Roman"/>
          <w:sz w:val="16"/>
          <w:szCs w:val="16"/>
          <w:color w:val="auto"/>
        </w:rPr>
        <w:t>” has the meaning set forth in the third introductory paragraph.</w:t>
      </w:r>
    </w:p>
    <w:p>
      <w:pPr>
        <w:spacing w:after="0" w:line="198"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means, for any Person, (a) the certificate or articles of incorporation or certificate of formation and bylaws of such Person if such Person is a corporation, (b) the certificate or articles of organization or formation and regulations, operating agreement or limited liability company agreement (or other similar governing document) of such Person if such Person is a limited liability company, (c) the certificate of limited partnership or certificate of formation and the limited partnership agreement of such Person if such Person is a limited partnership, or (d) the documents under which such Person was created and is governed if such person is not a corporation, limited liability company or limited partnership.</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Original Promissory Note</w:t>
      </w:r>
      <w:r>
        <w:rPr>
          <w:rFonts w:ascii="Times New Roman" w:cs="Times New Roman" w:eastAsia="Times New Roman" w:hAnsi="Times New Roman"/>
          <w:sz w:val="16"/>
          <w:szCs w:val="16"/>
          <w:color w:val="auto"/>
        </w:rPr>
        <w:t>” has the meaning set forth in the second introductory paragraph.</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has the meaning set forth in the introductory paragraph.</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has the meaning set forth in the second introductory paragraph.</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Repayment Schedule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61" w:name="page162"/>
    <w:bookmarkEnd w:id="161"/>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Restrictive Provisions</w:t>
      </w:r>
      <w:r>
        <w:rPr>
          <w:rFonts w:ascii="Times New Roman" w:cs="Times New Roman" w:eastAsia="Times New Roman" w:hAnsi="Times New Roman"/>
          <w:sz w:val="16"/>
          <w:szCs w:val="16"/>
          <w:color w:val="auto"/>
        </w:rPr>
        <w:t>” means Section 7.18(a) of each of (i) the Standby Equity Purchase Agreement executed and delivered among Borrower and YA II PN, LTD (“</w:t>
      </w:r>
      <w:r>
        <w:rPr>
          <w:rFonts w:ascii="Times New Roman" w:cs="Times New Roman" w:eastAsia="Times New Roman" w:hAnsi="Times New Roman"/>
          <w:sz w:val="16"/>
          <w:szCs w:val="16"/>
          <w:u w:val="single" w:color="auto"/>
          <w:color w:val="auto"/>
        </w:rPr>
        <w:t>YA</w:t>
      </w:r>
      <w:r>
        <w:rPr>
          <w:rFonts w:ascii="Times New Roman" w:cs="Times New Roman" w:eastAsia="Times New Roman" w:hAnsi="Times New Roman"/>
          <w:sz w:val="16"/>
          <w:szCs w:val="16"/>
          <w:color w:val="auto"/>
        </w:rPr>
        <w:t>”) on January 26, 2026 and (ii) the Purchase Agreement executed and delivered among Borrower and YA on March 5, 2026 (as amended from time to time, the “</w:t>
      </w:r>
      <w:r>
        <w:rPr>
          <w:rFonts w:ascii="Times New Roman" w:cs="Times New Roman" w:eastAsia="Times New Roman" w:hAnsi="Times New Roman"/>
          <w:sz w:val="16"/>
          <w:szCs w:val="16"/>
          <w:u w:val="single" w:color="auto"/>
          <w:color w:val="auto"/>
        </w:rPr>
        <w:t>March 2026 Purchase Agreement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YA Purchase Agreements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720" w:hanging="151"/>
        <w:spacing w:after="0"/>
        <w:tabs>
          <w:tab w:leader="none" w:pos="7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and Fees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Rate</w:t>
      </w:r>
      <w:r>
        <w:rPr>
          <w:rFonts w:ascii="Times New Roman" w:cs="Times New Roman" w:eastAsia="Times New Roman" w:hAnsi="Times New Roman"/>
          <w:sz w:val="16"/>
          <w:szCs w:val="16"/>
          <w:color w:val="auto"/>
        </w:rPr>
        <w:t>. Except as otherwise provided herein, the outstanding principal amount of the Loan shall bear interest at the Applicable Rate from the date the Loan was made under the Original Promissory Note until the Loan is paid in full, whether at maturity, upon acceleration, by prepayment or otherwise.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Payment</w:t>
      </w:r>
      <w:r>
        <w:rPr>
          <w:rFonts w:ascii="Times New Roman" w:cs="Times New Roman" w:eastAsia="Times New Roman" w:hAnsi="Times New Roman"/>
          <w:sz w:val="16"/>
          <w:szCs w:val="16"/>
          <w:color w:val="auto"/>
        </w:rPr>
        <w:t>. In addition, Parent shall pay accrued but unpaid interest in cash on the Loan on each Installment Date and on the Maturity Date.</w:t>
      </w:r>
    </w:p>
    <w:p>
      <w:pPr>
        <w:spacing w:after="0" w:line="198"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6"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Interest</w:t>
      </w:r>
      <w:r>
        <w:rPr>
          <w:rFonts w:ascii="Times New Roman" w:cs="Times New Roman" w:eastAsia="Times New Roman" w:hAnsi="Times New Roman"/>
          <w:sz w:val="16"/>
          <w:szCs w:val="16"/>
          <w:color w:val="auto"/>
        </w:rPr>
        <w:t>. Upon the occurrence and during the continuance of an Event of Default, the outstanding principal amount of the Loan and all other obligations hereunder shall bear interest at the Default Rate (without duplication, however, of interest that may accrue pursuant to Section 2(a) above) until such Event of Default is cured by Parent or is waived in writing by Member.</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Computation</w:t>
      </w:r>
      <w:r>
        <w:rPr>
          <w:rFonts w:ascii="Times New Roman" w:cs="Times New Roman" w:eastAsia="Times New Roman" w:hAnsi="Times New Roman"/>
          <w:sz w:val="16"/>
          <w:szCs w:val="16"/>
          <w:color w:val="auto"/>
        </w:rPr>
        <w:t>. All computations of interest hereunder shall be made on the basis of a year of 365-day year and the actual number of days elapsed. Interest shall begin to accrue on the Loan on the day on the date the Loan is made, and shall not accrue on any principal that is repaid for the day on which it is repaid.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Interest Rate Limitation</w:t>
      </w:r>
      <w:r>
        <w:rPr>
          <w:rFonts w:ascii="Times New Roman" w:cs="Times New Roman" w:eastAsia="Times New Roman" w:hAnsi="Times New Roman"/>
          <w:sz w:val="16"/>
          <w:szCs w:val="16"/>
          <w:color w:val="auto"/>
        </w:rPr>
        <w:t>. If at any time the interest rate payable on the Loan shall exceed the maximum rate of interest permitted under applicable Law, such interest rate shall be reduced automatically to the maximum rate permitted.</w:t>
      </w:r>
    </w:p>
    <w:p>
      <w:pPr>
        <w:spacing w:after="0" w:line="144"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Installment Amounts</w:t>
      </w:r>
      <w:r>
        <w:rPr>
          <w:rFonts w:ascii="Times New Roman" w:cs="Times New Roman" w:eastAsia="Times New Roman" w:hAnsi="Times New Roman"/>
          <w:sz w:val="16"/>
          <w:szCs w:val="16"/>
          <w:color w:val="auto"/>
        </w:rPr>
        <w:t>. On or before each date (each, an “</w:t>
      </w:r>
      <w:r>
        <w:rPr>
          <w:rFonts w:ascii="Times New Roman" w:cs="Times New Roman" w:eastAsia="Times New Roman" w:hAnsi="Times New Roman"/>
          <w:sz w:val="16"/>
          <w:szCs w:val="16"/>
          <w:u w:val="single" w:color="auto"/>
          <w:color w:val="auto"/>
        </w:rPr>
        <w:t>Installment Date</w:t>
      </w:r>
      <w:r>
        <w:rPr>
          <w:rFonts w:ascii="Times New Roman" w:cs="Times New Roman" w:eastAsia="Times New Roman" w:hAnsi="Times New Roman"/>
          <w:sz w:val="16"/>
          <w:szCs w:val="16"/>
          <w:color w:val="auto"/>
        </w:rPr>
        <w:t xml:space="preserve">” set forth on the repayment scheduled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Repayment Schedule</w:t>
      </w:r>
      <w:r>
        <w:rPr>
          <w:rFonts w:ascii="Times New Roman" w:cs="Times New Roman" w:eastAsia="Times New Roman" w:hAnsi="Times New Roman"/>
          <w:sz w:val="16"/>
          <w:szCs w:val="16"/>
          <w:color w:val="auto"/>
        </w:rPr>
        <w:t>”), the Company shall repay a portion of the outstanding balance of this Note in an amount equal to the installment amount set forth on the Repayment Schedule as of such Installment Date (the “</w:t>
      </w:r>
      <w:r>
        <w:rPr>
          <w:rFonts w:ascii="Times New Roman" w:cs="Times New Roman" w:eastAsia="Times New Roman" w:hAnsi="Times New Roman"/>
          <w:sz w:val="16"/>
          <w:szCs w:val="16"/>
          <w:u w:val="single" w:color="auto"/>
          <w:color w:val="auto"/>
        </w:rPr>
        <w:t>Installment Amount</w:t>
      </w:r>
      <w:r>
        <w:rPr>
          <w:rFonts w:ascii="Times New Roman" w:cs="Times New Roman" w:eastAsia="Times New Roman" w:hAnsi="Times New Roman"/>
          <w:sz w:val="16"/>
          <w:szCs w:val="16"/>
          <w:color w:val="auto"/>
        </w:rPr>
        <w:t>”). The Company shall pay such applicable Installment Amount to the Holder by wire transfer of immediately available funds in cash on or before such Installment Date.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Maturity Date Payment</w:t>
      </w:r>
      <w:r>
        <w:rPr>
          <w:rFonts w:ascii="Times New Roman" w:cs="Times New Roman" w:eastAsia="Times New Roman" w:hAnsi="Times New Roman"/>
          <w:sz w:val="16"/>
          <w:szCs w:val="16"/>
          <w:color w:val="auto"/>
        </w:rPr>
        <w:t>. The entire unpaid principal amount, all unpaid accrued interest and all other amounts payable under this Note shall be fully due and payable in cash on the Maturity Date.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Optional Prepayments</w:t>
      </w:r>
      <w:r>
        <w:rPr>
          <w:rFonts w:ascii="Times New Roman" w:cs="Times New Roman" w:eastAsia="Times New Roman" w:hAnsi="Times New Roman"/>
          <w:sz w:val="16"/>
          <w:szCs w:val="16"/>
          <w:color w:val="auto"/>
        </w:rPr>
        <w:t>. Parent may prepay the outstanding amount of this Note in whole or in part, without premium or penalty, at any time.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Mandatory Prepayment</w:t>
      </w:r>
      <w:r>
        <w:rPr>
          <w:rFonts w:ascii="Times New Roman" w:cs="Times New Roman" w:eastAsia="Times New Roman" w:hAnsi="Times New Roman"/>
          <w:sz w:val="16"/>
          <w:szCs w:val="16"/>
          <w:color w:val="auto"/>
        </w:rPr>
        <w:t>. In the event of a Change of Control, Parent shall, simultaneous with such Change of Control, make a cash payment to Member of the entire unpaid principal amount, all unpaid accrued interest and all other amounts payable under this Note.</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2" w:name="page163"/>
    <w:bookmarkEnd w:id="162"/>
    <w:p>
      <w:pPr>
        <w:jc w:val="both"/>
        <w:ind w:firstLine="1143"/>
        <w:spacing w:after="0" w:line="265" w:lineRule="auto"/>
        <w:tabs>
          <w:tab w:leader="none" w:pos="1364"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Extension</w:t>
      </w:r>
      <w:r>
        <w:rPr>
          <w:rFonts w:ascii="Times New Roman" w:cs="Times New Roman" w:eastAsia="Times New Roman" w:hAnsi="Times New Roman"/>
          <w:sz w:val="16"/>
          <w:szCs w:val="16"/>
          <w:color w:val="auto"/>
        </w:rPr>
        <w:t>. Whenever any cash payment hereunder shall be stated to be due, or whenever any interest payment date or any other date specified hereunder would otherwise occur, on a day other than a Business Day, then, except as otherwise provided herein, such payment shall be made, and such interest payment date or other date shall occur, on the next succeeding Business Day, and such extension of time shall in such case be included in the computation of payment of interest hereunder.</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46"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Payment</w:t>
      </w:r>
      <w:r>
        <w:rPr>
          <w:rFonts w:ascii="Times New Roman" w:cs="Times New Roman" w:eastAsia="Times New Roman" w:hAnsi="Times New Roman"/>
          <w:sz w:val="16"/>
          <w:szCs w:val="16"/>
          <w:color w:val="auto"/>
        </w:rPr>
        <w:t>. All payments under this Note shall be applied (i) first, to any fees, costs, expenses and other amounts (other than principal and interest) due Member; (ii) second, to accrued but unpaid interest; and (iii) third, to the payment of the principal amount outstanding under this Note.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1"/>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Rescission of Payments</w:t>
      </w:r>
      <w:r>
        <w:rPr>
          <w:rFonts w:ascii="Times New Roman" w:cs="Times New Roman" w:eastAsia="Times New Roman" w:hAnsi="Times New Roman"/>
          <w:sz w:val="16"/>
          <w:szCs w:val="16"/>
          <w:color w:val="auto"/>
        </w:rPr>
        <w:t>. If at any time any payment made by Parent under this Note is rescinded or must otherwise be restored or returned upon the insolvency, bankruptcy or reorganization of Parent or otherwise, Parent’s obligation to make such payment shall be reinstated as though such payment had not been made.</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75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The principal amount of this Note shall be adjusted with retroactive effect to the date hereof in accordance with Section 9.5(a) of the Purchase Agreement (and subject to the terms and limitations set forth in Article IX of the Purchase Agreement (as amended by the Note Purchase Agreement)). Any such adjustment shall be effective for all purposes of this Note including the calculation of interest accrued hereunder. Parent shall provide written notice of any adjustment of the principal amount of this Note pursuant to this Section 4, and such adjustment shall be binding on Member for all purposes of this Note and the Purchase Agreement.</w:t>
      </w:r>
    </w:p>
    <w:p>
      <w:pPr>
        <w:spacing w:after="0" w:line="161"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Parent hereby represents and warrants to Member on the date hereof as follows: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Power and Authority</w:t>
      </w:r>
      <w:r>
        <w:rPr>
          <w:rFonts w:ascii="Times New Roman" w:cs="Times New Roman" w:eastAsia="Times New Roman" w:hAnsi="Times New Roman"/>
          <w:sz w:val="16"/>
          <w:szCs w:val="16"/>
          <w:color w:val="auto"/>
        </w:rPr>
        <w:t>. Parent has the power and authority, and the legal right, to execute and deliver this Note and to perform its obligations hereunder.</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Execution and Delivery</w:t>
      </w:r>
      <w:r>
        <w:rPr>
          <w:rFonts w:ascii="Times New Roman" w:cs="Times New Roman" w:eastAsia="Times New Roman" w:hAnsi="Times New Roman"/>
          <w:sz w:val="16"/>
          <w:szCs w:val="16"/>
          <w:color w:val="auto"/>
        </w:rPr>
        <w:t>. The execution and delivery of this Note by Parent and the performance of its obligations hereunder have been duly authorized by all necessary company action in accordance with all applicable Laws. Parent has duly executed and delivered this Note.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Approvals</w:t>
      </w:r>
      <w:r>
        <w:rPr>
          <w:rFonts w:ascii="Times New Roman" w:cs="Times New Roman" w:eastAsia="Times New Roman" w:hAnsi="Times New Roman"/>
          <w:sz w:val="16"/>
          <w:szCs w:val="16"/>
          <w:color w:val="auto"/>
        </w:rPr>
        <w:t>. Except for such consents obtained by Parent on or before the date hereof, no consent or authorization of, filing with, notice to or other act by, or in respect of, any Governmental Authority or any other Person is required in order for Parent to execute, deliver or perform any of its obligations under this Note.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3"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Violations</w:t>
      </w:r>
      <w:r>
        <w:rPr>
          <w:rFonts w:ascii="Times New Roman" w:cs="Times New Roman" w:eastAsia="Times New Roman" w:hAnsi="Times New Roman"/>
          <w:sz w:val="16"/>
          <w:szCs w:val="16"/>
          <w:color w:val="auto"/>
        </w:rPr>
        <w:t>. The execution and delivery of this Note and the consummation by Parent of the transactions contemplated hereby do not and will not (i) violate any provision of Parent’s Organizational Documents; (ii) violate any Law applicable to Parent or by which any of its properties or assets may be bound; or (iii) constitute a default under any material agreement or contract by which Parent or its properties may be bound.</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9"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Enforceability</w:t>
      </w:r>
      <w:r>
        <w:rPr>
          <w:rFonts w:ascii="Times New Roman" w:cs="Times New Roman" w:eastAsia="Times New Roman" w:hAnsi="Times New Roman"/>
          <w:sz w:val="16"/>
          <w:szCs w:val="16"/>
          <w:color w:val="auto"/>
        </w:rPr>
        <w:t xml:space="preserve">. This Note is a valid, legal and binding obligation of Parent, enforceable against Parent in accordance with its terms, </w:t>
      </w:r>
      <w:r>
        <w:rPr>
          <w:rFonts w:ascii="Times New Roman" w:cs="Times New Roman" w:eastAsia="Times New Roman" w:hAnsi="Times New Roman"/>
          <w:sz w:val="16"/>
          <w:szCs w:val="16"/>
          <w:u w:val="single" w:color="auto"/>
          <w:color w:val="auto"/>
        </w:rPr>
        <w:t>except</w:t>
      </w:r>
      <w:r>
        <w:rPr>
          <w:rFonts w:ascii="Times New Roman" w:cs="Times New Roman" w:eastAsia="Times New Roman" w:hAnsi="Times New Roman"/>
          <w:sz w:val="16"/>
          <w:szCs w:val="16"/>
          <w:color w:val="auto"/>
        </w:rPr>
        <w:t xml:space="preserve">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3" w:name="page164"/>
    <w:bookmarkEnd w:id="163"/>
    <w:p>
      <w:pPr>
        <w:ind w:left="720" w:hanging="151"/>
        <w:spacing w:after="0"/>
        <w:tabs>
          <w:tab w:leader="none" w:pos="72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The occurrence of any one or more of the following events or conditions shall constitute an event of default (each, an “</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Failure to Pay</w:t>
      </w:r>
      <w:r>
        <w:rPr>
          <w:rFonts w:ascii="Times New Roman" w:cs="Times New Roman" w:eastAsia="Times New Roman" w:hAnsi="Times New Roman"/>
          <w:sz w:val="16"/>
          <w:szCs w:val="16"/>
          <w:color w:val="auto"/>
        </w:rPr>
        <w:t>. Borrower shall fail to pay when due any amount of principal, interest or other amounts payable under this Note, and such failure continues for a period of two (2) Business Days after the applicable due date; provided, that no notice or demand shall be required to trigger such Event of Default.</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85"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Repeated Payment Failure</w:t>
      </w:r>
      <w:r>
        <w:rPr>
          <w:rFonts w:ascii="Times New Roman" w:cs="Times New Roman" w:eastAsia="Times New Roman" w:hAnsi="Times New Roman"/>
          <w:sz w:val="16"/>
          <w:szCs w:val="16"/>
          <w:color w:val="auto"/>
        </w:rPr>
        <w:t>. Borrower fails to make two (2) or more payments of the Installment Amounts when due under this Note within any rolling ninety (90) day period, regardless of whether any such failure is subsequently cured.</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Bankruptcy</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716"/>
        <w:spacing w:after="0" w:line="259" w:lineRule="auto"/>
        <w:tabs>
          <w:tab w:leader="none" w:pos="1911"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commences any case, proceeding or other action (A) under any existing or future Law relating to bankruptcy, insolvency, reorganization, or other relief of debtors, seeking to have an order for relief entered with respect to it, or seeking to adjudicate it as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Parent makes a general assignment for the benefit of its creditors;</w:t>
      </w:r>
    </w:p>
    <w:p>
      <w:pPr>
        <w:spacing w:after="0" w:line="161" w:lineRule="exact"/>
        <w:rPr>
          <w:rFonts w:ascii="Times New Roman" w:cs="Times New Roman" w:eastAsia="Times New Roman" w:hAnsi="Times New Roman"/>
          <w:sz w:val="16"/>
          <w:szCs w:val="16"/>
          <w:color w:val="auto"/>
        </w:rPr>
      </w:pPr>
    </w:p>
    <w:p>
      <w:pPr>
        <w:ind w:firstLine="1716"/>
        <w:spacing w:after="0" w:line="280" w:lineRule="auto"/>
        <w:tabs>
          <w:tab w:leader="none" w:pos="1954"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is commenced against Parent any case, proceeding or other action of a nature referred to in </w:t>
      </w:r>
      <w:r>
        <w:rPr>
          <w:rFonts w:ascii="Times New Roman" w:cs="Times New Roman" w:eastAsia="Times New Roman" w:hAnsi="Times New Roman"/>
          <w:sz w:val="16"/>
          <w:szCs w:val="16"/>
          <w:u w:val="single" w:color="auto"/>
          <w:color w:val="auto"/>
        </w:rPr>
        <w:t>Section 6(c)(i)</w:t>
      </w:r>
      <w:r>
        <w:rPr>
          <w:rFonts w:ascii="Times New Roman" w:cs="Times New Roman" w:eastAsia="Times New Roman" w:hAnsi="Times New Roman"/>
          <w:sz w:val="16"/>
          <w:szCs w:val="16"/>
          <w:color w:val="auto"/>
        </w:rPr>
        <w:t xml:space="preserve"> which (A) results in the entry of an order for relief or any such adjudication or appointment or (B) remains undismissed, undischarged or unbonded for a period of sixty (60) days;</w:t>
      </w:r>
    </w:p>
    <w:p>
      <w:pPr>
        <w:spacing w:after="0" w:line="144" w:lineRule="exact"/>
        <w:rPr>
          <w:rFonts w:ascii="Times New Roman" w:cs="Times New Roman" w:eastAsia="Times New Roman" w:hAnsi="Times New Roman"/>
          <w:sz w:val="16"/>
          <w:szCs w:val="16"/>
          <w:color w:val="auto"/>
        </w:rPr>
      </w:pPr>
    </w:p>
    <w:p>
      <w:pPr>
        <w:jc w:val="both"/>
        <w:ind w:right="20" w:firstLine="1716"/>
        <w:spacing w:after="0" w:line="265" w:lineRule="auto"/>
        <w:tabs>
          <w:tab w:leader="none" w:pos="2019"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commenced against Parent any case, proceeding or other action seeking issuance of a warrant of attachment, execution or similar process against all or any substantial part of its assets which results in the entry of an order for any such relief which has not been vacated, discharged, or stayed or bonded pending appeal within sixty (60) days from the entry thereof;</w:t>
      </w:r>
    </w:p>
    <w:p>
      <w:pPr>
        <w:spacing w:after="0" w:line="155" w:lineRule="exact"/>
        <w:rPr>
          <w:rFonts w:ascii="Times New Roman" w:cs="Times New Roman" w:eastAsia="Times New Roman" w:hAnsi="Times New Roman"/>
          <w:sz w:val="16"/>
          <w:szCs w:val="16"/>
          <w:color w:val="auto"/>
        </w:rPr>
      </w:pPr>
    </w:p>
    <w:p>
      <w:pPr>
        <w:ind w:firstLine="1716"/>
        <w:spacing w:after="0" w:line="280" w:lineRule="auto"/>
        <w:tabs>
          <w:tab w:leader="none" w:pos="1995"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takes any action in furtherance of, or indicating its consent to, approval of, or acquiescence in, any of the acts set forth in </w:t>
      </w:r>
      <w:r>
        <w:rPr>
          <w:rFonts w:ascii="Times New Roman" w:cs="Times New Roman" w:eastAsia="Times New Roman" w:hAnsi="Times New Roman"/>
          <w:sz w:val="16"/>
          <w:szCs w:val="16"/>
          <w:u w:val="single" w:color="auto"/>
          <w:color w:val="auto"/>
        </w:rPr>
        <w:t>Section 6(c)(i)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6(c)(ii)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6(c)(iii)</w:t>
      </w:r>
      <w:r>
        <w:rPr>
          <w:rFonts w:ascii="Times New Roman" w:cs="Times New Roman" w:eastAsia="Times New Roman" w:hAnsi="Times New Roman"/>
          <w:sz w:val="16"/>
          <w:szCs w:val="16"/>
          <w:color w:val="auto"/>
        </w:rPr>
        <w:t>; or</w:t>
      </w:r>
    </w:p>
    <w:p>
      <w:pPr>
        <w:spacing w:after="0" w:line="144" w:lineRule="exact"/>
        <w:rPr>
          <w:rFonts w:ascii="Times New Roman" w:cs="Times New Roman" w:eastAsia="Times New Roman" w:hAnsi="Times New Roman"/>
          <w:sz w:val="16"/>
          <w:szCs w:val="16"/>
          <w:color w:val="auto"/>
        </w:rPr>
      </w:pPr>
    </w:p>
    <w:p>
      <w:pPr>
        <w:ind w:left="1940" w:hanging="224"/>
        <w:spacing w:after="0"/>
        <w:tabs>
          <w:tab w:leader="none" w:pos="1940" w:val="left"/>
        </w:tabs>
        <w:numPr>
          <w:ilvl w:val="2"/>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is generally not, or shall be unable to, or admits in writing its inability to, pay its debts as they become due.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Dissolution</w:t>
      </w:r>
      <w:r>
        <w:rPr>
          <w:rFonts w:ascii="Times New Roman" w:cs="Times New Roman" w:eastAsia="Times New Roman" w:hAnsi="Times New Roman"/>
          <w:sz w:val="16"/>
          <w:szCs w:val="16"/>
          <w:color w:val="auto"/>
        </w:rPr>
        <w:t xml:space="preserve">. Parent shall (i) liquidate, wind up or dissolve (or suffer any liquidation, wind-up or dissolution), (ii) suspend its operations other than in the ordinary course of business, or (iii) take any company action to authorize any of the actions or events set forth above in this </w:t>
      </w:r>
      <w:r>
        <w:rPr>
          <w:rFonts w:ascii="Times New Roman" w:cs="Times New Roman" w:eastAsia="Times New Roman" w:hAnsi="Times New Roman"/>
          <w:sz w:val="16"/>
          <w:szCs w:val="16"/>
          <w:u w:val="single" w:color="auto"/>
          <w:color w:val="auto"/>
        </w:rPr>
        <w:t>Section 6(d)</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There occurs any Change of Control.</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4" w:name="page165"/>
    <w:bookmarkEnd w:id="164"/>
    <w:p>
      <w:pPr>
        <w:ind w:right="20" w:firstLine="1143"/>
        <w:spacing w:after="0" w:line="280" w:lineRule="auto"/>
        <w:tabs>
          <w:tab w:leader="none" w:pos="1346"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Covenants</w:t>
      </w:r>
      <w:r>
        <w:rPr>
          <w:rFonts w:ascii="Times New Roman" w:cs="Times New Roman" w:eastAsia="Times New Roman" w:hAnsi="Times New Roman"/>
          <w:sz w:val="16"/>
          <w:szCs w:val="16"/>
          <w:color w:val="auto"/>
        </w:rPr>
        <w:t>. Parent breaches in any material respect any covenant set forth in this Note and such breach is not cured within a period of fifteen (15) days following receipt of written notice of such breach from Member.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w:t>
      </w:r>
      <w:r>
        <w:rPr>
          <w:rFonts w:ascii="Times New Roman" w:cs="Times New Roman" w:eastAsia="Times New Roman" w:hAnsi="Times New Roman"/>
          <w:sz w:val="16"/>
          <w:szCs w:val="16"/>
          <w:color w:val="auto"/>
        </w:rPr>
        <w:t>. Any representation or warranty made by Parent in this Note shall be untrue in any material respect when made.</w:t>
      </w:r>
    </w:p>
    <w:p>
      <w:pPr>
        <w:spacing w:after="0" w:line="198"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Event of Default occurs and is continuing, then:</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35" w:val="left"/>
        </w:tabs>
        <w:numPr>
          <w:ilvl w:val="2"/>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entire unpaid principal amount of this Note, together with all accrued and unpaid interest and all other amounts owing hereunder, shall automatically become immediately due and payable without any further action, notice or demand; and</w:t>
      </w:r>
    </w:p>
    <w:p>
      <w:pPr>
        <w:spacing w:after="0" w:line="144"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may exercise any and all rights and remedies available under this Note, the Purchase Agreement or applicable law.</w:t>
      </w:r>
    </w:p>
    <w:p>
      <w:pPr>
        <w:spacing w:after="0" w:line="198"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 Event of Default under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6"/>
          <w:szCs w:val="16"/>
          <w:color w:val="auto"/>
        </w:rPr>
        <w:t xml:space="preserve"> or Section 6(c) occurs and is continuing and is not cured by Parent on or before the date that is forty-five (45) days following the date of the payment default (the “</w:t>
      </w:r>
      <w:r>
        <w:rPr>
          <w:rFonts w:ascii="Times New Roman" w:cs="Times New Roman" w:eastAsia="Times New Roman" w:hAnsi="Times New Roman"/>
          <w:sz w:val="16"/>
          <w:szCs w:val="16"/>
          <w:u w:val="single" w:color="auto"/>
          <w:color w:val="auto"/>
        </w:rPr>
        <w:t>Cure Deadline</w:t>
      </w:r>
      <w:r>
        <w:rPr>
          <w:rFonts w:ascii="Times New Roman" w:cs="Times New Roman" w:eastAsia="Times New Roman" w:hAnsi="Times New Roman"/>
          <w:sz w:val="16"/>
          <w:szCs w:val="16"/>
          <w:color w:val="auto"/>
        </w:rPr>
        <w:t>”), in addition to any other remedies available to Member and its affiliates under this Note, the non-competition and non-solicitation covenants set forth in Section 1.02 of the Non-Competition Agreements (as defined in the Purchase Agreement) shall automatically terminate in all respects, without any further action by any party, as of the Cure Deadline; provided, however, for the avoidance of doubt, the foregoing termination rights shall not apply to the confidentiality covenants under Section 1.01 of the Non-Competition Agreements or any other confidentiality covenants, obligations or undertakings otherwise applicable to Member or any of its affiliates. For the avoidance of doubt, a cure of a payment default shall require payment in full of all amounts then due and payable under this Note, and partial payments shall not constitute a cure.</w:t>
      </w:r>
    </w:p>
    <w:p>
      <w:pPr>
        <w:spacing w:after="0" w:line="167"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Any provision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or this Note notwithstanding, Borrower shall not be required to make any payments with respect to any obligations under this Note at such time as the Restrictive Provisions prohibit any such payments by Borrower, and Borrower’s obligations to make any such payments shall be deferred until two (2) Business Days following the date on which the Restrictive Provisions no longer apply to such payments otherwise to be made by Borrower; provided, however, the provisions of the foregoing sentence shall not apply from and after the Outside Maturity Date. For the avoidance of doubt, all amounts outstanding under this Note shall become immediately due and payable on the Outside Maturity Date, notwithstanding the continued effectiveness of the Purchase Agreements, any Restrictive Provisions or any other financing arrangement or agreement to which Borrower is a party.</w:t>
      </w:r>
    </w:p>
    <w:p>
      <w:pPr>
        <w:spacing w:after="0" w:line="165" w:lineRule="exact"/>
        <w:rPr>
          <w:sz w:val="20"/>
          <w:szCs w:val="20"/>
          <w:color w:val="auto"/>
        </w:rPr>
      </w:pPr>
    </w:p>
    <w:p>
      <w:pPr>
        <w:jc w:val="both"/>
        <w:ind w:right="20" w:firstLine="569"/>
        <w:spacing w:after="0" w:line="259" w:lineRule="auto"/>
        <w:tabs>
          <w:tab w:leader="none" w:pos="73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Waiver; Cumulative Remedies</w:t>
      </w:r>
      <w:r>
        <w:rPr>
          <w:rFonts w:ascii="Times New Roman" w:cs="Times New Roman" w:eastAsia="Times New Roman" w:hAnsi="Times New Roman"/>
          <w:sz w:val="16"/>
          <w:szCs w:val="16"/>
          <w:color w:val="auto"/>
        </w:rPr>
        <w:t>. No failure to exercise and no delay in exercising, on the part of Member,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Applicable Law.</w:t>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5" w:name="page166"/>
    <w:bookmarkEnd w:id="165"/>
    <w:p>
      <w:pPr>
        <w:ind w:firstLine="569"/>
        <w:spacing w:after="0" w:line="280" w:lineRule="auto"/>
        <w:tabs>
          <w:tab w:leader="none" w:pos="733"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Unconditional Obligation</w:t>
      </w:r>
      <w:r>
        <w:rPr>
          <w:rFonts w:ascii="Times New Roman" w:cs="Times New Roman" w:eastAsia="Times New Roman" w:hAnsi="Times New Roman"/>
          <w:sz w:val="16"/>
          <w:szCs w:val="16"/>
          <w:color w:val="auto"/>
        </w:rPr>
        <w:t>. The obligations of Parent under this Note are unconditional and irrevocable and shall not be subject to any right of setoff, counterclaim, recoupment, defense or other reduction of any kind.</w:t>
      </w:r>
    </w:p>
    <w:p>
      <w:pPr>
        <w:spacing w:after="0" w:line="144" w:lineRule="exact"/>
        <w:rPr>
          <w:rFonts w:ascii="Times New Roman" w:cs="Times New Roman" w:eastAsia="Times New Roman" w:hAnsi="Times New Roman"/>
          <w:sz w:val="16"/>
          <w:szCs w:val="16"/>
          <w:color w:val="auto"/>
        </w:rPr>
      </w:pPr>
    </w:p>
    <w:p>
      <w:pPr>
        <w:ind w:left="800" w:hanging="231"/>
        <w:spacing w:after="0"/>
        <w:tabs>
          <w:tab w:leader="none" w:pos="8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Timing</w:t>
      </w:r>
      <w:r>
        <w:rPr>
          <w:rFonts w:ascii="Times New Roman" w:cs="Times New Roman" w:eastAsia="Times New Roman" w:hAnsi="Times New Roman"/>
          <w:sz w:val="16"/>
          <w:szCs w:val="16"/>
          <w:color w:val="auto"/>
        </w:rPr>
        <w:t>. All dates and times specified in this Note are of the essence and shall be strictly enforced.</w:t>
      </w:r>
    </w:p>
    <w:p>
      <w:pPr>
        <w:spacing w:after="0" w:line="198"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demands, claims and other communications hereunder shall be in writing and shall be deemed duly given (i) when delivered personally to the recipient or by email (with acknowledgement of a complete transmission), on the day of delivery, (ii) one (1) Business Day after being sent to the recipient by reputable overnight courier service (charges prepaid), or (iii) four (4) Business Days after being mailed to the recipient by certified or registered mail, return receipt requested and postage prepaid, and addressed to the intended recipient as set forth below:</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Parent or Borrower at: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SunPower Inc.</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1403 North 630 East</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Orem, UT 84097</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Chief Legal Officer</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Arnold &amp; Porter Kaye Scholer LLP</w:t>
      </w:r>
    </w:p>
    <w:p>
      <w:pPr>
        <w:ind w:left="1720"/>
        <w:spacing w:after="0" w:line="202" w:lineRule="auto"/>
        <w:rPr>
          <w:sz w:val="20"/>
          <w:szCs w:val="20"/>
          <w:color w:val="auto"/>
        </w:rPr>
      </w:pPr>
      <w:r>
        <w:rPr>
          <w:rFonts w:ascii="Times New Roman" w:cs="Times New Roman" w:eastAsia="Times New Roman" w:hAnsi="Times New Roman"/>
          <w:sz w:val="16"/>
          <w:szCs w:val="16"/>
          <w:color w:val="auto"/>
        </w:rPr>
        <w:t>250 W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New York, NY 10019</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Michael Penney</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w:t>
      </w:r>
    </w:p>
    <w:p>
      <w:pPr>
        <w:spacing w:after="0" w:line="1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Member, at:</w:t>
      </w:r>
    </w:p>
    <w:p>
      <w:pPr>
        <w:spacing w:after="0" w:line="19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Eric Nielsen</w:t>
      </w:r>
    </w:p>
    <w:p>
      <w:pPr>
        <w:spacing w:after="0" w:line="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Attn: Eric Nielsen</w:t>
      </w:r>
    </w:p>
    <w:p>
      <w:pPr>
        <w:spacing w:after="0" w:line="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Email: [***]</w:t>
      </w:r>
    </w:p>
    <w:p>
      <w:pPr>
        <w:spacing w:after="0" w:line="182" w:lineRule="exact"/>
        <w:rPr>
          <w:sz w:val="20"/>
          <w:szCs w:val="20"/>
          <w:color w:val="auto"/>
        </w:rPr>
      </w:pPr>
    </w:p>
    <w:p>
      <w:pPr>
        <w:ind w:left="1360" w:hanging="217"/>
        <w:spacing w:after="0"/>
        <w:tabs>
          <w:tab w:leader="none" w:pos="13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No amendment of any provision of this Note shall be valid unless the same shall be in writing and signed by Parent and Member.</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Venue</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right="20" w:firstLine="1716"/>
        <w:spacing w:after="0" w:line="280" w:lineRule="auto"/>
        <w:tabs>
          <w:tab w:leader="none" w:pos="1918"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shall be governed by and construed in accordance with the internal laws of the State of Delaware, without giving effect to applicable principles of conflicts of law to the extent that the application of the laws of another jurisdiction would be required thereby.</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6" w:name="page167"/>
    <w:bookmarkEnd w:id="166"/>
    <w:p>
      <w:pPr>
        <w:jc w:val="both"/>
        <w:ind w:right="20" w:firstLine="1716"/>
        <w:spacing w:after="0" w:line="255" w:lineRule="auto"/>
        <w:tabs>
          <w:tab w:leader="none" w:pos="1956" w:val="left"/>
        </w:tabs>
        <w:numPr>
          <w:ilvl w:val="1"/>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to this Note (i) hereby agrees that any litigation, Proceeding or other legal action brought in connection with or relating to this Note or any matters contemplated hereby or thereby shall be brought exclusively in the state court of Salt Lake County, Utah, or, if that court does not have jurisdiction, the United States District Court for the District of Utah; (ii) irrevocably submits to the exclusive jurisdiction of such courts in any such suit, action or Proceeding; (iii) hereby agrees that service of process, summons, notice or other document by mail to such party’s address set forth in </w:t>
      </w:r>
      <w:r>
        <w:rPr>
          <w:rFonts w:ascii="Times New Roman" w:cs="Times New Roman" w:eastAsia="Times New Roman" w:hAnsi="Times New Roman"/>
          <w:sz w:val="16"/>
          <w:szCs w:val="16"/>
          <w:u w:val="single" w:color="auto"/>
          <w:color w:val="auto"/>
        </w:rPr>
        <w:t>Section 10(b)</w:t>
      </w:r>
      <w:r>
        <w:rPr>
          <w:rFonts w:ascii="Times New Roman" w:cs="Times New Roman" w:eastAsia="Times New Roman" w:hAnsi="Times New Roman"/>
          <w:sz w:val="16"/>
          <w:szCs w:val="16"/>
          <w:color w:val="auto"/>
        </w:rPr>
        <w:t xml:space="preserve"> shall be effective service of process for any suit, action or other Proceeding brought in any such court; and (iv) hereby waives to the fullest extent permitted by Law any objection that it may now or hereafter have to the venue of any such litigation, Proceeding or action in any such court or that any such litigation, Proceeding or action was brought in an inconvenient forum.</w:t>
      </w:r>
    </w:p>
    <w:p>
      <w:pPr>
        <w:spacing w:after="0" w:line="165"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87"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xml:space="preserve">. Each party to this Note acknowledges and agrees that any controversy which may arise under this Note is likely to involve complicated and difficult issues, and therefore each such party hereby irrevocably and unconditionally waives, to the fullest extent permitted by law, any and all rights such party may have to a trial by jury in respect of any litigation directly or indirectly arising out of or related to this Note. Each party certifies and acknowledges that it: (a) understands and has considered the implications of this waiver; (b) makes this waiver voluntarily; (c) no representative, agent or attorney of any other party has represented, expressly or otherwise, that such other party would not, in the event of litigation, seek to enforce the foregoing waiver; and (d) has been induced to enter into this Note by, among other things, the mutual waiver in this </w:t>
      </w:r>
      <w:r>
        <w:rPr>
          <w:rFonts w:ascii="Times New Roman" w:cs="Times New Roman" w:eastAsia="Times New Roman" w:hAnsi="Times New Roman"/>
          <w:sz w:val="16"/>
          <w:szCs w:val="16"/>
          <w:u w:val="single" w:color="auto"/>
          <w:color w:val="auto"/>
        </w:rPr>
        <w:t>Section 10(d)</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ind w:right="20" w:firstLine="1143"/>
        <w:spacing w:after="0" w:line="280" w:lineRule="auto"/>
        <w:tabs>
          <w:tab w:leader="none" w:pos="135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Damages</w:t>
      </w:r>
      <w:r>
        <w:rPr>
          <w:rFonts w:ascii="Times New Roman" w:cs="Times New Roman" w:eastAsia="Times New Roman" w:hAnsi="Times New Roman"/>
          <w:sz w:val="16"/>
          <w:szCs w:val="16"/>
          <w:color w:val="auto"/>
        </w:rPr>
        <w:t>. Notwithstanding anything to the contrary contained in this Note, no party shall be liable under this Note for any punitive, special, incidental or indirect Damages (including loss of revenue, diminution in value, and any damages based on any type of multiple).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and Restatement an Entire Agreement</w:t>
      </w:r>
      <w:r>
        <w:rPr>
          <w:rFonts w:ascii="Times New Roman" w:cs="Times New Roman" w:eastAsia="Times New Roman" w:hAnsi="Times New Roman"/>
          <w:sz w:val="16"/>
          <w:szCs w:val="16"/>
          <w:color w:val="auto"/>
        </w:rPr>
        <w:t>. This Note amends and restates in its entirety the Original Promissory Note, and the terms and provisions of the Original Promissory Note are superseded in their entirety by the terms of this Note. This Note, the Purchase Agreement and the Note Purchase Agreement set forth the entire agreement with respect to the matters set forth herein and supersede all prior discussions and documents relating to the matters set forth in this Note.</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section headings contained in this Note are inserted for convenience only and shall not affect in any way the meaning or interpretation of</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[SIGNATURES TO FOLLOW]</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color w:val="auto"/>
        </w:rPr>
        <w:t>IN WITNESS WHEREOF, Parent has executed this Amended and Restated Promissory Note as of the date first written above.</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SUNPOWER INC.,</w:t>
      </w:r>
    </w:p>
    <w:p>
      <w:pPr>
        <w:spacing w:after="0" w:line="2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18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Thurman J. Rodgers</w:t>
      </w:r>
    </w:p>
    <w:p>
      <w:pPr>
        <w:spacing w:after="0" w:line="31"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19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color w:val="auto"/>
        </w:rPr>
        <w:t>[SIGNATURE PAGE TO AMENDED AND RESTATED PROMISSORY NOTE]</w:t>
      </w:r>
    </w:p>
    <w:p>
      <w:pPr>
        <w:spacing w:after="0" w:line="39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6" w:right="1440" w:bottom="1440" w:gutter="0" w:footer="0" w:header="0"/>
        </w:sectPr>
      </w:pPr>
    </w:p>
    <w:bookmarkStart w:id="168" w:name="page169"/>
    <w:bookmarkEnd w:id="168"/>
    <w:tbl>
      <w:tblPr>
        <w:tblLayout w:type="fixed"/>
        <w:tblInd w:w="1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6960" w:type="dxa"/>
            <w:vAlign w:val="bottom"/>
          </w:tcPr>
          <w:p>
            <w:pPr>
              <w:jc w:val="center"/>
              <w:ind w:right="4240"/>
              <w:spacing w:after="0"/>
              <w:rPr>
                <w:sz w:val="20"/>
                <w:szCs w:val="20"/>
                <w:color w:val="auto"/>
              </w:rPr>
            </w:pPr>
            <w:r>
              <w:rPr>
                <w:rFonts w:ascii="Times New Roman" w:cs="Times New Roman" w:eastAsia="Times New Roman" w:hAnsi="Times New Roman"/>
                <w:sz w:val="16"/>
                <w:szCs w:val="16"/>
                <w:b w:val="1"/>
                <w:bCs w:val="1"/>
                <w:color w:val="auto"/>
                <w:w w:val="96"/>
              </w:rPr>
              <w:t>Exhibit A</w:t>
            </w:r>
          </w:p>
        </w:tc>
      </w:tr>
      <w:tr>
        <w:trPr>
          <w:trHeight w:val="382"/>
        </w:trPr>
        <w:tc>
          <w:tcPr>
            <w:tcW w:w="4300" w:type="dxa"/>
            <w:vAlign w:val="bottom"/>
          </w:tcPr>
          <w:p>
            <w:pPr>
              <w:spacing w:after="0"/>
              <w:rPr>
                <w:sz w:val="24"/>
                <w:szCs w:val="24"/>
                <w:color w:val="auto"/>
              </w:rPr>
            </w:pPr>
          </w:p>
        </w:tc>
        <w:tc>
          <w:tcPr>
            <w:tcW w:w="6960" w:type="dxa"/>
            <w:vAlign w:val="bottom"/>
          </w:tcPr>
          <w:p>
            <w:pPr>
              <w:jc w:val="center"/>
              <w:ind w:right="4240"/>
              <w:spacing w:after="0"/>
              <w:rPr>
                <w:sz w:val="20"/>
                <w:szCs w:val="20"/>
                <w:color w:val="auto"/>
              </w:rPr>
            </w:pPr>
            <w:r>
              <w:rPr>
                <w:rFonts w:ascii="Times New Roman" w:cs="Times New Roman" w:eastAsia="Times New Roman" w:hAnsi="Times New Roman"/>
                <w:sz w:val="16"/>
                <w:szCs w:val="16"/>
                <w:b w:val="1"/>
                <w:bCs w:val="1"/>
                <w:color w:val="auto"/>
              </w:rPr>
              <w:t>Repayment Schedule</w:t>
            </w:r>
          </w:p>
        </w:tc>
      </w:tr>
      <w:tr>
        <w:trPr>
          <w:trHeight w:val="191"/>
        </w:trPr>
        <w:tc>
          <w:tcPr>
            <w:tcW w:w="4300" w:type="dxa"/>
            <w:vAlign w:val="bottom"/>
            <w:tcBorders>
              <w:bottom w:val="single" w:sz="8" w:color="auto"/>
            </w:tcBorders>
          </w:tcPr>
          <w:p>
            <w:pPr>
              <w:spacing w:after="0"/>
              <w:rPr>
                <w:sz w:val="16"/>
                <w:szCs w:val="16"/>
                <w:color w:val="auto"/>
              </w:rPr>
            </w:pPr>
          </w:p>
        </w:tc>
        <w:tc>
          <w:tcPr>
            <w:tcW w:w="6960" w:type="dxa"/>
            <w:vAlign w:val="bottom"/>
            <w:tcBorders>
              <w:bottom w:val="single" w:sz="8" w:color="auto"/>
            </w:tcBorders>
          </w:tcPr>
          <w:p>
            <w:pPr>
              <w:spacing w:after="0"/>
              <w:rPr>
                <w:sz w:val="16"/>
                <w:szCs w:val="16"/>
                <w:color w:val="auto"/>
              </w:rPr>
            </w:pPr>
          </w:p>
        </w:tc>
      </w:tr>
      <w:tr>
        <w:trPr>
          <w:trHeight w:val="303"/>
        </w:trPr>
        <w:tc>
          <w:tcPr>
            <w:tcW w:w="4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Installment Date</w:t>
            </w:r>
          </w:p>
        </w:tc>
        <w:tc>
          <w:tcPr>
            <w:tcW w:w="6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INSTALLMENT AMOUNTS</w:t>
            </w:r>
          </w:p>
        </w:tc>
      </w:tr>
      <w:tr>
        <w:trPr>
          <w:trHeight w:val="48"/>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6960" w:type="dxa"/>
            <w:vAlign w:val="bottom"/>
            <w:tcBorders>
              <w:bottom w:val="single" w:sz="8" w:color="auto"/>
              <w:right w:val="single" w:sz="8" w:color="auto"/>
            </w:tcBorders>
          </w:tcPr>
          <w:p>
            <w:pPr>
              <w:spacing w:after="0"/>
              <w:rPr>
                <w:sz w:val="4"/>
                <w:szCs w:val="4"/>
                <w:color w:val="auto"/>
              </w:rPr>
            </w:pPr>
          </w:p>
        </w:tc>
      </w:tr>
      <w:tr>
        <w:trPr>
          <w:trHeight w:val="267"/>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15, 2026</w:t>
            </w:r>
          </w:p>
        </w:tc>
        <w:tc>
          <w:tcPr>
            <w:tcW w:w="6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$ 1,831,511.72</w:t>
            </w:r>
          </w:p>
        </w:tc>
      </w:tr>
      <w:tr>
        <w:trPr>
          <w:trHeight w:val="267"/>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15, 2026</w:t>
            </w:r>
          </w:p>
        </w:tc>
        <w:tc>
          <w:tcPr>
            <w:tcW w:w="6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$ 1,846,774.32</w:t>
            </w:r>
          </w:p>
        </w:tc>
      </w:tr>
      <w:tr>
        <w:trPr>
          <w:trHeight w:val="267"/>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15, 2026</w:t>
            </w:r>
          </w:p>
        </w:tc>
        <w:tc>
          <w:tcPr>
            <w:tcW w:w="6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$ 1,862,164.10</w:t>
            </w:r>
          </w:p>
        </w:tc>
      </w:tr>
      <w:tr>
        <w:trPr>
          <w:trHeight w:val="267"/>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15, 2027</w:t>
            </w:r>
          </w:p>
        </w:tc>
        <w:tc>
          <w:tcPr>
            <w:tcW w:w="6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$ 1,877,682.14</w:t>
            </w:r>
          </w:p>
        </w:tc>
      </w:tr>
      <w:tr>
        <w:trPr>
          <w:trHeight w:val="267"/>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6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$ 7,418,132.28</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 PURCHASE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144A PURCHASERS)</w:t>
      </w:r>
    </w:p>
    <w:p>
      <w:pPr>
        <w:spacing w:after="0" w:line="178" w:lineRule="exact"/>
        <w:rPr>
          <w:sz w:val="20"/>
          <w:szCs w:val="20"/>
          <w:color w:val="auto"/>
        </w:rPr>
      </w:pPr>
    </w:p>
    <w:p>
      <w:pPr>
        <w:jc w:val="both"/>
        <w:ind w:firstLine="574"/>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THIS NOTE PURCHASE AGREEMENT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made as of April 21, 2026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by and between</w:t>
      </w:r>
      <w:r>
        <w:rPr>
          <w:rFonts w:ascii="Times New Roman" w:cs="Times New Roman" w:eastAsia="Times New Roman" w:hAnsi="Times New Roman"/>
          <w:sz w:val="16"/>
          <w:szCs w:val="16"/>
          <w:b w:val="1"/>
          <w:bCs w:val="1"/>
          <w:color w:val="auto"/>
        </w:rPr>
        <w:t xml:space="preserve"> SunPower Inc.</w:t>
      </w:r>
      <w:r>
        <w:rPr>
          <w:rFonts w:ascii="Times New Roman" w:cs="Times New Roman" w:eastAsia="Times New Roman" w:hAnsi="Times New Roman"/>
          <w:sz w:val="16"/>
          <w:szCs w:val="16"/>
          <w:color w:val="auto"/>
        </w:rPr>
        <w:t>, a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xml:space="preserve">”), and the party named on the signature page attached hereto, on behalf of such party and on behalf of the accounts and funds managed or administered by such party as set forth on </w:t>
      </w:r>
      <w:r>
        <w:rPr>
          <w:rFonts w:ascii="Times New Roman" w:cs="Times New Roman" w:eastAsia="Times New Roman" w:hAnsi="Times New Roman"/>
          <w:sz w:val="16"/>
          <w:szCs w:val="16"/>
          <w:u w:val="single" w:color="auto"/>
          <w:color w:val="auto"/>
        </w:rPr>
        <w:t>Schedule B</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i w:val="1"/>
          <w:iCs w:val="1"/>
          <w:color w:val="auto"/>
        </w:rPr>
        <w:t>Purchaser</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has authorized, upon the terms and conditions stated in this Agreement, the sale and issuance of 10.00% Convertible Senior Notes due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2029 (the “</w:t>
      </w:r>
      <w:r>
        <w:rPr>
          <w:rFonts w:ascii="Times New Roman" w:cs="Times New Roman" w:eastAsia="Times New Roman" w:hAnsi="Times New Roman"/>
          <w:sz w:val="16"/>
          <w:szCs w:val="16"/>
          <w:b w:val="1"/>
          <w:bCs w:val="1"/>
          <w:i w:val="1"/>
          <w:iCs w:val="1"/>
          <w:color w:val="auto"/>
        </w:rPr>
        <w:t>Notes</w:t>
      </w:r>
      <w:r>
        <w:rPr>
          <w:rFonts w:ascii="Times New Roman" w:cs="Times New Roman" w:eastAsia="Times New Roman" w:hAnsi="Times New Roman"/>
          <w:sz w:val="16"/>
          <w:szCs w:val="16"/>
          <w:color w:val="auto"/>
        </w:rPr>
        <w:t>”) to the Purchaser and the other purchasers under those certain Note Purchase Agreements entered into on or about the Effective Date (collectively, the “</w:t>
      </w:r>
      <w:r>
        <w:rPr>
          <w:rFonts w:ascii="Times New Roman" w:cs="Times New Roman" w:eastAsia="Times New Roman" w:hAnsi="Times New Roman"/>
          <w:sz w:val="16"/>
          <w:szCs w:val="16"/>
          <w:b w:val="1"/>
          <w:bCs w:val="1"/>
          <w:i w:val="1"/>
          <w:iCs w:val="1"/>
          <w:color w:val="auto"/>
        </w:rPr>
        <w:t>Note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Purchase Agreements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Notes will be issued pursuant to the Indenture to be entered into on or before the Closing (as defined below) between U.S. Bank Trust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National Association, as trustee (in such capacity,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and collateral agent (in such capacity, the “</w:t>
      </w:r>
      <w:r>
        <w:rPr>
          <w:rFonts w:ascii="Times New Roman" w:cs="Times New Roman" w:eastAsia="Times New Roman" w:hAnsi="Times New Roman"/>
          <w:sz w:val="16"/>
          <w:szCs w:val="16"/>
          <w:b w:val="1"/>
          <w:bCs w:val="1"/>
          <w:i w:val="1"/>
          <w:iCs w:val="1"/>
          <w:color w:val="auto"/>
        </w:rPr>
        <w:t>Collateral Agent</w:t>
      </w:r>
      <w:r>
        <w:rPr>
          <w:rFonts w:ascii="Times New Roman" w:cs="Times New Roman" w:eastAsia="Times New Roman" w:hAnsi="Times New Roman"/>
          <w:sz w:val="16"/>
          <w:szCs w:val="16"/>
          <w:color w:val="auto"/>
        </w:rPr>
        <w:t>”), the Company, as issuer, and each guarantor party thereto (“</w:t>
      </w:r>
      <w:r>
        <w:rPr>
          <w:rFonts w:ascii="Times New Roman" w:cs="Times New Roman" w:eastAsia="Times New Roman" w:hAnsi="Times New Roman"/>
          <w:sz w:val="16"/>
          <w:szCs w:val="16"/>
          <w:b w:val="1"/>
          <w:bCs w:val="1"/>
          <w:i w:val="1"/>
          <w:iCs w:val="1"/>
          <w:color w:val="auto"/>
        </w:rPr>
        <w:t>Guarantor</w:t>
      </w:r>
      <w:r>
        <w:rPr>
          <w:rFonts w:ascii="Times New Roman" w:cs="Times New Roman" w:eastAsia="Times New Roman" w:hAnsi="Times New Roman"/>
          <w:sz w:val="16"/>
          <w:szCs w:val="16"/>
          <w:color w:val="auto"/>
        </w:rPr>
        <w:t xml:space="preserv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(as supplemented or amended, the “</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the terms and subject to the conditions set forth in this Agreement and pursuant to Section 4(a)(2) of the Securities Act of 1933, as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the rules and regulations promulgated thereunder,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xml:space="preserve">”), on the Closing Date (as defined below), the Company will issue and sell to Purchaser, and Purchaser will purchase from the Company, Notes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in consideration of the mutual covenants contained in this Agreement, and for other good and valuable consideration, the receipt and adequacy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are hereby acknowledged, the Company and the Purchaser agree as follows: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1. Purchase and Sale of Notes</w:t>
      </w:r>
    </w:p>
    <w:p>
      <w:pPr>
        <w:spacing w:after="0" w:line="198"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1.1 Issuance of Notes</w:t>
      </w:r>
      <w:r>
        <w:rPr>
          <w:rFonts w:ascii="Times New Roman" w:cs="Times New Roman" w:eastAsia="Times New Roman" w:hAnsi="Times New Roman"/>
          <w:sz w:val="16"/>
          <w:szCs w:val="16"/>
          <w:color w:val="auto"/>
        </w:rPr>
        <w:t>. Subject to the terms and conditions of this Agreement, the Purchaser agrees to purchase from the Company, and the Company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issue and sell to the Purchaser, Notes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and for the purchase price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Purchase Price</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jc w:val="both"/>
        <w:ind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1.2 Delivery</w:t>
      </w:r>
      <w:r>
        <w:rPr>
          <w:rFonts w:ascii="Times New Roman" w:cs="Times New Roman" w:eastAsia="Times New Roman" w:hAnsi="Times New Roman"/>
          <w:sz w:val="16"/>
          <w:szCs w:val="16"/>
          <w:color w:val="auto"/>
        </w:rPr>
        <w:t>. The sale and purchase of the Notes shall take place at one closing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to be held on the Closing Date. At the Closing, (a)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Purchaser shall pay to the Company the Purchase Price in United States dollars and in immediately available funds, by wire transfer to the Company account as set forth in the instructions delivered to the Purchaser by the Company prior to the Closing, and (b) the Company shall cause the Trustee to execute and authenticate and cause to be delivered to, or for the benefit of, the Purchaser the applicable amount of the Notes (as defined in the Indenture) issuable to the Purchaser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0" w:name="page171"/>
    <w:bookmarkEnd w:id="170"/>
    <w:p>
      <w:pPr>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1.3 Use of Proceeds</w:t>
      </w:r>
      <w:r>
        <w:rPr>
          <w:rFonts w:ascii="Times New Roman" w:cs="Times New Roman" w:eastAsia="Times New Roman" w:hAnsi="Times New Roman"/>
          <w:sz w:val="16"/>
          <w:szCs w:val="16"/>
          <w:color w:val="auto"/>
        </w:rPr>
        <w:t>. The Company shall use the proceeds from the sale and issuance of the Notes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hereto, with any cash in excess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the debt payments listed on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color w:val="auto"/>
        </w:rPr>
        <w:t xml:space="preserve"> being used for general corporate purposes, including but not limited to working capital.</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1.4 Closing and Settlement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360" w:hanging="217"/>
        <w:spacing w:after="0"/>
        <w:tabs>
          <w:tab w:leader="none" w:pos="1360"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Closing and the settlement of the transactions hereunder (the “</w:t>
      </w:r>
      <w:r>
        <w:rPr>
          <w:rFonts w:ascii="Times New Roman" w:cs="Times New Roman" w:eastAsia="Times New Roman" w:hAnsi="Times New Roman"/>
          <w:sz w:val="16"/>
          <w:szCs w:val="16"/>
          <w:b w:val="1"/>
          <w:bCs w:val="1"/>
          <w:i w:val="1"/>
          <w:iCs w:val="1"/>
          <w:color w:val="auto"/>
        </w:rPr>
        <w:t>Settlement</w:t>
      </w:r>
      <w:r>
        <w:rPr>
          <w:rFonts w:ascii="Times New Roman" w:cs="Times New Roman" w:eastAsia="Times New Roman" w:hAnsi="Times New Roman"/>
          <w:sz w:val="16"/>
          <w:szCs w:val="16"/>
          <w:color w:val="auto"/>
        </w:rPr>
        <w:t>”) shall be made remotely via the exchange of documents and signatures at</w:t>
      </w:r>
    </w:p>
    <w:p>
      <w:pPr>
        <w:spacing w:after="0" w:line="27" w:lineRule="exact"/>
        <w:rPr>
          <w:rFonts w:ascii="Times New Roman" w:cs="Times New Roman" w:eastAsia="Times New Roman" w:hAnsi="Times New Roman"/>
          <w:sz w:val="16"/>
          <w:szCs w:val="16"/>
          <w:b w:val="1"/>
          <w:bCs w:val="1"/>
          <w:color w:val="auto"/>
        </w:rPr>
      </w:pPr>
    </w:p>
    <w:p>
      <w:pPr>
        <w:jc w:val="both"/>
        <w:ind w:right="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10:00 A.M., New York City time, two Business Days (as defined in the Indenture) following the Effective Date, subject to the satisfaction or waiver of the conditions set forth in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or at such other time and place as the Company and the Purchaser may mutually agree in writing. The time and date of the Closing and the Settlement is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16"/>
          <w:szCs w:val="16"/>
          <w:b w:val="1"/>
          <w:bCs w:val="1"/>
          <w:color w:val="auto"/>
        </w:rPr>
      </w:pPr>
    </w:p>
    <w:p>
      <w:pPr>
        <w:ind w:firstLine="1143"/>
        <w:spacing w:after="0" w:line="280" w:lineRule="auto"/>
        <w:tabs>
          <w:tab w:leader="none" w:pos="1382"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On the Closing Date, subject to satisfaction of the conditions precedent specified in this Agreement, the Company shall execute, and cause the Trustee to execute and authenticate and cause to be delivered to, or for the benefit of, the Purchaser, Notes in the aggregate principal amount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b w:val="1"/>
          <w:bCs w:val="1"/>
          <w:color w:val="auto"/>
        </w:rPr>
      </w:pPr>
    </w:p>
    <w:p>
      <w:pPr>
        <w:jc w:val="both"/>
        <w:ind w:right="20" w:firstLine="1143"/>
        <w:spacing w:after="0" w:line="265" w:lineRule="auto"/>
        <w:tabs>
          <w:tab w:leader="none" w:pos="1364" w:val="left"/>
        </w:tabs>
        <w:numPr>
          <w:ilvl w:val="0"/>
          <w:numId w:val="1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Notes to be delivered to, or for the benefit of, the Purchaser on the Closing Date shall be delivered by causing the Trustee to electronically transmit the applicable amounts of the Notes in the aggregate principal amount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by crediting the account of the Purchaser’s prime broker with The Depository Trust Company (“</w:t>
      </w:r>
      <w:r>
        <w:rPr>
          <w:rFonts w:ascii="Times New Roman" w:cs="Times New Roman" w:eastAsia="Times New Roman" w:hAnsi="Times New Roman"/>
          <w:sz w:val="16"/>
          <w:szCs w:val="16"/>
          <w:b w:val="1"/>
          <w:bCs w:val="1"/>
          <w:i w:val="1"/>
          <w:iCs w:val="1"/>
          <w:color w:val="auto"/>
        </w:rPr>
        <w:t>DTC</w:t>
      </w:r>
      <w:r>
        <w:rPr>
          <w:rFonts w:ascii="Times New Roman" w:cs="Times New Roman" w:eastAsia="Times New Roman" w:hAnsi="Times New Roman"/>
          <w:sz w:val="16"/>
          <w:szCs w:val="16"/>
          <w:color w:val="auto"/>
        </w:rPr>
        <w:t>”) through its Deposit/Withdrawal at Custodian system, as specified by the Purchaser.</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1.5 Closing Conditions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1"/>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obligations of the Purchaser shall be subject to the satisfaction or waiver of the following conditions on or prior to the Closing Date:</w:t>
      </w:r>
    </w:p>
    <w:p>
      <w:pPr>
        <w:spacing w:after="0" w:line="196" w:lineRule="exact"/>
        <w:rPr>
          <w:rFonts w:ascii="Times New Roman" w:cs="Times New Roman" w:eastAsia="Times New Roman" w:hAnsi="Times New Roman"/>
          <w:sz w:val="16"/>
          <w:szCs w:val="16"/>
          <w:b w:val="1"/>
          <w:bCs w:val="1"/>
          <w:color w:val="auto"/>
        </w:rPr>
      </w:pPr>
    </w:p>
    <w:p>
      <w:pPr>
        <w:jc w:val="both"/>
        <w:ind w:right="20" w:firstLine="1716"/>
        <w:spacing w:after="0" w:line="266" w:lineRule="auto"/>
        <w:tabs>
          <w:tab w:leader="none" w:pos="1923"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The representations and warranties of the Company contained herein shall be true and correct in all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respects on the date hereof and on and as of the Closing Date, and the Company shall have performed all applicable covenants and agreements and satisfied all conditions on its part to be performed or satisfied hereunder at or prior to the Closing Date.</w:t>
      </w:r>
    </w:p>
    <w:p>
      <w:pPr>
        <w:spacing w:after="0" w:line="153" w:lineRule="exact"/>
        <w:rPr>
          <w:rFonts w:ascii="Times New Roman" w:cs="Times New Roman" w:eastAsia="Times New Roman" w:hAnsi="Times New Roman"/>
          <w:sz w:val="16"/>
          <w:szCs w:val="16"/>
          <w:b w:val="1"/>
          <w:bCs w:val="1"/>
          <w:color w:val="auto"/>
        </w:rPr>
      </w:pPr>
    </w:p>
    <w:p>
      <w:pPr>
        <w:jc w:val="both"/>
        <w:ind w:right="20" w:firstLine="1716"/>
        <w:spacing w:after="0" w:line="260" w:lineRule="auto"/>
        <w:tabs>
          <w:tab w:leader="none" w:pos="1955"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No Legal Impediment to Issuance. </w:t>
      </w:r>
      <w:r>
        <w:rPr>
          <w:rFonts w:ascii="Times New Roman" w:cs="Times New Roman" w:eastAsia="Times New Roman" w:hAnsi="Times New Roman"/>
          <w:sz w:val="16"/>
          <w:szCs w:val="16"/>
          <w:color w:val="auto"/>
        </w:rPr>
        <w:t>No action shall have been taken and no statute, rule, regulation or order shall have been enacted,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but not limited to, the issuance of the Notes pursuant thereto.</w:t>
      </w:r>
    </w:p>
    <w:p>
      <w:pPr>
        <w:spacing w:after="0" w:line="158" w:lineRule="exact"/>
        <w:rPr>
          <w:rFonts w:ascii="Times New Roman" w:cs="Times New Roman" w:eastAsia="Times New Roman" w:hAnsi="Times New Roman"/>
          <w:sz w:val="16"/>
          <w:szCs w:val="16"/>
          <w:b w:val="1"/>
          <w:bCs w:val="1"/>
          <w:color w:val="auto"/>
        </w:rPr>
      </w:pPr>
    </w:p>
    <w:p>
      <w:pPr>
        <w:ind w:right="20" w:firstLine="1716"/>
        <w:spacing w:after="0" w:line="283" w:lineRule="auto"/>
        <w:tabs>
          <w:tab w:leader="none" w:pos="2023"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The Company, the Guarantors, the Trustee and the Collateral Agent shall each have executed and delivered each of the Note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to which they are a party.</w:t>
      </w:r>
    </w:p>
    <w:p>
      <w:pPr>
        <w:spacing w:after="0" w:line="139" w:lineRule="exact"/>
        <w:rPr>
          <w:rFonts w:ascii="Times New Roman" w:cs="Times New Roman" w:eastAsia="Times New Roman" w:hAnsi="Times New Roman"/>
          <w:sz w:val="16"/>
          <w:szCs w:val="16"/>
          <w:b w:val="1"/>
          <w:bCs w:val="1"/>
          <w:color w:val="auto"/>
        </w:rPr>
      </w:pPr>
    </w:p>
    <w:p>
      <w:pPr>
        <w:jc w:val="both"/>
        <w:ind w:firstLine="1716"/>
        <w:spacing w:after="0" w:line="266" w:lineRule="auto"/>
        <w:tabs>
          <w:tab w:leader="none" w:pos="1990"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Exchange Agreements</w:t>
      </w:r>
      <w:r>
        <w:rPr>
          <w:rFonts w:ascii="Times New Roman" w:cs="Times New Roman" w:eastAsia="Times New Roman" w:hAnsi="Times New Roman"/>
          <w:sz w:val="16"/>
          <w:szCs w:val="16"/>
          <w:color w:val="auto"/>
        </w:rPr>
        <w:t>. The closing of the transactions contemplated by those certain exchange agreements, executed on or about the date hereof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Exchange Agreements</w:t>
      </w:r>
      <w:r>
        <w:rPr>
          <w:rFonts w:ascii="Times New Roman" w:cs="Times New Roman" w:eastAsia="Times New Roman" w:hAnsi="Times New Roman"/>
          <w:sz w:val="16"/>
          <w:szCs w:val="16"/>
          <w:color w:val="auto"/>
        </w:rPr>
        <w:t>”), providing for the exchange of certain 7.00% Notes (as defined below) by the Company for shares of common stock, $0.0001 par value per share, of the Company (the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shall occur substantially concurrently or prior to the Closing.</w:t>
      </w:r>
    </w:p>
    <w:p>
      <w:pPr>
        <w:spacing w:after="0" w:line="155" w:lineRule="exact"/>
        <w:rPr>
          <w:rFonts w:ascii="Times New Roman" w:cs="Times New Roman" w:eastAsia="Times New Roman" w:hAnsi="Times New Roman"/>
          <w:sz w:val="16"/>
          <w:szCs w:val="16"/>
          <w:b w:val="1"/>
          <w:bCs w:val="1"/>
          <w:color w:val="auto"/>
        </w:rPr>
      </w:pPr>
    </w:p>
    <w:p>
      <w:pPr>
        <w:ind w:left="1380" w:hanging="237"/>
        <w:spacing w:after="0"/>
        <w:tabs>
          <w:tab w:leader="none" w:pos="1380" w:val="left"/>
        </w:tabs>
        <w:numPr>
          <w:ilvl w:val="1"/>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obligations of the Company shall be subject to the satisfaction or waiver of the following conditions on or prior to the Closing Date:</w:t>
      </w:r>
    </w:p>
    <w:p>
      <w:pPr>
        <w:spacing w:after="0" w:line="196" w:lineRule="exact"/>
        <w:rPr>
          <w:rFonts w:ascii="Times New Roman" w:cs="Times New Roman" w:eastAsia="Times New Roman" w:hAnsi="Times New Roman"/>
          <w:sz w:val="16"/>
          <w:szCs w:val="16"/>
          <w:b w:val="1"/>
          <w:bCs w:val="1"/>
          <w:color w:val="auto"/>
        </w:rPr>
      </w:pPr>
    </w:p>
    <w:p>
      <w:pPr>
        <w:jc w:val="both"/>
        <w:ind w:firstLine="1716"/>
        <w:spacing w:after="0" w:line="266" w:lineRule="auto"/>
        <w:tabs>
          <w:tab w:leader="none" w:pos="1923"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The representations and warranties of the Purchaser contained herein shall be true and correct in all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respects on the date hereof and on and as of the Closing Date, and the Purchaser shall have performed all applicable covenants and agreements and satisfied all conditions to be performed or satisfied hereunder at or prior to the Closing Date.</w:t>
      </w:r>
    </w:p>
    <w:p>
      <w:pPr>
        <w:spacing w:after="0" w:line="153" w:lineRule="exact"/>
        <w:rPr>
          <w:rFonts w:ascii="Times New Roman" w:cs="Times New Roman" w:eastAsia="Times New Roman" w:hAnsi="Times New Roman"/>
          <w:sz w:val="16"/>
          <w:szCs w:val="16"/>
          <w:b w:val="1"/>
          <w:bCs w:val="1"/>
          <w:color w:val="auto"/>
        </w:rPr>
      </w:pPr>
    </w:p>
    <w:p>
      <w:pPr>
        <w:jc w:val="both"/>
        <w:ind w:right="20" w:firstLine="1716"/>
        <w:spacing w:after="0" w:line="260" w:lineRule="auto"/>
        <w:tabs>
          <w:tab w:leader="none" w:pos="1955"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No Legal Impediment to Issuance. </w:t>
      </w:r>
      <w:r>
        <w:rPr>
          <w:rFonts w:ascii="Times New Roman" w:cs="Times New Roman" w:eastAsia="Times New Roman" w:hAnsi="Times New Roman"/>
          <w:sz w:val="16"/>
          <w:szCs w:val="16"/>
          <w:color w:val="auto"/>
        </w:rPr>
        <w:t>No action shall have been taken and no statute, rule, regulation or order shall have been enacted,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the issuance of the Notes pursuant thereto.</w:t>
      </w:r>
    </w:p>
    <w:p>
      <w:pPr>
        <w:spacing w:after="0" w:line="158" w:lineRule="exact"/>
        <w:rPr>
          <w:rFonts w:ascii="Times New Roman" w:cs="Times New Roman" w:eastAsia="Times New Roman" w:hAnsi="Times New Roman"/>
          <w:sz w:val="16"/>
          <w:szCs w:val="16"/>
          <w:b w:val="1"/>
          <w:bCs w:val="1"/>
          <w:color w:val="auto"/>
        </w:rPr>
      </w:pPr>
    </w:p>
    <w:p>
      <w:pPr>
        <w:ind w:left="2000" w:hanging="284"/>
        <w:spacing w:after="0"/>
        <w:tabs>
          <w:tab w:leader="none" w:pos="2000" w:val="left"/>
        </w:tabs>
        <w:numPr>
          <w:ilvl w:val="2"/>
          <w:numId w:val="1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Indenture</w:t>
      </w:r>
      <w:r>
        <w:rPr>
          <w:rFonts w:ascii="Times New Roman" w:cs="Times New Roman" w:eastAsia="Times New Roman" w:hAnsi="Times New Roman"/>
          <w:sz w:val="16"/>
          <w:szCs w:val="16"/>
          <w:color w:val="auto"/>
        </w:rPr>
        <w:t>. The Trustee and the Collateral Agent shall each have executed and delivered each of the Note Documents to which they are a party.</w:t>
      </w:r>
    </w:p>
    <w:p>
      <w:pPr>
        <w:spacing w:after="0" w:line="198"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733" w:val="left"/>
        </w:tabs>
        <w:numPr>
          <w:ilvl w:val="0"/>
          <w:numId w:val="1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 of the Company</w:t>
      </w:r>
      <w:r>
        <w:rPr>
          <w:rFonts w:ascii="Times New Roman" w:cs="Times New Roman" w:eastAsia="Times New Roman" w:hAnsi="Times New Roman"/>
          <w:sz w:val="16"/>
          <w:szCs w:val="16"/>
          <w:color w:val="auto"/>
        </w:rPr>
        <w:t>. The Company hereby represents and warrants to the Purchaser as follows as of the date hereof and as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Closing Date:</w:t>
      </w:r>
    </w:p>
    <w:p>
      <w:pPr>
        <w:spacing w:after="0" w:line="140" w:lineRule="exact"/>
        <w:rPr>
          <w:sz w:val="20"/>
          <w:szCs w:val="20"/>
          <w:color w:val="auto"/>
        </w:rPr>
      </w:pPr>
    </w:p>
    <w:p>
      <w:pPr>
        <w:jc w:val="both"/>
        <w:ind w:firstLine="1147"/>
        <w:spacing w:after="0" w:line="256" w:lineRule="auto"/>
        <w:rPr>
          <w:sz w:val="20"/>
          <w:szCs w:val="20"/>
          <w:color w:val="auto"/>
        </w:rPr>
      </w:pPr>
      <w:r>
        <w:rPr>
          <w:rFonts w:ascii="Times New Roman" w:cs="Times New Roman" w:eastAsia="Times New Roman" w:hAnsi="Times New Roman"/>
          <w:sz w:val="16"/>
          <w:szCs w:val="16"/>
          <w:b w:val="1"/>
          <w:bCs w:val="1"/>
          <w:color w:val="auto"/>
        </w:rPr>
        <w:t>2.1 Organization, Good Standing and Qualification</w:t>
      </w:r>
      <w:r>
        <w:rPr>
          <w:rFonts w:ascii="Times New Roman" w:cs="Times New Roman" w:eastAsia="Times New Roman" w:hAnsi="Times New Roman"/>
          <w:sz w:val="16"/>
          <w:szCs w:val="16"/>
          <w:color w:val="auto"/>
        </w:rPr>
        <w:t>. The Company and each Guarantor is a corporation duly organized, validly existing and in good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standing under the laws of the State of Delaware. The Company and each Guarantor has the requisite corporate power to own and operate its properties and assets and to carry on its business as now conducted and as proposed to be conducted. The Company and each Guarantor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the business of the Company and its subsidiaries (a “</w:t>
      </w:r>
      <w:r>
        <w:rPr>
          <w:rFonts w:ascii="Times New Roman" w:cs="Times New Roman" w:eastAsia="Times New Roman" w:hAnsi="Times New Roman"/>
          <w:sz w:val="16"/>
          <w:szCs w:val="16"/>
          <w:b w:val="1"/>
          <w:bCs w:val="1"/>
          <w:i w:val="1"/>
          <w:iCs w:val="1"/>
          <w:color w:val="auto"/>
        </w:rPr>
        <w:t>Material Adverse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Effect</w:t>
      </w:r>
      <w:r>
        <w:rPr>
          <w:rFonts w:ascii="Times New Roman" w:cs="Times New Roman" w:eastAsia="Times New Roman" w:hAnsi="Times New Roman"/>
          <w:sz w:val="16"/>
          <w:szCs w:val="16"/>
          <w:color w:val="auto"/>
        </w:rPr>
        <w:t>”).</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1" w:name="page172"/>
    <w:bookmarkEnd w:id="171"/>
    <w:p>
      <w:pPr>
        <w:jc w:val="both"/>
        <w:ind w:firstLine="1147"/>
        <w:spacing w:after="0" w:line="255" w:lineRule="auto"/>
        <w:rPr>
          <w:sz w:val="20"/>
          <w:szCs w:val="20"/>
          <w:color w:val="auto"/>
        </w:rPr>
      </w:pPr>
      <w:r>
        <w:rPr>
          <w:rFonts w:ascii="Times New Roman" w:cs="Times New Roman" w:eastAsia="Times New Roman" w:hAnsi="Times New Roman"/>
          <w:sz w:val="16"/>
          <w:szCs w:val="16"/>
          <w:b w:val="1"/>
          <w:bCs w:val="1"/>
          <w:color w:val="auto"/>
        </w:rPr>
        <w:t>2.2 Corporate Power</w:t>
      </w:r>
      <w:r>
        <w:rPr>
          <w:rFonts w:ascii="Times New Roman" w:cs="Times New Roman" w:eastAsia="Times New Roman" w:hAnsi="Times New Roman"/>
          <w:sz w:val="16"/>
          <w:szCs w:val="16"/>
          <w:color w:val="auto"/>
        </w:rPr>
        <w:t>. The Company and each Guarantor has all requisite corporate power to: (a) execute and deliver this Agreement, the Security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(as defined in the Indenture), the Trademark Security Agreement (as defined in the Security Agreement) and the other Collateral Documents (as defined in the Indenture) and each other agreement or instrument contemplated thereby (collectively, the “</w:t>
      </w:r>
      <w:r>
        <w:rPr>
          <w:rFonts w:ascii="Times New Roman" w:cs="Times New Roman" w:eastAsia="Times New Roman" w:hAnsi="Times New Roman"/>
          <w:sz w:val="16"/>
          <w:szCs w:val="16"/>
          <w:b w:val="1"/>
          <w:bCs w:val="1"/>
          <w:i w:val="1"/>
          <w:iCs w:val="1"/>
          <w:color w:val="auto"/>
        </w:rPr>
        <w:t>Note Documents</w:t>
      </w:r>
      <w:r>
        <w:rPr>
          <w:rFonts w:ascii="Times New Roman" w:cs="Times New Roman" w:eastAsia="Times New Roman" w:hAnsi="Times New Roman"/>
          <w:sz w:val="16"/>
          <w:szCs w:val="16"/>
          <w:color w:val="auto"/>
        </w:rPr>
        <w:t>”); (b) perform its respective obligations under the Note Documents to which it is a party; and (c) and to carry out and perform its obligations under the Note Documents to which it is a party, including the grant of the security interests and liens contemplated by the Collateral Documents. The Company’s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and the Board of Directors of each Guarantor has approved the Note Documents based upon a reasonable belief that the transactions thereunder are appropriate for the Company or such Guarantor, as applicable, after reasonable inquiry concerning the financing objectives and financial situation of the Company or such Guarantor, as applicable.</w:t>
      </w: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2.3 Authorization; Security Interest; Conversion Securities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20" w:firstLine="1143"/>
        <w:spacing w:after="0" w:line="253" w:lineRule="auto"/>
        <w:tabs>
          <w:tab w:leader="none" w:pos="1385" w:val="left"/>
        </w:tabs>
        <w:numPr>
          <w:ilvl w:val="0"/>
          <w:numId w:val="1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All corporate action on the part of the Company and each Guarantor necessary for the authorization, execution, delivery and performance of the Note Documents by the Company and each Guarantor, including the issuance and delivery of the Notes and the reservation of the equity securities directly or indirectly issuable upon conversion of the Notes (collectively, the “</w:t>
      </w:r>
      <w:r>
        <w:rPr>
          <w:rFonts w:ascii="Times New Roman" w:cs="Times New Roman" w:eastAsia="Times New Roman" w:hAnsi="Times New Roman"/>
          <w:sz w:val="16"/>
          <w:szCs w:val="16"/>
          <w:b w:val="1"/>
          <w:bCs w:val="1"/>
          <w:i w:val="1"/>
          <w:iCs w:val="1"/>
          <w:color w:val="auto"/>
        </w:rPr>
        <w:t>Conversion Securities</w:t>
      </w:r>
      <w:r>
        <w:rPr>
          <w:rFonts w:ascii="Times New Roman" w:cs="Times New Roman" w:eastAsia="Times New Roman" w:hAnsi="Times New Roman"/>
          <w:sz w:val="16"/>
          <w:szCs w:val="16"/>
          <w:color w:val="auto"/>
        </w:rPr>
        <w:t>”), has been taken. This Agreement has been (or upon delivery will have been) duly executed and delivered by the Company, and constitutes the valid and binding obligation of the Company, enforceable in accordance with its terms, subject to laws of general application relating to bankruptcy, insolvency, the relief of debtors and, with respect to rights to indemnity, subject to federal and state securities laws. The Note Documents (other than this Agreement), when executed and delivered by the Company and each Guarantor party thereto, shall constitute valid and binding obligations of the Company and such Guarantor, enforceable in accordance with their terms against the Company and each Guarantor, subject to laws of general application relating to bankruptcy, insolvency, the relief of debtors and, with respect to rights to indemnity, subject to federal and state securities laws</w:t>
      </w:r>
    </w:p>
    <w:p>
      <w:pPr>
        <w:spacing w:after="0" w:line="169" w:lineRule="exact"/>
        <w:rPr>
          <w:rFonts w:ascii="Times New Roman" w:cs="Times New Roman" w:eastAsia="Times New Roman" w:hAnsi="Times New Roman"/>
          <w:sz w:val="16"/>
          <w:szCs w:val="16"/>
          <w:b w:val="1"/>
          <w:bCs w:val="1"/>
          <w:color w:val="auto"/>
        </w:rPr>
      </w:pPr>
    </w:p>
    <w:p>
      <w:pPr>
        <w:jc w:val="both"/>
        <w:ind w:firstLine="1143"/>
        <w:spacing w:after="0" w:line="259" w:lineRule="auto"/>
        <w:tabs>
          <w:tab w:leader="none" w:pos="1386" w:val="left"/>
        </w:tabs>
        <w:numPr>
          <w:ilvl w:val="0"/>
          <w:numId w:val="1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Collateral Documents create a first priority security interest which is enforceable against each grantor party thereto in all Collateral (as defined in the Indenture) it owns as of the execution of each such Collateral Document or thereafter acquires, in each case subject to laws of general application relating to bankruptcy, insolvency, the relief of debtors and, with respect to rights to indemnity, subject to federal and state securities laws. The Guarantors signatory to the Indenture and the Collateral Documents at the Closing will constitute all Material Subsidiaries (as defined in the Indenture) as of the time of Closing.</w:t>
      </w:r>
    </w:p>
    <w:p>
      <w:pPr>
        <w:spacing w:after="0" w:line="161" w:lineRule="exact"/>
        <w:rPr>
          <w:rFonts w:ascii="Times New Roman" w:cs="Times New Roman" w:eastAsia="Times New Roman" w:hAnsi="Times New Roman"/>
          <w:sz w:val="16"/>
          <w:szCs w:val="16"/>
          <w:b w:val="1"/>
          <w:bCs w:val="1"/>
          <w:color w:val="auto"/>
        </w:rPr>
      </w:pPr>
    </w:p>
    <w:p>
      <w:pPr>
        <w:ind w:right="20" w:firstLine="1143"/>
        <w:spacing w:after="0" w:line="280" w:lineRule="auto"/>
        <w:tabs>
          <w:tab w:leader="none" w:pos="1364" w:val="left"/>
        </w:tabs>
        <w:numPr>
          <w:ilvl w:val="0"/>
          <w:numId w:val="1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Conversion Securities, when issued in compliance with the provisions of the Notes, will be validly issued, fully paid, nonassessable, free of any liens or encumbrances and issued in compliance with all applicable federal and securities laws.</w:t>
      </w:r>
    </w:p>
    <w:p>
      <w:pPr>
        <w:spacing w:after="0" w:line="142" w:lineRule="exact"/>
        <w:rPr>
          <w:sz w:val="20"/>
          <w:szCs w:val="20"/>
          <w:color w:val="auto"/>
        </w:rPr>
      </w:pPr>
    </w:p>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2.4 Filings and Consents</w:t>
      </w:r>
      <w:r>
        <w:rPr>
          <w:rFonts w:ascii="Times New Roman" w:cs="Times New Roman" w:eastAsia="Times New Roman" w:hAnsi="Times New Roman"/>
          <w:sz w:val="16"/>
          <w:szCs w:val="16"/>
          <w:color w:val="auto"/>
        </w:rPr>
        <w:t>. All consents, approvals, orders, or authorizations of, or registrations, qualifications, designations, declarations, or filings with,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governmental authority or self-regulatory organization required on the part of the Company in connection with the execution, delivery and performance of the Note Documents or the issuance of the Notes have been obtained or made. No shareholder approval is required pursuant to the rules of the Nasdaq Stock Market in connection with the execution, delivery or performance of the Note Documents or the issuance of the Notes or the Conversion Securities.</w:t>
      </w: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2" w:name="page173"/>
    <w:bookmarkEnd w:id="172"/>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2.5 Compliance with Laws</w:t>
      </w:r>
      <w:r>
        <w:rPr>
          <w:rFonts w:ascii="Times New Roman" w:cs="Times New Roman" w:eastAsia="Times New Roman" w:hAnsi="Times New Roman"/>
          <w:sz w:val="16"/>
          <w:szCs w:val="16"/>
          <w:color w:val="auto"/>
        </w:rPr>
        <w:t>. To its knowledge, the Company is not in violation of any applicable statute, rule, regulation, order or restriction of any domestic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foreign government or any instrumentality or agency thereof in respect of the conduct of the Company’s or its subsidiaries’ businesses or the ownership of their respective properties, which violation of which would have a Material Adverse Effect.</w:t>
      </w:r>
    </w:p>
    <w:p>
      <w:pPr>
        <w:spacing w:after="0" w:line="153"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2.6 Compliance with Other Instruments</w:t>
      </w:r>
      <w:r>
        <w:rPr>
          <w:rFonts w:ascii="Times New Roman" w:cs="Times New Roman" w:eastAsia="Times New Roman" w:hAnsi="Times New Roman"/>
          <w:sz w:val="16"/>
          <w:szCs w:val="16"/>
          <w:color w:val="auto"/>
        </w:rPr>
        <w:t>. The Company is not in, and the execution, delivery and performance of the Note Documents will not result in,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violation of, conflict with or constitute, with or without the passage of time or giving of notice, a default under any term of (a) its certificate of incorporation or bylaws, all as amended and as currently in effect, (b) any provision of any mortgage, indenture or contract to which it is a party and by which it, any of its subsidiaries or any of their respective assets is bound or (c) any statute, rule, regulation, judgment, decree, order or writ, other than, in the case of clauses (b) and (c), such violations, conflicts or defaults as would not reasonably be expected to have a Material Adverse Effect. The execution, delivery and performance of the Note Documents will not result in the creation of any lien, charge or encumbrance upon any assets of the Company or its subsidiaries, other than the liens granted pursuant to the terms of the Collateral Documents, or the suspension, revocation, impairment, forfeiture, or nonrenewal of any material permit, license, authorization or approval applicable to the Company, or the business, operations, assets or properties of the Company or its subsidiaries. Without limiting the foregoing, the Company has obtained all waivers reasonably necessary with respect to any prohibition on the grant of liens, preemptive rights, rights of first refusal or similar rights, including any notice or offering periods provided for as part of any such rights, in order for the Company to consummate the transactions contemplated under the Note Documents without any third party obtaining any rights to cause the Company to offer or issue any securities of the Company as a result of the consummation of the transactions contemplated hereunder.</w:t>
      </w:r>
    </w:p>
    <w:p>
      <w:pPr>
        <w:spacing w:after="0" w:line="169"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2.7 Offering</w:t>
      </w:r>
      <w:r>
        <w:rPr>
          <w:rFonts w:ascii="Times New Roman" w:cs="Times New Roman" w:eastAsia="Times New Roman" w:hAnsi="Times New Roman"/>
          <w:sz w:val="16"/>
          <w:szCs w:val="16"/>
          <w:color w:val="auto"/>
        </w:rPr>
        <w:t>. Assuming the accuracy of the representations and warranties of the Purchaser contained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(a) the offer, issue, and sale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Notes and the Conversion Securities are and will be exempt from the registration and prospectus delivery requirements of the Securities Act, and are exempt from registration and qualification under the registration, permit, or qualification requirements of all applicable state securities laws and (b) the Indenture is not required to be qualified under the Trust Indenture Act of 1939, as amended. The Notes, when issued, will not be of the same class as securities listed on a national securities exchange registered under Section 6 of the Securities Exchange Act of 1934, as amended (including the rules and regulations promulgated thereunder,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quoted in a U.S. automated inter-dealer quotation system, within the meaning of Rule 144A(d)(3)(i) under the Securities Act. The Company is not and, after giving effect to the transactions pursuant to the Note Purchase Agreements (including the use of proceeds from the sale of the Notes), will not be, required to register as an “investment company” under the Investment Company Act of 1940, as amended.</w:t>
      </w:r>
    </w:p>
    <w:p>
      <w:pPr>
        <w:spacing w:after="0" w:line="163" w:lineRule="exact"/>
        <w:rPr>
          <w:sz w:val="20"/>
          <w:szCs w:val="20"/>
          <w:color w:val="auto"/>
        </w:rPr>
      </w:pPr>
    </w:p>
    <w:p>
      <w:pPr>
        <w:jc w:val="both"/>
        <w:ind w:firstLine="1147"/>
        <w:spacing w:after="0" w:line="256" w:lineRule="auto"/>
        <w:rPr>
          <w:sz w:val="20"/>
          <w:szCs w:val="20"/>
          <w:color w:val="auto"/>
        </w:rPr>
      </w:pPr>
      <w:r>
        <w:rPr>
          <w:rFonts w:ascii="Times New Roman" w:cs="Times New Roman" w:eastAsia="Times New Roman" w:hAnsi="Times New Roman"/>
          <w:sz w:val="16"/>
          <w:szCs w:val="16"/>
          <w:b w:val="1"/>
          <w:bCs w:val="1"/>
          <w:color w:val="auto"/>
        </w:rPr>
        <w:t>2.8 No Integration</w:t>
      </w:r>
      <w:r>
        <w:rPr>
          <w:rFonts w:ascii="Times New Roman" w:cs="Times New Roman" w:eastAsia="Times New Roman" w:hAnsi="Times New Roman"/>
          <w:sz w:val="16"/>
          <w:szCs w:val="16"/>
          <w:color w:val="auto"/>
        </w:rPr>
        <w:t>. None of the Company, any of its affiliates (as defined in Rule 501(b) under the Securities Act), or any person acting on behalf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such affiliate will sell, offer for sale, or solicit offers to buy or otherwise negotiate in respect of any security (as defined in the Securities Act) which will be integrated with the sale of the Securities (as defined below) in a manner which would require the registration of the offer and sale of the Securities under the Securities Act or require shareholder approval under the rules and regulations of the Nasdaq Stock Market, and the Company will take all action that is appropriate or necessary to assure that its offerings of other securities will not be integrated for purposes of the Securities Act or the rules and regulations of the Nasdaq Stock Market with the offer and sale of the Securities.</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3" w:name="page174"/>
    <w:bookmarkEnd w:id="173"/>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2.9 Public Filings</w:t>
      </w:r>
      <w:r>
        <w:rPr>
          <w:rFonts w:ascii="Times New Roman" w:cs="Times New Roman" w:eastAsia="Times New Roman" w:hAnsi="Times New Roman"/>
          <w:sz w:val="16"/>
          <w:szCs w:val="16"/>
          <w:color w:val="auto"/>
        </w:rPr>
        <w:t>. From January 1, 2025 to the date of this Agreement, the Company has filed all reports, schedules, forms, proxy statements, statements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documents required to be filed by it with the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6"/>
          <w:szCs w:val="16"/>
          <w:b w:val="1"/>
          <w:bCs w:val="1"/>
          <w:i w:val="1"/>
          <w:iCs w:val="1"/>
          <w:color w:val="auto"/>
        </w:rPr>
        <w:t>SEC Documents</w:t>
      </w:r>
      <w:r>
        <w:rPr>
          <w:rFonts w:ascii="Times New Roman" w:cs="Times New Roman" w:eastAsia="Times New Roman" w:hAnsi="Times New Roman"/>
          <w:sz w:val="16"/>
          <w:szCs w:val="16"/>
          <w:color w:val="auto"/>
        </w:rPr>
        <w:t xml:space="preserve">”).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of Regulations S-X and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As of the date of this Agreement, the Company is not in possession of any material non-public information other than (a) the terms of the transactions contemplated by the Note Purchase Agreements and the Exchange Agreements and (b) such material non-public information required to be disclosed pursuant to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2.10 Most Favored Nation</w:t>
      </w:r>
      <w:r>
        <w:rPr>
          <w:rFonts w:ascii="Times New Roman" w:cs="Times New Roman" w:eastAsia="Times New Roman" w:hAnsi="Times New Roman"/>
          <w:sz w:val="16"/>
          <w:szCs w:val="16"/>
          <w:color w:val="auto"/>
        </w:rPr>
        <w:t>. The Purchase Price is the same purchase price per $1,000 principal amount of Notes as in all other Note Purchase Agreements.</w:t>
      </w:r>
    </w:p>
    <w:p>
      <w:pPr>
        <w:spacing w:after="0" w:line="198" w:lineRule="exact"/>
        <w:rPr>
          <w:sz w:val="20"/>
          <w:szCs w:val="20"/>
          <w:color w:val="auto"/>
        </w:rPr>
      </w:pPr>
    </w:p>
    <w:p>
      <w:pPr>
        <w:ind w:left="720" w:hanging="151"/>
        <w:spacing w:after="0"/>
        <w:tabs>
          <w:tab w:leader="none" w:pos="720" w:val="left"/>
        </w:tabs>
        <w:numPr>
          <w:ilvl w:val="0"/>
          <w:numId w:val="1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 of the Purchaser</w:t>
      </w:r>
      <w:r>
        <w:rPr>
          <w:rFonts w:ascii="Times New Roman" w:cs="Times New Roman" w:eastAsia="Times New Roman" w:hAnsi="Times New Roman"/>
          <w:sz w:val="16"/>
          <w:szCs w:val="16"/>
          <w:color w:val="auto"/>
        </w:rPr>
        <w:t>. The Purchaser represents and warrants to the Company as follows as of the date hereof and as of the Closing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8" w:lineRule="exact"/>
        <w:rPr>
          <w:sz w:val="20"/>
          <w:szCs w:val="20"/>
          <w:color w:val="auto"/>
        </w:rPr>
      </w:pPr>
    </w:p>
    <w:p>
      <w:pPr>
        <w:jc w:val="both"/>
        <w:ind w:right="20"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3.1 Purchase for Own Account</w:t>
      </w:r>
      <w:r>
        <w:rPr>
          <w:rFonts w:ascii="Times New Roman" w:cs="Times New Roman" w:eastAsia="Times New Roman" w:hAnsi="Times New Roman"/>
          <w:sz w:val="16"/>
          <w:szCs w:val="16"/>
          <w:color w:val="auto"/>
        </w:rPr>
        <w:t>. The Purchaser is acquiring the Notes and the Conversion Securities (collectively,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 solely for its own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 and beneficial interest for investment and not for sale or with a view to distribution of the Securities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4" w:name="page175"/>
    <w:bookmarkEnd w:id="174"/>
    <w:p>
      <w:pPr>
        <w:jc w:val="both"/>
        <w:ind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3.2 Binding Obligation</w:t>
      </w:r>
      <w:r>
        <w:rPr>
          <w:rFonts w:ascii="Times New Roman" w:cs="Times New Roman" w:eastAsia="Times New Roman" w:hAnsi="Times New Roman"/>
          <w:sz w:val="15"/>
          <w:szCs w:val="15"/>
          <w:color w:val="auto"/>
        </w:rPr>
        <w:t>. The Purchaser has full power and authority to enter into the Note Documents to which it is party. The Note Documents to which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Purchaser is a party, when executed and delivered by the Purchaser, shall constitute valid and binding obligations of the Purchaser enforceable in accordance with their terms, subject to laws of general application relating to bankruptcy, insolvency, the relief of debtors and, with respect to rights to indemnity, subject to federal and state securities laws.</w:t>
      </w:r>
    </w:p>
    <w:p>
      <w:pPr>
        <w:spacing w:after="0" w:line="135"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b w:val="1"/>
          <w:bCs w:val="1"/>
          <w:color w:val="auto"/>
        </w:rPr>
        <w:t>3.3 Information and Sophistication</w:t>
      </w:r>
      <w:r>
        <w:rPr>
          <w:rFonts w:ascii="Times New Roman" w:cs="Times New Roman" w:eastAsia="Times New Roman" w:hAnsi="Times New Roman"/>
          <w:sz w:val="16"/>
          <w:szCs w:val="16"/>
          <w:color w:val="auto"/>
        </w:rPr>
        <w:t>. The Purchaser has access to (including through the EDGAR system) and has had an opportunity to review the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Reports on Form 10-K, Quarterly Reports on Form 10-Q, Current Reports on Form 8-K, Proxy Statements and other filings and submissions made by the Company with the SEC, including the “Risk Factors” contained therein. The Purchaser acknowledges, confirms and agrees that: (a) the Purchaser is a sophisticated institutional investor that is willing and able to conduct, and has conducted, a thorough investigation of the Notes, the Company and the business and financial position of the Company and its Subsidiaries (the “</w:t>
      </w:r>
      <w:r>
        <w:rPr>
          <w:rFonts w:ascii="Times New Roman" w:cs="Times New Roman" w:eastAsia="Times New Roman" w:hAnsi="Times New Roman"/>
          <w:sz w:val="16"/>
          <w:szCs w:val="16"/>
          <w:b w:val="1"/>
          <w:bCs w:val="1"/>
          <w:i w:val="1"/>
          <w:iCs w:val="1"/>
          <w:color w:val="auto"/>
        </w:rPr>
        <w:t>Company Business</w:t>
      </w:r>
      <w:r>
        <w:rPr>
          <w:rFonts w:ascii="Times New Roman" w:cs="Times New Roman" w:eastAsia="Times New Roman" w:hAnsi="Times New Roman"/>
          <w:sz w:val="16"/>
          <w:szCs w:val="16"/>
          <w:color w:val="auto"/>
        </w:rPr>
        <w:t xml:space="preserve">”), (b) no prospectus, offering document or other disclosure document has been or will be prepared in connection with the placement of the Notes and the transactions under this Agreement, the Indenture or the Collateral Documents, (c) the Purchaser has or has requested access to, and has had sufficient opportunity to evaluate, all information and documentation that it believes is necessary or appropriate in connection with its decision to enter into this Agreement and to purchase the Notes, including such information with respect to the Company and the Company Business, (d) neither the Company nor its representatives or advisors are responsible for any due diligence investigation on the Purchaser’s behalf, the advisability of purchasing the Notes or any information or document delivered in connection with this Agreement, the Collateral Documents or the Notes (including, without limitation, with respect to the Company Business) other than the SEC Documents, (e) the Purchaser is not relying upon any representations, expressed or implied, with respect to the transactions contemplated by the Notes, except those expressly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Agreement, (f) the Purchaser has consulted its own independent advisors with regard to, without limitation, the legal, regulatory, tax, business, investment, financial, accounting, currency and other economic considerations related to the purchase of the Notes and the risks associated with an investment in the Notes (including, without limitation, with respect to the Company Business), (g) the Purchaser has made its own investment, hedging and trading decisions based upon its own judgment and upon advice from its own independent advisors and not upon any view expressed by the other person, and (h) the Purchaser is purchasing the Notes with a full understanding of the terms, conditions and risks thereof including, but not limited to, counterparty risk, country risk, price risk and liquidity risk, and the Purchaser is capable of and willing to assume those risks. The Purchaser further represents that it is acting as principal in the purchase of the Notes.</w:t>
      </w:r>
    </w:p>
    <w:p>
      <w:pPr>
        <w:spacing w:after="0" w:line="170"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3.4 Ability to Bear Economic Risk</w:t>
      </w:r>
      <w:r>
        <w:rPr>
          <w:rFonts w:ascii="Times New Roman" w:cs="Times New Roman" w:eastAsia="Times New Roman" w:hAnsi="Times New Roman"/>
          <w:sz w:val="16"/>
          <w:szCs w:val="16"/>
          <w:color w:val="auto"/>
        </w:rPr>
        <w:t>. The Purchaser acknowledges that investment in the Securities involves a high degree of risk, and the Purchaser is 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materially impairing its financial condition, to hold the Securities for an indefinite period of time and to suffer a complete loss of its investment.</w:t>
      </w:r>
    </w:p>
    <w:p>
      <w:pPr>
        <w:spacing w:after="0" w:line="140"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3.5 Accredited Investor Status</w:t>
      </w:r>
      <w:r>
        <w:rPr>
          <w:rFonts w:ascii="Times New Roman" w:cs="Times New Roman" w:eastAsia="Times New Roman" w:hAnsi="Times New Roman"/>
          <w:sz w:val="16"/>
          <w:szCs w:val="16"/>
          <w:color w:val="auto"/>
        </w:rPr>
        <w:t>. The Purchaser is an “institutional accredited investor” as such term is defined in Rule 501 under the Securities Act.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Purchaser is a “qualified institutional buyer” as such term is defined in Rule 144A under the Securities Act.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5" w:name="page176"/>
    <w:bookmarkEnd w:id="175"/>
    <w:p>
      <w:pPr>
        <w:jc w:val="both"/>
        <w:ind w:right="20" w:firstLine="1147"/>
        <w:spacing w:after="0" w:line="256" w:lineRule="auto"/>
        <w:rPr>
          <w:sz w:val="20"/>
          <w:szCs w:val="20"/>
          <w:color w:val="auto"/>
        </w:rPr>
      </w:pPr>
      <w:r>
        <w:rPr>
          <w:rFonts w:ascii="Times New Roman" w:cs="Times New Roman" w:eastAsia="Times New Roman" w:hAnsi="Times New Roman"/>
          <w:sz w:val="16"/>
          <w:szCs w:val="16"/>
          <w:b w:val="1"/>
          <w:bCs w:val="1"/>
          <w:color w:val="auto"/>
        </w:rPr>
        <w:t>3.6 Foreign Investors</w:t>
      </w:r>
      <w:r>
        <w:rPr>
          <w:rFonts w:ascii="Times New Roman" w:cs="Times New Roman" w:eastAsia="Times New Roman" w:hAnsi="Times New Roman"/>
          <w:sz w:val="16"/>
          <w:szCs w:val="16"/>
          <w:color w:val="auto"/>
        </w:rPr>
        <w:t>. If the Purchaser is not a United States person (as defined by Section 7701(a)(30) of the Internal Revenue Code of 1986, as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Purchaser has satisfied itself as to the full observance of the laws of the Purchaser’s jurisdiction in connection with any invitation to subscribe for the Securities or any use of the Note, including (i) the legal requirements within the Purchaser’s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The Purchaser’s subscription, payment for and continued beneficial ownership of the Securities will not violate any applicable securities or other laws of the Purchaser’s jurisdiction.</w:t>
      </w:r>
    </w:p>
    <w:p>
      <w:pPr>
        <w:spacing w:after="0" w:line="161" w:lineRule="exact"/>
        <w:rPr>
          <w:sz w:val="20"/>
          <w:szCs w:val="20"/>
          <w:color w:val="auto"/>
        </w:rPr>
      </w:pPr>
    </w:p>
    <w:p>
      <w:pPr>
        <w:jc w:val="both"/>
        <w:ind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3.7 Forward-Looking Statements</w:t>
      </w:r>
      <w:r>
        <w:rPr>
          <w:rFonts w:ascii="Times New Roman" w:cs="Times New Roman" w:eastAsia="Times New Roman" w:hAnsi="Times New Roman"/>
          <w:sz w:val="15"/>
          <w:szCs w:val="15"/>
          <w:color w:val="auto"/>
        </w:rPr>
        <w:t>. With respect to any forecasts, projections of results and other forward-looking statements and information provided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Purchaser (including with respect to the Company Business), the Purchaser acknowledges (i) that such statements were prepared based upon assumptions deemed reasonable by the Company at the time of preparation, and (ii) there is no assurance that such statements will prove accurate, and the Company has no obligation to update such statements.</w:t>
      </w:r>
    </w:p>
    <w:p>
      <w:pPr>
        <w:spacing w:after="0" w:line="135"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3.8 Commissions</w:t>
      </w:r>
      <w:r>
        <w:rPr>
          <w:rFonts w:ascii="Times New Roman" w:cs="Times New Roman" w:eastAsia="Times New Roman" w:hAnsi="Times New Roman"/>
          <w:sz w:val="16"/>
          <w:szCs w:val="16"/>
          <w:color w:val="auto"/>
        </w:rPr>
        <w:t>. Except as disclosed to the Company in writing prior to the date hereof, no person will have, as a result of the transactions contemplated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Note Documents, any valid right, interest or claim against the Company or upon the Purchaser for any commission, fee or other compensation pursuant to any agreement, arrangement or understanding entered into by or on behalf of the Purchaser.</w:t>
      </w:r>
    </w:p>
    <w:p>
      <w:pPr>
        <w:spacing w:after="0" w:line="151"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3.9 Placement Agent Provisions. </w:t>
      </w:r>
      <w:r>
        <w:rPr>
          <w:rFonts w:ascii="Times New Roman" w:cs="Times New Roman" w:eastAsia="Times New Roman" w:hAnsi="Times New Roman"/>
          <w:sz w:val="16"/>
          <w:szCs w:val="16"/>
          <w:color w:val="auto"/>
        </w:rPr>
        <w:t>The Purchaser hereby acknowledges and agrees that (a) Santander US Capital Markets LLC (the “</w:t>
      </w:r>
      <w:r>
        <w:rPr>
          <w:rFonts w:ascii="Times New Roman" w:cs="Times New Roman" w:eastAsia="Times New Roman" w:hAnsi="Times New Roman"/>
          <w:sz w:val="16"/>
          <w:szCs w:val="16"/>
          <w:b w:val="1"/>
          <w:bCs w:val="1"/>
          <w:i w:val="1"/>
          <w:iCs w:val="1"/>
          <w:color w:val="auto"/>
        </w:rPr>
        <w:t>Placement Agent</w:t>
      </w:r>
      <w:r>
        <w:rPr>
          <w:rFonts w:ascii="Times New Roman" w:cs="Times New Roman" w:eastAsia="Times New Roman" w:hAnsi="Times New Roman"/>
          <w:sz w:val="16"/>
          <w:szCs w:val="16"/>
          <w:color w:val="auto"/>
        </w:rPr>
        <w: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acting as placement agent in connection with the private placement of the Notes (the “</w:t>
      </w:r>
      <w:r>
        <w:rPr>
          <w:rFonts w:ascii="Times New Roman" w:cs="Times New Roman" w:eastAsia="Times New Roman" w:hAnsi="Times New Roman"/>
          <w:sz w:val="16"/>
          <w:szCs w:val="16"/>
          <w:b w:val="1"/>
          <w:bCs w:val="1"/>
          <w:i w:val="1"/>
          <w:iCs w:val="1"/>
          <w:color w:val="auto"/>
        </w:rPr>
        <w:t>Transaction</w:t>
      </w:r>
      <w:r>
        <w:rPr>
          <w:rFonts w:ascii="Times New Roman" w:cs="Times New Roman" w:eastAsia="Times New Roman" w:hAnsi="Times New Roman"/>
          <w:sz w:val="16"/>
          <w:szCs w:val="16"/>
          <w:color w:val="auto"/>
        </w:rPr>
        <w:t>”) and is not acting as an underwriter or in any other capacity and is not and shall not be construed as a fiduciary for the Purchaser, the Company or any other person or entity in connection with the Transaction, (b) the Placement Agent has not made and will not make any representation or warranty, whether express or implied, of any kind or character and has not provided any advice or recommendation in connection with the Transaction, and has made no independent investigation with respect to the Company or the Securities or the accuracy, completeness or adequacy of any information supplied to the Purchaser by the Company, (c) the Placement Agent will have no responsibility with respect to (i) any representations, warranties or agreements made by any person or entity under or in connection with the Transaction or any of the documents furnished pursuant thereto or in connection therewith, or the execution, legality, validity or enforceability (with respect to any person) or any thereof, or (ii) the business, condition (financial or otherwise), operations, properties or prospects of, or any other matter concerning the Company or the Transaction, and (d) the Placement Agent shall have no liability or obligation (including without limitation, for or with respect to any losses, claims, damages, obligations, penalties, judgments, awards, liabilities, costs, expenses or disbursements incurred by the Purchaser, the Company or any other person or entity), whether in contract, tort or otherwise, to the Purchaser, or to any person claiming through the Purchaser, in respect of the Transaction. The Purchaser agrees to release the Placement Agent from and against: (i) any legal, equitable or other claim that may arise under the Securities Act, the Exchange Act, the rules and regulations thereunder, any other applicable law, rule or regulation or in general under any theory of liability or relief in connection with the offer and sale of the Securities; and (ii) any losses, damages, injuries, declines in value, lost opportunities, liabilities, fees, charges, costs or expenses of any nature that the Purchaser may suffer in connection with the offer, purchase or sale of the Securities.</w:t>
      </w: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6" w:name="page177"/>
    <w:bookmarkEnd w:id="176"/>
    <w:p>
      <w:pPr>
        <w:ind w:left="560"/>
        <w:spacing w:after="0"/>
        <w:rPr>
          <w:sz w:val="20"/>
          <w:szCs w:val="20"/>
          <w:color w:val="auto"/>
        </w:rPr>
      </w:pPr>
      <w:r>
        <w:rPr>
          <w:rFonts w:ascii="Times New Roman" w:cs="Times New Roman" w:eastAsia="Times New Roman" w:hAnsi="Times New Roman"/>
          <w:sz w:val="16"/>
          <w:szCs w:val="16"/>
          <w:b w:val="1"/>
          <w:bCs w:val="1"/>
          <w:color w:val="auto"/>
        </w:rPr>
        <w:t>4. Limitations on Disposition; Legends; Securities Law Disclosure; Publicity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4.1 Limitations on Disposition</w:t>
      </w:r>
      <w:r>
        <w:rPr>
          <w:rFonts w:ascii="Times New Roman" w:cs="Times New Roman" w:eastAsia="Times New Roman" w:hAnsi="Times New Roman"/>
          <w:sz w:val="16"/>
          <w:szCs w:val="16"/>
          <w:color w:val="auto"/>
        </w:rPr>
        <w:t>. The Securities may only be disposed of in compliance with state and federal securities laws and the applicable provisions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4.2 Legends</w:t>
      </w:r>
      <w:r>
        <w:rPr>
          <w:rFonts w:ascii="Times New Roman" w:cs="Times New Roman" w:eastAsia="Times New Roman" w:hAnsi="Times New Roman"/>
          <w:sz w:val="16"/>
          <w:szCs w:val="16"/>
          <w:color w:val="auto"/>
        </w:rPr>
        <w:t>. The Purchaser agrees to the imprinting of a legend on any of the Securities in substantially the forms set forth in the Indenture.</w:t>
      </w:r>
    </w:p>
    <w:p>
      <w:pPr>
        <w:spacing w:after="0" w:line="198"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4.3 Securities Law Disclosure; Publicity</w:t>
      </w:r>
      <w:r>
        <w:rPr>
          <w:rFonts w:ascii="Times New Roman" w:cs="Times New Roman" w:eastAsia="Times New Roman" w:hAnsi="Times New Roman"/>
          <w:sz w:val="16"/>
          <w:szCs w:val="16"/>
          <w:color w:val="auto"/>
        </w:rPr>
        <w:t>. No later than 9:00 a.m. (New York City time) on the trading day immediately following the date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date and time, the “</w:t>
      </w:r>
      <w:r>
        <w:rPr>
          <w:rFonts w:ascii="Times New Roman" w:cs="Times New Roman" w:eastAsia="Times New Roman" w:hAnsi="Times New Roman"/>
          <w:sz w:val="16"/>
          <w:szCs w:val="16"/>
          <w:b w:val="1"/>
          <w:bCs w:val="1"/>
          <w:i w:val="1"/>
          <w:iCs w:val="1"/>
          <w:color w:val="auto"/>
        </w:rPr>
        <w:t>Release Time</w:t>
      </w:r>
      <w:r>
        <w:rPr>
          <w:rFonts w:ascii="Times New Roman" w:cs="Times New Roman" w:eastAsia="Times New Roman" w:hAnsi="Times New Roman"/>
          <w:sz w:val="16"/>
          <w:szCs w:val="16"/>
          <w:color w:val="auto"/>
        </w:rPr>
        <w:t xml:space="preserve">”), the Company shall publicly disclose, via press release or Current Report on Form 8-K filed with the SEC, all material non-public information that was delivered to the Purchaser by the Company, its advisors or any person acting on behalf of the Company in connection with the transactions contemplated by the Note Purchase Agreements or the Exchange Agreements. After the Release Time, the Purchaser will not be under any contractual obligation to the Company to refrain from (a) disclosing the fact or the terms of the transactions contemplated by the Note Purchase Agreements or the Exchange Agreements or any other material non-public information required to be disclosed pursuant to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or (b) using or trading on such information. The Company understands and acknowledges that the Purchaser and persons acting on its behalf will rely on the representations, warranties and covenants in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in effecting transactions in the securities of the Company and of other persons. Without the prior written consent of the Purchaser (unless such disclosure is required by applicable law, rule, regulation or legal process based on advice of counsel), the Company shall not disclose (i) the name of the Purchaser in any filing or announcement or (ii) any information regarding the Purchaser’s holdings of securities of the Company or transactions in any securities of the Company at one of its prime brokers to any of the Purchaser’s other prime brokers or to any other person (other than the Company’s counsel, agents or representatives).</w:t>
      </w: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4.4 Registration Rights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1143"/>
        <w:spacing w:after="0" w:line="251" w:lineRule="auto"/>
        <w:tabs>
          <w:tab w:leader="none" w:pos="1373" w:val="left"/>
        </w:tabs>
        <w:numPr>
          <w:ilvl w:val="0"/>
          <w:numId w:val="1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agrees that, on or before May 15, 2026 (the “</w:t>
      </w:r>
      <w:r>
        <w:rPr>
          <w:rFonts w:ascii="Times New Roman" w:cs="Times New Roman" w:eastAsia="Times New Roman" w:hAnsi="Times New Roman"/>
          <w:sz w:val="16"/>
          <w:szCs w:val="16"/>
          <w:b w:val="1"/>
          <w:bCs w:val="1"/>
          <w:i w:val="1"/>
          <w:iCs w:val="1"/>
          <w:color w:val="auto"/>
        </w:rPr>
        <w:t>Filing Date</w:t>
      </w:r>
      <w:r>
        <w:rPr>
          <w:rFonts w:ascii="Times New Roman" w:cs="Times New Roman" w:eastAsia="Times New Roman" w:hAnsi="Times New Roman"/>
          <w:sz w:val="16"/>
          <w:szCs w:val="16"/>
          <w:color w:val="auto"/>
        </w:rPr>
        <w:t>”), the Company will file with the SEC, at the Company’s sole cost and expense, a registration statement for a shelf registration on Form S-1 (or Form S-3, if the Company is eligible to use Form S-3) (in either case,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registering the resale of the maximum number of shares of Common Stock issuable upon conversion of all Notes held by the Purchaser as of two Business Days prior to such filing (such shares of Common Stock issuable upon the conversion of such Notes, the “</w:t>
      </w:r>
      <w:r>
        <w:rPr>
          <w:rFonts w:ascii="Times New Roman" w:cs="Times New Roman" w:eastAsia="Times New Roman" w:hAnsi="Times New Roman"/>
          <w:sz w:val="16"/>
          <w:szCs w:val="16"/>
          <w:b w:val="1"/>
          <w:bCs w:val="1"/>
          <w:i w:val="1"/>
          <w:iCs w:val="1"/>
          <w:color w:val="auto"/>
        </w:rPr>
        <w:t>Registrable Securities</w:t>
      </w:r>
      <w:r>
        <w:rPr>
          <w:rFonts w:ascii="Times New Roman" w:cs="Times New Roman" w:eastAsia="Times New Roman" w:hAnsi="Times New Roman"/>
          <w:sz w:val="16"/>
          <w:szCs w:val="16"/>
          <w:color w:val="auto"/>
        </w:rPr>
        <w:t>”), and the Company shall use its commercially reasonable efforts to have the Registration Statement declared effective as soon as practicable after the filing thereof, but no later than the 10th Business Day after the date the Company is notified (orally or in writing, whichever is earlier) by the SEC that the Registration Statement will not be “reviewed” or will not be subject to further review (the “</w:t>
      </w:r>
      <w:r>
        <w:rPr>
          <w:rFonts w:ascii="Times New Roman" w:cs="Times New Roman" w:eastAsia="Times New Roman" w:hAnsi="Times New Roman"/>
          <w:sz w:val="16"/>
          <w:szCs w:val="16"/>
          <w:b w:val="1"/>
          <w:bCs w:val="1"/>
          <w:i w:val="1"/>
          <w:iCs w:val="1"/>
          <w:color w:val="auto"/>
        </w:rPr>
        <w:t>Effectiveness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Company’s obligations to include the Registrable Securities in the Registration Statement are contingent upon the Purchaser furnishing a completed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executed selling securityholder questionnaire in customary form to the Company that contains the information required by SEC rules for a Registration Statement regarding the Purchaser, the securities of the Company held by the Purchaser and the intended method of disposition of the Registrable Securities (which shall be limited to non-underwritten public offerings) to effect the registration of the Registrable Securities, and the Purchaser shall execute such documents in connection with such registration as the Company may reasonably request that are customary of a selling securityholder in similar situations. For purposes of clarification, any failure by the Company to file the Registration Statement by the Filing Date or to effect such Registration Statement by the Effectiveness Date shall not otherwise relieve the Company of its obligations to file or effect the Registration Statement as set forth above in this section. Notwithstanding the foregoing, if the SEC prevents the Company from including any or all of the shares of Common Stock proposed to be registered under the Registration Statement due to limitations on the use of Rule 415 of the Securities Act for the resale of the Common Stock by the applicable securityholder or otherwise, such Registration Statement shall register for resale such number of shares of Common Stock which is equal to the maximum number of shares of Common Stock as is permitted by the SEC. In such event, the number of shares of Common Stock to be registered for each selling securityholder named in the Registration Statement shall be reduced pro rata among all such selling securityholders. Unless required under applicable laws and SEC rules, in no event shall the Purchaser be identified as a statutory underwriter in the Registration Statement;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w:t>
      </w:r>
      <w:r>
        <w:rPr>
          <w:rFonts w:ascii="Times New Roman" w:cs="Times New Roman" w:eastAsia="Times New Roman" w:hAnsi="Times New Roman"/>
          <w:sz w:val="16"/>
          <w:szCs w:val="16"/>
          <w:color w:val="auto"/>
        </w:rPr>
        <w:t xml:space="preserve"> if the Purchaser is required to be so identified as a statutory underwriter in the Registration Statement, the Purchaser will have an opportunity to withdraw its Registrable Securities from the Registration Statement.</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7" w:name="page178"/>
    <w:bookmarkEnd w:id="177"/>
    <w:p>
      <w:pPr>
        <w:jc w:val="both"/>
        <w:ind w:left="4" w:firstLine="1143"/>
        <w:spacing w:after="0" w:line="255" w:lineRule="auto"/>
        <w:tabs>
          <w:tab w:leader="none" w:pos="1410" w:val="left"/>
        </w:tabs>
        <w:numPr>
          <w:ilvl w:val="2"/>
          <w:numId w:val="1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shall use its commercially reasonable efforts to keep such registration, and any qualification, exemption or compliance under state securities laws which the Company determines to obtain, continuously effective with respect to the Purchaser, and to keep the applicable Registration Statement or any subsequent shelf registration statement free of any material misstatements or omissions, until the earlier of the following: (i) the Purchaser ceases to hold any Registrable Securities and (ii) the date all Registrable Securities held by the Purchaser may be sold without restriction under Rule 144, including without limitation, any volume and manner of sale restrictions which may be applicable to affiliates under Rule 144 and without the requirement for the Company to be in compliance with the current public information required under Rule 144(c)(1) (or Rule 144(i)(2), if applicable).</w:t>
      </w:r>
    </w:p>
    <w:p>
      <w:pPr>
        <w:spacing w:after="0" w:line="161" w:lineRule="exact"/>
        <w:rPr>
          <w:rFonts w:ascii="Times New Roman" w:cs="Times New Roman" w:eastAsia="Times New Roman" w:hAnsi="Times New Roman"/>
          <w:sz w:val="16"/>
          <w:szCs w:val="16"/>
          <w:b w:val="1"/>
          <w:bCs w:val="1"/>
          <w:color w:val="auto"/>
        </w:rPr>
      </w:pPr>
    </w:p>
    <w:p>
      <w:pPr>
        <w:jc w:val="both"/>
        <w:ind w:left="4" w:firstLine="1143"/>
        <w:spacing w:after="0" w:line="270" w:lineRule="auto"/>
        <w:tabs>
          <w:tab w:leader="none" w:pos="1380" w:val="left"/>
        </w:tabs>
        <w:numPr>
          <w:ilvl w:val="2"/>
          <w:numId w:val="1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herein to the contrary, the Company may suspend the use of any prospectus (a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included in any Registration Statement contemplated by this Section in the event that the Company’s Board of Directors determines in good faith that such suspension is necessary to (A) delay the disclosure of material non-public information concerning the Company, the disclosure of which at the time is not, in the good faith opinion of the Company’s Board of Directors,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5"/>
          <w:szCs w:val="15"/>
          <w:b w:val="1"/>
          <w:bCs w:val="1"/>
          <w:i w:val="1"/>
          <w:iCs w:val="1"/>
          <w:color w:val="auto"/>
        </w:rPr>
        <w:t>Allowed Registration Delay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Company shall promptly</w:t>
      </w:r>
    </w:p>
    <w:p>
      <w:pPr>
        <w:spacing w:after="0" w:line="3" w:lineRule="exact"/>
        <w:rPr>
          <w:rFonts w:ascii="Times New Roman" w:cs="Times New Roman" w:eastAsia="Times New Roman" w:hAnsi="Times New Roman"/>
          <w:sz w:val="15"/>
          <w:szCs w:val="15"/>
          <w:b w:val="1"/>
          <w:bCs w:val="1"/>
          <w:color w:val="auto"/>
        </w:rPr>
      </w:pPr>
    </w:p>
    <w:p>
      <w:pPr>
        <w:jc w:val="both"/>
        <w:ind w:left="4" w:hanging="4"/>
        <w:spacing w:after="0" w:line="252" w:lineRule="auto"/>
        <w:tabs>
          <w:tab w:leader="none" w:pos="222"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Purchaser in writing of the commencement of and the reasons for an Allowed Registration Delay, but shall not (without the prior written consent of the Purchaser) disclose to the Purchaser any material non-public information giving rise to an Allowed Registration Delay, (b) advise the Purchaser in writing to cease all sales under the Registration Statement until the end of the Allowed Registration Delay and (c) use commercially reasonable efforts to terminate an Allowed Registration Delay as promptly as practicable.</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3" w:lineRule="auto"/>
        <w:tabs>
          <w:tab w:leader="none" w:pos="1377" w:val="left"/>
        </w:tabs>
        <w:numPr>
          <w:ilvl w:val="2"/>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does not file a Registration Statement with the SEC covering the Registrable Securities on or prior to the Filing Date (other than as a result of an Allowed Registration Delay), the Company will make up to two payments to the Purchaser, as liquidated damages and not as a penalty, in an amount equal to 1.0% of the product of (a) the number of shares for which the Notes comprising Registrable Securities may then be converted and that may not be sold without restriction under Rule 144 multiplied by (b) $1.13 per share, for each 30-day period or pro rata for any portion thereof following the Filing Date for which no Registration Statement is filed with respect to the Registrable Securities. Such payments shall constitute the Purchaser’s exclusive monetary remedy for the Company’s breach of Section 4.4(a) only, but shall not affect the right of the Purchaser to seek injunctive relief. Such payments shall be made to the Purchaser in cash no later than 10 Business Days after the end of each 30-day period referred to above, and such payments shall be in addition to, and not in lieu of, any payments required to be made by the Company to the Holders pursuant to Section 4.6(b) of the Indenture.</w:t>
      </w:r>
    </w:p>
    <w:p>
      <w:pPr>
        <w:spacing w:after="0" w:line="167"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198" w:lineRule="exact"/>
        <w:rPr>
          <w:sz w:val="20"/>
          <w:szCs w:val="20"/>
          <w:color w:val="auto"/>
        </w:rPr>
      </w:pPr>
    </w:p>
    <w:p>
      <w:pPr>
        <w:jc w:val="both"/>
        <w:ind w:left="4"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5.1 Binding Agreement</w:t>
      </w:r>
      <w:r>
        <w:rPr>
          <w:rFonts w:ascii="Times New Roman" w:cs="Times New Roman" w:eastAsia="Times New Roman" w:hAnsi="Times New Roman"/>
          <w:sz w:val="16"/>
          <w:szCs w:val="16"/>
          <w:color w:val="auto"/>
        </w:rPr>
        <w:t>. The terms and conditions of this Agreement shall inure to the benefit of and be binding upon the respective successors and assigns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parties. No party to this Agreement may assign this Agreement or its rights or obligations hereunder without the prior written consent of the other party hereto. Nothing in this Agreement, expressed or implied, is intended to confer upon any third party any rights, remedies, obligations, or liabilities under or by reason of this Agreement, except as set forth in Section 5.14 and as otherwise expressly provided in this Agreement.</w:t>
      </w:r>
    </w:p>
    <w:p>
      <w:pPr>
        <w:spacing w:after="0" w:line="159"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6"/>
          <w:szCs w:val="16"/>
          <w:b w:val="1"/>
          <w:bCs w:val="1"/>
          <w:color w:val="auto"/>
        </w:rPr>
        <w:t>5.2 Governing Law; Waiver of Jury Trial</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4" w:firstLine="1143"/>
        <w:spacing w:after="0" w:line="280" w:lineRule="auto"/>
        <w:tabs>
          <w:tab w:leader="none" w:pos="1389" w:val="left"/>
        </w:tabs>
        <w:numPr>
          <w:ilvl w:val="0"/>
          <w:numId w:val="1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Agreement and the Note shall be governed by and construed under the laws of the State of Delaware as applied to agreements among Delaware residents, made and to be performed entirely within the State of Delaware, without giving effect to conflicts of laws principles.</w:t>
      </w:r>
    </w:p>
    <w:p>
      <w:pPr>
        <w:spacing w:after="0" w:line="144" w:lineRule="exact"/>
        <w:rPr>
          <w:rFonts w:ascii="Times New Roman" w:cs="Times New Roman" w:eastAsia="Times New Roman" w:hAnsi="Times New Roman"/>
          <w:sz w:val="16"/>
          <w:szCs w:val="16"/>
          <w:b w:val="1"/>
          <w:bCs w:val="1"/>
          <w:color w:val="auto"/>
        </w:rPr>
      </w:pPr>
    </w:p>
    <w:p>
      <w:pPr>
        <w:jc w:val="both"/>
        <w:ind w:left="4" w:right="20" w:firstLine="1143"/>
        <w:spacing w:after="0" w:line="265" w:lineRule="auto"/>
        <w:tabs>
          <w:tab w:leader="none" w:pos="1422" w:val="left"/>
        </w:tabs>
        <w:numPr>
          <w:ilvl w:val="0"/>
          <w:numId w:val="1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OF THE COMPANY AND THE PURCHASER HEREBY IRREVOCABLY WAIVES, TO THE FULLEST EXTENT PERMITTED BY APPLICABLE LAW, ANY AND ALL RIGHT TO TRIAL BY JURY IN ANY LEGAL PROCEEDING ARISING OUT OF OR RELATING TO THIS THIS AGREEMENT, THE OTHER NOTE DOCUMENTS OR THE TRANSACTIONS CONTEMPLATED THIS AGREEMENT OR THE OTHER NOTE DOCUMENTS.</w:t>
      </w:r>
    </w:p>
    <w:p>
      <w:pPr>
        <w:spacing w:after="0" w:line="347"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78" w:name="page179"/>
    <w:bookmarkEnd w:id="178"/>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5.3 Counterparts</w:t>
      </w:r>
      <w:r>
        <w:rPr>
          <w:rFonts w:ascii="Times New Roman" w:cs="Times New Roman" w:eastAsia="Times New Roman" w:hAnsi="Times New Roman"/>
          <w:sz w:val="16"/>
          <w:szCs w:val="16"/>
          <w:color w:val="auto"/>
        </w:rPr>
        <w:t>. This Agreement may be executed in two or more counterparts, each of which shall be deemed an original, but all of which together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9" w:lineRule="exact"/>
        <w:rPr>
          <w:sz w:val="20"/>
          <w:szCs w:val="20"/>
          <w:color w:val="auto"/>
        </w:rPr>
      </w:pPr>
    </w:p>
    <w:p>
      <w:pPr>
        <w:jc w:val="both"/>
        <w:ind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5.4 Titles and Subtitles</w:t>
      </w:r>
      <w:r>
        <w:rPr>
          <w:rFonts w:ascii="Times New Roman" w:cs="Times New Roman" w:eastAsia="Times New Roman" w:hAnsi="Times New Roman"/>
          <w:sz w:val="16"/>
          <w:szCs w:val="16"/>
          <w:color w:val="auto"/>
        </w:rPr>
        <w:t>. The titles and subtitles used in this Agreement are used for convenience only and are not to be considered in construing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interpreting this Agreement.</w:t>
      </w:r>
    </w:p>
    <w:p>
      <w:pPr>
        <w:spacing w:after="0" w:line="140" w:lineRule="exact"/>
        <w:rPr>
          <w:sz w:val="20"/>
          <w:szCs w:val="20"/>
          <w:color w:val="auto"/>
        </w:rPr>
      </w:pPr>
    </w:p>
    <w:p>
      <w:pPr>
        <w:jc w:val="both"/>
        <w:ind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5.5 Notices</w:t>
      </w:r>
      <w:r>
        <w:rPr>
          <w:rFonts w:ascii="Times New Roman" w:cs="Times New Roman" w:eastAsia="Times New Roman" w:hAnsi="Times New Roman"/>
          <w:sz w:val="16"/>
          <w:szCs w:val="16"/>
          <w:color w:val="auto"/>
        </w:rPr>
        <w:t>. All notices required or permitted under this Agreement or the Note shall be in writing and shall be deemed effectively given (i) upon personal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delivery to the party to be notified, (ii) when sent by confirmed electronic mail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to a party shall be sent to the party’s address set forth on the signature page or at such other address(es) as such party may designate by 10 days’ advance written notice to the other party hereto. A copy of any notice to the Company shall be sent to Arnold &amp; Porter Kaye Scholer LLP, 250 W.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New York, NY, Attn: Michael Penney, e-mail: michael.penney@arnoldporter.com.</w:t>
      </w:r>
    </w:p>
    <w:p>
      <w:pPr>
        <w:spacing w:after="0" w:line="49"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5.6 Modification; Waiver; Amendment</w:t>
      </w:r>
      <w:r>
        <w:rPr>
          <w:rFonts w:ascii="Times New Roman" w:cs="Times New Roman" w:eastAsia="Times New Roman" w:hAnsi="Times New Roman"/>
          <w:sz w:val="16"/>
          <w:szCs w:val="16"/>
          <w:color w:val="auto"/>
        </w:rPr>
        <w:t>. No modification or waiver of any provision of this Agreement or consent to departure therefrom shall be 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in writing by the Company and the Purchaser.</w:t>
      </w:r>
    </w:p>
    <w:p>
      <w:pPr>
        <w:spacing w:after="0" w:line="140" w:lineRule="exact"/>
        <w:rPr>
          <w:sz w:val="20"/>
          <w:szCs w:val="20"/>
          <w:color w:val="auto"/>
        </w:rPr>
      </w:pPr>
    </w:p>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5.7 Further Assurances</w:t>
      </w:r>
      <w:r>
        <w:rPr>
          <w:rFonts w:ascii="Times New Roman" w:cs="Times New Roman" w:eastAsia="Times New Roman" w:hAnsi="Times New Roman"/>
          <w:sz w:val="16"/>
          <w:szCs w:val="16"/>
          <w:color w:val="auto"/>
        </w:rPr>
        <w:t>. The Purchaser agrees and covenants that at any time and from time to time it will promptly execute and deliver to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further instruments and documents and take such further action as the Company may reasonably require in order to carry out the full intent and purpose of this Agreement and to comply with state or federal securities laws or other regulatory approvals.</w:t>
      </w:r>
    </w:p>
    <w:p>
      <w:pPr>
        <w:spacing w:after="0" w:line="153"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5.8 Expenses</w:t>
      </w:r>
      <w:r>
        <w:rPr>
          <w:rFonts w:ascii="Times New Roman" w:cs="Times New Roman" w:eastAsia="Times New Roman" w:hAnsi="Times New Roman"/>
          <w:sz w:val="16"/>
          <w:szCs w:val="16"/>
          <w:color w:val="auto"/>
        </w:rPr>
        <w:t>. The Company and the Purchaser shall each bear its respective expenses and legal fees incurred with respect to this Agreement, the Note,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transactions contemplated hereby and thereby.</w:t>
      </w:r>
    </w:p>
    <w:p>
      <w:pPr>
        <w:spacing w:after="0" w:line="140"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b w:val="1"/>
          <w:bCs w:val="1"/>
          <w:color w:val="auto"/>
        </w:rPr>
        <w:t>5.9 Delays or Omissions</w:t>
      </w:r>
      <w:r>
        <w:rPr>
          <w:rFonts w:ascii="Times New Roman" w:cs="Times New Roman" w:eastAsia="Times New Roman" w:hAnsi="Times New Roman"/>
          <w:sz w:val="16"/>
          <w:szCs w:val="16"/>
          <w:color w:val="auto"/>
        </w:rPr>
        <w:t>. It is agreed that no delay or omission to exercise any right, power or remedy accruing to the Purchaser, upon any breach or default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under this Agreement or the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Purchaser of any breach or default under this Agreement or any Note, or any waiver by the Purchaser of any provisions or conditions of this Agreement or the Note must be in writing and shall be effective only to the extent specifically set forth in writing and that all remedies, either under this Agreement or the Note, or by law or otherwise afforded to the Purchaser, shall be cumulative and not alternative.</w:t>
      </w: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9" w:name="page180"/>
    <w:bookmarkEnd w:id="179"/>
    <w:p>
      <w:pPr>
        <w:jc w:val="both"/>
        <w:ind w:left="4"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5.10 Exculpation Among Other Note Purchasers</w:t>
      </w:r>
      <w:r>
        <w:rPr>
          <w:rFonts w:ascii="Times New Roman" w:cs="Times New Roman" w:eastAsia="Times New Roman" w:hAnsi="Times New Roman"/>
          <w:sz w:val="16"/>
          <w:szCs w:val="16"/>
          <w:color w:val="auto"/>
        </w:rPr>
        <w:t>. The Purchaser acknowledges that the Purchaser is not relying on any person, firm or corporation,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the Company and its officers and Board members, in making the Purchaser’s investment or decision to invest in the Company.</w:t>
      </w:r>
    </w:p>
    <w:p>
      <w:pPr>
        <w:spacing w:after="0" w:line="140" w:lineRule="exact"/>
        <w:rPr>
          <w:sz w:val="20"/>
          <w:szCs w:val="20"/>
          <w:color w:val="auto"/>
        </w:rPr>
      </w:pPr>
    </w:p>
    <w:p>
      <w:pPr>
        <w:jc w:val="both"/>
        <w:ind w:left="4"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5.11 Entire Agreement</w:t>
      </w:r>
      <w:r>
        <w:rPr>
          <w:rFonts w:ascii="Times New Roman" w:cs="Times New Roman" w:eastAsia="Times New Roman" w:hAnsi="Times New Roman"/>
          <w:sz w:val="16"/>
          <w:szCs w:val="16"/>
          <w:color w:val="auto"/>
        </w:rPr>
        <w:t>. This Agreement and the other Note Documents constitute the full and entire understanding and agreement between the parties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regard to the subjects hereof and no party shall be liable or bound to any other party in any manner by any representations, warranties, covenants and agreements except as specifically set forth herein.</w:t>
      </w:r>
    </w:p>
    <w:p>
      <w:pPr>
        <w:spacing w:after="0" w:line="151" w:lineRule="exact"/>
        <w:rPr>
          <w:sz w:val="20"/>
          <w:szCs w:val="20"/>
          <w:color w:val="auto"/>
        </w:rPr>
      </w:pPr>
    </w:p>
    <w:p>
      <w:pPr>
        <w:jc w:val="both"/>
        <w:ind w:left="4"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5.12 Waiver of Conflicts</w:t>
      </w:r>
      <w:r>
        <w:rPr>
          <w:rFonts w:ascii="Times New Roman" w:cs="Times New Roman" w:eastAsia="Times New Roman" w:hAnsi="Times New Roman"/>
          <w:sz w:val="16"/>
          <w:szCs w:val="16"/>
          <w:color w:val="auto"/>
        </w:rPr>
        <w:t>. Each party to this Agreement acknowledges that Arnold &amp; Porter Kaye Scholer LLP (“</w:t>
      </w:r>
      <w:r>
        <w:rPr>
          <w:rFonts w:ascii="Times New Roman" w:cs="Times New Roman" w:eastAsia="Times New Roman" w:hAnsi="Times New Roman"/>
          <w:sz w:val="16"/>
          <w:szCs w:val="16"/>
          <w:b w:val="1"/>
          <w:bCs w:val="1"/>
          <w:i w:val="1"/>
          <w:iCs w:val="1"/>
          <w:color w:val="auto"/>
        </w:rPr>
        <w:t>A&amp;P</w:t>
      </w:r>
      <w:r>
        <w:rPr>
          <w:rFonts w:ascii="Times New Roman" w:cs="Times New Roman" w:eastAsia="Times New Roman" w:hAnsi="Times New Roman"/>
          <w:sz w:val="16"/>
          <w:szCs w:val="16"/>
          <w:color w:val="auto"/>
        </w:rPr>
        <w:t>”) has acted as counsel solely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with respect to the this Agreement, the Note Documents the Collateral Documents and the transactions contemplated hereby and thereby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and has negotiated the terms of the Transactions solely on behalf of the Company. A&amp;P may have, in the past, represented and/or may, now or in the future, represent the Purchaser and/or its affiliates in other matters, including matters that are similar, but not substantially related, to the Transactions. The applicable rules of professional conduct require that A&amp;P inform its clients of these representations and obtain their waivers of the conflicts that may arise from such representations. Each of the Company and the Purchaser hereby (i) acknowledges that such party has been advised about such circumstances and has had an opportunity to ask for additional information, (ii) acknowledges that, with respect to the Transactions, A&amp;P has represented solely the Company and no other party, and (iii) gives its informed consent to A&amp;P’s representation of the Company in the Transactions and A&amp;P’s representation of the Purchaser and/or its affiliates in other matters.</w:t>
      </w:r>
    </w:p>
    <w:p>
      <w:pPr>
        <w:spacing w:after="0" w:line="163" w:lineRule="exact"/>
        <w:rPr>
          <w:sz w:val="20"/>
          <w:szCs w:val="20"/>
          <w:color w:val="auto"/>
        </w:rPr>
      </w:pPr>
    </w:p>
    <w:p>
      <w:pPr>
        <w:jc w:val="both"/>
        <w:ind w:left="4" w:firstLine="1147"/>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5.13 Consent. </w:t>
      </w:r>
      <w:r>
        <w:rPr>
          <w:rFonts w:ascii="Times New Roman" w:cs="Times New Roman" w:eastAsia="Times New Roman" w:hAnsi="Times New Roman"/>
          <w:sz w:val="15"/>
          <w:szCs w:val="15"/>
          <w:color w:val="auto"/>
        </w:rPr>
        <w:t>If the Purchaser is a holder of the Company’s 7.00% Convertible Senior Notes due 2029 (the “</w:t>
      </w:r>
      <w:r>
        <w:rPr>
          <w:rFonts w:ascii="Times New Roman" w:cs="Times New Roman" w:eastAsia="Times New Roman" w:hAnsi="Times New Roman"/>
          <w:sz w:val="15"/>
          <w:szCs w:val="15"/>
          <w:b w:val="1"/>
          <w:bCs w:val="1"/>
          <w:i w:val="1"/>
          <w:iCs w:val="1"/>
          <w:color w:val="auto"/>
        </w:rPr>
        <w:t>7.00% Notes</w:t>
      </w:r>
      <w:r>
        <w:rPr>
          <w:rFonts w:ascii="Times New Roman" w:cs="Times New Roman" w:eastAsia="Times New Roman" w:hAnsi="Times New Roman"/>
          <w:sz w:val="15"/>
          <w:szCs w:val="15"/>
          <w:color w:val="auto"/>
        </w:rPr>
        <w:t>”), as previously issued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Indenture, dated as of September 16, 2024, between the Company and the Trustee (the “</w:t>
      </w:r>
      <w:r>
        <w:rPr>
          <w:rFonts w:ascii="Times New Roman" w:cs="Times New Roman" w:eastAsia="Times New Roman" w:hAnsi="Times New Roman"/>
          <w:sz w:val="15"/>
          <w:szCs w:val="15"/>
          <w:b w:val="1"/>
          <w:bCs w:val="1"/>
          <w:i w:val="1"/>
          <w:iCs w:val="1"/>
          <w:color w:val="auto"/>
        </w:rPr>
        <w:t>7.00% Notes Indenture</w:t>
      </w:r>
      <w:r>
        <w:rPr>
          <w:rFonts w:ascii="Times New Roman" w:cs="Times New Roman" w:eastAsia="Times New Roman" w:hAnsi="Times New Roman"/>
          <w:sz w:val="15"/>
          <w:szCs w:val="15"/>
          <w:color w:val="auto"/>
        </w:rPr>
        <w:t>”), then the Purchaser further hereby consents, confirms and agrees, in accordance with Sections 4.07 and 8.01 of the 7.00% Notes Indenture, as well as the other applicable provisions of the 7.00% Notes Indenture, that the Company may</w:t>
      </w:r>
    </w:p>
    <w:p>
      <w:pPr>
        <w:spacing w:after="0" w:line="1" w:lineRule="exact"/>
        <w:rPr>
          <w:sz w:val="20"/>
          <w:szCs w:val="20"/>
          <w:color w:val="auto"/>
        </w:rPr>
      </w:pPr>
    </w:p>
    <w:p>
      <w:pPr>
        <w:jc w:val="both"/>
        <w:ind w:left="4" w:right="20" w:hanging="4"/>
        <w:spacing w:after="0" w:line="252" w:lineRule="auto"/>
        <w:tabs>
          <w:tab w:leader="none" w:pos="23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the Notes pursuant to the Note Purchase Agreements, (y) authorize and grant the security interest in the Collateral (as defined in the Indenture) in accordance with the Indenture and related Collateral Documents (as defined in the Indenture) and (z) enter into one or more Note Purchase Agreements and consummate the transactions thereunder. The Purchaser confirms that the consent provided under this Section 5.13 constitutes an action by the Purchaser in its capacity as a “Holder” with respect to the matters that are the subject matter of this consent for all purposes under Section 8.01 of the 7.00% Notes Indenture.</w:t>
      </w:r>
    </w:p>
    <w:p>
      <w:pPr>
        <w:spacing w:after="0" w:line="165" w:lineRule="exact"/>
        <w:rPr>
          <w:sz w:val="20"/>
          <w:szCs w:val="20"/>
          <w:color w:val="auto"/>
        </w:rPr>
      </w:pPr>
    </w:p>
    <w:p>
      <w:pPr>
        <w:jc w:val="both"/>
        <w:ind w:left="4"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5.14 Third Party Beneficiary. </w:t>
      </w:r>
      <w:r>
        <w:rPr>
          <w:rFonts w:ascii="Times New Roman" w:cs="Times New Roman" w:eastAsia="Times New Roman" w:hAnsi="Times New Roman"/>
          <w:sz w:val="16"/>
          <w:szCs w:val="16"/>
          <w:color w:val="auto"/>
        </w:rPr>
        <w:t>The Placement Agent shall be a third-party beneficiary to this Agreement, the representations, warranties, covenants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of the Company contained herein and the representations, covenants and agreements of the Noteholders contained herein shall inure to the benefit the Placement Agent, and the Placement Agent shall have the right to enforce the agreements made hereunder directly as if it were a party hereto.</w:t>
      </w:r>
    </w:p>
    <w:p>
      <w:pPr>
        <w:spacing w:after="0" w:line="153" w:lineRule="exact"/>
        <w:rPr>
          <w:sz w:val="20"/>
          <w:szCs w:val="20"/>
          <w:color w:val="auto"/>
        </w:rPr>
      </w:pPr>
    </w:p>
    <w:p>
      <w:pPr>
        <w:ind w:left="1144"/>
        <w:spacing w:after="0"/>
        <w:rPr>
          <w:sz w:val="20"/>
          <w:szCs w:val="20"/>
          <w:color w:val="auto"/>
        </w:rPr>
      </w:pPr>
      <w:r>
        <w:rPr>
          <w:rFonts w:ascii="Times New Roman" w:cs="Times New Roman" w:eastAsia="Times New Roman" w:hAnsi="Times New Roman"/>
          <w:sz w:val="15"/>
          <w:szCs w:val="15"/>
          <w:b w:val="1"/>
          <w:bCs w:val="1"/>
          <w:color w:val="auto"/>
        </w:rPr>
        <w:t>5.15 Survival</w:t>
      </w:r>
      <w:r>
        <w:rPr>
          <w:rFonts w:ascii="Times New Roman" w:cs="Times New Roman" w:eastAsia="Times New Roman" w:hAnsi="Times New Roman"/>
          <w:sz w:val="15"/>
          <w:szCs w:val="15"/>
          <w:color w:val="auto"/>
        </w:rPr>
        <w:t>. The representations, warranties and covenants of the Company and the Purchaser contained herein and this Section 5 shall survive the Closing.</w:t>
      </w: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i w:val="1"/>
          <w:iCs w:val="1"/>
          <w:color w:val="auto"/>
        </w:rPr>
        <w:t>[Signature pages follow]</w:t>
      </w:r>
    </w:p>
    <w:p>
      <w:pPr>
        <w:spacing w:after="0" w:line="39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80" w:name="page181"/>
    <w:bookmarkEnd w:id="180"/>
    <w:p>
      <w:pPr>
        <w:ind w:left="560"/>
        <w:spacing w:after="0"/>
        <w:rPr>
          <w:sz w:val="20"/>
          <w:szCs w:val="20"/>
          <w:color w:val="auto"/>
        </w:rPr>
      </w:pPr>
      <w:r>
        <w:rPr>
          <w:rFonts w:ascii="Times New Roman" w:cs="Times New Roman" w:eastAsia="Times New Roman" w:hAnsi="Times New Roman"/>
          <w:sz w:val="15"/>
          <w:szCs w:val="15"/>
          <w:color w:val="auto"/>
        </w:rPr>
        <w:t xml:space="preserve">The parties have executed this </w:t>
      </w:r>
      <w:r>
        <w:rPr>
          <w:rFonts w:ascii="Times New Roman" w:cs="Times New Roman" w:eastAsia="Times New Roman" w:hAnsi="Times New Roman"/>
          <w:sz w:val="15"/>
          <w:szCs w:val="15"/>
          <w:b w:val="1"/>
          <w:bCs w:val="1"/>
          <w:color w:val="auto"/>
        </w:rPr>
        <w:t>Note Purchase Agreement</w:t>
      </w:r>
      <w:r>
        <w:rPr>
          <w:rFonts w:ascii="Times New Roman" w:cs="Times New Roman" w:eastAsia="Times New Roman" w:hAnsi="Times New Roman"/>
          <w:sz w:val="15"/>
          <w:szCs w:val="15"/>
          <w:color w:val="auto"/>
        </w:rPr>
        <w:t xml:space="preserve"> as of the date first written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un</w:t>
      </w:r>
      <w:r>
        <w:rPr>
          <w:rFonts w:ascii="Times New Roman" w:cs="Times New Roman" w:eastAsia="Times New Roman" w:hAnsi="Times New Roman"/>
          <w:sz w:val="16"/>
          <w:szCs w:val="16"/>
          <w:b w:val="1"/>
          <w:bCs w:val="1"/>
          <w:color w:val="auto"/>
        </w:rPr>
        <w:t>P</w:t>
      </w:r>
      <w:r>
        <w:rPr>
          <w:rFonts w:ascii="Times New Roman" w:cs="Times New Roman" w:eastAsia="Times New Roman" w:hAnsi="Times New Roman"/>
          <w:sz w:val="10"/>
          <w:szCs w:val="10"/>
          <w:b w:val="1"/>
          <w:bCs w:val="1"/>
          <w:color w:val="auto"/>
        </w:rPr>
        <w:t>ower</w:t>
      </w:r>
      <w:r>
        <w:rPr>
          <w:rFonts w:ascii="Times New Roman" w:cs="Times New Roman" w:eastAsia="Times New Roman" w:hAnsi="Times New Roman"/>
          <w:sz w:val="16"/>
          <w:szCs w:val="16"/>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15240</wp:posOffset>
            </wp:positionV>
            <wp:extent cx="264096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Thurman Rodgers</w:t>
      </w:r>
    </w:p>
    <w:p>
      <w:pPr>
        <w:spacing w:after="0" w:line="2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Address: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1403 N. Research Way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Orem, UT 84097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Nicolas Wenker, Chief Legal Officer and General Counsel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5"/>
          <w:szCs w:val="15"/>
          <w:color w:val="auto"/>
        </w:rPr>
        <w:t xml:space="preserve">The parties have executed this </w:t>
      </w:r>
      <w:r>
        <w:rPr>
          <w:rFonts w:ascii="Times New Roman" w:cs="Times New Roman" w:eastAsia="Times New Roman" w:hAnsi="Times New Roman"/>
          <w:sz w:val="15"/>
          <w:szCs w:val="15"/>
          <w:b w:val="1"/>
          <w:bCs w:val="1"/>
          <w:color w:val="auto"/>
        </w:rPr>
        <w:t>Note Purchase Agreement</w:t>
      </w:r>
      <w:r>
        <w:rPr>
          <w:rFonts w:ascii="Times New Roman" w:cs="Times New Roman" w:eastAsia="Times New Roman" w:hAnsi="Times New Roman"/>
          <w:sz w:val="15"/>
          <w:szCs w:val="15"/>
          <w:color w:val="auto"/>
        </w:rPr>
        <w:t xml:space="preserve"> as of the date first written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3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 PURCHASE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(AFFILIATE NOTES)</w:t>
      </w:r>
    </w:p>
    <w:p>
      <w:pPr>
        <w:spacing w:after="0" w:line="178" w:lineRule="exact"/>
        <w:rPr>
          <w:sz w:val="20"/>
          <w:szCs w:val="20"/>
          <w:color w:val="auto"/>
        </w:rPr>
      </w:pPr>
    </w:p>
    <w:p>
      <w:pPr>
        <w:jc w:val="both"/>
        <w:ind w:right="20" w:firstLine="574"/>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THIS NOTE PURCHASE AGREEMENT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made as of April 21, 2026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by and between</w:t>
      </w:r>
      <w:r>
        <w:rPr>
          <w:rFonts w:ascii="Times New Roman" w:cs="Times New Roman" w:eastAsia="Times New Roman" w:hAnsi="Times New Roman"/>
          <w:sz w:val="16"/>
          <w:szCs w:val="16"/>
          <w:b w:val="1"/>
          <w:bCs w:val="1"/>
          <w:color w:val="auto"/>
        </w:rPr>
        <w:t xml:space="preserve"> SunPower Inc.</w:t>
      </w:r>
      <w:r>
        <w:rPr>
          <w:rFonts w:ascii="Times New Roman" w:cs="Times New Roman" w:eastAsia="Times New Roman" w:hAnsi="Times New Roman"/>
          <w:sz w:val="16"/>
          <w:szCs w:val="16"/>
          <w:color w:val="auto"/>
        </w:rPr>
        <w:t>, a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the party named on the signature page attached hereto (the “</w:t>
      </w:r>
      <w:r>
        <w:rPr>
          <w:rFonts w:ascii="Times New Roman" w:cs="Times New Roman" w:eastAsia="Times New Roman" w:hAnsi="Times New Roman"/>
          <w:sz w:val="16"/>
          <w:szCs w:val="16"/>
          <w:b w:val="1"/>
          <w:bCs w:val="1"/>
          <w:i w:val="1"/>
          <w:iCs w:val="1"/>
          <w:color w:val="auto"/>
        </w:rPr>
        <w:t>Purchaser</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has authorized, upon the terms and conditions stated in this Agreement, the sale and issuance of 10.00% Convertible Senior Notes due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2029 (the “</w:t>
      </w:r>
      <w:r>
        <w:rPr>
          <w:rFonts w:ascii="Times New Roman" w:cs="Times New Roman" w:eastAsia="Times New Roman" w:hAnsi="Times New Roman"/>
          <w:sz w:val="16"/>
          <w:szCs w:val="16"/>
          <w:b w:val="1"/>
          <w:bCs w:val="1"/>
          <w:i w:val="1"/>
          <w:iCs w:val="1"/>
          <w:color w:val="auto"/>
        </w:rPr>
        <w:t>Notes</w:t>
      </w:r>
      <w:r>
        <w:rPr>
          <w:rFonts w:ascii="Times New Roman" w:cs="Times New Roman" w:eastAsia="Times New Roman" w:hAnsi="Times New Roman"/>
          <w:sz w:val="16"/>
          <w:szCs w:val="16"/>
          <w:color w:val="auto"/>
        </w:rPr>
        <w:t>”) to various purchasers under those certain Note Purchase Agreements entered into on or about the Effective Date (collectively, the “</w:t>
      </w:r>
      <w:r>
        <w:rPr>
          <w:rFonts w:ascii="Times New Roman" w:cs="Times New Roman" w:eastAsia="Times New Roman" w:hAnsi="Times New Roman"/>
          <w:sz w:val="16"/>
          <w:szCs w:val="16"/>
          <w:b w:val="1"/>
          <w:bCs w:val="1"/>
          <w:i w:val="1"/>
          <w:iCs w:val="1"/>
          <w:color w:val="auto"/>
        </w:rPr>
        <w:t>Note 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Agreements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Notes will be issued pursuant to the Indenture to be entered into as of the Closing (as defined below) between U.S. Bank Trust Company, National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Association, as trustee (in such capacity,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and collateral agent (in such capacity, the “</w:t>
      </w:r>
      <w:r>
        <w:rPr>
          <w:rFonts w:ascii="Times New Roman" w:cs="Times New Roman" w:eastAsia="Times New Roman" w:hAnsi="Times New Roman"/>
          <w:sz w:val="16"/>
          <w:szCs w:val="16"/>
          <w:b w:val="1"/>
          <w:bCs w:val="1"/>
          <w:i w:val="1"/>
          <w:iCs w:val="1"/>
          <w:color w:val="auto"/>
        </w:rPr>
        <w:t>Collateral Agent</w:t>
      </w:r>
      <w:r>
        <w:rPr>
          <w:rFonts w:ascii="Times New Roman" w:cs="Times New Roman" w:eastAsia="Times New Roman" w:hAnsi="Times New Roman"/>
          <w:sz w:val="16"/>
          <w:szCs w:val="16"/>
          <w:color w:val="auto"/>
        </w:rPr>
        <w:t>”), the Company, as issuer, and each guarantor party thereto (as supplemented or amended, the “</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Purchaser previously funded (a) $1,000,000 to the Company on May 13, 2024 pursuant to the simple agreement for future equity entered into on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13, 2024 between the Company and the Purchaser (the “</w:t>
      </w:r>
      <w:r>
        <w:rPr>
          <w:rFonts w:ascii="Times New Roman" w:cs="Times New Roman" w:eastAsia="Times New Roman" w:hAnsi="Times New Roman"/>
          <w:sz w:val="16"/>
          <w:szCs w:val="16"/>
          <w:b w:val="1"/>
          <w:bCs w:val="1"/>
          <w:i w:val="1"/>
          <w:iCs w:val="1"/>
          <w:color w:val="auto"/>
        </w:rPr>
        <w:t>May 2024 SAFE</w:t>
      </w:r>
      <w:r>
        <w:rPr>
          <w:rFonts w:ascii="Times New Roman" w:cs="Times New Roman" w:eastAsia="Times New Roman" w:hAnsi="Times New Roman"/>
          <w:sz w:val="16"/>
          <w:szCs w:val="16"/>
          <w:color w:val="auto"/>
        </w:rPr>
        <w:t>”) and (b) $5,000,000 to the Company pursuant to the simple agreement for future equity entered into on April 8, 2026 between the Company and the Purchaser (the “</w:t>
      </w:r>
      <w:r>
        <w:rPr>
          <w:rFonts w:ascii="Times New Roman" w:cs="Times New Roman" w:eastAsia="Times New Roman" w:hAnsi="Times New Roman"/>
          <w:sz w:val="16"/>
          <w:szCs w:val="16"/>
          <w:b w:val="1"/>
          <w:bCs w:val="1"/>
          <w:i w:val="1"/>
          <w:iCs w:val="1"/>
          <w:color w:val="auto"/>
        </w:rPr>
        <w:t>April 2026 SAFE</w:t>
      </w:r>
      <w:r>
        <w:rPr>
          <w:rFonts w:ascii="Times New Roman" w:cs="Times New Roman" w:eastAsia="Times New Roman" w:hAnsi="Times New Roman"/>
          <w:sz w:val="16"/>
          <w:szCs w:val="16"/>
          <w:color w:val="auto"/>
        </w:rPr>
        <w:t>” and together with the May 2024 SAFE, collectively, the “</w:t>
      </w:r>
      <w:r>
        <w:rPr>
          <w:rFonts w:ascii="Times New Roman" w:cs="Times New Roman" w:eastAsia="Times New Roman" w:hAnsi="Times New Roman"/>
          <w:sz w:val="16"/>
          <w:szCs w:val="16"/>
          <w:b w:val="1"/>
          <w:bCs w:val="1"/>
          <w:i w:val="1"/>
          <w:iCs w:val="1"/>
          <w:color w:val="auto"/>
        </w:rPr>
        <w:t>SAFEs</w:t>
      </w:r>
      <w:r>
        <w:rPr>
          <w:rFonts w:ascii="Times New Roman" w:cs="Times New Roman" w:eastAsia="Times New Roman" w:hAnsi="Times New Roman"/>
          <w:sz w:val="16"/>
          <w:szCs w:val="16"/>
          <w:color w:val="auto"/>
        </w:rPr>
        <w:t>”); and</w:t>
      </w:r>
    </w:p>
    <w:p>
      <w:pPr>
        <w:spacing w:after="0" w:line="153"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the terms and subject to the conditions set forth in this Agreement and pursuant to Section 4(a)(2) of the Securities Act of 1933, as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the rules and regulations promulgated thereunder,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xml:space="preserve">”), on the Closing Date, the Company will issue and sell to Purchaser, and Purchaser will purchase from the Company, Notes, comprising Affiliate Notes (as defined in the Indenture),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in consideration of the mutual covenants contained in this Agreement, and for other good and valuable consideration, the receipt and adequacy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are hereby acknowledged, the Company and the Purchaser agree as follows: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1. Purchase and Sale of Notes</w:t>
      </w:r>
    </w:p>
    <w:p>
      <w:pPr>
        <w:spacing w:after="0" w:line="198"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1.1 Issuance of Notes</w:t>
      </w:r>
      <w:r>
        <w:rPr>
          <w:rFonts w:ascii="Times New Roman" w:cs="Times New Roman" w:eastAsia="Times New Roman" w:hAnsi="Times New Roman"/>
          <w:sz w:val="16"/>
          <w:szCs w:val="16"/>
          <w:color w:val="auto"/>
        </w:rPr>
        <w:t>. Subject to the terms and conditions of this Agreement, the Purchaser agrees to purchase from the Company, and the Company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issue and sell to the Purchaser, Affiliate Notes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and for the purchase price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Price</w:t>
      </w:r>
      <w:r>
        <w:rPr>
          <w:rFonts w:ascii="Times New Roman" w:cs="Times New Roman" w:eastAsia="Times New Roman" w:hAnsi="Times New Roman"/>
          <w:sz w:val="16"/>
          <w:szCs w:val="16"/>
          <w:color w:val="auto"/>
        </w:rPr>
        <w:t>”), with the Purchase Price paid by the cancellation and conversion of the SAFEs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3" w:name="page184"/>
    <w:bookmarkEnd w:id="183"/>
    <w:p>
      <w:pPr>
        <w:jc w:val="both"/>
        <w:ind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1.2 Delivery</w:t>
      </w:r>
      <w:r>
        <w:rPr>
          <w:rFonts w:ascii="Times New Roman" w:cs="Times New Roman" w:eastAsia="Times New Roman" w:hAnsi="Times New Roman"/>
          <w:sz w:val="16"/>
          <w:szCs w:val="16"/>
          <w:color w:val="auto"/>
        </w:rPr>
        <w:t>. The sale and purchase of the Affiliate Notes shall take place at one closing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to be held on the Closing Date (as defined below).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 the Closing, (i) the Purchaser shall pay to the Company the Purchase Price by cancellation and conversion of the SAFEs in their entirety, and (ii) the Company shall cause the Trustee to execute and authenticate and cause to be delivered to, or for the benefit of, the Purchaser the applicable amount of the Affiliate Notes issuable to the Purchaser pursuant to this Agreement and in accordance with the Indenture.</w:t>
      </w:r>
    </w:p>
    <w:p>
      <w:pPr>
        <w:spacing w:after="0" w:line="158"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1.3 Use of Proceeds</w:t>
      </w:r>
      <w:r>
        <w:rPr>
          <w:rFonts w:ascii="Times New Roman" w:cs="Times New Roman" w:eastAsia="Times New Roman" w:hAnsi="Times New Roman"/>
          <w:sz w:val="16"/>
          <w:szCs w:val="16"/>
          <w:color w:val="auto"/>
        </w:rPr>
        <w:t>. The Company shall use the proceeds from the sale and issuance of the Affiliate Notes (a) as set forth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Schedule 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hereto, and/or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general corporate purposes, including but not limited to working capital.</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1.4 Closing and Settlement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360" w:hanging="217"/>
        <w:spacing w:after="0"/>
        <w:tabs>
          <w:tab w:leader="none" w:pos="1360"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Closing and the settlement of the transactions hereunder (the “</w:t>
      </w:r>
      <w:r>
        <w:rPr>
          <w:rFonts w:ascii="Times New Roman" w:cs="Times New Roman" w:eastAsia="Times New Roman" w:hAnsi="Times New Roman"/>
          <w:sz w:val="16"/>
          <w:szCs w:val="16"/>
          <w:b w:val="1"/>
          <w:bCs w:val="1"/>
          <w:i w:val="1"/>
          <w:iCs w:val="1"/>
          <w:color w:val="auto"/>
        </w:rPr>
        <w:t>Settlement</w:t>
      </w:r>
      <w:r>
        <w:rPr>
          <w:rFonts w:ascii="Times New Roman" w:cs="Times New Roman" w:eastAsia="Times New Roman" w:hAnsi="Times New Roman"/>
          <w:sz w:val="16"/>
          <w:szCs w:val="16"/>
          <w:color w:val="auto"/>
        </w:rPr>
        <w:t>”) shall be made remotely via the exchange of documents and signatures at</w:t>
      </w:r>
    </w:p>
    <w:p>
      <w:pPr>
        <w:spacing w:after="0" w:line="27" w:lineRule="exact"/>
        <w:rPr>
          <w:rFonts w:ascii="Times New Roman" w:cs="Times New Roman" w:eastAsia="Times New Roman" w:hAnsi="Times New Roman"/>
          <w:sz w:val="16"/>
          <w:szCs w:val="16"/>
          <w:b w:val="1"/>
          <w:bCs w:val="1"/>
          <w:color w:val="auto"/>
        </w:rPr>
      </w:pPr>
    </w:p>
    <w:p>
      <w:pPr>
        <w:jc w:val="both"/>
        <w:ind w:right="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10:00 A.M., New York City time, two Business Days (as defined in the Indenture) following the Effective Date, subject to the satisfaction or waiver of the conditions set forth in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or at such other time and place as the Company and the Purchaser may mutually agree in writing. The time and date of the Closing and the Settlement is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16"/>
          <w:szCs w:val="16"/>
          <w:b w:val="1"/>
          <w:bCs w:val="1"/>
          <w:color w:val="auto"/>
        </w:rPr>
      </w:pPr>
    </w:p>
    <w:p>
      <w:pPr>
        <w:ind w:firstLine="1143"/>
        <w:spacing w:after="0" w:line="280" w:lineRule="auto"/>
        <w:tabs>
          <w:tab w:leader="none" w:pos="1382"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On the Closing Date, subject to satisfaction of the conditions precedent specified in this Agreement, the Company shall execute, and cause the Trustee to execute and authenticate and cause to be delivered to, or for the benefit of, the Purchaser, Affiliate Notes in the aggregate principal amount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b w:val="1"/>
          <w:bCs w:val="1"/>
          <w:color w:val="auto"/>
        </w:rPr>
      </w:pPr>
    </w:p>
    <w:p>
      <w:pPr>
        <w:jc w:val="both"/>
        <w:ind w:right="20" w:firstLine="1143"/>
        <w:spacing w:after="0" w:line="265" w:lineRule="auto"/>
        <w:tabs>
          <w:tab w:leader="none" w:pos="1364"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Notes to be delivered to, or for the benefit of, the Purchaser on the Closing Date shall be delivered by causing the Trustee to deliver to the Purchaser one or more Affiliate Notes in physical form in the aggregate principal amount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The Affiliate Notes issued to the Purchaser pursuant to this Agreement will be held in custody for the benefit of the Purchaser by the Trustee, unless otherwise directed by the Purchaser.</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1.5 Closing Conditions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360" w:hanging="217"/>
        <w:spacing w:after="0"/>
        <w:tabs>
          <w:tab w:leader="none" w:pos="1360" w:val="left"/>
        </w:tabs>
        <w:numPr>
          <w:ilvl w:val="0"/>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obligations of the Purchaser shall be subject to the satisfaction or waiver of the following conditions on or prior to the Closing Date:</w:t>
      </w:r>
    </w:p>
    <w:p>
      <w:pPr>
        <w:spacing w:after="0" w:line="196" w:lineRule="exact"/>
        <w:rPr>
          <w:rFonts w:ascii="Times New Roman" w:cs="Times New Roman" w:eastAsia="Times New Roman" w:hAnsi="Times New Roman"/>
          <w:sz w:val="16"/>
          <w:szCs w:val="16"/>
          <w:b w:val="1"/>
          <w:bCs w:val="1"/>
          <w:color w:val="auto"/>
        </w:rPr>
      </w:pPr>
    </w:p>
    <w:p>
      <w:pPr>
        <w:jc w:val="both"/>
        <w:ind w:right="20" w:firstLine="1716"/>
        <w:spacing w:after="0" w:line="266" w:lineRule="auto"/>
        <w:tabs>
          <w:tab w:leader="none" w:pos="1923" w:val="left"/>
        </w:tabs>
        <w:numPr>
          <w:ilvl w:val="1"/>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The representations and warranties of the Company contained herein shall be true and correct in all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respects on the date hereof and on and as of the Closing Date, and the Company shall have performed all applicable covenants and agreements and satisfied all conditions on its part to be performed or satisfied hereunder at or prior to the Closing Date.</w:t>
      </w:r>
    </w:p>
    <w:p>
      <w:pPr>
        <w:spacing w:after="0" w:line="153" w:lineRule="exact"/>
        <w:rPr>
          <w:rFonts w:ascii="Times New Roman" w:cs="Times New Roman" w:eastAsia="Times New Roman" w:hAnsi="Times New Roman"/>
          <w:sz w:val="16"/>
          <w:szCs w:val="16"/>
          <w:b w:val="1"/>
          <w:bCs w:val="1"/>
          <w:color w:val="auto"/>
        </w:rPr>
      </w:pPr>
    </w:p>
    <w:p>
      <w:pPr>
        <w:jc w:val="both"/>
        <w:ind w:right="20" w:firstLine="1716"/>
        <w:spacing w:after="0" w:line="260" w:lineRule="auto"/>
        <w:tabs>
          <w:tab w:leader="none" w:pos="1955" w:val="left"/>
        </w:tabs>
        <w:numPr>
          <w:ilvl w:val="1"/>
          <w:numId w:val="1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No Legal Impediment to Issuance. </w:t>
      </w:r>
      <w:r>
        <w:rPr>
          <w:rFonts w:ascii="Times New Roman" w:cs="Times New Roman" w:eastAsia="Times New Roman" w:hAnsi="Times New Roman"/>
          <w:sz w:val="16"/>
          <w:szCs w:val="16"/>
          <w:color w:val="auto"/>
        </w:rPr>
        <w:t>No action shall have been taken and no statute, rule, regulation or order shall have been enacted,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but not limited to, the issuance of the Notes pursuant thereto.</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184" w:name="page185"/>
    <w:bookmarkEnd w:id="184"/>
    <w:p>
      <w:pPr>
        <w:ind w:left="1380" w:hanging="237"/>
        <w:spacing w:after="0"/>
        <w:tabs>
          <w:tab w:leader="none" w:pos="1380" w:val="left"/>
        </w:tabs>
        <w:numPr>
          <w:ilvl w:val="1"/>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obligations of the Company shall be subject to the satisfaction or waiver of the following conditions on or prior to the Closing Date:</w:t>
      </w:r>
    </w:p>
    <w:p>
      <w:pPr>
        <w:spacing w:after="0" w:line="196" w:lineRule="exact"/>
        <w:rPr>
          <w:rFonts w:ascii="Times New Roman" w:cs="Times New Roman" w:eastAsia="Times New Roman" w:hAnsi="Times New Roman"/>
          <w:sz w:val="16"/>
          <w:szCs w:val="16"/>
          <w:b w:val="1"/>
          <w:bCs w:val="1"/>
          <w:color w:val="auto"/>
        </w:rPr>
      </w:pPr>
    </w:p>
    <w:p>
      <w:pPr>
        <w:jc w:val="both"/>
        <w:ind w:firstLine="1716"/>
        <w:spacing w:after="0" w:line="266" w:lineRule="auto"/>
        <w:tabs>
          <w:tab w:leader="none" w:pos="1923" w:val="left"/>
        </w:tabs>
        <w:numPr>
          <w:ilvl w:val="2"/>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The representations and warranties of the Purchaser contained herein shall be true and correct in all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respects on the date hereof and on and as of the Closing Date, and the Purchaser shall have performed all applicable covenants and agreements and satisfied all conditions to be performed or satisfied hereunder at or prior to the Closing Date.</w:t>
      </w:r>
    </w:p>
    <w:p>
      <w:pPr>
        <w:spacing w:after="0" w:line="153" w:lineRule="exact"/>
        <w:rPr>
          <w:rFonts w:ascii="Times New Roman" w:cs="Times New Roman" w:eastAsia="Times New Roman" w:hAnsi="Times New Roman"/>
          <w:sz w:val="16"/>
          <w:szCs w:val="16"/>
          <w:b w:val="1"/>
          <w:bCs w:val="1"/>
          <w:color w:val="auto"/>
        </w:rPr>
      </w:pPr>
    </w:p>
    <w:p>
      <w:pPr>
        <w:jc w:val="both"/>
        <w:ind w:right="20" w:firstLine="1716"/>
        <w:spacing w:after="0" w:line="260" w:lineRule="auto"/>
        <w:tabs>
          <w:tab w:leader="none" w:pos="1955" w:val="left"/>
        </w:tabs>
        <w:numPr>
          <w:ilvl w:val="2"/>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No Legal Impediment to Issuance. </w:t>
      </w:r>
      <w:r>
        <w:rPr>
          <w:rFonts w:ascii="Times New Roman" w:cs="Times New Roman" w:eastAsia="Times New Roman" w:hAnsi="Times New Roman"/>
          <w:sz w:val="16"/>
          <w:szCs w:val="16"/>
          <w:color w:val="auto"/>
        </w:rPr>
        <w:t>No action shall have been taken and no statute, rule, regulation or order shall have been enacted,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the issuance of the Notes pursuant thereto.</w:t>
      </w:r>
    </w:p>
    <w:p>
      <w:pPr>
        <w:spacing w:after="0" w:line="158"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733" w:val="left"/>
        </w:tabs>
        <w:numPr>
          <w:ilvl w:val="0"/>
          <w:numId w:val="1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 of the Company</w:t>
      </w:r>
      <w:r>
        <w:rPr>
          <w:rFonts w:ascii="Times New Roman" w:cs="Times New Roman" w:eastAsia="Times New Roman" w:hAnsi="Times New Roman"/>
          <w:sz w:val="16"/>
          <w:szCs w:val="16"/>
          <w:color w:val="auto"/>
        </w:rPr>
        <w:t>. The Company hereby represents and warrants to the Purchaser as follows as of the date hereof and as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Closing Date:</w:t>
      </w:r>
    </w:p>
    <w:p>
      <w:pPr>
        <w:spacing w:after="0" w:line="140" w:lineRule="exact"/>
        <w:rPr>
          <w:sz w:val="20"/>
          <w:szCs w:val="20"/>
          <w:color w:val="auto"/>
        </w:rPr>
      </w:pPr>
    </w:p>
    <w:p>
      <w:pPr>
        <w:jc w:val="both"/>
        <w:ind w:firstLine="1147"/>
        <w:spacing w:after="0" w:line="256" w:lineRule="auto"/>
        <w:rPr>
          <w:sz w:val="20"/>
          <w:szCs w:val="20"/>
          <w:color w:val="auto"/>
        </w:rPr>
      </w:pPr>
      <w:r>
        <w:rPr>
          <w:rFonts w:ascii="Times New Roman" w:cs="Times New Roman" w:eastAsia="Times New Roman" w:hAnsi="Times New Roman"/>
          <w:sz w:val="16"/>
          <w:szCs w:val="16"/>
          <w:b w:val="1"/>
          <w:bCs w:val="1"/>
          <w:color w:val="auto"/>
        </w:rPr>
        <w:t>2.1 Organization, Good Standing and Qualification</w:t>
      </w:r>
      <w:r>
        <w:rPr>
          <w:rFonts w:ascii="Times New Roman" w:cs="Times New Roman" w:eastAsia="Times New Roman" w:hAnsi="Times New Roman"/>
          <w:sz w:val="16"/>
          <w:szCs w:val="16"/>
          <w:color w:val="auto"/>
        </w:rPr>
        <w:t>. The Company and each Guarantor is a corporation duly organized, validly existing and in good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standing under the laws of the State of Delaware. The Company and each Guarantor has the requisite corporate power to own and operate its properties and assets and to carry on its business as now conducted and as proposed to be conducted. The Company and each Guarantor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the business of the Company and its subsidiaries (a “</w:t>
      </w:r>
      <w:r>
        <w:rPr>
          <w:rFonts w:ascii="Times New Roman" w:cs="Times New Roman" w:eastAsia="Times New Roman" w:hAnsi="Times New Roman"/>
          <w:sz w:val="16"/>
          <w:szCs w:val="16"/>
          <w:b w:val="1"/>
          <w:bCs w:val="1"/>
          <w:i w:val="1"/>
          <w:iCs w:val="1"/>
          <w:color w:val="auto"/>
        </w:rPr>
        <w:t>Material Adverse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Effect</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b w:val="1"/>
          <w:bCs w:val="1"/>
          <w:color w:val="auto"/>
        </w:rPr>
        <w:t>2.2 Corporate Power</w:t>
      </w:r>
      <w:r>
        <w:rPr>
          <w:rFonts w:ascii="Times New Roman" w:cs="Times New Roman" w:eastAsia="Times New Roman" w:hAnsi="Times New Roman"/>
          <w:sz w:val="16"/>
          <w:szCs w:val="16"/>
          <w:color w:val="auto"/>
        </w:rPr>
        <w:t>. The Company and each Guarantor has all requisite corporate power to: (a) execute and deliver this Agreement, the Security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(as defined in the Indenture), the Trademark Security Agreement (as defined in the Security Agreement) and the other Collateral Documents (as defined in the Indenture) and each other agreement or instrument contemplated thereby (collectively, the “</w:t>
      </w:r>
      <w:r>
        <w:rPr>
          <w:rFonts w:ascii="Times New Roman" w:cs="Times New Roman" w:eastAsia="Times New Roman" w:hAnsi="Times New Roman"/>
          <w:sz w:val="16"/>
          <w:szCs w:val="16"/>
          <w:b w:val="1"/>
          <w:bCs w:val="1"/>
          <w:i w:val="1"/>
          <w:iCs w:val="1"/>
          <w:color w:val="auto"/>
        </w:rPr>
        <w:t>Note Documents</w:t>
      </w:r>
      <w:r>
        <w:rPr>
          <w:rFonts w:ascii="Times New Roman" w:cs="Times New Roman" w:eastAsia="Times New Roman" w:hAnsi="Times New Roman"/>
          <w:sz w:val="16"/>
          <w:szCs w:val="16"/>
          <w:color w:val="auto"/>
        </w:rPr>
        <w:t>”); (b) perform its respective obligations under the Note Documents to which it is a party; and (c) and to carry out and perform its obligations under the Note Documents to which it is a party, including the grant of the security interests and liens contemplated by the Collateral Documents. The Company’s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and the Board of Directors of each Guarantor has approved the Note Documents based upon a reasonable belief that the transactions thereunder are appropriate for the Company or such Guarantor, as applicable, after reasonable inquiry concerning the financing objectives and financial situation of the Company or such Guarantor, as applicable.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5" w:name="page186"/>
    <w:bookmarkEnd w:id="185"/>
    <w:p>
      <w:pPr>
        <w:ind w:left="1140"/>
        <w:spacing w:after="0"/>
        <w:rPr>
          <w:sz w:val="20"/>
          <w:szCs w:val="20"/>
          <w:color w:val="auto"/>
        </w:rPr>
      </w:pPr>
      <w:r>
        <w:rPr>
          <w:rFonts w:ascii="Times New Roman" w:cs="Times New Roman" w:eastAsia="Times New Roman" w:hAnsi="Times New Roman"/>
          <w:sz w:val="16"/>
          <w:szCs w:val="16"/>
          <w:b w:val="1"/>
          <w:bCs w:val="1"/>
          <w:color w:val="auto"/>
        </w:rPr>
        <w:t>2.3 Authorization; Security Interest; Conversion Securities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569"/>
        <w:spacing w:after="0" w:line="253" w:lineRule="auto"/>
        <w:tabs>
          <w:tab w:leader="none" w:pos="806" w:val="left"/>
        </w:tabs>
        <w:numPr>
          <w:ilvl w:val="0"/>
          <w:numId w:val="1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All corporate action on the part of the Company and each Guarantor necessary for the authorization, execution, delivery and performance of the Note Documents by the Company and each Guarantor, including the issuance and delivery of the Notes and the reservation of the equity securities directly or indirectly issuable upon conversion of the Notes (collectively, the “</w:t>
      </w:r>
      <w:r>
        <w:rPr>
          <w:rFonts w:ascii="Times New Roman" w:cs="Times New Roman" w:eastAsia="Times New Roman" w:hAnsi="Times New Roman"/>
          <w:sz w:val="16"/>
          <w:szCs w:val="16"/>
          <w:b w:val="1"/>
          <w:bCs w:val="1"/>
          <w:i w:val="1"/>
          <w:iCs w:val="1"/>
          <w:color w:val="auto"/>
        </w:rPr>
        <w:t>Conversion Securities</w:t>
      </w:r>
      <w:r>
        <w:rPr>
          <w:rFonts w:ascii="Times New Roman" w:cs="Times New Roman" w:eastAsia="Times New Roman" w:hAnsi="Times New Roman"/>
          <w:sz w:val="16"/>
          <w:szCs w:val="16"/>
          <w:color w:val="auto"/>
        </w:rPr>
        <w:t>”), has been taken. This Agreement has been (or upon delivery will have been) duly executed and delivered by the Company, and constitutes the valid and binding obligation of the Company, enforceable in accordance with its terms, subject to laws of general application relating to bankruptcy, insolvency, the relief of debtors and, with respect to rights to indemnity, subject to federal and state securities laws. The Note Documents (other than this Agreement), when executed and delivered by the Company and each Guarantor party thereto, shall constitute valid and binding obligations of the Company and such Guarantor, enforceable in accordance with their terms against the Company and each Guarantor, subject to laws of general application relating to bankruptcy, insolvency, the relief of debtors and, with respect to rights to indemnity, subject to federal and state securities laws.</w:t>
      </w:r>
    </w:p>
    <w:p>
      <w:pPr>
        <w:spacing w:after="0" w:line="169" w:lineRule="exact"/>
        <w:rPr>
          <w:rFonts w:ascii="Times New Roman" w:cs="Times New Roman" w:eastAsia="Times New Roman" w:hAnsi="Times New Roman"/>
          <w:sz w:val="16"/>
          <w:szCs w:val="16"/>
          <w:b w:val="1"/>
          <w:bCs w:val="1"/>
          <w:color w:val="auto"/>
        </w:rPr>
      </w:pPr>
    </w:p>
    <w:p>
      <w:pPr>
        <w:jc w:val="both"/>
        <w:ind w:firstLine="569"/>
        <w:spacing w:after="0" w:line="259" w:lineRule="auto"/>
        <w:tabs>
          <w:tab w:leader="none" w:pos="836" w:val="left"/>
        </w:tabs>
        <w:numPr>
          <w:ilvl w:val="0"/>
          <w:numId w:val="1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Collateral Documents create a first priority security interest which is enforceable against each grantor party thereto in all Collateral (as defined in the Indenture) it owns as of the execution of each such Collateral Document or thereafter acquires, in each case subject to laws of general application relating to bankruptcy, insolvency, the relief of debtors and, with respect to rights to indemnity, subject to federal and state securities laws. The Guarantors signatory to the Indenture and the Collateral Documents at the Closing will constitute all Material Subsidiaries (as defined in the Indenture) as of the time of Closing.</w:t>
      </w:r>
    </w:p>
    <w:p>
      <w:pPr>
        <w:spacing w:after="0" w:line="161" w:lineRule="exact"/>
        <w:rPr>
          <w:rFonts w:ascii="Times New Roman" w:cs="Times New Roman" w:eastAsia="Times New Roman" w:hAnsi="Times New Roman"/>
          <w:sz w:val="16"/>
          <w:szCs w:val="16"/>
          <w:b w:val="1"/>
          <w:bCs w:val="1"/>
          <w:color w:val="auto"/>
        </w:rPr>
      </w:pPr>
    </w:p>
    <w:p>
      <w:pPr>
        <w:ind w:right="20" w:firstLine="569"/>
        <w:spacing w:after="0" w:line="280" w:lineRule="auto"/>
        <w:tabs>
          <w:tab w:leader="none" w:pos="802" w:val="left"/>
        </w:tabs>
        <w:numPr>
          <w:ilvl w:val="0"/>
          <w:numId w:val="1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Conversion Securities, when issued in compliance with the provisions of the Notes, will be validly issued, fully paid, nonassessable, free of any liens or encumbrances and issued in compliance with all applicable federal and securities laws.</w:t>
      </w:r>
    </w:p>
    <w:p>
      <w:pPr>
        <w:spacing w:after="0" w:line="142" w:lineRule="exact"/>
        <w:rPr>
          <w:sz w:val="20"/>
          <w:szCs w:val="20"/>
          <w:color w:val="auto"/>
        </w:rPr>
      </w:pPr>
    </w:p>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2.4 Filings and Consents</w:t>
      </w:r>
      <w:r>
        <w:rPr>
          <w:rFonts w:ascii="Times New Roman" w:cs="Times New Roman" w:eastAsia="Times New Roman" w:hAnsi="Times New Roman"/>
          <w:sz w:val="16"/>
          <w:szCs w:val="16"/>
          <w:color w:val="auto"/>
        </w:rPr>
        <w:t>. All consents, approvals, orders, or authorizations of, or registrations, qualifications, designations, declarations, or filings with,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governmental authority or self-regulatory organization required on the part of the Company in connection with the execution, delivery and performance of the Note Documents or the issuance of the Notes have been obtained or made. No shareholder approval is required pursuant to the rules of the Nasdaq Stock Market in connection with the execution, delivery or performance of the Note Documents or the issuance of the Notes or the Conversion Securities.</w:t>
      </w:r>
    </w:p>
    <w:p>
      <w:pPr>
        <w:spacing w:after="0" w:line="159" w:lineRule="exact"/>
        <w:rPr>
          <w:sz w:val="20"/>
          <w:szCs w:val="20"/>
          <w:color w:val="auto"/>
        </w:rPr>
      </w:pPr>
    </w:p>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2.5 Compliance with Laws</w:t>
      </w:r>
      <w:r>
        <w:rPr>
          <w:rFonts w:ascii="Times New Roman" w:cs="Times New Roman" w:eastAsia="Times New Roman" w:hAnsi="Times New Roman"/>
          <w:sz w:val="16"/>
          <w:szCs w:val="16"/>
          <w:color w:val="auto"/>
        </w:rPr>
        <w:t>. To its knowledge, the Company is not in violation of any applicable statute, rule, regulation, order or restriction of any domestic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foreign government or any instrumentality or agency thereof in respect of the conduct of the Company’s or its subsidiaries’ businesses or the ownership of their respective properties, which violation of which would have a Material Adverse Effect.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86" w:name="page187"/>
    <w:bookmarkEnd w:id="186"/>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2.6 Compliance with Other Instruments</w:t>
      </w:r>
      <w:r>
        <w:rPr>
          <w:rFonts w:ascii="Times New Roman" w:cs="Times New Roman" w:eastAsia="Times New Roman" w:hAnsi="Times New Roman"/>
          <w:sz w:val="16"/>
          <w:szCs w:val="16"/>
          <w:color w:val="auto"/>
        </w:rPr>
        <w:t>. The Company is not in, and the execution, delivery and performance of the Note Documents will not result in,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violation of, conflict with or constitute, with or without the passage of time or giving of notice, a default under any term of (a) its certificate of incorporation or bylaws, all as amended and as currently in effect, (b) any provision of any mortgage, indenture or contract to which it is a party and by which it, any of its subsidiaries or any of their respective assets is bound or (c) any statute, rule, regulation, judgment, decree, order or writ, other than, in the case of clauses (b) and (c), such violations, conflicts or defaults as would not reasonably be expected to have a Material Adverse Effect. The execution, delivery and performance of the Note Documents will not result in the creation of any lien, charge or encumbrance upon any assets of the Company or its subsidiaries, other than the liens granted pursuant to the terms of the Collateral Documents, or the suspension, revocation, impairment, forfeiture, or nonrenewal of any material permit, license, authorization or approval applicable to the Company, or the business, operations, assets or properties of the Company or its subsidiaries. Without limiting the foregoing, the Company has obtained all waivers reasonably necessary with respect to any prohibition on the grant of liens, preemptive rights, rights of first refusal or similar rights, including any notice or offering periods provided for as part of any such rights, in order for the Company to consummate the transactions contemplated under the Note Documents without any third party obtaining any rights to cause the Company to offer or issue any securities of the Company as a result of the consummation of the transactions contemplated hereunder.</w:t>
      </w:r>
    </w:p>
    <w:p>
      <w:pPr>
        <w:spacing w:after="0" w:line="169"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2.7 Offering</w:t>
      </w:r>
      <w:r>
        <w:rPr>
          <w:rFonts w:ascii="Times New Roman" w:cs="Times New Roman" w:eastAsia="Times New Roman" w:hAnsi="Times New Roman"/>
          <w:sz w:val="16"/>
          <w:szCs w:val="16"/>
          <w:color w:val="auto"/>
        </w:rPr>
        <w:t>. Assuming the accuracy of the representations and warranties of the Purchaser contained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(a) the offer, issue, and sale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Notes and the Conversion Securities are and will be exempt from the registration and prospectus delivery requirements of the Securities Act, and are exempt from registration and qualification under the registration, permit, or qualification requirements of all applicable state securities laws and (b) the Indenture is not required to be qualified under the Trust Indenture Act of 1939, as amended. The Notes, when issued, will not be of the same class as securities listed on a national securities exchange registered under Section 6 of the Securities Exchange Act of 1934, as amended (including the rules and regulations promulgated thereunder,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quoted in a U.S. automated inter-dealer quotation system, within the meaning of Rule 144A(d)(3)(i) under the Securities Act. The Company is not and, after giving effect to the transactions pursuant to the Note Purchase Agreements (including the use of proceeds from the sale of the Notes), will not be, required to register as an “investment company” under the Investment Company Act of 1940, as amended.</w:t>
      </w:r>
    </w:p>
    <w:p>
      <w:pPr>
        <w:spacing w:after="0" w:line="163" w:lineRule="exact"/>
        <w:rPr>
          <w:sz w:val="20"/>
          <w:szCs w:val="20"/>
          <w:color w:val="auto"/>
        </w:rPr>
      </w:pPr>
    </w:p>
    <w:p>
      <w:pPr>
        <w:ind w:left="720" w:hanging="151"/>
        <w:spacing w:after="0"/>
        <w:tabs>
          <w:tab w:leader="none" w:pos="720" w:val="left"/>
        </w:tabs>
        <w:numPr>
          <w:ilvl w:val="0"/>
          <w:numId w:val="1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 of the Purchaser</w:t>
      </w:r>
      <w:r>
        <w:rPr>
          <w:rFonts w:ascii="Times New Roman" w:cs="Times New Roman" w:eastAsia="Times New Roman" w:hAnsi="Times New Roman"/>
          <w:sz w:val="16"/>
          <w:szCs w:val="16"/>
          <w:color w:val="auto"/>
        </w:rPr>
        <w:t>. The Purchaser represents and warrants to the Company as follows as of the date hereof and as of the Closing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8" w:lineRule="exact"/>
        <w:rPr>
          <w:sz w:val="20"/>
          <w:szCs w:val="20"/>
          <w:color w:val="auto"/>
        </w:rPr>
      </w:pPr>
    </w:p>
    <w:p>
      <w:pPr>
        <w:jc w:val="both"/>
        <w:ind w:right="20"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3.1 Purchase for Own Account</w:t>
      </w:r>
      <w:r>
        <w:rPr>
          <w:rFonts w:ascii="Times New Roman" w:cs="Times New Roman" w:eastAsia="Times New Roman" w:hAnsi="Times New Roman"/>
          <w:sz w:val="16"/>
          <w:szCs w:val="16"/>
          <w:color w:val="auto"/>
        </w:rPr>
        <w:t>. The Purchaser is acquiring the Notes and the Conversion Securities (collectively,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 solely for its own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 and beneficial interest for investment and not for sale or with a view to distribution of the Securities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87" w:name="page188"/>
    <w:bookmarkEnd w:id="187"/>
    <w:p>
      <w:pPr>
        <w:jc w:val="both"/>
        <w:ind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3.2 Binding Obligation</w:t>
      </w:r>
      <w:r>
        <w:rPr>
          <w:rFonts w:ascii="Times New Roman" w:cs="Times New Roman" w:eastAsia="Times New Roman" w:hAnsi="Times New Roman"/>
          <w:sz w:val="15"/>
          <w:szCs w:val="15"/>
          <w:color w:val="auto"/>
        </w:rPr>
        <w:t>. The Purchaser has full power and authority to enter into the Note Documents to which it is party. The Note Documents to which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Purchaser is a party, when executed and delivered by the Purchaser, shall constitute valid and binding obligations of the Purchaser enforceable in accordance with their terms, subject to laws of general application relating to bankruptcy, insolvency, the relief of debtors and, with respect to rights to indemnity, subject to federal and state securities laws.</w:t>
      </w:r>
    </w:p>
    <w:p>
      <w:pPr>
        <w:spacing w:after="0" w:line="135"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b w:val="1"/>
          <w:bCs w:val="1"/>
          <w:color w:val="auto"/>
        </w:rPr>
        <w:t>3.3 Information and Sophistication</w:t>
      </w:r>
      <w:r>
        <w:rPr>
          <w:rFonts w:ascii="Times New Roman" w:cs="Times New Roman" w:eastAsia="Times New Roman" w:hAnsi="Times New Roman"/>
          <w:sz w:val="16"/>
          <w:szCs w:val="16"/>
          <w:color w:val="auto"/>
        </w:rPr>
        <w:t>. The Purchaser has access to (including through the EDGAR system) and has had an opportunity to review the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Reports on Form 10-K, Quarterly Reports on Form 10-Q, Current Reports on Form 8-K, Proxy Statements and other filings and submissions made by the Company with the SEC, including the “Risk Factors” contained therein. The Purchaser acknowledges, confirms and agrees that: (a) the Purchaser is a sophisticated institutional investor that is willing and able to conduct, and has conducted, a thorough investigation of the Notes, the Company and the business and financial position of the Company and its Subsidiaries (the “</w:t>
      </w:r>
      <w:r>
        <w:rPr>
          <w:rFonts w:ascii="Times New Roman" w:cs="Times New Roman" w:eastAsia="Times New Roman" w:hAnsi="Times New Roman"/>
          <w:sz w:val="16"/>
          <w:szCs w:val="16"/>
          <w:b w:val="1"/>
          <w:bCs w:val="1"/>
          <w:i w:val="1"/>
          <w:iCs w:val="1"/>
          <w:color w:val="auto"/>
        </w:rPr>
        <w:t>Company Business</w:t>
      </w:r>
      <w:r>
        <w:rPr>
          <w:rFonts w:ascii="Times New Roman" w:cs="Times New Roman" w:eastAsia="Times New Roman" w:hAnsi="Times New Roman"/>
          <w:sz w:val="16"/>
          <w:szCs w:val="16"/>
          <w:color w:val="auto"/>
        </w:rPr>
        <w:t xml:space="preserve">”), (b) no prospectus, offering document or other disclosure document has been or will be prepared in connection with the placement of the Notes and the transactions under this Agreement, the Indenture or the Collateral Documents, (c) the Purchaser has or has requested access to, and has had sufficient opportunity to evaluate, all information and documentation that it believes is necessary or appropriate in connection with its decision to enter into this Agreement and to purchase the Notes, including such information with respect to the Company and the Company Business, (d) neither the Company nor its representatives or advisors are responsible for any due diligence investigation on the Purchaser’s behalf, the advisability of purchasing the Notes or any information or document delivered in connection with this Agreement, the Collateral Documents or the Notes (including, without limitation, with respect to the Company Business) other than the SEC Documents, (e) the Purchaser is not relying upon any representations, expressed or implied, with respect to the transactions contemplated by the Notes, except those expressly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Agreement, (f) the Purchaser has consulted its own independent advisors with regard to, without limitation, the legal, regulatory, tax, business, investment, financial, accounting, currency and other economic considerations related to the purchase of the Notes and the risks associated with an investment in the Notes (including, without limitation, with respect to the Company Business), (g) the Purchaser has made its own investment, hedging and trading decisions based upon its own judgment and upon advice from its own independent advisors and not upon any view expressed by the other person, and (h) the Purchaser is purchasing the Notes with a full understanding of the terms, conditions and risks thereof including, but not limited to, counterparty risk, country risk, price risk and liquidity risk, and the Purchaser is capable of and willing to assume those risks. The Purchaser further represents that it is acting as principal in the purchase of the Notes.</w:t>
      </w:r>
    </w:p>
    <w:p>
      <w:pPr>
        <w:spacing w:after="0" w:line="170"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3.4 Ability to Bear Economic Risk</w:t>
      </w:r>
      <w:r>
        <w:rPr>
          <w:rFonts w:ascii="Times New Roman" w:cs="Times New Roman" w:eastAsia="Times New Roman" w:hAnsi="Times New Roman"/>
          <w:sz w:val="16"/>
          <w:szCs w:val="16"/>
          <w:color w:val="auto"/>
        </w:rPr>
        <w:t>. The Purchaser acknowledges that investment in the Securities involves a high degree of risk, and the Purchaser is 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materially impairing its financial condition, to hold the Securities for an indefinite period of time and to suffer a complete loss of its investment.</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3.5 Accredited Investor Status</w:t>
      </w:r>
      <w:r>
        <w:rPr>
          <w:rFonts w:ascii="Times New Roman" w:cs="Times New Roman" w:eastAsia="Times New Roman" w:hAnsi="Times New Roman"/>
          <w:sz w:val="16"/>
          <w:szCs w:val="16"/>
          <w:color w:val="auto"/>
        </w:rPr>
        <w:t>. The Purchaser is an “accredited investor” as such term is defined in Rule 501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88" w:name="page189"/>
    <w:bookmarkEnd w:id="188"/>
    <w:p>
      <w:pPr>
        <w:ind w:left="1140"/>
        <w:spacing w:after="0"/>
        <w:rPr>
          <w:sz w:val="20"/>
          <w:szCs w:val="20"/>
          <w:color w:val="auto"/>
        </w:rPr>
      </w:pPr>
      <w:r>
        <w:rPr>
          <w:rFonts w:ascii="Times New Roman" w:cs="Times New Roman" w:eastAsia="Times New Roman" w:hAnsi="Times New Roman"/>
          <w:sz w:val="16"/>
          <w:szCs w:val="16"/>
          <w:b w:val="1"/>
          <w:bCs w:val="1"/>
          <w:color w:val="auto"/>
        </w:rPr>
        <w:t>3.6 [Reserved]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3.7 [Reserved]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3.8 Forward-Looking Statements</w:t>
      </w:r>
      <w:r>
        <w:rPr>
          <w:rFonts w:ascii="Times New Roman" w:cs="Times New Roman" w:eastAsia="Times New Roman" w:hAnsi="Times New Roman"/>
          <w:sz w:val="15"/>
          <w:szCs w:val="15"/>
          <w:color w:val="auto"/>
        </w:rPr>
        <w:t>. With respect to any forecasts, projections of results and other forward-looking statements and information provided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Purchaser (including with respect to the Company Business), the Purchaser acknowledges (i) that such statements were prepared based upon assumptions deemed reasonable by the Company at the time of preparation, and (ii) there is no assurance that such statements will prove accurate, and the Company has no obligation to update such statements.</w:t>
      </w:r>
    </w:p>
    <w:p>
      <w:pPr>
        <w:spacing w:after="0" w:line="135"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3.9 Commissions</w:t>
      </w:r>
      <w:r>
        <w:rPr>
          <w:rFonts w:ascii="Times New Roman" w:cs="Times New Roman" w:eastAsia="Times New Roman" w:hAnsi="Times New Roman"/>
          <w:sz w:val="16"/>
          <w:szCs w:val="16"/>
          <w:color w:val="auto"/>
        </w:rPr>
        <w:t>. Except as disclosed to the Company in writing prior to the date hereof, no person will have, as a result of the transactions contemplated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Note Documents, any valid right, interest or claim against the Company or upon the Purchaser for any commission, fee or other compensation pursuant to any agreement, arrangement or understanding entered into by or on behalf of the Purchaser.</w:t>
      </w:r>
    </w:p>
    <w:p>
      <w:pPr>
        <w:spacing w:after="0" w:line="151"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3.10 Placement Agent Provisions. </w:t>
      </w:r>
      <w:r>
        <w:rPr>
          <w:rFonts w:ascii="Times New Roman" w:cs="Times New Roman" w:eastAsia="Times New Roman" w:hAnsi="Times New Roman"/>
          <w:sz w:val="16"/>
          <w:szCs w:val="16"/>
          <w:color w:val="auto"/>
        </w:rPr>
        <w:t>The Purchaser hereby acknowledges and agrees that (a) Santander US Capital Markets LLC (the “</w:t>
      </w:r>
      <w:r>
        <w:rPr>
          <w:rFonts w:ascii="Times New Roman" w:cs="Times New Roman" w:eastAsia="Times New Roman" w:hAnsi="Times New Roman"/>
          <w:sz w:val="16"/>
          <w:szCs w:val="16"/>
          <w:b w:val="1"/>
          <w:bCs w:val="1"/>
          <w:i w:val="1"/>
          <w:iCs w:val="1"/>
          <w:color w:val="auto"/>
        </w:rPr>
        <w:t>Placement Agent</w:t>
      </w:r>
      <w:r>
        <w:rPr>
          <w:rFonts w:ascii="Times New Roman" w:cs="Times New Roman" w:eastAsia="Times New Roman" w:hAnsi="Times New Roman"/>
          <w:sz w:val="16"/>
          <w:szCs w:val="16"/>
          <w:color w:val="auto"/>
        </w:rPr>
        <w: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acting as placement agent in connection with the private placement of the Notes (the “</w:t>
      </w:r>
      <w:r>
        <w:rPr>
          <w:rFonts w:ascii="Times New Roman" w:cs="Times New Roman" w:eastAsia="Times New Roman" w:hAnsi="Times New Roman"/>
          <w:sz w:val="16"/>
          <w:szCs w:val="16"/>
          <w:b w:val="1"/>
          <w:bCs w:val="1"/>
          <w:i w:val="1"/>
          <w:iCs w:val="1"/>
          <w:color w:val="auto"/>
        </w:rPr>
        <w:t>Transaction</w:t>
      </w:r>
      <w:r>
        <w:rPr>
          <w:rFonts w:ascii="Times New Roman" w:cs="Times New Roman" w:eastAsia="Times New Roman" w:hAnsi="Times New Roman"/>
          <w:sz w:val="16"/>
          <w:szCs w:val="16"/>
          <w:color w:val="auto"/>
        </w:rPr>
        <w:t>”) and is not acting as an underwriter or in any other capacity and is not and shall not be construed as a fiduciary for the Purchaser, the Company or any other person or entity in connection with the Transaction, (b) the Placement Agent has not made and will not make any representation or warranty, whether express or implied, of any kind or character and has not provided any advice or recommendation in connection with the Transaction, and has made no independent investigation with respect to the Company or the Securities or the accuracy, completeness or adequacy of any information supplied to the Purchaser by the Company, (c) the Placement Agent will have no responsibility with respect to (i) any representations, warranties or agreements made by any person or entity under or in connection with the Transaction or any of the documents furnished pursuant thereto or in connection therewith, or the execution, legality, validity or enforceability (with respect to any person) or any thereof, or (ii) the business, condition (financial or otherwise), operations, properties or prospects of, or any other matter concerning the Company or the Transaction, and (d) the Placement Agent shall have no liability or obligation (including without limitation, for or with respect to any losses, claims, damages, obligations, penalties, judgments, awards, liabilities, costs, expenses or disbursements incurred by the Purchaser, the Company or any other person or entity), whether in contract, tort or otherwise, to the Purchaser, or to any person claiming through the Purchaser, in respect of the Transaction. The Purchaser agrees to release the Placement Agent from and against: (i) any legal, equitable or other claim that may arise under the Securities Act, the U.S. Securities Exchange Act of 1934, as amended, the rules and regulations thereunder, any other applicable law, rule or regulation or in general under any theory of liability or relief in connection with the offer and sale of the Securities; and (ii) any losses, damages, injuries, declines in value, lost opportunities, liabilities, fees, charges, costs or expenses of any nature that the Purchaser may suffer in connection with the offer, purchase or sale of the Securities.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89" w:name="page190"/>
    <w:bookmarkEnd w:id="189"/>
    <w:p>
      <w:pPr>
        <w:ind w:left="560"/>
        <w:spacing w:after="0"/>
        <w:rPr>
          <w:sz w:val="20"/>
          <w:szCs w:val="20"/>
          <w:color w:val="auto"/>
        </w:rPr>
      </w:pPr>
      <w:r>
        <w:rPr>
          <w:rFonts w:ascii="Times New Roman" w:cs="Times New Roman" w:eastAsia="Times New Roman" w:hAnsi="Times New Roman"/>
          <w:sz w:val="16"/>
          <w:szCs w:val="16"/>
          <w:b w:val="1"/>
          <w:bCs w:val="1"/>
          <w:color w:val="auto"/>
        </w:rPr>
        <w:t>4. Limitations on Disposition; Legends; Securities Law Disclosure; Publicity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4.1 Limitations on Disposition</w:t>
      </w:r>
      <w:r>
        <w:rPr>
          <w:rFonts w:ascii="Times New Roman" w:cs="Times New Roman" w:eastAsia="Times New Roman" w:hAnsi="Times New Roman"/>
          <w:sz w:val="16"/>
          <w:szCs w:val="16"/>
          <w:color w:val="auto"/>
        </w:rPr>
        <w:t>. The Securities may only be disposed of in compliance with state and federal securities laws and the applicable provisions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4.2 Legends</w:t>
      </w:r>
      <w:r>
        <w:rPr>
          <w:rFonts w:ascii="Times New Roman" w:cs="Times New Roman" w:eastAsia="Times New Roman" w:hAnsi="Times New Roman"/>
          <w:sz w:val="16"/>
          <w:szCs w:val="16"/>
          <w:color w:val="auto"/>
        </w:rPr>
        <w:t>. The Purchaser agrees to the imprinting of a legend on any of the Securities in substantially the forms set forth in the Indenture.</w:t>
      </w:r>
    </w:p>
    <w:p>
      <w:pPr>
        <w:spacing w:after="0" w:line="198"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4.3 Securities Law Disclosure; Publicity</w:t>
      </w:r>
      <w:r>
        <w:rPr>
          <w:rFonts w:ascii="Times New Roman" w:cs="Times New Roman" w:eastAsia="Times New Roman" w:hAnsi="Times New Roman"/>
          <w:sz w:val="16"/>
          <w:szCs w:val="16"/>
          <w:color w:val="auto"/>
        </w:rPr>
        <w:t>. No later than 9:00 a.m. (New York City time) on the trading day immediately following the date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date and time, the “</w:t>
      </w:r>
      <w:r>
        <w:rPr>
          <w:rFonts w:ascii="Times New Roman" w:cs="Times New Roman" w:eastAsia="Times New Roman" w:hAnsi="Times New Roman"/>
          <w:sz w:val="16"/>
          <w:szCs w:val="16"/>
          <w:b w:val="1"/>
          <w:bCs w:val="1"/>
          <w:i w:val="1"/>
          <w:iCs w:val="1"/>
          <w:color w:val="auto"/>
        </w:rPr>
        <w:t>Release Time</w:t>
      </w:r>
      <w:r>
        <w:rPr>
          <w:rFonts w:ascii="Times New Roman" w:cs="Times New Roman" w:eastAsia="Times New Roman" w:hAnsi="Times New Roman"/>
          <w:sz w:val="16"/>
          <w:szCs w:val="16"/>
          <w:color w:val="auto"/>
        </w:rPr>
        <w:t xml:space="preserve">”), the Company shall publicly disclose, via press release or Current Report on Form 8-K filed with the SEC, all material non-public information that was delivered to the Purchaser by the Company, its advisors or any person acting on behalf of the Company in connection with the transactions contemplated by the Note Purchase Agreements or the Exchange Agreements. After the Release Time, the Purchaser will not be under any contractual obligation to the Company to refrain from (a) disclosing the fact or the terms of the transactions contemplated by the Note Purchase Agreements or the Exchange Agreements or any other material non-public information required to be disclosed pursuant to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or (b) using or trading on such information. The Company understands and acknowledges that the Purchaser and persons acting on its behalf will rely on the representations, warranties and covenants in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in effecting transactions in the securities of the Company and of other persons. Without the prior written consent of the Purchaser (unless such disclosure is required by applicable law, rule, regulation or legal process based on advice of counsel), the Company shall not disclose (i) the name of the Purchaser in any filing or announcement or (ii) any information regarding the Purchaser’s holdings of securities of the Company or transactions in any securities of the Company at one of its prime brokers to any of the Purchaser’s other prime brokers or to any other person (other than the Company’s counsel, agents or representatives).</w:t>
      </w:r>
    </w:p>
    <w:p>
      <w:pPr>
        <w:spacing w:after="0" w:line="1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4.4 Registration Rights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firstLine="1143"/>
        <w:spacing w:after="0" w:line="251" w:lineRule="auto"/>
        <w:tabs>
          <w:tab w:leader="none" w:pos="1373"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agrees that, on or before May 15, 2026 (the “</w:t>
      </w:r>
      <w:r>
        <w:rPr>
          <w:rFonts w:ascii="Times New Roman" w:cs="Times New Roman" w:eastAsia="Times New Roman" w:hAnsi="Times New Roman"/>
          <w:sz w:val="16"/>
          <w:szCs w:val="16"/>
          <w:b w:val="1"/>
          <w:bCs w:val="1"/>
          <w:i w:val="1"/>
          <w:iCs w:val="1"/>
          <w:color w:val="auto"/>
        </w:rPr>
        <w:t>Filing Date</w:t>
      </w:r>
      <w:r>
        <w:rPr>
          <w:rFonts w:ascii="Times New Roman" w:cs="Times New Roman" w:eastAsia="Times New Roman" w:hAnsi="Times New Roman"/>
          <w:sz w:val="16"/>
          <w:szCs w:val="16"/>
          <w:color w:val="auto"/>
        </w:rPr>
        <w:t>”), the Company will file with the SEC, at the Company’s sole cost and expense, a registration statement for a shelf registration on Form S-1 (or Form S-3, if the Company is eligible to use Form S-3) (in either case, the “</w:t>
      </w:r>
      <w:r>
        <w:rPr>
          <w:rFonts w:ascii="Times New Roman" w:cs="Times New Roman" w:eastAsia="Times New Roman" w:hAnsi="Times New Roman"/>
          <w:sz w:val="16"/>
          <w:szCs w:val="16"/>
          <w:b w:val="1"/>
          <w:bCs w:val="1"/>
          <w:i w:val="1"/>
          <w:iCs w:val="1"/>
          <w:color w:val="auto"/>
        </w:rPr>
        <w:t>Registration Statement</w:t>
      </w:r>
      <w:r>
        <w:rPr>
          <w:rFonts w:ascii="Times New Roman" w:cs="Times New Roman" w:eastAsia="Times New Roman" w:hAnsi="Times New Roman"/>
          <w:sz w:val="16"/>
          <w:szCs w:val="16"/>
          <w:color w:val="auto"/>
        </w:rPr>
        <w:t>”), registering the resale of the maximum number of shares of Common Stock issuable upon conversion of all Notes held by the Purchaser as of two Business Days prior to such filing (such shares of Common Stock issuable upon the conversion of such Notes, the “</w:t>
      </w:r>
      <w:r>
        <w:rPr>
          <w:rFonts w:ascii="Times New Roman" w:cs="Times New Roman" w:eastAsia="Times New Roman" w:hAnsi="Times New Roman"/>
          <w:sz w:val="16"/>
          <w:szCs w:val="16"/>
          <w:b w:val="1"/>
          <w:bCs w:val="1"/>
          <w:i w:val="1"/>
          <w:iCs w:val="1"/>
          <w:color w:val="auto"/>
        </w:rPr>
        <w:t>Registrable Securities</w:t>
      </w:r>
      <w:r>
        <w:rPr>
          <w:rFonts w:ascii="Times New Roman" w:cs="Times New Roman" w:eastAsia="Times New Roman" w:hAnsi="Times New Roman"/>
          <w:sz w:val="16"/>
          <w:szCs w:val="16"/>
          <w:color w:val="auto"/>
        </w:rPr>
        <w:t>”), and the Company shall use its commercially reasonable efforts to have the Registration Statement declared effective as soon as practicable after the filing thereof, but no later than the 10th Business Day after the date the Company is notified (orally or in writing, whichever is earlier) by the SEC that the Registration Statement will not be “reviewed” or will not be subject to further review (the “</w:t>
      </w:r>
      <w:r>
        <w:rPr>
          <w:rFonts w:ascii="Times New Roman" w:cs="Times New Roman" w:eastAsia="Times New Roman" w:hAnsi="Times New Roman"/>
          <w:sz w:val="16"/>
          <w:szCs w:val="16"/>
          <w:b w:val="1"/>
          <w:bCs w:val="1"/>
          <w:i w:val="1"/>
          <w:iCs w:val="1"/>
          <w:color w:val="auto"/>
        </w:rPr>
        <w:t>Effectiveness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Company’s obligations to include the Registrable Securities in the Registration Statement are contingent upon the Purchaser furnishing a completed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executed selling securityholder questionnaire in customary form to the Company that contains the information required by SEC rules for a Registration Statement regarding the Purchaser, the securities of the Company held by the Purchaser and the intended method of disposition of the Registrable Securities (which shall be limited to non-underwritten public offerings) to effect the registration of the Registrable Securities, and the Purchaser shall execute such documents in connection with such registration as the Company may reasonably request that are customary of a selling securityholder in similar situations. For purposes of clarification, any failure by the Company to file the Registration Statement by the Filing Date or to effect such Registration Statement by the Effectiveness Date shall not otherwise relieve the Company of its obligations to file or effect the Registration Statement as set forth above in this section. Notwithstanding the foregoing, if the SEC prevents the Company from including any or all of the shares of Common Stock proposed to be registered under the Registration Statement due to limitations on the use of Rule 415 of the Securities Act for the resale of the Common Stock by the applicable securityholder or otherwise, such Registration Statement shall register for resale such number of shares of Common Stock which is equal to the maximum number of shares of Common Stock as is permitted by the SEC. In such event, the number of shares of Common Stock to be registered for each selling securityholder named in the Registration Statement shall be reduced pro rata among all such selling securityholders. Unless required under applicable laws and SEC rules, in no event shall the Purchaser be identified as a statutory underwriter in the Registration Statement;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w:t>
      </w:r>
      <w:r>
        <w:rPr>
          <w:rFonts w:ascii="Times New Roman" w:cs="Times New Roman" w:eastAsia="Times New Roman" w:hAnsi="Times New Roman"/>
          <w:sz w:val="16"/>
          <w:szCs w:val="16"/>
          <w:color w:val="auto"/>
        </w:rPr>
        <w:t xml:space="preserve"> if the Purchaser is required to be so identified as a statutory underwriter in the Registration Statement, the Purchaser will have an opportunity to withdraw its Registrable Securities from the Registration Statement.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90" w:name="page191"/>
    <w:bookmarkEnd w:id="190"/>
    <w:p>
      <w:pPr>
        <w:jc w:val="both"/>
        <w:ind w:left="4" w:firstLine="1143"/>
        <w:spacing w:after="0" w:line="255" w:lineRule="auto"/>
        <w:tabs>
          <w:tab w:leader="none" w:pos="1410" w:val="left"/>
        </w:tabs>
        <w:numPr>
          <w:ilvl w:val="2"/>
          <w:numId w:val="1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shall use its commercially reasonable efforts to keep such registration, and any qualification, exemption or compliance under state securities laws which the Company determines to obtain, continuously effective with respect to the Purchaser, and to keep the applicable Registration Statement or any subsequent shelf registration statement free of any material misstatements or omissions, until the earlier of the following: (i) the Purchaser ceases to hold any Registrable Securities and (ii) the date all Registrable Securities held by the Purchaser may be sold without restriction under Rule 144, including without limitation, any volume and manner of sale restrictions which may be applicable to affiliates under Rule 144 and without the requirement for the Company to be in compliance with the current public information required under Rule 144(c)(1) (or Rule 144(i)(2), if applicable).</w:t>
      </w:r>
    </w:p>
    <w:p>
      <w:pPr>
        <w:spacing w:after="0" w:line="161" w:lineRule="exact"/>
        <w:rPr>
          <w:rFonts w:ascii="Times New Roman" w:cs="Times New Roman" w:eastAsia="Times New Roman" w:hAnsi="Times New Roman"/>
          <w:sz w:val="16"/>
          <w:szCs w:val="16"/>
          <w:b w:val="1"/>
          <w:bCs w:val="1"/>
          <w:color w:val="auto"/>
        </w:rPr>
      </w:pPr>
    </w:p>
    <w:p>
      <w:pPr>
        <w:jc w:val="both"/>
        <w:ind w:left="4" w:firstLine="1143"/>
        <w:spacing w:after="0" w:line="270" w:lineRule="auto"/>
        <w:tabs>
          <w:tab w:leader="none" w:pos="1380" w:val="left"/>
        </w:tabs>
        <w:numPr>
          <w:ilvl w:val="2"/>
          <w:numId w:val="18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Notwithstanding anything herein to the contrary, the Company may suspend the use of any prospectus (a “</w:t>
      </w:r>
      <w:r>
        <w:rPr>
          <w:rFonts w:ascii="Times New Roman" w:cs="Times New Roman" w:eastAsia="Times New Roman" w:hAnsi="Times New Roman"/>
          <w:sz w:val="15"/>
          <w:szCs w:val="15"/>
          <w:b w:val="1"/>
          <w:bCs w:val="1"/>
          <w:i w:val="1"/>
          <w:iCs w:val="1"/>
          <w:color w:val="auto"/>
        </w:rPr>
        <w:t>Prospectus</w:t>
      </w:r>
      <w:r>
        <w:rPr>
          <w:rFonts w:ascii="Times New Roman" w:cs="Times New Roman" w:eastAsia="Times New Roman" w:hAnsi="Times New Roman"/>
          <w:sz w:val="15"/>
          <w:szCs w:val="15"/>
          <w:color w:val="auto"/>
        </w:rPr>
        <w:t>”) included in any Registration Statement contemplated by this Section in the event that the Company’s Board of Directors determines in good faith that such suspension is necessary to (A) delay the disclosure of material non-public information concerning the Company, the disclosure of which at the time is not, in the good faith opinion of the Company’s Board of Directors,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5"/>
          <w:szCs w:val="15"/>
          <w:b w:val="1"/>
          <w:bCs w:val="1"/>
          <w:i w:val="1"/>
          <w:iCs w:val="1"/>
          <w:color w:val="auto"/>
        </w:rPr>
        <w:t>Allowed Registration Delay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Company shall promptly</w:t>
      </w:r>
    </w:p>
    <w:p>
      <w:pPr>
        <w:spacing w:after="0" w:line="3" w:lineRule="exact"/>
        <w:rPr>
          <w:rFonts w:ascii="Times New Roman" w:cs="Times New Roman" w:eastAsia="Times New Roman" w:hAnsi="Times New Roman"/>
          <w:sz w:val="15"/>
          <w:szCs w:val="15"/>
          <w:b w:val="1"/>
          <w:bCs w:val="1"/>
          <w:color w:val="auto"/>
        </w:rPr>
      </w:pPr>
    </w:p>
    <w:p>
      <w:pPr>
        <w:jc w:val="both"/>
        <w:ind w:left="4" w:hanging="4"/>
        <w:spacing w:after="0" w:line="252" w:lineRule="auto"/>
        <w:tabs>
          <w:tab w:leader="none" w:pos="22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Purchaser in writing of the commencement of and the reasons for an Allowed Registration Delay, but shall not (without the prior written consent of the Purchaser) disclose to the Purchaser any material non-public information giving rise to an Allowed Registration Delay, (b) advise the Purchaser in writing to cease all sales under the Registration Statement until the end of the Allowed Registration Delay and (c) use commercially reasonable efforts to terminate an Allowed Registration Delay as promptly as practicable.</w:t>
      </w:r>
    </w:p>
    <w:p>
      <w:pPr>
        <w:spacing w:after="0" w:line="164"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198" w:lineRule="exact"/>
        <w:rPr>
          <w:sz w:val="20"/>
          <w:szCs w:val="20"/>
          <w:color w:val="auto"/>
        </w:rPr>
      </w:pPr>
    </w:p>
    <w:p>
      <w:pPr>
        <w:jc w:val="both"/>
        <w:ind w:left="4"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5.1 Binding Agreement</w:t>
      </w:r>
      <w:r>
        <w:rPr>
          <w:rFonts w:ascii="Times New Roman" w:cs="Times New Roman" w:eastAsia="Times New Roman" w:hAnsi="Times New Roman"/>
          <w:sz w:val="16"/>
          <w:szCs w:val="16"/>
          <w:color w:val="auto"/>
        </w:rPr>
        <w:t>. The terms and conditions of this Agreement shall inure to the benefit of and be binding upon the respective successors and assigns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parties. No party to this Agreement may assign this Agreement or its rights or obligations hereunder without the prior written consent of the other party hereto. Nothing in this Agreement, expressed or implied, is intended to confer upon any third party any rights, remedies, obligations, or liabilities under or by reason of this Agreement, except as set forth in Section 5.14 and as otherwise expressly provided in this Agreement.</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91" w:name="page192"/>
    <w:bookmarkEnd w:id="191"/>
    <w:p>
      <w:pPr>
        <w:ind w:left="1140"/>
        <w:spacing w:after="0"/>
        <w:rPr>
          <w:sz w:val="20"/>
          <w:szCs w:val="20"/>
          <w:color w:val="auto"/>
        </w:rPr>
      </w:pPr>
      <w:r>
        <w:rPr>
          <w:rFonts w:ascii="Times New Roman" w:cs="Times New Roman" w:eastAsia="Times New Roman" w:hAnsi="Times New Roman"/>
          <w:sz w:val="16"/>
          <w:szCs w:val="16"/>
          <w:b w:val="1"/>
          <w:bCs w:val="1"/>
          <w:color w:val="auto"/>
        </w:rPr>
        <w:t>5.2 Governing Law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1143"/>
        <w:spacing w:after="0" w:line="280" w:lineRule="auto"/>
        <w:tabs>
          <w:tab w:leader="none" w:pos="1385"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Agreement and the Note shall be governed by and construed under the laws of the State of Delaware as applied to agreements among Delaware residents, made and to be performed entirely within the State of Delaware, without giving effect to conflicts of laws principles.</w:t>
      </w:r>
    </w:p>
    <w:p>
      <w:pPr>
        <w:spacing w:after="0" w:line="144" w:lineRule="exact"/>
        <w:rPr>
          <w:rFonts w:ascii="Times New Roman" w:cs="Times New Roman" w:eastAsia="Times New Roman" w:hAnsi="Times New Roman"/>
          <w:sz w:val="16"/>
          <w:szCs w:val="16"/>
          <w:b w:val="1"/>
          <w:bCs w:val="1"/>
          <w:color w:val="auto"/>
        </w:rPr>
      </w:pPr>
    </w:p>
    <w:p>
      <w:pPr>
        <w:jc w:val="both"/>
        <w:ind w:right="20" w:firstLine="1143"/>
        <w:spacing w:after="0" w:line="265" w:lineRule="auto"/>
        <w:tabs>
          <w:tab w:leader="none" w:pos="1421" w:val="left"/>
        </w:tabs>
        <w:numPr>
          <w:ilvl w:val="0"/>
          <w:numId w:val="1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OF THE COMPANY AND THE PURCHASER HEREBY IRREVOCABLY WAIVES, TO THE FULLEST EXTENT PERMITTED BY APPLICABLE LAW, ANY AND ALL RIGHT TO TRIAL BY JURY IN ANY LEGAL PROCEEDING ARISING OUT OF OR RELATING TO THIS THIS AGREEMENT, THE OTHER NOTE DOCUMENTS OR THE TRANSACTIONS CONTEMPLATED THIS AGREEMENT OR THE OTHER NOTE DOCUMENTS.</w:t>
      </w:r>
    </w:p>
    <w:p>
      <w:pPr>
        <w:spacing w:after="0" w:line="153" w:lineRule="exact"/>
        <w:rPr>
          <w:sz w:val="20"/>
          <w:szCs w:val="20"/>
          <w:color w:val="auto"/>
        </w:rPr>
      </w:pPr>
    </w:p>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5.3 Counterparts</w:t>
      </w:r>
      <w:r>
        <w:rPr>
          <w:rFonts w:ascii="Times New Roman" w:cs="Times New Roman" w:eastAsia="Times New Roman" w:hAnsi="Times New Roman"/>
          <w:sz w:val="16"/>
          <w:szCs w:val="16"/>
          <w:color w:val="auto"/>
        </w:rPr>
        <w:t>. This Agreement may be executed in two or more counterparts, each of which shall be deemed an original, but all of which together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9" w:lineRule="exact"/>
        <w:rPr>
          <w:sz w:val="20"/>
          <w:szCs w:val="20"/>
          <w:color w:val="auto"/>
        </w:rPr>
      </w:pPr>
    </w:p>
    <w:p>
      <w:pPr>
        <w:jc w:val="both"/>
        <w:ind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5.4 Titles and Subtitles</w:t>
      </w:r>
      <w:r>
        <w:rPr>
          <w:rFonts w:ascii="Times New Roman" w:cs="Times New Roman" w:eastAsia="Times New Roman" w:hAnsi="Times New Roman"/>
          <w:sz w:val="16"/>
          <w:szCs w:val="16"/>
          <w:color w:val="auto"/>
        </w:rPr>
        <w:t>. The titles and subtitles used in this Agreement are used for convenience only and are not to be considered in construing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interpreting this Agreement.</w:t>
      </w:r>
    </w:p>
    <w:p>
      <w:pPr>
        <w:spacing w:after="0" w:line="140" w:lineRule="exact"/>
        <w:rPr>
          <w:sz w:val="20"/>
          <w:szCs w:val="20"/>
          <w:color w:val="auto"/>
        </w:rPr>
      </w:pPr>
    </w:p>
    <w:p>
      <w:pPr>
        <w:jc w:val="both"/>
        <w:ind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5.5 Notices</w:t>
      </w:r>
      <w:r>
        <w:rPr>
          <w:rFonts w:ascii="Times New Roman" w:cs="Times New Roman" w:eastAsia="Times New Roman" w:hAnsi="Times New Roman"/>
          <w:sz w:val="16"/>
          <w:szCs w:val="16"/>
          <w:color w:val="auto"/>
        </w:rPr>
        <w:t>. All notices required or permitted under this Agreement or the Note shall be in writing and shall be deemed effectively given (i) upon personal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delivery to the party to be notified, (ii) when sent by confirmed electronic mail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to a party shall be sent to the party’s address set forth on the signature page or at such other address(es) as such party may designate by 10 days’ advance written notice to the other party hereto. A copy of any notice to the Company shall be sent to Arnold &amp; Porter Kaye Scholer LLP, 250 W.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New York, NY, Attn: Michael Penney, e-mail: michael.penney@arnoldporter.com.</w:t>
      </w:r>
    </w:p>
    <w:p>
      <w:pPr>
        <w:spacing w:after="0" w:line="49"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5.6 Modification; Waiver; Amendment</w:t>
      </w:r>
      <w:r>
        <w:rPr>
          <w:rFonts w:ascii="Times New Roman" w:cs="Times New Roman" w:eastAsia="Times New Roman" w:hAnsi="Times New Roman"/>
          <w:sz w:val="16"/>
          <w:szCs w:val="16"/>
          <w:color w:val="auto"/>
        </w:rPr>
        <w:t>. No modification or waiver of any provision of this Agreement or consent to departure therefrom shall be 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in writing by the Company and the Purchaser.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92" w:name="page193"/>
    <w:bookmarkEnd w:id="192"/>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5.7 Further Assurances</w:t>
      </w:r>
      <w:r>
        <w:rPr>
          <w:rFonts w:ascii="Times New Roman" w:cs="Times New Roman" w:eastAsia="Times New Roman" w:hAnsi="Times New Roman"/>
          <w:sz w:val="16"/>
          <w:szCs w:val="16"/>
          <w:color w:val="auto"/>
        </w:rPr>
        <w:t>. The Purchaser agrees and covenants that at any time and from time to time it will promptly execute and deliver to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further instruments and documents and take such further action as the Company may reasonably require in order to carry out the full intent and purpose of this Agreement and to comply with state or federal securities laws or other regulatory approvals.</w:t>
      </w:r>
    </w:p>
    <w:p>
      <w:pPr>
        <w:spacing w:after="0" w:line="153"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5.8 Expenses</w:t>
      </w:r>
      <w:r>
        <w:rPr>
          <w:rFonts w:ascii="Times New Roman" w:cs="Times New Roman" w:eastAsia="Times New Roman" w:hAnsi="Times New Roman"/>
          <w:sz w:val="16"/>
          <w:szCs w:val="16"/>
          <w:color w:val="auto"/>
        </w:rPr>
        <w:t>. The Company and the Purchaser shall each bear its respective expenses and legal fees incurred with respect to this Agreement, the Note,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transactions contemplated hereby and thereby.</w:t>
      </w:r>
    </w:p>
    <w:p>
      <w:pPr>
        <w:spacing w:after="0" w:line="140"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b w:val="1"/>
          <w:bCs w:val="1"/>
          <w:color w:val="auto"/>
        </w:rPr>
        <w:t>5.9 Delays or Omissions</w:t>
      </w:r>
      <w:r>
        <w:rPr>
          <w:rFonts w:ascii="Times New Roman" w:cs="Times New Roman" w:eastAsia="Times New Roman" w:hAnsi="Times New Roman"/>
          <w:sz w:val="16"/>
          <w:szCs w:val="16"/>
          <w:color w:val="auto"/>
        </w:rPr>
        <w:t>. It is agreed that no delay or omission to exercise any right, power or remedy accruing to the Purchaser, upon any breach or default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under this Agreement or the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Purchaser of any breach or default under this Agreement or any Note, or any waiver by the Purchaser of any provisions or conditions of this Agreement or the Note must be in writing and shall be effective only to the extent specifically set forth in writing and that all remedies, either under this Agreement or the Note, or by law or otherwise afforded to the Purchaser, shall be cumulative and not alternative.</w:t>
      </w:r>
    </w:p>
    <w:p>
      <w:pPr>
        <w:spacing w:after="0" w:line="161" w:lineRule="exact"/>
        <w:rPr>
          <w:sz w:val="20"/>
          <w:szCs w:val="20"/>
          <w:color w:val="auto"/>
        </w:rPr>
      </w:pPr>
    </w:p>
    <w:p>
      <w:pPr>
        <w:jc w:val="both"/>
        <w:ind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5.10 Exculpation Among Other Note Purchasers</w:t>
      </w:r>
      <w:r>
        <w:rPr>
          <w:rFonts w:ascii="Times New Roman" w:cs="Times New Roman" w:eastAsia="Times New Roman" w:hAnsi="Times New Roman"/>
          <w:sz w:val="16"/>
          <w:szCs w:val="16"/>
          <w:color w:val="auto"/>
        </w:rPr>
        <w:t>. The Purchaser acknowledges that the Purchaser is not relying on any person, firm or corporation,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the Company and its officers and Board members, in making the Purchaser’s investment or decision to invest in the Company.</w:t>
      </w:r>
    </w:p>
    <w:p>
      <w:pPr>
        <w:spacing w:after="0" w:line="140" w:lineRule="exact"/>
        <w:rPr>
          <w:sz w:val="20"/>
          <w:szCs w:val="20"/>
          <w:color w:val="auto"/>
        </w:rPr>
      </w:pPr>
    </w:p>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5.11 Entire Agreement</w:t>
      </w:r>
      <w:r>
        <w:rPr>
          <w:rFonts w:ascii="Times New Roman" w:cs="Times New Roman" w:eastAsia="Times New Roman" w:hAnsi="Times New Roman"/>
          <w:sz w:val="16"/>
          <w:szCs w:val="16"/>
          <w:color w:val="auto"/>
        </w:rPr>
        <w:t>. This Agreement, the Indenture and the Notes constitute the full and entire understanding and agreement between the parties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regard to the subjects hereof and no party shall be liable or bound to any other party in any manner by any representations, warranties, covenants and agreements except as specifically set forth herein.</w:t>
      </w:r>
    </w:p>
    <w:p>
      <w:pPr>
        <w:spacing w:after="0" w:line="151"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5.12 Waiver of Conflicts</w:t>
      </w:r>
      <w:r>
        <w:rPr>
          <w:rFonts w:ascii="Times New Roman" w:cs="Times New Roman" w:eastAsia="Times New Roman" w:hAnsi="Times New Roman"/>
          <w:sz w:val="16"/>
          <w:szCs w:val="16"/>
          <w:color w:val="auto"/>
        </w:rPr>
        <w:t>. Each party to this Agreement acknowledges that Arnold &amp; Porter Kaye Scholer LLP (“</w:t>
      </w:r>
      <w:r>
        <w:rPr>
          <w:rFonts w:ascii="Times New Roman" w:cs="Times New Roman" w:eastAsia="Times New Roman" w:hAnsi="Times New Roman"/>
          <w:sz w:val="16"/>
          <w:szCs w:val="16"/>
          <w:b w:val="1"/>
          <w:bCs w:val="1"/>
          <w:i w:val="1"/>
          <w:iCs w:val="1"/>
          <w:color w:val="auto"/>
        </w:rPr>
        <w:t>A&amp;P</w:t>
      </w:r>
      <w:r>
        <w:rPr>
          <w:rFonts w:ascii="Times New Roman" w:cs="Times New Roman" w:eastAsia="Times New Roman" w:hAnsi="Times New Roman"/>
          <w:sz w:val="16"/>
          <w:szCs w:val="16"/>
          <w:color w:val="auto"/>
        </w:rPr>
        <w:t>”) has acted as counsel solely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with respect to the this Agreement, the Note Documents the Collateral Documents and the transactions contemplated hereby and thereby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and has negotiated the terms of the Transactions solely on behalf of the Company. A&amp;P may have, in the past, represented and/or may, now or in the future, represent the Purchaser and/or its affiliates in other matters, including matters that are similar, but not substantially related, to the Transactions. The applicable rules of professional conduct require that A&amp;P inform its clients of these representations and obtain their waivers of the conflicts that may arise from such representations. Each of the Company and the Purchaser hereby (i) acknowledges that such party has been advised about such circumstances and has had an opportunity to ask for additional information, (ii) acknowledges that, with respect to the Transactions, A&amp;P has represented solely the Company and no other party, and (iii) gives its informed consent to A&amp;P’s representation of the Company in the Transactions and A&amp;P’s representation of the Purchaser and/or its affiliates in other matters.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93" w:name="page194"/>
    <w:bookmarkEnd w:id="193"/>
    <w:p>
      <w:pPr>
        <w:jc w:val="both"/>
        <w:ind w:left="4" w:firstLine="1147"/>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5.13 Consent. </w:t>
      </w:r>
      <w:r>
        <w:rPr>
          <w:rFonts w:ascii="Times New Roman" w:cs="Times New Roman" w:eastAsia="Times New Roman" w:hAnsi="Times New Roman"/>
          <w:sz w:val="15"/>
          <w:szCs w:val="15"/>
          <w:color w:val="auto"/>
        </w:rPr>
        <w:t>If the Purchaser is a holder of the Company’s 7.00% Convertible Senior Notes due 2029 (the “</w:t>
      </w:r>
      <w:r>
        <w:rPr>
          <w:rFonts w:ascii="Times New Roman" w:cs="Times New Roman" w:eastAsia="Times New Roman" w:hAnsi="Times New Roman"/>
          <w:sz w:val="15"/>
          <w:szCs w:val="15"/>
          <w:b w:val="1"/>
          <w:bCs w:val="1"/>
          <w:i w:val="1"/>
          <w:iCs w:val="1"/>
          <w:color w:val="auto"/>
        </w:rPr>
        <w:t>7.00% Notes</w:t>
      </w:r>
      <w:r>
        <w:rPr>
          <w:rFonts w:ascii="Times New Roman" w:cs="Times New Roman" w:eastAsia="Times New Roman" w:hAnsi="Times New Roman"/>
          <w:sz w:val="15"/>
          <w:szCs w:val="15"/>
          <w:color w:val="auto"/>
        </w:rPr>
        <w:t>”), as previously issued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Indenture, dated as of September 16, 2024, between the Company and the Trustee (the “</w:t>
      </w:r>
      <w:r>
        <w:rPr>
          <w:rFonts w:ascii="Times New Roman" w:cs="Times New Roman" w:eastAsia="Times New Roman" w:hAnsi="Times New Roman"/>
          <w:sz w:val="15"/>
          <w:szCs w:val="15"/>
          <w:b w:val="1"/>
          <w:bCs w:val="1"/>
          <w:i w:val="1"/>
          <w:iCs w:val="1"/>
          <w:color w:val="auto"/>
        </w:rPr>
        <w:t>7.00% Notes Indenture</w:t>
      </w:r>
      <w:r>
        <w:rPr>
          <w:rFonts w:ascii="Times New Roman" w:cs="Times New Roman" w:eastAsia="Times New Roman" w:hAnsi="Times New Roman"/>
          <w:sz w:val="15"/>
          <w:szCs w:val="15"/>
          <w:color w:val="auto"/>
        </w:rPr>
        <w:t>”), then the Purchaser further hereby consents, confirms and agrees, in accordance with Sections 4.07 and 8.01 of the 7.00% Notes Indenture, as well as the other applicable provisions of the 7.00% Notes Indenture, that the Company may</w:t>
      </w:r>
    </w:p>
    <w:p>
      <w:pPr>
        <w:spacing w:after="0" w:line="1" w:lineRule="exact"/>
        <w:rPr>
          <w:sz w:val="20"/>
          <w:szCs w:val="20"/>
          <w:color w:val="auto"/>
        </w:rPr>
      </w:pPr>
    </w:p>
    <w:p>
      <w:pPr>
        <w:jc w:val="both"/>
        <w:ind w:left="4" w:right="20" w:hanging="4"/>
        <w:spacing w:after="0" w:line="252" w:lineRule="auto"/>
        <w:tabs>
          <w:tab w:leader="none" w:pos="23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the Notes pursuant to the Note Purchase Agreements, (y) authorize and grant the security interest in the Collateral (as defined in the Indenture) in accordance with the Indenture and related Collateral Documents (as defined in the Indenture) and (z) enter into one or more Note Purchase Agreements and consummate the transactions thereunder. The Purchaser confirms that the consent provided under this Section 5.13 constitutes an action by the Purchaser in its capacity as a “Holder” with respect to the matters that are the subject matter of this consent for all purposes under Section 8.01 of the 7.00% Notes Indenture.</w:t>
      </w:r>
    </w:p>
    <w:p>
      <w:pPr>
        <w:spacing w:after="0" w:line="165" w:lineRule="exact"/>
        <w:rPr>
          <w:sz w:val="20"/>
          <w:szCs w:val="20"/>
          <w:color w:val="auto"/>
        </w:rPr>
      </w:pPr>
    </w:p>
    <w:p>
      <w:pPr>
        <w:jc w:val="both"/>
        <w:ind w:left="4"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5.14 Third Party Beneficiary. </w:t>
      </w:r>
      <w:r>
        <w:rPr>
          <w:rFonts w:ascii="Times New Roman" w:cs="Times New Roman" w:eastAsia="Times New Roman" w:hAnsi="Times New Roman"/>
          <w:sz w:val="16"/>
          <w:szCs w:val="16"/>
          <w:color w:val="auto"/>
        </w:rPr>
        <w:t>The Placement Agent shall be a third-party beneficiary to this Agreement, the representations, warranties, covenants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of the Company contained herein and the representations, covenants and agreements of the Noteholders contained herein shall inure to the benefit the Placement Agent, and each Placement Agent shall have the right to enforce the agreements made hereunder directly as if it were a party hereto.</w:t>
      </w:r>
    </w:p>
    <w:p>
      <w:pPr>
        <w:spacing w:after="0" w:line="153" w:lineRule="exact"/>
        <w:rPr>
          <w:sz w:val="20"/>
          <w:szCs w:val="20"/>
          <w:color w:val="auto"/>
        </w:rPr>
      </w:pPr>
    </w:p>
    <w:p>
      <w:pPr>
        <w:jc w:val="both"/>
        <w:ind w:left="4"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5.15 Conversion and Termination of SAFEs. </w:t>
      </w:r>
      <w:r>
        <w:rPr>
          <w:rFonts w:ascii="Times New Roman" w:cs="Times New Roman" w:eastAsia="Times New Roman" w:hAnsi="Times New Roman"/>
          <w:sz w:val="16"/>
          <w:szCs w:val="16"/>
          <w:color w:val="auto"/>
        </w:rPr>
        <w:t>By executing and delivering this Agreement, the Purchaser hereby irrevocably agrees that: (a) the aggregate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face amount of the SAFEs is $6,000,000; (b) at the Closing, all of the SAFEs will automatically and without any action on the part of the Purchaser convert into the Affiliate Notes purchased and issued to the Purchaser pursuant to this Agreement, regardless of whether any such SAFE is actually delivered in original or other form to the Company, and any original SAFEs held by (or delivered (electronically or otherwise) to) the Company may be cancelled (and marked cancelled) by the Company upon or following the Closing; (c) as to the Purchaser, the Affiliate Notes are issued in full and complete discharge and satisfaction of all obligations of the Company under the SAFEs; and (d) the Company and the Purchaser hereby agree that the SAFEs are and will be deemed for all purposes to have been amended and modified by virtue hereof to the full extent necessary to permit and facilitate their conversion as provided in this Agreement into Affiliate Notes and that such SAFEs shall be deemed terminated in full and null, void and of no further force or effect.</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i w:val="1"/>
          <w:iCs w:val="1"/>
          <w:color w:val="auto"/>
        </w:rPr>
        <w:t>[Signature pages follow]</w:t>
      </w:r>
    </w:p>
    <w:p>
      <w:pPr>
        <w:spacing w:after="0" w:line="3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2" w:right="319" w:bottom="1440" w:gutter="0" w:footer="0" w:header="0"/>
        </w:sectPr>
      </w:pPr>
    </w:p>
    <w:bookmarkStart w:id="194" w:name="page195"/>
    <w:bookmarkEnd w:id="194"/>
    <w:p>
      <w:pPr>
        <w:ind w:left="560"/>
        <w:spacing w:after="0"/>
        <w:rPr>
          <w:sz w:val="20"/>
          <w:szCs w:val="20"/>
          <w:color w:val="auto"/>
        </w:rPr>
      </w:pPr>
      <w:r>
        <w:rPr>
          <w:rFonts w:ascii="Times New Roman" w:cs="Times New Roman" w:eastAsia="Times New Roman" w:hAnsi="Times New Roman"/>
          <w:sz w:val="15"/>
          <w:szCs w:val="15"/>
          <w:color w:val="auto"/>
        </w:rPr>
        <w:t xml:space="preserve">The parties have executed this </w:t>
      </w:r>
      <w:r>
        <w:rPr>
          <w:rFonts w:ascii="Times New Roman" w:cs="Times New Roman" w:eastAsia="Times New Roman" w:hAnsi="Times New Roman"/>
          <w:sz w:val="15"/>
          <w:szCs w:val="15"/>
          <w:b w:val="1"/>
          <w:bCs w:val="1"/>
          <w:color w:val="auto"/>
        </w:rPr>
        <w:t>Note Purchase Agreement</w:t>
      </w:r>
      <w:r>
        <w:rPr>
          <w:rFonts w:ascii="Times New Roman" w:cs="Times New Roman" w:eastAsia="Times New Roman" w:hAnsi="Times New Roman"/>
          <w:sz w:val="15"/>
          <w:szCs w:val="15"/>
          <w:color w:val="auto"/>
        </w:rPr>
        <w:t xml:space="preserve"> as of the date first written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un</w:t>
      </w:r>
      <w:r>
        <w:rPr>
          <w:rFonts w:ascii="Times New Roman" w:cs="Times New Roman" w:eastAsia="Times New Roman" w:hAnsi="Times New Roman"/>
          <w:sz w:val="16"/>
          <w:szCs w:val="16"/>
          <w:b w:val="1"/>
          <w:bCs w:val="1"/>
          <w:color w:val="auto"/>
        </w:rPr>
        <w:t>P</w:t>
      </w:r>
      <w:r>
        <w:rPr>
          <w:rFonts w:ascii="Times New Roman" w:cs="Times New Roman" w:eastAsia="Times New Roman" w:hAnsi="Times New Roman"/>
          <w:sz w:val="10"/>
          <w:szCs w:val="10"/>
          <w:b w:val="1"/>
          <w:bCs w:val="1"/>
          <w:color w:val="auto"/>
        </w:rPr>
        <w:t>ower</w:t>
      </w:r>
      <w:r>
        <w:rPr>
          <w:rFonts w:ascii="Times New Roman" w:cs="Times New Roman" w:eastAsia="Times New Roman" w:hAnsi="Times New Roman"/>
          <w:sz w:val="16"/>
          <w:szCs w:val="16"/>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Wendell Laidley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15240</wp:posOffset>
            </wp:positionV>
            <wp:extent cx="264096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Wendell Laidley</w:t>
      </w:r>
    </w:p>
    <w:p>
      <w:pPr>
        <w:spacing w:after="0" w:line="2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Title:</w:t>
        <w:tab/>
        <w:t>Chief Financia Officer</w:t>
      </w:r>
    </w:p>
    <w:p>
      <w:pPr>
        <w:spacing w:after="0" w:line="37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95" w:name="page196"/>
    <w:bookmarkEnd w:id="195"/>
    <w:p>
      <w:pPr>
        <w:ind w:left="560"/>
        <w:spacing w:after="0"/>
        <w:rPr>
          <w:sz w:val="20"/>
          <w:szCs w:val="20"/>
          <w:color w:val="auto"/>
        </w:rPr>
      </w:pPr>
      <w:r>
        <w:rPr>
          <w:rFonts w:ascii="Times New Roman" w:cs="Times New Roman" w:eastAsia="Times New Roman" w:hAnsi="Times New Roman"/>
          <w:sz w:val="15"/>
          <w:szCs w:val="15"/>
          <w:color w:val="auto"/>
        </w:rPr>
        <w:t xml:space="preserve">The parties have executed this </w:t>
      </w:r>
      <w:r>
        <w:rPr>
          <w:rFonts w:ascii="Times New Roman" w:cs="Times New Roman" w:eastAsia="Times New Roman" w:hAnsi="Times New Roman"/>
          <w:sz w:val="15"/>
          <w:szCs w:val="15"/>
          <w:b w:val="1"/>
          <w:bCs w:val="1"/>
          <w:color w:val="auto"/>
        </w:rPr>
        <w:t>Note Purchase Agreement</w:t>
      </w:r>
      <w:r>
        <w:rPr>
          <w:rFonts w:ascii="Times New Roman" w:cs="Times New Roman" w:eastAsia="Times New Roman" w:hAnsi="Times New Roman"/>
          <w:sz w:val="15"/>
          <w:szCs w:val="15"/>
          <w:color w:val="auto"/>
        </w:rPr>
        <w:t xml:space="preserve"> as of the date first written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RODGERS MASSEY REVOCABLE LIVING TRUST dtd 4/4/11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Thurman J. Rodgers</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Thurman J. Rodgers</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Authorized Person</w:t>
            </w:r>
          </w:p>
        </w:tc>
      </w:tr>
    </w:tbl>
    <w:p>
      <w:pPr>
        <w:spacing w:after="0" w:line="3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 PURCHASE AND EXCHANGE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(SELLER NOTE EXCHANGE)</w:t>
      </w:r>
    </w:p>
    <w:p>
      <w:pPr>
        <w:spacing w:after="0" w:line="178" w:lineRule="exact"/>
        <w:rPr>
          <w:sz w:val="20"/>
          <w:szCs w:val="20"/>
          <w:color w:val="auto"/>
        </w:rPr>
      </w:pPr>
    </w:p>
    <w:p>
      <w:pPr>
        <w:jc w:val="both"/>
        <w:ind w:right="20" w:firstLine="574"/>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THIS NOTE PURCHASE AND EXCHANGE AGREEMENT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made as of April 21, 2026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by and between</w:t>
      </w:r>
      <w:r>
        <w:rPr>
          <w:rFonts w:ascii="Times New Roman" w:cs="Times New Roman" w:eastAsia="Times New Roman" w:hAnsi="Times New Roman"/>
          <w:sz w:val="16"/>
          <w:szCs w:val="16"/>
          <w:b w:val="1"/>
          <w:bCs w:val="1"/>
          <w:color w:val="auto"/>
        </w:rPr>
        <w:t xml:space="preserve"> SunPower Inc.</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the party named on the signature page attached hereto (the “</w:t>
      </w:r>
      <w:r>
        <w:rPr>
          <w:rFonts w:ascii="Times New Roman" w:cs="Times New Roman" w:eastAsia="Times New Roman" w:hAnsi="Times New Roman"/>
          <w:sz w:val="16"/>
          <w:szCs w:val="16"/>
          <w:b w:val="1"/>
          <w:bCs w:val="1"/>
          <w:i w:val="1"/>
          <w:iCs w:val="1"/>
          <w:color w:val="auto"/>
        </w:rPr>
        <w:t>Purchaser</w:t>
      </w:r>
      <w:r>
        <w:rPr>
          <w:rFonts w:ascii="Times New Roman" w:cs="Times New Roman" w:eastAsia="Times New Roman" w:hAnsi="Times New Roman"/>
          <w:sz w:val="16"/>
          <w:szCs w:val="16"/>
          <w:color w:val="auto"/>
        </w:rPr>
        <w:t>”). The Company and the Purchaser are sometimes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referred to herein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each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has authorized, upon the terms and conditions stated in this Agreement, the sale and issuance of 10.00% Convertible Senior Notes due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2029 (the “</w:t>
      </w:r>
      <w:r>
        <w:rPr>
          <w:rFonts w:ascii="Times New Roman" w:cs="Times New Roman" w:eastAsia="Times New Roman" w:hAnsi="Times New Roman"/>
          <w:sz w:val="16"/>
          <w:szCs w:val="16"/>
          <w:b w:val="1"/>
          <w:bCs w:val="1"/>
          <w:i w:val="1"/>
          <w:iCs w:val="1"/>
          <w:color w:val="auto"/>
        </w:rPr>
        <w:t>10.00% Notes</w:t>
      </w:r>
      <w:r>
        <w:rPr>
          <w:rFonts w:ascii="Times New Roman" w:cs="Times New Roman" w:eastAsia="Times New Roman" w:hAnsi="Times New Roman"/>
          <w:sz w:val="16"/>
          <w:szCs w:val="16"/>
          <w:color w:val="auto"/>
        </w:rPr>
        <w:t>”) to various purchasers under those certain Note Purchase Agreements entered into on or about the Effective Date (collectively with this Agreement, the “</w:t>
      </w:r>
      <w:r>
        <w:rPr>
          <w:rFonts w:ascii="Times New Roman" w:cs="Times New Roman" w:eastAsia="Times New Roman" w:hAnsi="Times New Roman"/>
          <w:sz w:val="16"/>
          <w:szCs w:val="16"/>
          <w:b w:val="1"/>
          <w:bCs w:val="1"/>
          <w:i w:val="1"/>
          <w:iCs w:val="1"/>
          <w:color w:val="auto"/>
        </w:rPr>
        <w:t>Note Purchase Agreements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10.00% Notes will be issued pursuant to the Indenture, dated on or about the date hereof, between U.S. Bank Trust Company, National Association,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trustee (in such capacity, the “</w:t>
      </w:r>
      <w:r>
        <w:rPr>
          <w:rFonts w:ascii="Times New Roman" w:cs="Times New Roman" w:eastAsia="Times New Roman" w:hAnsi="Times New Roman"/>
          <w:sz w:val="16"/>
          <w:szCs w:val="16"/>
          <w:b w:val="1"/>
          <w:bCs w:val="1"/>
          <w:i w:val="1"/>
          <w:iCs w:val="1"/>
          <w:color w:val="auto"/>
        </w:rPr>
        <w:t>Trustee</w:t>
      </w:r>
      <w:r>
        <w:rPr>
          <w:rFonts w:ascii="Times New Roman" w:cs="Times New Roman" w:eastAsia="Times New Roman" w:hAnsi="Times New Roman"/>
          <w:sz w:val="16"/>
          <w:szCs w:val="16"/>
          <w:color w:val="auto"/>
        </w:rPr>
        <w:t>”) and collateral agent (in such capacity, the “</w:t>
      </w:r>
      <w:r>
        <w:rPr>
          <w:rFonts w:ascii="Times New Roman" w:cs="Times New Roman" w:eastAsia="Times New Roman" w:hAnsi="Times New Roman"/>
          <w:sz w:val="16"/>
          <w:szCs w:val="16"/>
          <w:b w:val="1"/>
          <w:bCs w:val="1"/>
          <w:i w:val="1"/>
          <w:iCs w:val="1"/>
          <w:color w:val="auto"/>
        </w:rPr>
        <w:t>Collateral Agent</w:t>
      </w:r>
      <w:r>
        <w:rPr>
          <w:rFonts w:ascii="Times New Roman" w:cs="Times New Roman" w:eastAsia="Times New Roman" w:hAnsi="Times New Roman"/>
          <w:sz w:val="16"/>
          <w:szCs w:val="16"/>
          <w:color w:val="auto"/>
        </w:rPr>
        <w:t>”), the Company, as issuer, and the guarantor party thereto (as supplemented or amended, the “</w:t>
      </w:r>
      <w:r>
        <w:rPr>
          <w:rFonts w:ascii="Times New Roman" w:cs="Times New Roman" w:eastAsia="Times New Roman" w:hAnsi="Times New Roman"/>
          <w:sz w:val="16"/>
          <w:szCs w:val="16"/>
          <w:b w:val="1"/>
          <w:bCs w:val="1"/>
          <w:i w:val="1"/>
          <w:iCs w:val="1"/>
          <w:color w:val="auto"/>
        </w:rPr>
        <w:t>Indenture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previously issued to the Purchaser that certain Promissory Note dated September 24, 2025 in the original principal amount of $20,000,000,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amended (the “</w:t>
      </w:r>
      <w:r>
        <w:rPr>
          <w:rFonts w:ascii="Times New Roman" w:cs="Times New Roman" w:eastAsia="Times New Roman" w:hAnsi="Times New Roman"/>
          <w:sz w:val="16"/>
          <w:szCs w:val="16"/>
          <w:b w:val="1"/>
          <w:bCs w:val="1"/>
          <w:i w:val="1"/>
          <w:iCs w:val="1"/>
          <w:color w:val="auto"/>
        </w:rPr>
        <w:t>Original Seller Note</w:t>
      </w:r>
      <w:r>
        <w:rPr>
          <w:rFonts w:ascii="Times New Roman" w:cs="Times New Roman" w:eastAsia="Times New Roman" w:hAnsi="Times New Roman"/>
          <w:sz w:val="16"/>
          <w:szCs w:val="16"/>
          <w:color w:val="auto"/>
        </w:rPr>
        <w:t>”), in connection with the transactions under that certain Membership Interest Purchase Agreement dated as of September 21, 2025 among the Company, the Purchaser and the other parties thereto, as amended (the “</w:t>
      </w:r>
      <w:r>
        <w:rPr>
          <w:rFonts w:ascii="Times New Roman" w:cs="Times New Roman" w:eastAsia="Times New Roman" w:hAnsi="Times New Roman"/>
          <w:sz w:val="16"/>
          <w:szCs w:val="16"/>
          <w:b w:val="1"/>
          <w:bCs w:val="1"/>
          <w:i w:val="1"/>
          <w:iCs w:val="1"/>
          <w:color w:val="auto"/>
        </w:rPr>
        <w:t>MIPA</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prior to the date hereof, the Company has caused to be issued to the Purchaser and certain other persons all of the Consideration Shares (as deinfed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MIPA) issuable by the Company pursuant to the terms of the MIPA;</w:t>
      </w:r>
    </w:p>
    <w:p>
      <w:pPr>
        <w:spacing w:after="0" w:line="140" w:lineRule="exact"/>
        <w:rPr>
          <w:sz w:val="20"/>
          <w:szCs w:val="20"/>
          <w:color w:val="auto"/>
        </w:rPr>
      </w:pPr>
    </w:p>
    <w:p>
      <w:pPr>
        <w:jc w:val="both"/>
        <w:ind w:right="20"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Company’s sale and issuance of the 10.00% Notes, the Original Seller Note shall be satisfied and discharged through (a)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issuance of 10.00% Notes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(b) a $4,000,000 payment in cash (the “</w:t>
      </w:r>
      <w:r>
        <w:rPr>
          <w:rFonts w:ascii="Times New Roman" w:cs="Times New Roman" w:eastAsia="Times New Roman" w:hAnsi="Times New Roman"/>
          <w:sz w:val="16"/>
          <w:szCs w:val="16"/>
          <w:b w:val="1"/>
          <w:bCs w:val="1"/>
          <w:i w:val="1"/>
          <w:iCs w:val="1"/>
          <w:color w:val="auto"/>
        </w:rPr>
        <w:t>Cash Closing Amount</w:t>
      </w:r>
      <w:r>
        <w:rPr>
          <w:rFonts w:ascii="Times New Roman" w:cs="Times New Roman" w:eastAsia="Times New Roman" w:hAnsi="Times New Roman"/>
          <w:sz w:val="16"/>
          <w:szCs w:val="16"/>
          <w:color w:val="auto"/>
        </w:rPr>
        <w:t xml:space="preserve">”); and (c) the issuance of an amended and restated Original Seller Note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A&amp;R Note</w:t>
      </w:r>
      <w:r>
        <w:rPr>
          <w:rFonts w:ascii="Times New Roman" w:cs="Times New Roman" w:eastAsia="Times New Roman" w:hAnsi="Times New Roman"/>
          <w:sz w:val="16"/>
          <w:szCs w:val="16"/>
          <w:color w:val="auto"/>
        </w:rPr>
        <w:t>”); and</w:t>
      </w:r>
    </w:p>
    <w:p>
      <w:pPr>
        <w:spacing w:after="0" w:line="153"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the terms and subject to the conditions set forth in this Agreement and pursuant to Section 4(a)(2) of the Securities Act of 1933, as amended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the rules and regulations promulgated thereunder,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xml:space="preserve">”), on the Closing Date, the Company will issue and sell to Purchaser, and Purchaser will purchase from the Company, (a) 10.00% Notes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and (b) the A&amp;R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7" w:name="page198"/>
    <w:bookmarkEnd w:id="197"/>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in consideration of the mutual covenants contained in this Agreement, and for other good and valuable consideration, the receipt and adequacy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are hereby acknowledged, the Company and the Purchaser agree as follows: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1. Purchase and Sale of 10.00% Notes and Issuance of A&amp;R Note</w:t>
      </w:r>
    </w:p>
    <w:p>
      <w:pPr>
        <w:spacing w:after="0" w:line="198"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1.1 Issuance of 10.00% Notes. </w:t>
      </w:r>
      <w:r>
        <w:rPr>
          <w:rFonts w:ascii="Times New Roman" w:cs="Times New Roman" w:eastAsia="Times New Roman" w:hAnsi="Times New Roman"/>
          <w:sz w:val="16"/>
          <w:szCs w:val="16"/>
          <w:color w:val="auto"/>
        </w:rPr>
        <w:t>Subject to the terms and conditions of this Agreement, the Purchaser shall receive from the Company at the Closing,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Company shall issue and sell to the Purchaser, 10.00% Notes in the aggregate principal amount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in consideration for the cancellation, exchange and conversion of an equal amount of the original principal amount of the Original Seller Note (the “</w:t>
      </w:r>
      <w:r>
        <w:rPr>
          <w:rFonts w:ascii="Times New Roman" w:cs="Times New Roman" w:eastAsia="Times New Roman" w:hAnsi="Times New Roman"/>
          <w:sz w:val="16"/>
          <w:szCs w:val="16"/>
          <w:b w:val="1"/>
          <w:bCs w:val="1"/>
          <w:i w:val="1"/>
          <w:iCs w:val="1"/>
          <w:color w:val="auto"/>
        </w:rPr>
        <w:t>Exchanged Principal Amount</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1.2 Issuance of A&amp;R Note. </w:t>
      </w:r>
      <w:r>
        <w:rPr>
          <w:rFonts w:ascii="Times New Roman" w:cs="Times New Roman" w:eastAsia="Times New Roman" w:hAnsi="Times New Roman"/>
          <w:sz w:val="16"/>
          <w:szCs w:val="16"/>
          <w:color w:val="auto"/>
        </w:rPr>
        <w:t>Subject to the terms and conditions of this Agreement, the Purchaser shall receive from the Company at the Closing the A&amp;R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 which shall be issued (when combined with the 10.00% Notes issued to the Purchaser, the Cash Closing Amount and the Consideration Shares) in satisfaction of the purchase price consideration under the MIPA.</w:t>
      </w:r>
    </w:p>
    <w:p>
      <w:pPr>
        <w:spacing w:after="0" w:line="151" w:lineRule="exact"/>
        <w:rPr>
          <w:sz w:val="20"/>
          <w:szCs w:val="20"/>
          <w:color w:val="auto"/>
        </w:rPr>
      </w:pPr>
    </w:p>
    <w:p>
      <w:pPr>
        <w:jc w:val="both"/>
        <w:ind w:firstLine="1147"/>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1.3 Delivery of Notes. </w:t>
      </w:r>
      <w:r>
        <w:rPr>
          <w:rFonts w:ascii="Times New Roman" w:cs="Times New Roman" w:eastAsia="Times New Roman" w:hAnsi="Times New Roman"/>
          <w:sz w:val="16"/>
          <w:szCs w:val="16"/>
          <w:color w:val="auto"/>
        </w:rPr>
        <w:t>The sale and purchase of the 10.00% Notes and the A&amp;R Note (collectively, the “</w:t>
      </w:r>
      <w:r>
        <w:rPr>
          <w:rFonts w:ascii="Times New Roman" w:cs="Times New Roman" w:eastAsia="Times New Roman" w:hAnsi="Times New Roman"/>
          <w:sz w:val="16"/>
          <w:szCs w:val="16"/>
          <w:b w:val="1"/>
          <w:bCs w:val="1"/>
          <w:i w:val="1"/>
          <w:iCs w:val="1"/>
          <w:color w:val="auto"/>
        </w:rPr>
        <w:t>Notes</w:t>
      </w:r>
      <w:r>
        <w:rPr>
          <w:rFonts w:ascii="Times New Roman" w:cs="Times New Roman" w:eastAsia="Times New Roman" w:hAnsi="Times New Roman"/>
          <w:sz w:val="16"/>
          <w:szCs w:val="16"/>
          <w:color w:val="auto"/>
        </w:rPr>
        <w:t>”) shall take place at one closing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to be held on the Closing Date (as defined below). At the Closing: (i) the applicable consideration for the 10.00% Notes shall be satisfied by cancellation, exchange and conversion of the Exchanged Principal Amount; (ii) the Company shall cause the Trustee to execute and authenticate and cause to be delivered to, or for the benefit of, the Purchaser the applicable amount of the 10.00% Notes issuable to the Purchaser pursuant to this Agreement and in accordance with the Indenture; and (iii) the Company shall execute and deliver the A&amp;R Note to the Purchaser.</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1.4 Closing and Settlement; Payment of Cash Closing Amount.</w:t>
      </w:r>
    </w:p>
    <w:p>
      <w:pPr>
        <w:spacing w:after="0" w:line="196" w:lineRule="exact"/>
        <w:rPr>
          <w:sz w:val="20"/>
          <w:szCs w:val="20"/>
          <w:color w:val="auto"/>
        </w:rPr>
      </w:pPr>
    </w:p>
    <w:p>
      <w:pPr>
        <w:ind w:left="1360" w:hanging="217"/>
        <w:spacing w:after="0"/>
        <w:tabs>
          <w:tab w:leader="none" w:pos="1360"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Closing and the settlement of the transactions hereunder (the “</w:t>
      </w:r>
      <w:r>
        <w:rPr>
          <w:rFonts w:ascii="Times New Roman" w:cs="Times New Roman" w:eastAsia="Times New Roman" w:hAnsi="Times New Roman"/>
          <w:sz w:val="16"/>
          <w:szCs w:val="16"/>
          <w:b w:val="1"/>
          <w:bCs w:val="1"/>
          <w:i w:val="1"/>
          <w:iCs w:val="1"/>
          <w:color w:val="auto"/>
        </w:rPr>
        <w:t>Settlement</w:t>
      </w:r>
      <w:r>
        <w:rPr>
          <w:rFonts w:ascii="Times New Roman" w:cs="Times New Roman" w:eastAsia="Times New Roman" w:hAnsi="Times New Roman"/>
          <w:sz w:val="16"/>
          <w:szCs w:val="16"/>
          <w:color w:val="auto"/>
        </w:rPr>
        <w:t>”) shall be made remotely via the exchange of documents and signatures at</w:t>
      </w:r>
    </w:p>
    <w:p>
      <w:pPr>
        <w:spacing w:after="0" w:line="27" w:lineRule="exact"/>
        <w:rPr>
          <w:rFonts w:ascii="Times New Roman" w:cs="Times New Roman" w:eastAsia="Times New Roman" w:hAnsi="Times New Roman"/>
          <w:sz w:val="16"/>
          <w:szCs w:val="16"/>
          <w:b w:val="1"/>
          <w:bCs w:val="1"/>
          <w:color w:val="auto"/>
        </w:rPr>
      </w:pPr>
    </w:p>
    <w:p>
      <w:pPr>
        <w:ind w:right="20"/>
        <w:spacing w:after="0" w:line="25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10:00 A.M., New York City time, on April 23, 2026, subject to the satisfaction or waiver of the conditions set forth in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or at such other time and place as the Company and the Purchaser may mutually agree in writing. The time and date of the Closing and the Settlement is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b w:val="1"/>
          <w:bCs w:val="1"/>
          <w:color w:val="auto"/>
        </w:rPr>
      </w:pPr>
    </w:p>
    <w:p>
      <w:pPr>
        <w:jc w:val="both"/>
        <w:ind w:firstLine="1143"/>
        <w:spacing w:after="0" w:line="265" w:lineRule="auto"/>
        <w:tabs>
          <w:tab w:leader="none" w:pos="1382"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On the Closing Date, subject to satisfaction of the conditions precedent specified in this Agreement, the Company shall execute, and cause the Trustee to execute and authenticate and cause to be delivered to, or for the benefit of, the Purchaser, 10.00% Notes in the aggregate principal amount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Further, on the Closing Date, subject to satisfaction of the conditions precedent specified in this Agreement, the Company shall execute and deliver the A&amp;R Note to the Purchaser.</w:t>
      </w:r>
    </w:p>
    <w:p>
      <w:pPr>
        <w:spacing w:after="0" w:line="155" w:lineRule="exact"/>
        <w:rPr>
          <w:rFonts w:ascii="Times New Roman" w:cs="Times New Roman" w:eastAsia="Times New Roman" w:hAnsi="Times New Roman"/>
          <w:sz w:val="16"/>
          <w:szCs w:val="16"/>
          <w:b w:val="1"/>
          <w:bCs w:val="1"/>
          <w:color w:val="auto"/>
        </w:rPr>
      </w:pPr>
    </w:p>
    <w:p>
      <w:pPr>
        <w:jc w:val="both"/>
        <w:ind w:right="20" w:firstLine="1143"/>
        <w:spacing w:after="0" w:line="265" w:lineRule="auto"/>
        <w:tabs>
          <w:tab w:leader="none" w:pos="1364"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10.00% Notes to be delivered to, or for the benefit of, the Purchaser on the Closing Date shall be delivered by causing the Trustee to deliver to the Purchaser one or more 10.00% Notes in physical form in the aggregate principal amount set forth in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The 10.00% Notes issued to the Purchaser pursuant to this Agreement will be held in custody for the benefit of the Purchaser by the Trustee, unless otherwise directed by the Purchaser.</w:t>
      </w:r>
    </w:p>
    <w:p>
      <w:pPr>
        <w:spacing w:after="0" w:line="155" w:lineRule="exact"/>
        <w:rPr>
          <w:rFonts w:ascii="Times New Roman" w:cs="Times New Roman" w:eastAsia="Times New Roman" w:hAnsi="Times New Roman"/>
          <w:sz w:val="16"/>
          <w:szCs w:val="16"/>
          <w:b w:val="1"/>
          <w:bCs w:val="1"/>
          <w:color w:val="auto"/>
        </w:rPr>
      </w:pPr>
    </w:p>
    <w:p>
      <w:pPr>
        <w:ind w:right="20" w:firstLine="1143"/>
        <w:spacing w:after="0" w:line="280" w:lineRule="auto"/>
        <w:tabs>
          <w:tab w:leader="none" w:pos="1417" w:val="left"/>
        </w:tabs>
        <w:numPr>
          <w:ilvl w:val="0"/>
          <w:numId w:val="1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Contemporaneously with the issuance of the Notes, the Company shall pay the Cash Closing Amount on the Closing Date, by wire transfer of immediately available funds to such account designated by the Purchaser prior to the Closing.</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98" w:name="page199"/>
    <w:bookmarkEnd w:id="198"/>
    <w:p>
      <w:pPr>
        <w:ind w:left="1140"/>
        <w:spacing w:after="0"/>
        <w:rPr>
          <w:sz w:val="20"/>
          <w:szCs w:val="20"/>
          <w:color w:val="auto"/>
        </w:rPr>
      </w:pPr>
      <w:r>
        <w:rPr>
          <w:rFonts w:ascii="Times New Roman" w:cs="Times New Roman" w:eastAsia="Times New Roman" w:hAnsi="Times New Roman"/>
          <w:sz w:val="16"/>
          <w:szCs w:val="16"/>
          <w:b w:val="1"/>
          <w:bCs w:val="1"/>
          <w:color w:val="auto"/>
        </w:rPr>
        <w:t>1.5 Closing Conditions.</w:t>
      </w:r>
    </w:p>
    <w:p>
      <w:pPr>
        <w:spacing w:after="0" w:line="200" w:lineRule="exact"/>
        <w:rPr>
          <w:sz w:val="20"/>
          <w:szCs w:val="20"/>
          <w:color w:val="auto"/>
        </w:rPr>
      </w:pPr>
    </w:p>
    <w:p>
      <w:pPr>
        <w:ind w:left="1360" w:hanging="217"/>
        <w:spacing w:after="0"/>
        <w:tabs>
          <w:tab w:leader="none" w:pos="1360"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obligations of the Purchaser shall be subject to the satisfaction or waiver of the following conditions on or prior to the Closing Date:</w:t>
      </w:r>
    </w:p>
    <w:p>
      <w:pPr>
        <w:spacing w:after="0" w:line="196" w:lineRule="exact"/>
        <w:rPr>
          <w:rFonts w:ascii="Times New Roman" w:cs="Times New Roman" w:eastAsia="Times New Roman" w:hAnsi="Times New Roman"/>
          <w:sz w:val="16"/>
          <w:szCs w:val="16"/>
          <w:b w:val="1"/>
          <w:bCs w:val="1"/>
          <w:color w:val="auto"/>
        </w:rPr>
      </w:pPr>
    </w:p>
    <w:p>
      <w:pPr>
        <w:jc w:val="both"/>
        <w:ind w:right="20" w:firstLine="1716"/>
        <w:spacing w:after="0" w:line="266" w:lineRule="auto"/>
        <w:tabs>
          <w:tab w:leader="none" w:pos="1923" w:val="left"/>
        </w:tabs>
        <w:numPr>
          <w:ilvl w:val="1"/>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The representations and warranties of the Company contained herein shall be true and correct in all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respects on the date hereof and on and as of the Closing Date, and the Company shall have performed all applicable covenants and agreements and satisfied all conditions on its part to be performed or satisfied hereunder at or prior to the Closing Date.</w:t>
      </w:r>
    </w:p>
    <w:p>
      <w:pPr>
        <w:spacing w:after="0" w:line="153" w:lineRule="exact"/>
        <w:rPr>
          <w:rFonts w:ascii="Times New Roman" w:cs="Times New Roman" w:eastAsia="Times New Roman" w:hAnsi="Times New Roman"/>
          <w:sz w:val="16"/>
          <w:szCs w:val="16"/>
          <w:b w:val="1"/>
          <w:bCs w:val="1"/>
          <w:color w:val="auto"/>
        </w:rPr>
      </w:pPr>
    </w:p>
    <w:p>
      <w:pPr>
        <w:jc w:val="both"/>
        <w:ind w:right="20" w:firstLine="1716"/>
        <w:spacing w:after="0" w:line="260" w:lineRule="auto"/>
        <w:tabs>
          <w:tab w:leader="none" w:pos="1955" w:val="left"/>
        </w:tabs>
        <w:numPr>
          <w:ilvl w:val="1"/>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No Legal Impediment to Issuance. </w:t>
      </w:r>
      <w:r>
        <w:rPr>
          <w:rFonts w:ascii="Times New Roman" w:cs="Times New Roman" w:eastAsia="Times New Roman" w:hAnsi="Times New Roman"/>
          <w:sz w:val="16"/>
          <w:szCs w:val="16"/>
          <w:color w:val="auto"/>
        </w:rPr>
        <w:t>No action shall have been taken and no statute, rule, regulation or order shall have been enacted,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but not limited to, the issuance of the Notes pursuant thereto.</w:t>
      </w:r>
    </w:p>
    <w:p>
      <w:pPr>
        <w:spacing w:after="0" w:line="160" w:lineRule="exact"/>
        <w:rPr>
          <w:rFonts w:ascii="Times New Roman" w:cs="Times New Roman" w:eastAsia="Times New Roman" w:hAnsi="Times New Roman"/>
          <w:sz w:val="16"/>
          <w:szCs w:val="16"/>
          <w:b w:val="1"/>
          <w:bCs w:val="1"/>
          <w:color w:val="auto"/>
        </w:rPr>
      </w:pPr>
    </w:p>
    <w:p>
      <w:pPr>
        <w:ind w:left="1380" w:hanging="237"/>
        <w:spacing w:after="0"/>
        <w:tabs>
          <w:tab w:leader="none" w:pos="1380" w:val="left"/>
        </w:tabs>
        <w:numPr>
          <w:ilvl w:val="0"/>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obligations of the Company shall be subject to the satisfaction or waiver of the following conditions on or prior to the Closing Date:</w:t>
      </w:r>
    </w:p>
    <w:p>
      <w:pPr>
        <w:spacing w:after="0" w:line="196" w:lineRule="exact"/>
        <w:rPr>
          <w:rFonts w:ascii="Times New Roman" w:cs="Times New Roman" w:eastAsia="Times New Roman" w:hAnsi="Times New Roman"/>
          <w:sz w:val="16"/>
          <w:szCs w:val="16"/>
          <w:b w:val="1"/>
          <w:bCs w:val="1"/>
          <w:color w:val="auto"/>
        </w:rPr>
      </w:pPr>
    </w:p>
    <w:p>
      <w:pPr>
        <w:jc w:val="both"/>
        <w:ind w:firstLine="1716"/>
        <w:spacing w:after="0" w:line="266" w:lineRule="auto"/>
        <w:tabs>
          <w:tab w:leader="none" w:pos="1923" w:val="left"/>
        </w:tabs>
        <w:numPr>
          <w:ilvl w:val="1"/>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Representations and Warranties</w:t>
      </w:r>
      <w:r>
        <w:rPr>
          <w:rFonts w:ascii="Times New Roman" w:cs="Times New Roman" w:eastAsia="Times New Roman" w:hAnsi="Times New Roman"/>
          <w:sz w:val="16"/>
          <w:szCs w:val="16"/>
          <w:color w:val="auto"/>
        </w:rPr>
        <w:t>. The representations and warranties of the Purchaser contained herein shall be true and correct in all material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respects on the date hereof and on and as of the Closing Date, and the Purchaser shall have performed all applicable covenants and agreements and satisfied all conditions to be performed or satisfied hereunder at or prior to the Closing Date.</w:t>
      </w:r>
    </w:p>
    <w:p>
      <w:pPr>
        <w:spacing w:after="0" w:line="153" w:lineRule="exact"/>
        <w:rPr>
          <w:rFonts w:ascii="Times New Roman" w:cs="Times New Roman" w:eastAsia="Times New Roman" w:hAnsi="Times New Roman"/>
          <w:sz w:val="16"/>
          <w:szCs w:val="16"/>
          <w:b w:val="1"/>
          <w:bCs w:val="1"/>
          <w:color w:val="auto"/>
        </w:rPr>
      </w:pPr>
    </w:p>
    <w:p>
      <w:pPr>
        <w:jc w:val="both"/>
        <w:ind w:right="20" w:firstLine="1716"/>
        <w:spacing w:after="0" w:line="260" w:lineRule="auto"/>
        <w:tabs>
          <w:tab w:leader="none" w:pos="1955" w:val="left"/>
        </w:tabs>
        <w:numPr>
          <w:ilvl w:val="1"/>
          <w:numId w:val="1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No Legal Impediment to Issuance. </w:t>
      </w:r>
      <w:r>
        <w:rPr>
          <w:rFonts w:ascii="Times New Roman" w:cs="Times New Roman" w:eastAsia="Times New Roman" w:hAnsi="Times New Roman"/>
          <w:sz w:val="16"/>
          <w:szCs w:val="16"/>
          <w:color w:val="auto"/>
        </w:rPr>
        <w:t>No action shall have been taken and no statute, rule, regulation or order shall have been enacted, adopted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by any federal, state or foreign governmental or regulatory authority that would, as of the Closing Date, prevent the consummation of the transactions under this Agreement; and no injunction or order of any federal, state or foreign court shall have been issued that would, as of the Closing Date, prevent the consummation of the transactions under this Agreement, including the issuance of the Notes pursuant thereto.</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1.6 Characterization of Transactions; Treatment Under MIPA; MIPA Amendment</w:t>
      </w:r>
    </w:p>
    <w:p>
      <w:pPr>
        <w:spacing w:after="0" w:line="200" w:lineRule="exact"/>
        <w:rPr>
          <w:sz w:val="20"/>
          <w:szCs w:val="20"/>
          <w:color w:val="auto"/>
        </w:rPr>
      </w:pPr>
    </w:p>
    <w:p>
      <w:pPr>
        <w:jc w:val="both"/>
        <w:ind w:right="20" w:firstLine="1143"/>
        <w:spacing w:after="0" w:line="265" w:lineRule="auto"/>
        <w:tabs>
          <w:tab w:leader="none" w:pos="1373"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intend that the issuance of the 10.00% Notes, and the issuance of the A&amp;R Note and the payment of the Cash Closing Amount pursuant to this Agreement (when combined with the Consideration Shares previously issued by the Company) are in satisfaction of the purchase price consideration payable under the MIPA, and not as a separate investment, subscription or purchase of securities pursuant to this Agreement or otherwise by the Purchaser.</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99" w:name="page200"/>
    <w:bookmarkEnd w:id="199"/>
    <w:p>
      <w:pPr>
        <w:jc w:val="both"/>
        <w:ind w:firstLine="1143"/>
        <w:spacing w:after="0" w:line="265" w:lineRule="auto"/>
        <w:tabs>
          <w:tab w:leader="none" w:pos="1389"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further agree that the transactions contemplated by this Agreement and the A&amp;R Note constitute a modification of the form of consideration payable under the MIPA prior to receipt (actual or constructive) by Purchaser, and no portion of such consideration shall be treated as having been actually or constructively received by Purchaser prior to such modification.</w:t>
      </w:r>
    </w:p>
    <w:p>
      <w:pPr>
        <w:spacing w:after="0" w:line="155" w:lineRule="exact"/>
        <w:rPr>
          <w:rFonts w:ascii="Times New Roman" w:cs="Times New Roman" w:eastAsia="Times New Roman" w:hAnsi="Times New Roman"/>
          <w:sz w:val="16"/>
          <w:szCs w:val="16"/>
          <w:b w:val="1"/>
          <w:bCs w:val="1"/>
          <w:color w:val="auto"/>
        </w:rPr>
      </w:pPr>
    </w:p>
    <w:p>
      <w:pPr>
        <w:ind w:right="20" w:firstLine="1143"/>
        <w:spacing w:after="0" w:line="280" w:lineRule="auto"/>
        <w:tabs>
          <w:tab w:leader="none" w:pos="1364"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agree to report the transactions contemplated by this Agreement consistently with the foregoing for all U.S. federal and applicable state and local income tax purposes.</w:t>
      </w:r>
    </w:p>
    <w:p>
      <w:pPr>
        <w:spacing w:after="0" w:line="144" w:lineRule="exact"/>
        <w:rPr>
          <w:rFonts w:ascii="Times New Roman" w:cs="Times New Roman" w:eastAsia="Times New Roman" w:hAnsi="Times New Roman"/>
          <w:sz w:val="16"/>
          <w:szCs w:val="16"/>
          <w:b w:val="1"/>
          <w:bCs w:val="1"/>
          <w:color w:val="auto"/>
        </w:rPr>
      </w:pPr>
    </w:p>
    <w:p>
      <w:pPr>
        <w:ind w:right="20" w:firstLine="1143"/>
        <w:spacing w:after="0" w:line="280" w:lineRule="auto"/>
        <w:tabs>
          <w:tab w:leader="none" w:pos="1382"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Parties agree that this Agreement and the transactions contemplated hereby shall be treated as an amendment of the MIPA, and the applicable terms and provisions of the MIPA are hereby amended and modified as follows.</w:t>
      </w:r>
    </w:p>
    <w:p>
      <w:pPr>
        <w:spacing w:after="0" w:line="144" w:lineRule="exact"/>
        <w:rPr>
          <w:rFonts w:ascii="Times New Roman" w:cs="Times New Roman" w:eastAsia="Times New Roman" w:hAnsi="Times New Roman"/>
          <w:sz w:val="16"/>
          <w:szCs w:val="16"/>
          <w:b w:val="1"/>
          <w:bCs w:val="1"/>
          <w:color w:val="auto"/>
        </w:rPr>
      </w:pPr>
    </w:p>
    <w:p>
      <w:pPr>
        <w:jc w:val="both"/>
        <w:ind w:firstLine="1430"/>
        <w:spacing w:after="0" w:line="259" w:lineRule="auto"/>
        <w:tabs>
          <w:tab w:leader="none" w:pos="1636" w:val="left"/>
        </w:tabs>
        <w:numPr>
          <w:ilvl w:val="1"/>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definition of “Second Cash Payment” set forth in the MIPA is hereby amended and restated in its entirety to read as follows: “Second Cash Payment” means collectively: (x) $10,000,000 principal amount of 10.0% Convertible Senior Notes due 2026 issued to the Member pursuant to that certain Note Purchase and Exchange Agreement dated as of April 21, 2026 between the Member and the Parent (the “NPA”); (y) $4,000,000 in cash paid by Parent to the Member pursuant to the NPA; and (z) the A&amp;R Note (as defined in the NPA) in the aggregate principal amount of $7,000,000.”</w:t>
      </w:r>
    </w:p>
    <w:p>
      <w:pPr>
        <w:spacing w:after="0" w:line="161" w:lineRule="exact"/>
        <w:rPr>
          <w:rFonts w:ascii="Times New Roman" w:cs="Times New Roman" w:eastAsia="Times New Roman" w:hAnsi="Times New Roman"/>
          <w:sz w:val="16"/>
          <w:szCs w:val="16"/>
          <w:b w:val="1"/>
          <w:bCs w:val="1"/>
          <w:color w:val="auto"/>
        </w:rPr>
      </w:pPr>
    </w:p>
    <w:p>
      <w:pPr>
        <w:ind w:right="20" w:firstLine="1430"/>
        <w:spacing w:after="0" w:line="280" w:lineRule="auto"/>
        <w:tabs>
          <w:tab w:leader="none" w:pos="1668" w:val="left"/>
        </w:tabs>
        <w:numPr>
          <w:ilvl w:val="1"/>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definition of “Seller Note” set forth in the MIPA is hereby amended and restated in its entirety to reas as follows: “Seller Note” means the A&amp;R Note (as defined in the NPA).”</w:t>
      </w:r>
    </w:p>
    <w:p>
      <w:pPr>
        <w:spacing w:after="0" w:line="142" w:lineRule="exact"/>
        <w:rPr>
          <w:sz w:val="20"/>
          <w:szCs w:val="20"/>
          <w:color w:val="auto"/>
        </w:rPr>
      </w:pPr>
    </w:p>
    <w:p>
      <w:pPr>
        <w:ind w:firstLine="569"/>
        <w:spacing w:after="0" w:line="283" w:lineRule="auto"/>
        <w:tabs>
          <w:tab w:leader="none" w:pos="733" w:val="left"/>
        </w:tabs>
        <w:numPr>
          <w:ilvl w:val="0"/>
          <w:numId w:val="1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Representations and Warranties of the Company. </w:t>
      </w:r>
      <w:r>
        <w:rPr>
          <w:rFonts w:ascii="Times New Roman" w:cs="Times New Roman" w:eastAsia="Times New Roman" w:hAnsi="Times New Roman"/>
          <w:sz w:val="16"/>
          <w:szCs w:val="16"/>
          <w:color w:val="auto"/>
        </w:rPr>
        <w:t>The Company hereby represents and warrants to the Purchaser as follows as of the date hereof and as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Closing Date:</w:t>
      </w:r>
    </w:p>
    <w:p>
      <w:pPr>
        <w:spacing w:after="0" w:line="140"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2.1 Organization, Good Standing and Qualification. </w:t>
      </w:r>
      <w:r>
        <w:rPr>
          <w:rFonts w:ascii="Times New Roman" w:cs="Times New Roman" w:eastAsia="Times New Roman" w:hAnsi="Times New Roman"/>
          <w:sz w:val="16"/>
          <w:szCs w:val="16"/>
          <w:color w:val="auto"/>
        </w:rPr>
        <w:t>The Company is a corporation duly organized, validly existing and in good standing under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State of Delaware. The Company has the requisite corporate power to own and operate its properties and assets and to carry on its business as now conducted and as proposed to be conducted.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have a material adverse effect on the Company or its business (a “</w:t>
      </w:r>
      <w:r>
        <w:rPr>
          <w:rFonts w:ascii="Times New Roman" w:cs="Times New Roman" w:eastAsia="Times New Roman" w:hAnsi="Times New Roman"/>
          <w:sz w:val="16"/>
          <w:szCs w:val="16"/>
          <w:b w:val="1"/>
          <w:bCs w:val="1"/>
          <w:i w:val="1"/>
          <w:iCs w:val="1"/>
          <w:color w:val="auto"/>
        </w:rPr>
        <w:t>Material Adverse Effect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2.2 Corporate Power. </w:t>
      </w:r>
      <w:r>
        <w:rPr>
          <w:rFonts w:ascii="Times New Roman" w:cs="Times New Roman" w:eastAsia="Times New Roman" w:hAnsi="Times New Roman"/>
          <w:sz w:val="16"/>
          <w:szCs w:val="16"/>
          <w:color w:val="auto"/>
        </w:rPr>
        <w:t>The Company has all requisite corporate power to execute and deliver this Agreement, to perform its obligations under the Indenture,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perform its obligations under the Security Agreement, dated on or about the date hereof, between the Company, as a grantor, the other grantors party thereto, and the Collateral Agent (the “</w:t>
      </w:r>
      <w:r>
        <w:rPr>
          <w:rFonts w:ascii="Times New Roman" w:cs="Times New Roman" w:eastAsia="Times New Roman" w:hAnsi="Times New Roman"/>
          <w:sz w:val="16"/>
          <w:szCs w:val="16"/>
          <w:b w:val="1"/>
          <w:bCs w:val="1"/>
          <w:i w:val="1"/>
          <w:iCs w:val="1"/>
          <w:color w:val="auto"/>
        </w:rPr>
        <w:t>Security Agreement</w:t>
      </w:r>
      <w:r>
        <w:rPr>
          <w:rFonts w:ascii="Times New Roman" w:cs="Times New Roman" w:eastAsia="Times New Roman" w:hAnsi="Times New Roman"/>
          <w:sz w:val="16"/>
          <w:szCs w:val="16"/>
          <w:color w:val="auto"/>
        </w:rPr>
        <w:t>”), and the Trademark Security Agreement, dated on or about the date hereof, between the Company, as a grantor, the other grantors party thereto, and the Collateral Agent (the “</w:t>
      </w:r>
      <w:r>
        <w:rPr>
          <w:rFonts w:ascii="Times New Roman" w:cs="Times New Roman" w:eastAsia="Times New Roman" w:hAnsi="Times New Roman"/>
          <w:sz w:val="16"/>
          <w:szCs w:val="16"/>
          <w:b w:val="1"/>
          <w:bCs w:val="1"/>
          <w:i w:val="1"/>
          <w:iCs w:val="1"/>
          <w:color w:val="auto"/>
        </w:rPr>
        <w:t>Trademark Security Agreement</w:t>
      </w:r>
      <w:r>
        <w:rPr>
          <w:rFonts w:ascii="Times New Roman" w:cs="Times New Roman" w:eastAsia="Times New Roman" w:hAnsi="Times New Roman"/>
          <w:sz w:val="16"/>
          <w:szCs w:val="16"/>
          <w:color w:val="auto"/>
        </w:rPr>
        <w:t>” and, collectively with the Security Agreement, the “</w:t>
      </w:r>
      <w:r>
        <w:rPr>
          <w:rFonts w:ascii="Times New Roman" w:cs="Times New Roman" w:eastAsia="Times New Roman" w:hAnsi="Times New Roman"/>
          <w:sz w:val="16"/>
          <w:szCs w:val="16"/>
          <w:b w:val="1"/>
          <w:bCs w:val="1"/>
          <w:i w:val="1"/>
          <w:iCs w:val="1"/>
          <w:color w:val="auto"/>
        </w:rPr>
        <w:t>Collateral Documents</w:t>
      </w:r>
      <w:r>
        <w:rPr>
          <w:rFonts w:ascii="Times New Roman" w:cs="Times New Roman" w:eastAsia="Times New Roman" w:hAnsi="Times New Roman"/>
          <w:sz w:val="16"/>
          <w:szCs w:val="16"/>
          <w:color w:val="auto"/>
        </w:rPr>
        <w:t>”), to issue the 10.00% Notes and the A&amp;R Note (this Agreement, the Indenture, the Security Agreement, the Trademark Security Agreement, the 10.00% Notes and the A&amp;R Note, collectively, the “</w:t>
      </w:r>
      <w:r>
        <w:rPr>
          <w:rFonts w:ascii="Times New Roman" w:cs="Times New Roman" w:eastAsia="Times New Roman" w:hAnsi="Times New Roman"/>
          <w:sz w:val="16"/>
          <w:szCs w:val="16"/>
          <w:b w:val="1"/>
          <w:bCs w:val="1"/>
          <w:i w:val="1"/>
          <w:iCs w:val="1"/>
          <w:color w:val="auto"/>
        </w:rPr>
        <w:t>Note Documents</w:t>
      </w:r>
      <w:r>
        <w:rPr>
          <w:rFonts w:ascii="Times New Roman" w:cs="Times New Roman" w:eastAsia="Times New Roman" w:hAnsi="Times New Roman"/>
          <w:sz w:val="16"/>
          <w:szCs w:val="16"/>
          <w:color w:val="auto"/>
        </w:rPr>
        <w:t>”), and to carry out and perform its obligations under the Note Documents. The Company’s Board of Directors (the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has approved the Note Documents based upon a reasonable belief that the transactions thereunder are appropriate for the Company after reasonable inquiry concerning the Company’s financing objectives and financial situation.</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0" w:name="page201"/>
    <w:bookmarkEnd w:id="200"/>
    <w:p>
      <w:pPr>
        <w:jc w:val="both"/>
        <w:ind w:right="20"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2.3 Authorization. </w:t>
      </w:r>
      <w:r>
        <w:rPr>
          <w:rFonts w:ascii="Times New Roman" w:cs="Times New Roman" w:eastAsia="Times New Roman" w:hAnsi="Times New Roman"/>
          <w:sz w:val="16"/>
          <w:szCs w:val="16"/>
          <w:color w:val="auto"/>
        </w:rPr>
        <w:t>All corporate action on the part of the Company and the Board necessary for the authorization, execution, delivery and performance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 Documents by the Company, including the issuance and delivery of the Notes, the reservation of the equity securities directly or indirectly issuable upon conversion of the Notes, if applicable (collectively, the “</w:t>
      </w:r>
      <w:r>
        <w:rPr>
          <w:rFonts w:ascii="Times New Roman" w:cs="Times New Roman" w:eastAsia="Times New Roman" w:hAnsi="Times New Roman"/>
          <w:sz w:val="16"/>
          <w:szCs w:val="16"/>
          <w:b w:val="1"/>
          <w:bCs w:val="1"/>
          <w:i w:val="1"/>
          <w:iCs w:val="1"/>
          <w:color w:val="auto"/>
        </w:rPr>
        <w:t>Conversion Securities</w:t>
      </w:r>
      <w:r>
        <w:rPr>
          <w:rFonts w:ascii="Times New Roman" w:cs="Times New Roman" w:eastAsia="Times New Roman" w:hAnsi="Times New Roman"/>
          <w:sz w:val="16"/>
          <w:szCs w:val="16"/>
          <w:color w:val="auto"/>
        </w:rPr>
        <w:t>”), has been taken or will be taken prior to the issuance of such Conversion Securities. The Note Documents, when executed and delivered by the Company, shall constitute valid and binding obligations of the Company enforceable in accordance with their terms, and the Collateral Documents create a security interest which is enforceable against each grantor party thereto in all collateral it owns as of the execution of each such agreement or thereafter acquires, in each case subject to laws of general application relating to bankruptcy, insolvency, the relief of debtors and, with respect to rights to indemnity, subject to federal and state securities laws. Any Conversion Securities, when issued in compliance with the provisions of the Notes, if applicable, will be validly issued, fully paid, nonassessable, free of any liens or encumbrances and issued in compliance with all applicable federal and securities laws.</w:t>
      </w:r>
    </w:p>
    <w:p>
      <w:pPr>
        <w:spacing w:after="0" w:line="163" w:lineRule="exact"/>
        <w:rPr>
          <w:sz w:val="20"/>
          <w:szCs w:val="20"/>
          <w:color w:val="auto"/>
        </w:rPr>
      </w:pPr>
    </w:p>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2.4 Governmental Consents. </w:t>
      </w:r>
      <w:r>
        <w:rPr>
          <w:rFonts w:ascii="Times New Roman" w:cs="Times New Roman" w:eastAsia="Times New Roman" w:hAnsi="Times New Roman"/>
          <w:sz w:val="16"/>
          <w:szCs w:val="16"/>
          <w:color w:val="auto"/>
        </w:rPr>
        <w:t>All consents, approvals, orders, or authorizations of, or registrations, qualifications, designations, declarations, or filings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governmental authority required on the part of the Company in connection with the execution and delivery of the Note Documents or the issuance of the Notes have been obtained.</w:t>
      </w:r>
    </w:p>
    <w:p>
      <w:pPr>
        <w:spacing w:after="0" w:line="153"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2.5 Compliance with Laws. </w:t>
      </w:r>
      <w:r>
        <w:rPr>
          <w:rFonts w:ascii="Times New Roman" w:cs="Times New Roman" w:eastAsia="Times New Roman" w:hAnsi="Times New Roman"/>
          <w:sz w:val="16"/>
          <w:szCs w:val="16"/>
          <w:color w:val="auto"/>
        </w:rPr>
        <w:t>To its knowledge, the Company is not in violation of any applicable statute, rule, regulation, order or restriction of any domestic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foreign government or any instrumentality or agency thereof in respect of the conduct of its business or the ownership of its properties, which violation of which would have a Material Adverse Effect.</w:t>
      </w:r>
    </w:p>
    <w:p>
      <w:pPr>
        <w:spacing w:after="0" w:line="153" w:lineRule="exact"/>
        <w:rPr>
          <w:sz w:val="20"/>
          <w:szCs w:val="20"/>
          <w:color w:val="auto"/>
        </w:rPr>
      </w:pPr>
    </w:p>
    <w:p>
      <w:pPr>
        <w:jc w:val="both"/>
        <w:ind w:firstLine="1147"/>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2.6 Compliance with Other Instruments. </w:t>
      </w:r>
      <w:r>
        <w:rPr>
          <w:rFonts w:ascii="Times New Roman" w:cs="Times New Roman" w:eastAsia="Times New Roman" w:hAnsi="Times New Roman"/>
          <w:sz w:val="16"/>
          <w:szCs w:val="16"/>
          <w:color w:val="auto"/>
        </w:rPr>
        <w:t>The Company is not in violation or default of any term of its certificate of incorporation or bylaws, or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provision of any mortgage, indenture or contract to which it is a party and by which it is bound or of any judgment, decree, order or writ, other than such violation(s) that would not have a Material Adverse Effect. The execution, delivery and performance of the Note Documents will not result in any such violation or be in conflict with, or constitute, with or without the passage of time and giving of notice, either a default under any such provision, instrument, judgment, decree, order or writ or an event that results in the creation of any lien, charge or encumbrance upon any assets of the Company, other than the liens granted pursuant to the terms of the Collateral Documents, or the suspension, revocation, impairment, forfeiture, or nonrenewal of any material permit, license, authorization or approval applicable to the Company, its business or operations or any of its assets or properties. Without limiting the foregoing, the Company has obtained all waivers reasonably necessary with respect to any prohibition on the grant of liens, preemptive rights, rights of first refusal or similar rights, including any notice or offering periods provided for as part of any such rights, in order for the Company to consummate the transactions contemplated under the Note Documents without any third party obtaining any rights to cause the Company to offer or issue any securities of the Company as a result of the consummation of the transactions contemplated hereunder.</w:t>
      </w: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01" w:name="page202"/>
    <w:bookmarkEnd w:id="201"/>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2.7 Offering. </w:t>
      </w:r>
      <w:r>
        <w:rPr>
          <w:rFonts w:ascii="Times New Roman" w:cs="Times New Roman" w:eastAsia="Times New Roman" w:hAnsi="Times New Roman"/>
          <w:sz w:val="16"/>
          <w:szCs w:val="16"/>
          <w:color w:val="auto"/>
        </w:rPr>
        <w:t>Assuming the accuracy of the representations and warranties of the Purchaser contained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the offer, issue, and sale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Notes and the Conversion Securities are and will be exempt from the registration and prospectus delivery requirements of the Securities Act, and are exempt from registration and qualification under the registration, permit, or qualification requirements of all applicable state securities laws.</w:t>
      </w:r>
    </w:p>
    <w:p>
      <w:pPr>
        <w:spacing w:after="0" w:line="153" w:lineRule="exact"/>
        <w:rPr>
          <w:sz w:val="20"/>
          <w:szCs w:val="20"/>
          <w:color w:val="auto"/>
        </w:rPr>
      </w:pPr>
    </w:p>
    <w:p>
      <w:pPr>
        <w:ind w:left="720" w:hanging="151"/>
        <w:spacing w:after="0"/>
        <w:tabs>
          <w:tab w:leader="none" w:pos="720" w:val="left"/>
        </w:tabs>
        <w:numPr>
          <w:ilvl w:val="0"/>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Representations and Warranties of the Purchaser. </w:t>
      </w:r>
      <w:r>
        <w:rPr>
          <w:rFonts w:ascii="Times New Roman" w:cs="Times New Roman" w:eastAsia="Times New Roman" w:hAnsi="Times New Roman"/>
          <w:sz w:val="16"/>
          <w:szCs w:val="16"/>
          <w:color w:val="auto"/>
        </w:rPr>
        <w:t>The Purchaser represents and warrants to the Company as follows as of the date hereof and as of the Closing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78" w:lineRule="exact"/>
        <w:rPr>
          <w:sz w:val="20"/>
          <w:szCs w:val="20"/>
          <w:color w:val="auto"/>
        </w:rPr>
      </w:pPr>
    </w:p>
    <w:p>
      <w:pPr>
        <w:jc w:val="both"/>
        <w:ind w:right="20" w:firstLine="1147"/>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3.1 Purchase for Own Account. </w:t>
      </w:r>
      <w:r>
        <w:rPr>
          <w:rFonts w:ascii="Times New Roman" w:cs="Times New Roman" w:eastAsia="Times New Roman" w:hAnsi="Times New Roman"/>
          <w:sz w:val="16"/>
          <w:szCs w:val="16"/>
          <w:color w:val="auto"/>
        </w:rPr>
        <w:t>The Purchaser is acquiring the Notes and the Conversion Securities (collectively,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 solely for its own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 and beneficial interest for investment and not for sale or with a view to distribution of the Securities or any part thereof, has no present intention of selling (in connection with a distribution or otherwise), granting any participation in, or otherwise distributing the same, and does not presently have reason to anticipate a change in such intention. Notwithstanding the foregoing, the Purchaser acknowledges that the Securities are being issued in partial satisfaction of purchase price consideration under the MIPA, and not as a separate investment decision.</w:t>
      </w:r>
    </w:p>
    <w:p>
      <w:pPr>
        <w:spacing w:after="0" w:line="160" w:lineRule="exact"/>
        <w:rPr>
          <w:sz w:val="20"/>
          <w:szCs w:val="20"/>
          <w:color w:val="auto"/>
        </w:rPr>
      </w:pPr>
    </w:p>
    <w:p>
      <w:pPr>
        <w:jc w:val="both"/>
        <w:ind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 xml:space="preserve">3.2 Binding Obligation. </w:t>
      </w:r>
      <w:r>
        <w:rPr>
          <w:rFonts w:ascii="Times New Roman" w:cs="Times New Roman" w:eastAsia="Times New Roman" w:hAnsi="Times New Roman"/>
          <w:sz w:val="15"/>
          <w:szCs w:val="15"/>
          <w:color w:val="auto"/>
        </w:rPr>
        <w:t>The Purchaser has full power and authority to enter into the Note Documents to which it is party. The Note Documents to which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Purchaser is a party, when executed and delivered by the Purchaser, shall constitute valid and binding obligations of the Purchaser enforceable in accordance with their terms, subject to laws of general application relating to bankruptcy, insolvency, the relief of debtors and, with respect to rights to indemnity, subject to federal and state securities laws.</w:t>
      </w: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02" w:name="page203"/>
    <w:bookmarkEnd w:id="202"/>
    <w:p>
      <w:pPr>
        <w:jc w:val="both"/>
        <w:ind w:firstLine="1147"/>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3.3 Information and Sophistication. </w:t>
      </w:r>
      <w:r>
        <w:rPr>
          <w:rFonts w:ascii="Times New Roman" w:cs="Times New Roman" w:eastAsia="Times New Roman" w:hAnsi="Times New Roman"/>
          <w:sz w:val="16"/>
          <w:szCs w:val="16"/>
          <w:color w:val="auto"/>
        </w:rPr>
        <w:t>The Purchaser has access to (including through the EDGAR system) and has had an opportunity to review the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Reports on Form 10-K, Quarterly Reports on Form 10-Q, Current Reports on Form 8-K, Proxy Statements and other filings and submissions made by the Company with the Securities and Exchange Commission, including the “Risk Factors” contained therein. The Purchaser acknowledges, confirms and agrees that: (a) the Purchaser is a sophisticated institutional investor that is willing and able to conduct, and has conducted, a thorough investigation of the Notes, the Company and the business and financial position of the Company and its Subsidiaries (the “</w:t>
      </w:r>
      <w:r>
        <w:rPr>
          <w:rFonts w:ascii="Times New Roman" w:cs="Times New Roman" w:eastAsia="Times New Roman" w:hAnsi="Times New Roman"/>
          <w:sz w:val="16"/>
          <w:szCs w:val="16"/>
          <w:b w:val="1"/>
          <w:bCs w:val="1"/>
          <w:i w:val="1"/>
          <w:iCs w:val="1"/>
          <w:color w:val="auto"/>
        </w:rPr>
        <w:t>Company Business</w:t>
      </w:r>
      <w:r>
        <w:rPr>
          <w:rFonts w:ascii="Times New Roman" w:cs="Times New Roman" w:eastAsia="Times New Roman" w:hAnsi="Times New Roman"/>
          <w:sz w:val="16"/>
          <w:szCs w:val="16"/>
          <w:color w:val="auto"/>
        </w:rPr>
        <w:t xml:space="preserve">”), (b) the information available about the Company Business, the Company or the Notes may be limited or insufficient for the Purchaser’s purposes, and no prospectus, offering document or other disclosure document has been or will be prepared in connection with the placement of the Notes and the transactions under this Agreement, the Indenture or the Collateral Documents, or otherwise with respect to the Company Business, (c) the Purchaser has or has requested access to, and has had sufficient opportunity to evaluate, all information and documentation that it believes is necessary or appropriate in connection with its decision to enter into this Agreement and to purchase the Notes, including such information with respect to the Company and the Company Business, (d) neither the Company nor its representatives or advisors are responsible for any due diligence investigation on the Purchaser’s behalf, the future performance of the Company or the Company Business, the advisability of purchasing the Notes, the execution, validity or enforceability of the Notes or any information or document delivered in connection with this Agreement, the Collateral Documents or the Notes (including, without limitation, with respect to the Company Business), (e) the Purchaser is not relying upon any representations, expressed or implied, with respect to the transactions contemplated by the Notes, except those expressly set forth in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Agreement, (f) the Purchaser has consulted its own independent advisors with regard to, without limitation, the legal, regulatory, tax, business, investment, financial, accounting, currency and other economic considerations related to the purchase of the Notes and the risks associated with an investment in the Notes (including, without limitation, with respect to the Company Business), (g) the Purchaser has made its own investment, hedging and trading decisions based upon its own judgment and upon advice from its own independent advisors and not upon any view expressed by the other person, and (h) the Purchaser is purchasing the Notes with a full understanding of the terms, conditions and risks thereof including, but not limited to, counterparty risk, country risk, price risk and liquidity risk, and the Purchaser is capable of and willing to assume those risks. The Purchaser further represents that it is acting as principal in the purchase of the Notes and is acquiring the Notes as a beneficial owner for its own account with a view towards long-term investment, and not with a view to the resale, distribution or other disposition thereof (whether directly or indirectly).</w:t>
      </w:r>
    </w:p>
    <w:p>
      <w:pPr>
        <w:spacing w:after="0" w:line="167"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3.4 Ability to Bear Economic Risk. </w:t>
      </w:r>
      <w:r>
        <w:rPr>
          <w:rFonts w:ascii="Times New Roman" w:cs="Times New Roman" w:eastAsia="Times New Roman" w:hAnsi="Times New Roman"/>
          <w:sz w:val="16"/>
          <w:szCs w:val="16"/>
          <w:color w:val="auto"/>
        </w:rPr>
        <w:t>The Purchaser acknowledges that investment in the Securities involves a high degree of risk, and the Purchaser is 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materially impairing its financial condition, to hold the Securities for an indefinite period of time and to suffer a complete loss of its investment.</w:t>
      </w:r>
    </w:p>
    <w:p>
      <w:pPr>
        <w:spacing w:after="0" w:line="1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3.5 Accredited Investor Status. </w:t>
      </w:r>
      <w:r>
        <w:rPr>
          <w:rFonts w:ascii="Times New Roman" w:cs="Times New Roman" w:eastAsia="Times New Roman" w:hAnsi="Times New Roman"/>
          <w:sz w:val="16"/>
          <w:szCs w:val="16"/>
          <w:color w:val="auto"/>
        </w:rPr>
        <w:t>The Purchaser is an “accredited investor” as such term is defined in Rule 501 under the Securities Act.</w:t>
      </w:r>
    </w:p>
    <w:p>
      <w:pPr>
        <w:spacing w:after="0" w:line="198" w:lineRule="exact"/>
        <w:rPr>
          <w:sz w:val="20"/>
          <w:szCs w:val="20"/>
          <w:color w:val="auto"/>
        </w:rPr>
      </w:pPr>
    </w:p>
    <w:p>
      <w:pPr>
        <w:jc w:val="both"/>
        <w:ind w:right="20" w:firstLine="1147"/>
        <w:spacing w:after="0" w:line="292" w:lineRule="auto"/>
        <w:rPr>
          <w:sz w:val="20"/>
          <w:szCs w:val="20"/>
          <w:color w:val="auto"/>
        </w:rPr>
      </w:pPr>
      <w:r>
        <w:rPr>
          <w:rFonts w:ascii="Times New Roman" w:cs="Times New Roman" w:eastAsia="Times New Roman" w:hAnsi="Times New Roman"/>
          <w:sz w:val="15"/>
          <w:szCs w:val="15"/>
          <w:b w:val="1"/>
          <w:bCs w:val="1"/>
          <w:color w:val="auto"/>
        </w:rPr>
        <w:t xml:space="preserve">3.6 Forward-Looking Statements. </w:t>
      </w:r>
      <w:r>
        <w:rPr>
          <w:rFonts w:ascii="Times New Roman" w:cs="Times New Roman" w:eastAsia="Times New Roman" w:hAnsi="Times New Roman"/>
          <w:sz w:val="15"/>
          <w:szCs w:val="15"/>
          <w:color w:val="auto"/>
        </w:rPr>
        <w:t>With respect to any forecasts, projections of results and other forward-looking statements and information provided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Purchaser (including with respect to the Company Business), the Purchaser acknowledges (i) that such statements were prepared based upon assumptions deemed reasonable by the Company at the time of preparation, and (ii) there is no assurance that such statements will prove accurate, and the Company has no obligation to update such statements.</w:t>
      </w:r>
    </w:p>
    <w:p>
      <w:pPr>
        <w:spacing w:after="0" w:line="135"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3.7 Commissions. </w:t>
      </w:r>
      <w:r>
        <w:rPr>
          <w:rFonts w:ascii="Times New Roman" w:cs="Times New Roman" w:eastAsia="Times New Roman" w:hAnsi="Times New Roman"/>
          <w:sz w:val="16"/>
          <w:szCs w:val="16"/>
          <w:color w:val="auto"/>
        </w:rPr>
        <w:t>Except as disclosed to the Company in writing prior to the date hereof, no person will have, as a result of the transactions contemplated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Note Documents, any valid right, interest or claim against the Company or upon the Purchaser for any commission, fee or other compensation pursuant to any agreement, arrangement or understanding entered into by or on behalf of the Purchaser.</w:t>
      </w:r>
    </w:p>
    <w:p>
      <w:pPr>
        <w:spacing w:after="0" w:line="151"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3.8 Placement Agent Provisions. </w:t>
      </w:r>
      <w:r>
        <w:rPr>
          <w:rFonts w:ascii="Times New Roman" w:cs="Times New Roman" w:eastAsia="Times New Roman" w:hAnsi="Times New Roman"/>
          <w:sz w:val="16"/>
          <w:szCs w:val="16"/>
          <w:color w:val="auto"/>
        </w:rPr>
        <w:t>The Purchaser hereby acknowledges and agrees that (a) Santander US Capital Markets LLC (the “</w:t>
      </w:r>
      <w:r>
        <w:rPr>
          <w:rFonts w:ascii="Times New Roman" w:cs="Times New Roman" w:eastAsia="Times New Roman" w:hAnsi="Times New Roman"/>
          <w:sz w:val="16"/>
          <w:szCs w:val="16"/>
          <w:b w:val="1"/>
          <w:bCs w:val="1"/>
          <w:i w:val="1"/>
          <w:iCs w:val="1"/>
          <w:color w:val="auto"/>
        </w:rPr>
        <w:t>Placement Agent</w:t>
      </w:r>
      <w:r>
        <w:rPr>
          <w:rFonts w:ascii="Times New Roman" w:cs="Times New Roman" w:eastAsia="Times New Roman" w:hAnsi="Times New Roman"/>
          <w:sz w:val="16"/>
          <w:szCs w:val="16"/>
          <w:color w:val="auto"/>
        </w:rPr>
        <w: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acting as placement agent in connection with the private placement of the 10.00% Notes (the “</w:t>
      </w:r>
      <w:r>
        <w:rPr>
          <w:rFonts w:ascii="Times New Roman" w:cs="Times New Roman" w:eastAsia="Times New Roman" w:hAnsi="Times New Roman"/>
          <w:sz w:val="16"/>
          <w:szCs w:val="16"/>
          <w:b w:val="1"/>
          <w:bCs w:val="1"/>
          <w:i w:val="1"/>
          <w:iCs w:val="1"/>
          <w:color w:val="auto"/>
        </w:rPr>
        <w:t>Transaction</w:t>
      </w:r>
      <w:r>
        <w:rPr>
          <w:rFonts w:ascii="Times New Roman" w:cs="Times New Roman" w:eastAsia="Times New Roman" w:hAnsi="Times New Roman"/>
          <w:sz w:val="16"/>
          <w:szCs w:val="16"/>
          <w:color w:val="auto"/>
        </w:rPr>
        <w:t>”) and is not acting as an underwriter or in any other capacity and is not and shall not be construed as a fiduciary for the Purchaser, the Company or any other person or entity in connection with the Transaction, (b) the Placement Agent has not made and will not make any representation or warranty, whether express or implied, of any kind or character and has not provided any advice or recommendation in connection with the Transaction, and has made no independent investigation with respect to the Company or the Securities or the accuracy, completeness or adequacy of any information supplied to the Purchaser by the Company, (c) the Placement Agent will have no responsibility with respect to (i) any representations, warranties or agreements made by any person or entity under or in connection with the Transaction or any of the documents furnished pursuant thereto or in connection therewith, or the execution, legality, validity or enforceability (with respect to any person) or any thereof, or (ii) the business, condition (financial or otherwise), operations, properties or prospects of, or any other matter concerning the Company or the Transaction, and (d) the Placement Agent shall have no liability or obligation (including without limitation, for or with respect to any losses, claims, damages, obligations, penalties, judgments, awards, liabilities, costs, expenses or disbursements incurred by the Purchaser, the Company or any other person or entity), whether in contract, tort or otherwise, to the Purchaser, or to any person claiming through the Purchaser, in respect of the Transaction. The Purchaser agrees to release the Placement Agent from and against: (i) any legal, equitable or other claim that may arise under the Securities Act, the U.S. Securities Exchange Act of 1934, as amended, the rules and regulations thereunder, any other applicable law, rule or regulation or in general under any theory of liability or relief in connection with the offer and sale of the Securities; and (ii) any losses, damages, injuries, declines in value, lost opportunities, liabilities, fees, charges, costs or expenses of any nature that the Purchaser may suffer in connection with the offer, purchase or sale of the Securities.</w:t>
      </w: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03" w:name="page204"/>
    <w:bookmarkEnd w:id="203"/>
    <w:p>
      <w:pPr>
        <w:ind w:left="560"/>
        <w:spacing w:after="0"/>
        <w:rPr>
          <w:sz w:val="20"/>
          <w:szCs w:val="20"/>
          <w:color w:val="auto"/>
        </w:rPr>
      </w:pPr>
      <w:r>
        <w:rPr>
          <w:rFonts w:ascii="Times New Roman" w:cs="Times New Roman" w:eastAsia="Times New Roman" w:hAnsi="Times New Roman"/>
          <w:sz w:val="16"/>
          <w:szCs w:val="16"/>
          <w:b w:val="1"/>
          <w:bCs w:val="1"/>
          <w:color w:val="auto"/>
        </w:rPr>
        <w:t>4. Limitations on Disposition; Legends; Securities Law Disclosure; Publicity.</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4.1 Limitations on Disposition. </w:t>
      </w:r>
      <w:r>
        <w:rPr>
          <w:rFonts w:ascii="Times New Roman" w:cs="Times New Roman" w:eastAsia="Times New Roman" w:hAnsi="Times New Roman"/>
          <w:sz w:val="16"/>
          <w:szCs w:val="16"/>
          <w:color w:val="auto"/>
        </w:rPr>
        <w:t>The Securities may only be disposed of in compliance with state and federal securities laws and the applicable provisions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Indenture.</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 xml:space="preserve">4.2 Legends. </w:t>
      </w:r>
      <w:r>
        <w:rPr>
          <w:rFonts w:ascii="Times New Roman" w:cs="Times New Roman" w:eastAsia="Times New Roman" w:hAnsi="Times New Roman"/>
          <w:sz w:val="16"/>
          <w:szCs w:val="16"/>
          <w:color w:val="auto"/>
        </w:rPr>
        <w:t>The Purchaser agrees to the imprinting of a legend on any of the Securities in substantially the forms set forth in the Indenture.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5. Miscellaneous</w:t>
      </w:r>
    </w:p>
    <w:p>
      <w:pPr>
        <w:spacing w:after="0" w:line="198" w:lineRule="exact"/>
        <w:rPr>
          <w:sz w:val="20"/>
          <w:szCs w:val="20"/>
          <w:color w:val="auto"/>
        </w:rPr>
      </w:pPr>
    </w:p>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5.1 Binding Agreement. </w:t>
      </w:r>
      <w:r>
        <w:rPr>
          <w:rFonts w:ascii="Times New Roman" w:cs="Times New Roman" w:eastAsia="Times New Roman" w:hAnsi="Times New Roman"/>
          <w:sz w:val="16"/>
          <w:szCs w:val="16"/>
          <w:color w:val="auto"/>
        </w:rPr>
        <w:t>The terms and conditions of this Agreement shall inure to the benefit of and be binding upon the respective successors and assigns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parties. Nothing in this Agreement, expressed or implied, is intended to confer upon any third party any rights, remedies, obligations, or liabilities under or by reason of this Agreement, except as set forth in Section 5.13 and as otherwise expressly provided in this Agreement.</w:t>
      </w:r>
    </w:p>
    <w:p>
      <w:pPr>
        <w:spacing w:after="0" w:line="1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5.2 Governing Law.</w:t>
      </w:r>
    </w:p>
    <w:p>
      <w:pPr>
        <w:spacing w:after="0" w:line="200" w:lineRule="exact"/>
        <w:rPr>
          <w:sz w:val="20"/>
          <w:szCs w:val="20"/>
          <w:color w:val="auto"/>
        </w:rPr>
      </w:pPr>
    </w:p>
    <w:p>
      <w:pPr>
        <w:ind w:firstLine="1143"/>
        <w:spacing w:after="0" w:line="280" w:lineRule="auto"/>
        <w:tabs>
          <w:tab w:leader="none" w:pos="1385" w:val="left"/>
        </w:tabs>
        <w:numPr>
          <w:ilvl w:val="0"/>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Agreement and the Notes shall be governed by and construed under the laws of the State of Delaware as applied to agreements among Delaware residents, made and to be performed entirely within the State of Delaware, without giving effect to conflicts of laws principles.</w:t>
      </w:r>
    </w:p>
    <w:p>
      <w:pPr>
        <w:spacing w:after="0" w:line="144" w:lineRule="exact"/>
        <w:rPr>
          <w:rFonts w:ascii="Times New Roman" w:cs="Times New Roman" w:eastAsia="Times New Roman" w:hAnsi="Times New Roman"/>
          <w:sz w:val="16"/>
          <w:szCs w:val="16"/>
          <w:b w:val="1"/>
          <w:bCs w:val="1"/>
          <w:color w:val="auto"/>
        </w:rPr>
      </w:pPr>
    </w:p>
    <w:p>
      <w:pPr>
        <w:jc w:val="both"/>
        <w:ind w:firstLine="1143"/>
        <w:spacing w:after="0" w:line="255" w:lineRule="auto"/>
        <w:tabs>
          <w:tab w:leader="none" w:pos="1405" w:val="left"/>
        </w:tabs>
        <w:numPr>
          <w:ilvl w:val="0"/>
          <w:numId w:val="1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Party to this Agreement (i) hereby agrees that any litigation, proceeding or other legal action brought in connection with or relating to this Agreement or any matters contemplated hereby or thereby shall be brought exclusively in the state court of Salt Lake County, Utah, or, if that court does not have jurisdiction, the United States District Court for the District of Utah; (ii) irrevocably submits to the exclusive jurisdiction of such courts in any such suit, action or proceeding; (iii) hereby agrees that service of process, summons, notice or other document by mail to such party’s address set forth in this Agreement shall be effective service of process for any suit, action or other proceeding brought in any such court; and (iv) hereby waives to the fullest extent permitted by law any objection that it may now or hereafter have to the venue of any such litigation, proceeding or action in any such court or that any such litigation, Proceeding or action was brought in an inconvenient forum.</w:t>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04" w:name="page205"/>
    <w:bookmarkEnd w:id="204"/>
    <w:p>
      <w:pPr>
        <w:jc w:val="both"/>
        <w:ind w:firstLine="1143"/>
        <w:spacing w:after="0" w:line="255" w:lineRule="auto"/>
        <w:tabs>
          <w:tab w:leader="none" w:pos="1372" w:val="left"/>
        </w:tabs>
        <w:numPr>
          <w:ilvl w:val="0"/>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Party to this Agreement acknowledges and agrees that any controversy which may arise under this Agreement is likely to involve complicated and difficult issues, and therefore each such Party hereby irrevocably and unconditionally waives, to the fullest extent permitted by law, any and all rights such Party may have to a trial by jury in respect of any litigation directly or indirectly arising out of or related to this Agreement. Each Party certifies and acknowledges that it: (a) understands and has considered the implications of this waiver; (b) makes this waiver voluntarily; (c) no representative, agent or attorney of any other party has represented, expressly or otherwise, that such other party would not, in the event of litigation, seek to enforce the foregoing waiver; and (d) has been induced to enter into this Agreement by, among other things, the mutual waiver in this clause (c).</w:t>
      </w:r>
    </w:p>
    <w:p>
      <w:pPr>
        <w:spacing w:after="0" w:line="165" w:lineRule="exact"/>
        <w:rPr>
          <w:rFonts w:ascii="Times New Roman" w:cs="Times New Roman" w:eastAsia="Times New Roman" w:hAnsi="Times New Roman"/>
          <w:sz w:val="16"/>
          <w:szCs w:val="16"/>
          <w:b w:val="1"/>
          <w:bCs w:val="1"/>
          <w:color w:val="auto"/>
        </w:rPr>
      </w:pPr>
    </w:p>
    <w:p>
      <w:pPr>
        <w:ind w:right="20" w:firstLine="1143"/>
        <w:spacing w:after="0" w:line="280" w:lineRule="auto"/>
        <w:tabs>
          <w:tab w:leader="none" w:pos="1389" w:val="left"/>
        </w:tabs>
        <w:numPr>
          <w:ilvl w:val="0"/>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Notwithstanding anything to the contrary contained in this Agreement, no Party shall be liable under this Agreement for any punitive, special, incidental or indirect damages (including loss of revenue, diminution in value, and any damages based on any type of multiple).</w:t>
      </w:r>
    </w:p>
    <w:p>
      <w:pPr>
        <w:spacing w:after="0" w:line="142" w:lineRule="exact"/>
        <w:rPr>
          <w:sz w:val="20"/>
          <w:szCs w:val="20"/>
          <w:color w:val="auto"/>
        </w:rPr>
      </w:pPr>
    </w:p>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5.3 Counterparts. </w:t>
      </w:r>
      <w:r>
        <w:rPr>
          <w:rFonts w:ascii="Times New Roman" w:cs="Times New Roman" w:eastAsia="Times New Roman" w:hAnsi="Times New Roman"/>
          <w:sz w:val="16"/>
          <w:szCs w:val="16"/>
          <w:color w:val="auto"/>
        </w:rPr>
        <w:t>This Agreement may be executed in two or more counterparts, each of which shall be deemed an original, but all of which together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159" w:lineRule="exact"/>
        <w:rPr>
          <w:sz w:val="20"/>
          <w:szCs w:val="20"/>
          <w:color w:val="auto"/>
        </w:rPr>
      </w:pPr>
    </w:p>
    <w:p>
      <w:pPr>
        <w:jc w:val="both"/>
        <w:ind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5.4 Titles and Subtitles. </w:t>
      </w:r>
      <w:r>
        <w:rPr>
          <w:rFonts w:ascii="Times New Roman" w:cs="Times New Roman" w:eastAsia="Times New Roman" w:hAnsi="Times New Roman"/>
          <w:sz w:val="16"/>
          <w:szCs w:val="16"/>
          <w:color w:val="auto"/>
        </w:rPr>
        <w:t>The titles and subtitles used in this Agreement are used for convenience only and are not to be considered in construing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interpreting this Agreement.</w:t>
      </w:r>
    </w:p>
    <w:p>
      <w:pPr>
        <w:spacing w:after="0" w:line="140" w:lineRule="exact"/>
        <w:rPr>
          <w:sz w:val="20"/>
          <w:szCs w:val="20"/>
          <w:color w:val="auto"/>
        </w:rPr>
      </w:pPr>
    </w:p>
    <w:p>
      <w:pPr>
        <w:jc w:val="both"/>
        <w:ind w:right="20" w:firstLine="1147"/>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5.5 Notices. </w:t>
      </w:r>
      <w:r>
        <w:rPr>
          <w:rFonts w:ascii="Times New Roman" w:cs="Times New Roman" w:eastAsia="Times New Roman" w:hAnsi="Times New Roman"/>
          <w:sz w:val="16"/>
          <w:szCs w:val="16"/>
          <w:color w:val="auto"/>
        </w:rPr>
        <w:t>All notices required or permitted under this Agreement or the Notes shall be in writing and shall be deemed effectively given (i) upon personal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delivery to the party to be notified, (ii) when sent by confirmed electronic mail or facsimile if sent during normal business hours of the recipient, if not,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to a party shall be sent to the party’s address set forth on the signature page or at such other address(es) as such party may designate by 10 days’ advance written notice to the other party hereto. A copy of any notice to the Company shall be sent to Arnold &amp; Porter Kaye Scholer LLP, 250 W.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New York, NY, Attn: Michael Penney, e-mail: michael.penney@arnoldporter.com.</w:t>
      </w:r>
    </w:p>
    <w:p>
      <w:pPr>
        <w:spacing w:after="0" w:line="49" w:lineRule="exact"/>
        <w:rPr>
          <w:sz w:val="20"/>
          <w:szCs w:val="20"/>
          <w:color w:val="auto"/>
        </w:rPr>
      </w:pPr>
    </w:p>
    <w:p>
      <w:pPr>
        <w:jc w:val="both"/>
        <w:ind w:right="20"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5.6 Modification; Waiver; Amendment. </w:t>
      </w:r>
      <w:r>
        <w:rPr>
          <w:rFonts w:ascii="Times New Roman" w:cs="Times New Roman" w:eastAsia="Times New Roman" w:hAnsi="Times New Roman"/>
          <w:sz w:val="16"/>
          <w:szCs w:val="16"/>
          <w:color w:val="auto"/>
        </w:rPr>
        <w:t>No modification or waiver of any provision of this Agreement or consent to departure therefrom shall be 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in writing by the Company and the Purchaser.</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5" w:name="page206"/>
    <w:bookmarkEnd w:id="205"/>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5.7 Further Assurances. </w:t>
      </w:r>
      <w:r>
        <w:rPr>
          <w:rFonts w:ascii="Times New Roman" w:cs="Times New Roman" w:eastAsia="Times New Roman" w:hAnsi="Times New Roman"/>
          <w:sz w:val="16"/>
          <w:szCs w:val="16"/>
          <w:color w:val="auto"/>
        </w:rPr>
        <w:t>The Purchaser agrees and covenants that at any time and from time to time it will promptly execute and deliver to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further instruments and documents and take such further action as the Company may reasonably require in order to carry out the full intent and purpose of this Agreement and to comply with state or federal securities laws or other regulatory approvals.</w:t>
      </w:r>
    </w:p>
    <w:p>
      <w:pPr>
        <w:spacing w:after="0" w:line="153" w:lineRule="exact"/>
        <w:rPr>
          <w:sz w:val="20"/>
          <w:szCs w:val="20"/>
          <w:color w:val="auto"/>
        </w:rPr>
      </w:pPr>
    </w:p>
    <w:p>
      <w:pPr>
        <w:jc w:val="both"/>
        <w:ind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5.8 Expenses. </w:t>
      </w:r>
      <w:r>
        <w:rPr>
          <w:rFonts w:ascii="Times New Roman" w:cs="Times New Roman" w:eastAsia="Times New Roman" w:hAnsi="Times New Roman"/>
          <w:sz w:val="16"/>
          <w:szCs w:val="16"/>
          <w:color w:val="auto"/>
        </w:rPr>
        <w:t>The Company and the Purchaser shall each bear its respective expenses and legal fees incurred with respect to this Agreement, the Notes,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transactions contemplated hereby and thereby.</w:t>
      </w:r>
    </w:p>
    <w:p>
      <w:pPr>
        <w:spacing w:after="0" w:line="140"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5.9 Delays or Omissions. </w:t>
      </w:r>
      <w:r>
        <w:rPr>
          <w:rFonts w:ascii="Times New Roman" w:cs="Times New Roman" w:eastAsia="Times New Roman" w:hAnsi="Times New Roman"/>
          <w:sz w:val="16"/>
          <w:szCs w:val="16"/>
          <w:color w:val="auto"/>
        </w:rPr>
        <w:t>It is agreed that no delay or omission to exercise any right, power or remedy accruing to the Purchaser, upon any breach or default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Company under this Agreement or the Notes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Purchaser of any breach or default under this Agreement or any Notes, or any waiver by the Purchaser of any provisions or conditions of this Agreement or the Notes must be in writing and shall be effective only to the extent specifically set forth in writing and that all remedies, either under this Agreement or the Notes, or by law or otherwise afforded to the Purchaser, shall be cumulative and not alternative.</w:t>
      </w:r>
    </w:p>
    <w:p>
      <w:pPr>
        <w:spacing w:after="0" w:line="161" w:lineRule="exact"/>
        <w:rPr>
          <w:sz w:val="20"/>
          <w:szCs w:val="20"/>
          <w:color w:val="auto"/>
        </w:rPr>
      </w:pPr>
    </w:p>
    <w:p>
      <w:pPr>
        <w:jc w:val="both"/>
        <w:ind w:firstLine="1147"/>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5.10 Exculpation Among Other Note Purchasers. </w:t>
      </w:r>
      <w:r>
        <w:rPr>
          <w:rFonts w:ascii="Times New Roman" w:cs="Times New Roman" w:eastAsia="Times New Roman" w:hAnsi="Times New Roman"/>
          <w:sz w:val="16"/>
          <w:szCs w:val="16"/>
          <w:color w:val="auto"/>
        </w:rPr>
        <w:t>The Purchaser acknowledges that the Purchaser is not relying on any person, firm or corporation,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than the Company and its officers and Board members, in making the Purchaser’s investment or decision to invest in the Company.</w:t>
      </w:r>
    </w:p>
    <w:p>
      <w:pPr>
        <w:spacing w:after="0" w:line="140" w:lineRule="exact"/>
        <w:rPr>
          <w:sz w:val="20"/>
          <w:szCs w:val="20"/>
          <w:color w:val="auto"/>
        </w:rPr>
      </w:pPr>
    </w:p>
    <w:p>
      <w:pPr>
        <w:jc w:val="both"/>
        <w:ind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5.11 Entire Agreement. </w:t>
      </w:r>
      <w:r>
        <w:rPr>
          <w:rFonts w:ascii="Times New Roman" w:cs="Times New Roman" w:eastAsia="Times New Roman" w:hAnsi="Times New Roman"/>
          <w:sz w:val="16"/>
          <w:szCs w:val="16"/>
          <w:color w:val="auto"/>
        </w:rPr>
        <w:t>This Agreement, the Indenture, the other Note Documents and the Notes constitute the full and entire understanding and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parties with regard to the subjects hereof and no party shall be liable or bound to any other party in any manner by any representations, warranties, covenants and agreements except as specifically set forth herein.</w:t>
      </w:r>
    </w:p>
    <w:p>
      <w:pPr>
        <w:spacing w:after="0" w:line="151"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5.12 Waiver of Conflicts. </w:t>
      </w:r>
      <w:r>
        <w:rPr>
          <w:rFonts w:ascii="Times New Roman" w:cs="Times New Roman" w:eastAsia="Times New Roman" w:hAnsi="Times New Roman"/>
          <w:sz w:val="16"/>
          <w:szCs w:val="16"/>
          <w:color w:val="auto"/>
        </w:rPr>
        <w:t>Each party to this Agreement acknowledges that Arnold &amp; Porter Kaye Scholer LLP (“</w:t>
      </w:r>
      <w:r>
        <w:rPr>
          <w:rFonts w:ascii="Times New Roman" w:cs="Times New Roman" w:eastAsia="Times New Roman" w:hAnsi="Times New Roman"/>
          <w:sz w:val="16"/>
          <w:szCs w:val="16"/>
          <w:b w:val="1"/>
          <w:bCs w:val="1"/>
          <w:i w:val="1"/>
          <w:iCs w:val="1"/>
          <w:color w:val="auto"/>
        </w:rPr>
        <w:t>A&amp;P</w:t>
      </w:r>
      <w:r>
        <w:rPr>
          <w:rFonts w:ascii="Times New Roman" w:cs="Times New Roman" w:eastAsia="Times New Roman" w:hAnsi="Times New Roman"/>
          <w:sz w:val="16"/>
          <w:szCs w:val="16"/>
          <w:color w:val="auto"/>
        </w:rPr>
        <w:t>”) has acted as counsel solely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with respect to the this Agreement, the Note Documents the Collateral Documents and the transactions contemplated hereby and thereby (the “</w:t>
      </w:r>
      <w:r>
        <w:rPr>
          <w:rFonts w:ascii="Times New Roman" w:cs="Times New Roman" w:eastAsia="Times New Roman" w:hAnsi="Times New Roman"/>
          <w:sz w:val="16"/>
          <w:szCs w:val="16"/>
          <w:b w:val="1"/>
          <w:bCs w:val="1"/>
          <w:i w:val="1"/>
          <w:iCs w:val="1"/>
          <w:color w:val="auto"/>
        </w:rPr>
        <w:t>Transactions</w:t>
      </w:r>
      <w:r>
        <w:rPr>
          <w:rFonts w:ascii="Times New Roman" w:cs="Times New Roman" w:eastAsia="Times New Roman" w:hAnsi="Times New Roman"/>
          <w:sz w:val="16"/>
          <w:szCs w:val="16"/>
          <w:color w:val="auto"/>
        </w:rPr>
        <w:t>”), and has negotiated the terms of the Transactions solely on behalf of the Company. A&amp;P may have, in the past, represented and/or may, now or in the future, represent the Purchaser and/or its affiliates in other matters, including matters that are similar, but not substantially related, to the Transactions. The applicable rules of professional conduct require that A&amp;P inform its clients of these representations and obtain their waivers of the conflicts that may arise from such representations. Each of the Company and the Purchaser hereby (i) acknowledges that such party has been advised about such circumstances and has had an opportunity to ask for additional information, (ii) acknowledges that, with respect to the Transactions, A&amp;P has represented solely the Company and no other party, and (iii) gives its informed consent to A&amp;P’s representation of the Company in the Transactions and A&amp;P’s representation of the Purchaser and/or its affiliates in other matters.</w:t>
      </w:r>
    </w:p>
    <w:p>
      <w:pPr>
        <w:spacing w:after="0" w:line="165" w:lineRule="exact"/>
        <w:rPr>
          <w:sz w:val="20"/>
          <w:szCs w:val="20"/>
          <w:color w:val="auto"/>
        </w:rPr>
      </w:pPr>
    </w:p>
    <w:p>
      <w:pPr>
        <w:jc w:val="both"/>
        <w:ind w:right="20" w:firstLine="1147"/>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5.13 Third Party Beneficiary. </w:t>
      </w:r>
      <w:r>
        <w:rPr>
          <w:rFonts w:ascii="Times New Roman" w:cs="Times New Roman" w:eastAsia="Times New Roman" w:hAnsi="Times New Roman"/>
          <w:sz w:val="16"/>
          <w:szCs w:val="16"/>
          <w:color w:val="auto"/>
        </w:rPr>
        <w:t>The Placement Agent shall be a third-party beneficiary to this Agreement, the representations, warranties, covenants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of the Company contained herein and the representations, covenants and agreements of the Noteholders contained herein shall inure to the benefit the Placement Agent, and each Placement Agent shall have the right to enforce the agreements made hereunder directly as if it were a party hereto.</w:t>
      </w:r>
    </w:p>
    <w:p>
      <w:pPr>
        <w:spacing w:after="0" w:line="153" w:lineRule="exact"/>
        <w:rPr>
          <w:sz w:val="20"/>
          <w:szCs w:val="20"/>
          <w:color w:val="auto"/>
        </w:rPr>
      </w:pPr>
    </w:p>
    <w:p>
      <w:pPr>
        <w:jc w:val="both"/>
        <w:ind w:firstLine="1147"/>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5.14 Exchange, Conversion and Cancellation of Exchanged Principal Amount. </w:t>
      </w:r>
      <w:r>
        <w:rPr>
          <w:rFonts w:ascii="Times New Roman" w:cs="Times New Roman" w:eastAsia="Times New Roman" w:hAnsi="Times New Roman"/>
          <w:sz w:val="16"/>
          <w:szCs w:val="16"/>
          <w:color w:val="auto"/>
        </w:rPr>
        <w:t>By executing and delivering this Agreement, the Purchaser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irrevocably agrees that: (a) at the Closing, all of the Exchanged Principal Amount will automatically and without any action on the part of the Purchaser be exchanged and converted into the 10.00% Notes purchased and issued to the Purchaser pursuant to this Agreement; and (b) the 10.00% Notes are issued in full and complete discharge and satisfaction of all obligations of the Company relating to the Exchanged Principal Amount.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[Signature pages follow]</w:t>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06" w:name="page207"/>
    <w:bookmarkEnd w:id="206"/>
    <w:p>
      <w:pPr>
        <w:ind w:left="560"/>
        <w:spacing w:after="0"/>
        <w:rPr>
          <w:sz w:val="20"/>
          <w:szCs w:val="20"/>
          <w:color w:val="auto"/>
        </w:rPr>
      </w:pPr>
      <w:r>
        <w:rPr>
          <w:rFonts w:ascii="Times New Roman" w:cs="Times New Roman" w:eastAsia="Times New Roman" w:hAnsi="Times New Roman"/>
          <w:sz w:val="15"/>
          <w:szCs w:val="15"/>
          <w:color w:val="auto"/>
        </w:rPr>
        <w:t xml:space="preserve">The parties have executed this </w:t>
      </w:r>
      <w:r>
        <w:rPr>
          <w:rFonts w:ascii="Times New Roman" w:cs="Times New Roman" w:eastAsia="Times New Roman" w:hAnsi="Times New Roman"/>
          <w:sz w:val="15"/>
          <w:szCs w:val="15"/>
          <w:b w:val="1"/>
          <w:bCs w:val="1"/>
          <w:color w:val="auto"/>
        </w:rPr>
        <w:t>Note Purchase and Exchange Agreement</w:t>
      </w:r>
      <w:r>
        <w:rPr>
          <w:rFonts w:ascii="Times New Roman" w:cs="Times New Roman" w:eastAsia="Times New Roman" w:hAnsi="Times New Roman"/>
          <w:sz w:val="15"/>
          <w:szCs w:val="15"/>
          <w:color w:val="auto"/>
        </w:rPr>
        <w:t xml:space="preserve"> as of the date first written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un</w:t>
      </w:r>
      <w:r>
        <w:rPr>
          <w:rFonts w:ascii="Times New Roman" w:cs="Times New Roman" w:eastAsia="Times New Roman" w:hAnsi="Times New Roman"/>
          <w:sz w:val="16"/>
          <w:szCs w:val="16"/>
          <w:b w:val="1"/>
          <w:bCs w:val="1"/>
          <w:color w:val="auto"/>
        </w:rPr>
        <w:t>P</w:t>
      </w:r>
      <w:r>
        <w:rPr>
          <w:rFonts w:ascii="Times New Roman" w:cs="Times New Roman" w:eastAsia="Times New Roman" w:hAnsi="Times New Roman"/>
          <w:sz w:val="10"/>
          <w:szCs w:val="10"/>
          <w:b w:val="1"/>
          <w:bCs w:val="1"/>
          <w:color w:val="auto"/>
        </w:rPr>
        <w:t>ower</w:t>
      </w:r>
      <w:r>
        <w:rPr>
          <w:rFonts w:ascii="Times New Roman" w:cs="Times New Roman" w:eastAsia="Times New Roman" w:hAnsi="Times New Roman"/>
          <w:sz w:val="16"/>
          <w:szCs w:val="16"/>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15240</wp:posOffset>
            </wp:positionV>
            <wp:extent cx="285305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Thurman J. Rodgers</w:t>
      </w:r>
    </w:p>
    <w:p>
      <w:pPr>
        <w:spacing w:after="0" w:line="2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CHICKEN PARM PIZZA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Eric Nielsen</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Eric Nielsen</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Managing Member</w:t>
            </w:r>
          </w:p>
        </w:tc>
      </w:tr>
    </w:tbl>
    <w:p>
      <w:pPr>
        <w:spacing w:after="0" w:line="3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4" w:right="1440"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PLEDGE AND SECURITY AGREEMENT</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THIS PLEDGE AND SECURITY AGREEMENT (as it may be amended, restated, amended and restated, supplemented or otherwise modified from time to time, this “</w:t>
      </w:r>
      <w:r>
        <w:rPr>
          <w:rFonts w:ascii="Times New Roman" w:cs="Times New Roman" w:eastAsia="Times New Roman" w:hAnsi="Times New Roman"/>
          <w:sz w:val="16"/>
          <w:szCs w:val="16"/>
          <w:u w:val="single" w:color="auto"/>
          <w:color w:val="auto"/>
        </w:rPr>
        <w:t>Security Agreement</w:t>
      </w:r>
      <w:r>
        <w:rPr>
          <w:rFonts w:ascii="Times New Roman" w:cs="Times New Roman" w:eastAsia="Times New Roman" w:hAnsi="Times New Roman"/>
          <w:sz w:val="16"/>
          <w:szCs w:val="16"/>
          <w:color w:val="auto"/>
        </w:rPr>
        <w:t>”) is entered into as of April [●], 2026 by and among SunPower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each Subsidiary of the Company listed on the signature pages hereof and each Subsidiary that becomes a party hereto from time to time (together with the Company, each a “</w:t>
      </w:r>
      <w:r>
        <w:rPr>
          <w:rFonts w:ascii="Times New Roman" w:cs="Times New Roman" w:eastAsia="Times New Roman" w:hAnsi="Times New Roman"/>
          <w:sz w:val="16"/>
          <w:szCs w:val="16"/>
          <w:u w:val="single" w:color="auto"/>
          <w:color w:val="auto"/>
        </w:rPr>
        <w:t>Grantor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Grantors</w:t>
      </w:r>
      <w:r>
        <w:rPr>
          <w:rFonts w:ascii="Times New Roman" w:cs="Times New Roman" w:eastAsia="Times New Roman" w:hAnsi="Times New Roman"/>
          <w:sz w:val="16"/>
          <w:szCs w:val="16"/>
          <w:color w:val="auto"/>
        </w:rPr>
        <w:t>”), and U.S. Bank Trust Company, National Association, a national banking association (“</w:t>
      </w:r>
      <w:r>
        <w:rPr>
          <w:rFonts w:ascii="Times New Roman" w:cs="Times New Roman" w:eastAsia="Times New Roman" w:hAnsi="Times New Roman"/>
          <w:sz w:val="16"/>
          <w:szCs w:val="16"/>
          <w:u w:val="single" w:color="auto"/>
          <w:color w:val="auto"/>
        </w:rPr>
        <w:t>U.S. Bank</w:t>
      </w:r>
      <w:r>
        <w:rPr>
          <w:rFonts w:ascii="Times New Roman" w:cs="Times New Roman" w:eastAsia="Times New Roman" w:hAnsi="Times New Roman"/>
          <w:sz w:val="16"/>
          <w:szCs w:val="16"/>
          <w:color w:val="auto"/>
        </w:rPr>
        <w:t>”), solely in its capacity as collateral agent pursuant to the Indenture referred to below (in such capacity, together with any successors in such capacity, the “</w:t>
      </w:r>
      <w:r>
        <w:rPr>
          <w:rFonts w:ascii="Times New Roman" w:cs="Times New Roman" w:eastAsia="Times New Roman" w:hAnsi="Times New Roman"/>
          <w:sz w:val="16"/>
          <w:szCs w:val="16"/>
          <w:u w:val="single" w:color="auto"/>
          <w:color w:val="auto"/>
        </w:rPr>
        <w:t>Collateral Agent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PRELIMINARY STATEMENT</w:t>
      </w:r>
    </w:p>
    <w:p>
      <w:pPr>
        <w:spacing w:after="0" w:line="198" w:lineRule="exact"/>
        <w:rPr>
          <w:sz w:val="20"/>
          <w:szCs w:val="20"/>
          <w:color w:val="auto"/>
        </w:rPr>
      </w:pPr>
    </w:p>
    <w:p>
      <w:pPr>
        <w:jc w:val="both"/>
        <w:ind w:firstLine="574"/>
        <w:spacing w:after="0" w:line="26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execution and delivery of this Security Agreement, the Company, the Collateral Agent, U.S. Bank, as trustee, and the other 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thereto have entered into that certain Indenture, dated as of April [•], 2026 (as may be amended, restated, amended and restated, supplemented or otherwise modified from time to time, the “</w:t>
      </w:r>
      <w:r>
        <w:rPr>
          <w:rFonts w:ascii="Times New Roman" w:cs="Times New Roman" w:eastAsia="Times New Roman" w:hAnsi="Times New Roman"/>
          <w:sz w:val="16"/>
          <w:szCs w:val="16"/>
          <w:u w:val="single" w:color="auto"/>
          <w:color w:val="auto"/>
        </w:rPr>
        <w:t>Indenture</w:t>
      </w:r>
      <w:r>
        <w:rPr>
          <w:rFonts w:ascii="Times New Roman" w:cs="Times New Roman" w:eastAsia="Times New Roman" w:hAnsi="Times New Roman"/>
          <w:sz w:val="16"/>
          <w:szCs w:val="16"/>
          <w:color w:val="auto"/>
        </w:rPr>
        <w:t>”), pursuant to which the Company’s 10.0% Convertible Senior Secured Notes due 2029 were issued (the “</w:t>
      </w:r>
      <w:r>
        <w:rPr>
          <w:rFonts w:ascii="Times New Roman" w:cs="Times New Roman" w:eastAsia="Times New Roman" w:hAnsi="Times New Roman"/>
          <w:sz w:val="16"/>
          <w:szCs w:val="16"/>
          <w:u w:val="single" w:color="auto"/>
          <w:color w:val="auto"/>
        </w:rPr>
        <w:t>Notes</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Grantors will receive substantial direct and/or indirect benefits from the execution and delivery of the Indenture and the other Notes Documents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the Indenture) and is, therefore, willing to enter into this Security Agreement;</w:t>
      </w:r>
    </w:p>
    <w:p>
      <w:pPr>
        <w:spacing w:after="0" w:line="14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this Security Agreement is made by and among the Grantors and the Collateral Agent to grant a Lien on the Collateral to the Collateral Agent for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 of the Secured Parties to secure the payment and performance of all of the Secured Obligations; and</w:t>
      </w:r>
    </w:p>
    <w:p>
      <w:pPr>
        <w:spacing w:after="0" w:line="140" w:lineRule="exact"/>
        <w:rPr>
          <w:sz w:val="20"/>
          <w:szCs w:val="20"/>
          <w:color w:val="auto"/>
        </w:rPr>
      </w:pPr>
    </w:p>
    <w:p>
      <w:pPr>
        <w:jc w:val="both"/>
        <w:ind w:right="20"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it is a condition to the issuance of the Notes that the Company and the other Grantors execute and deliver the applicable Notes Documents, including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Security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ACCORDINGLY</w:t>
      </w:r>
      <w:r>
        <w:rPr>
          <w:rFonts w:ascii="Times New Roman" w:cs="Times New Roman" w:eastAsia="Times New Roman" w:hAnsi="Times New Roman"/>
          <w:sz w:val="16"/>
          <w:szCs w:val="16"/>
          <w:color w:val="auto"/>
        </w:rPr>
        <w:t>, the Grantors and the Collateral Agent, on behalf of the Secured Parties, hereby agree as follows: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Terms Defined in Indenture</w:t>
      </w:r>
      <w:r>
        <w:rPr>
          <w:rFonts w:ascii="Times New Roman" w:cs="Times New Roman" w:eastAsia="Times New Roman" w:hAnsi="Times New Roman"/>
          <w:sz w:val="16"/>
          <w:szCs w:val="16"/>
          <w:color w:val="auto"/>
        </w:rPr>
        <w:t>. All capitalized terms used herein and not otherwise defined shall have the meanings assigned to such terms in the Indenture.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Terms Defined in UCC</w:t>
      </w:r>
      <w:r>
        <w:rPr>
          <w:rFonts w:ascii="Times New Roman" w:cs="Times New Roman" w:eastAsia="Times New Roman" w:hAnsi="Times New Roman"/>
          <w:sz w:val="16"/>
          <w:szCs w:val="16"/>
          <w:color w:val="auto"/>
        </w:rPr>
        <w:t>. Terms defined in the UCC which are not otherwise defined in this Security Agreement are used herein as defined in the UCC.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08" w:name="page209"/>
    <w:bookmarkEnd w:id="208"/>
    <w:p>
      <w:pPr>
        <w:ind w:left="560"/>
        <w:spacing w:after="0"/>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Definitions of Certain Terms Used Herein</w:t>
      </w:r>
      <w:r>
        <w:rPr>
          <w:rFonts w:ascii="Times New Roman" w:cs="Times New Roman" w:eastAsia="Times New Roman" w:hAnsi="Times New Roman"/>
          <w:sz w:val="16"/>
          <w:szCs w:val="16"/>
          <w:color w:val="auto"/>
        </w:rPr>
        <w:t>. As used in this Security Agreement, in addition to the terms defined in the first paragraph hereof and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Preliminary Statement, the following terms shall have the following meanings: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xml:space="preserve">” means (a) with respect to each Grantor party hereto on the Issue Date, the date of this Security Agreement, and (b) with respect to any Grantor joining the Security Agreement after the Issue Date, such later date on which such Grantor delivers to the Collateral Agent an amendment to the Security Agreement and a supplement to the schedules to this Security Agreement pursuant to </w:t>
      </w:r>
      <w:r>
        <w:rPr>
          <w:rFonts w:ascii="Times New Roman" w:cs="Times New Roman" w:eastAsia="Times New Roman" w:hAnsi="Times New Roman"/>
          <w:sz w:val="16"/>
          <w:szCs w:val="16"/>
          <w:u w:val="single" w:color="auto"/>
          <w:color w:val="auto"/>
        </w:rPr>
        <w:t>Section 4.1(i)</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IP Office</w:t>
      </w:r>
      <w:r>
        <w:rPr>
          <w:rFonts w:ascii="Times New Roman" w:cs="Times New Roman" w:eastAsia="Times New Roman" w:hAnsi="Times New Roman"/>
          <w:sz w:val="16"/>
          <w:szCs w:val="16"/>
          <w:color w:val="auto"/>
        </w:rPr>
        <w:t>” means the United States Patent and Trademark Office, the United States Copyright Office or any similar office or agency within the United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means a numbered article of this Security Agreement, unless another document is specifically referenced.</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Collateral</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or, if applicable, in Section 9-104, 9-105, 9-106 or 9-107 of Article 9 of the UCC.</w:t>
      </w:r>
    </w:p>
    <w:p>
      <w:pPr>
        <w:spacing w:after="0" w:line="198"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Copyrights</w:t>
      </w:r>
      <w:r>
        <w:rPr>
          <w:rFonts w:ascii="Times New Roman" w:cs="Times New Roman" w:eastAsia="Times New Roman" w:hAnsi="Times New Roman"/>
          <w:sz w:val="16"/>
          <w:szCs w:val="16"/>
          <w:color w:val="auto"/>
        </w:rPr>
        <w:t>” means, with respect to any Person, all of such Person’s right, title, and interest in and to the following: (a) all copyrights, rights and interests in copyrights, works protectable by copyright,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means any event or condition which constitutes an Event of Default or which upon notice, lapse of time or both would, unless cured or waived, become an Event of Default.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Event of Default</w:t>
      </w:r>
      <w:r>
        <w:rPr>
          <w:rFonts w:ascii="Times New Roman" w:cs="Times New Roman" w:eastAsia="Times New Roman" w:hAnsi="Times New Roman"/>
          <w:sz w:val="16"/>
          <w:szCs w:val="16"/>
          <w:color w:val="auto"/>
        </w:rPr>
        <w:t xml:space="preserve">” means an event described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9" w:name="page210"/>
    <w:bookmarkEnd w:id="209"/>
    <w:p>
      <w:pPr>
        <w:jc w:val="both"/>
        <w:ind w:firstLine="574"/>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Assets</w:t>
      </w:r>
      <w:r>
        <w:rPr>
          <w:rFonts w:ascii="Times New Roman" w:cs="Times New Roman" w:eastAsia="Times New Roman" w:hAnsi="Times New Roman"/>
          <w:sz w:val="16"/>
          <w:szCs w:val="16"/>
          <w:color w:val="auto"/>
        </w:rPr>
        <w:t>” shall mean (A) any fee-owned Real Property or any leasehold interest in Real Property (it being understood there shall be no requirement to obtain any landlord waivers, estoppels or collateral access letters), (B) all vehicles and other assets covered by a certificate of title law of any state (except to the extent a security interest therein can be perfected by the filing of a UCC financing statement or the equivalent under other applicable law), (C) any lease, license or agreement or any Property subject to a purchase money security interest or Capital Lease obligation, in each case, to the extent that a grant of a security interest therein would violate or invalidate such lease, license or agreement or purchase money agreements or arrangement or Capital Lease or create a right of termination in favor of any other party thereto (other than any Grantor) after giving effect to the applicable anti-assignment provisions of the UCC or other applicable law, other than the proceeds and receivables thereof the assignment of which is expressly deemed effective under the UCC or other applicable law notwithstanding such prohibition, (D) any Excluded Capital Stock, (E) any Property where the cost of obtaining a security interest in, or perfection of, such assets materially exceeds the practical benefit to the Secured Parties afforded thereby as determined in good faith by the Company, (F) any application for registration of a Trademark on the basis of the applicant’s intent-to-use such Trademark, unless and until evidence of use of the Trademark has been filed with, and accepted by, the U.S. Patent and Trademark Office pursuant to Section 1(c) or Section 1(d) of the Lanham Act (15 U.S.C. §1051, et seq.), to the extent, if any, that, and solely during the period, if any, in which, the grant of a security interest therein would impair the validity or enforceability of such Trademark application or any registration issuing therefrom under applicable federal law, (G) [reserved], (H) any governmental licenses or state, provincial, territorial, municipal or local franchises, charters and authorizations, to the extent security interests in such licenses, franchises, charters or authorizations are prohibited or restricted thereby after giving effect to the applicable anti-assignment provisions of the UCC or the equivalent under any applicable jurisdiction, (I) any assets to the extent a security interest in such assets would result in material adverse tax consequences to the Company and its Subsidiaries as reasonably determined by the Company and the Collateral Agent, (J) letter of credit rights in an aggregate stated amount less than $1,000,000 (except to the extent a security interest therein can be perfected by the filing of a UCC financing statement or the equivalent under other applicable law), (K) more than 65% of the voting stock (within the meaning of Section 1.9562(c)(2) of the United States Treasury Regulations) of any Foreign Subsidiary (other than (x) any Foreign Subsidiary that is a Guarantor or (y) as otherwise required pursuant to Section 4.09 of the Indenture) and (L) any assets the grant of a security interest in which would be prohibited by applicable law but only, in each case, to the extent, and only for so long as, such prohibition is not terminated or rendered unenforceable or otherwise deemed ineffective by the UCC, any other laws (including the Debtor Relief Laws), or principles of equity, and, to the extent severable, shall attach immediately to any portion of such assets that do not result in such prohibition; provided that, immediately upon the ineffectiveness, lapse or termination of any such prohibition, the Collateral shall include, and such Grantor shall be deemed to have granted a security interest in, such assets as if such provision had never been in effect unless such asset or Property otherwise constitutes Excluded Assets.</w:t>
      </w:r>
    </w:p>
    <w:p>
      <w:pPr>
        <w:spacing w:after="0" w:line="181"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Capital Stock</w:t>
      </w:r>
      <w:r>
        <w:rPr>
          <w:rFonts w:ascii="Times New Roman" w:cs="Times New Roman" w:eastAsia="Times New Roman" w:hAnsi="Times New Roman"/>
          <w:sz w:val="16"/>
          <w:szCs w:val="16"/>
          <w:color w:val="auto"/>
        </w:rPr>
        <w:t>” means the Capital Stock of any non-Wholly Owned Subsidiary or entities that do not constitute Subsidiaries, in each case, solely to the extent the organizational documents or other agreements with the equity holders of such non-Wholly Owned Subsidiaries or other entities (x) restrict or do not permit the pledge of such Capital Stock or (y) provide for any termination right, repurchase obligation, or similar adverse consequence to the Grantors or such non-Wholly Owned Subsidiary or other entity as a result of the pledge of such Capital Stock, in each case to the extent such restriction, termination right, repurchase obligation, or other provision existed on the Issue Date or on the date of acquisition of such non-Wholly Owned Subsidiary or other entity and was not entered into in contemplation thereof.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0" w:name="page211"/>
    <w:bookmarkEnd w:id="210"/>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refers to a specific exhibit to this Security Agreement, in each case as such Exhibits may be amended or supplemented from time to time, unless another document is specifically referenced.</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federal, provincial, territorial, state, municipal, local, foreign, international or multinational court or governmental agency, authority, instrumentality, central bank or regulatory, taxing or legislative body, including any applicable supranational bodies (such as the European Union or the European Central Bank).</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all intellectual property of every kind and nature now owned or hereafter acquired by any Grantor, including inventions, designs, Patents, Copyrights, Licenses, Trademarks, trade secrets, know-how, the intellectual property rights in software and databases and related documentation and all additions and improvements to the foregoing.</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Licenses</w:t>
      </w:r>
      <w:r>
        <w:rPr>
          <w:rFonts w:ascii="Times New Roman" w:cs="Times New Roman" w:eastAsia="Times New Roman" w:hAnsi="Times New Roman"/>
          <w:sz w:val="16"/>
          <w:szCs w:val="16"/>
          <w:color w:val="auto"/>
        </w:rPr>
        <w:t>” means, with respect to any Person, all of such Person’s right, title, and interest in and to (a) any and all licensing agreements or similar arrangements in and to its Intellectual Property,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a material adverse effect on (a) the business, assets, operations or financial condition, of the Company and its Subsidiaries, taken as a whole, (b) the ability of the Note Parties (taken as a whole) to perform any of their payment Obligations, under the applicable Notes Documents or (c) a material portion of the Collateral, or (d) the rights and remedies (taken as a whole) of the Collateral Agent under the applicable Notes Documents.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Patent Security Agreement</w:t>
      </w:r>
      <w:r>
        <w:rPr>
          <w:rFonts w:ascii="Times New Roman" w:cs="Times New Roman" w:eastAsia="Times New Roman" w:hAnsi="Times New Roman"/>
          <w:sz w:val="16"/>
          <w:szCs w:val="16"/>
          <w:color w:val="auto"/>
        </w:rPr>
        <w:t xml:space="preserve">” shall mean an agreement substantially in the form annexed hereto as </w:t>
      </w:r>
      <w:r>
        <w:rPr>
          <w:rFonts w:ascii="Times New Roman" w:cs="Times New Roman" w:eastAsia="Times New Roman" w:hAnsi="Times New Roman"/>
          <w:sz w:val="16"/>
          <w:szCs w:val="16"/>
          <w:u w:val="single" w:color="auto"/>
          <w:color w:val="auto"/>
        </w:rPr>
        <w:t>Exhibit 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Pledged Collateral</w:t>
      </w:r>
      <w:r>
        <w:rPr>
          <w:rFonts w:ascii="Times New Roman" w:cs="Times New Roman" w:eastAsia="Times New Roman" w:hAnsi="Times New Roman"/>
          <w:sz w:val="16"/>
          <w:szCs w:val="16"/>
          <w:color w:val="auto"/>
        </w:rPr>
        <w:t>” means all Instruments, Securities and other Investment Property of the Grantors, whether or not physically delivered to the Collateral Agent pursuant to this Security Agreement, to the extent such Instruments, Securities and other Investment Property constitute Collateral hereunder.</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Receivables</w:t>
      </w:r>
      <w:r>
        <w:rPr>
          <w:rFonts w:ascii="Times New Roman" w:cs="Times New Roman" w:eastAsia="Times New Roman" w:hAnsi="Times New Roman"/>
          <w:sz w:val="16"/>
          <w:szCs w:val="16"/>
          <w:color w:val="auto"/>
        </w:rPr>
        <w:t>” means, with respect to any Grantor, the Accounts, Chattel Paper, Documents, Investment Property, Instruments and any other rights or claims to receive money which are General Intangibles or which are otherwise included as Collateral.</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Noteholders</w:t>
      </w:r>
      <w:r>
        <w:rPr>
          <w:rFonts w:ascii="Times New Roman" w:cs="Times New Roman" w:eastAsia="Times New Roman" w:hAnsi="Times New Roman"/>
          <w:sz w:val="16"/>
          <w:szCs w:val="16"/>
          <w:color w:val="auto"/>
        </w:rPr>
        <w:t>” means the holders of at least 60% in principal amount of outstanding Notes, calculated in accordance with the provisions of the Indenture.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means a numbered section of this Security Agreement, unless another document is specifically referenced.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1" w:name="page212"/>
    <w:bookmarkEnd w:id="21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Secured Obligations</w:t>
      </w:r>
      <w:r>
        <w:rPr>
          <w:rFonts w:ascii="Times New Roman" w:cs="Times New Roman" w:eastAsia="Times New Roman" w:hAnsi="Times New Roman"/>
          <w:sz w:val="16"/>
          <w:szCs w:val="16"/>
          <w:color w:val="auto"/>
        </w:rPr>
        <w:t>” means, collectively, the Obligations and the Guaranteed Obligations.</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Stock Rights</w:t>
      </w:r>
      <w:r>
        <w:rPr>
          <w:rFonts w:ascii="Times New Roman" w:cs="Times New Roman" w:eastAsia="Times New Roman" w:hAnsi="Times New Roman"/>
          <w:sz w:val="16"/>
          <w:szCs w:val="16"/>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means, with respect to any Person, all of such Person’s right, title, and interest in and to the following: (a) all trademarks (including service marks but excluding any intent-to-use trademark application prior to the filing of a “Statement of Use” or “Amendment to Allege Use” with respect thereto),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Trademark Security Agreement</w:t>
      </w:r>
      <w:r>
        <w:rPr>
          <w:rFonts w:ascii="Times New Roman" w:cs="Times New Roman" w:eastAsia="Times New Roman" w:hAnsi="Times New Roman"/>
          <w:sz w:val="16"/>
          <w:szCs w:val="16"/>
          <w:color w:val="auto"/>
        </w:rPr>
        <w:t xml:space="preserve">” shall mean an agreement substantially in the form annexed hereto as </w:t>
      </w:r>
      <w:r>
        <w:rPr>
          <w:rFonts w:ascii="Times New Roman" w:cs="Times New Roman" w:eastAsia="Times New Roman" w:hAnsi="Times New Roman"/>
          <w:sz w:val="16"/>
          <w:szCs w:val="16"/>
          <w:u w:val="single" w:color="auto"/>
          <w:color w:val="auto"/>
        </w:rPr>
        <w:t>Exhibit M</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UCC</w:t>
      </w:r>
      <w:r>
        <w:rPr>
          <w:rFonts w:ascii="Times New Roman" w:cs="Times New Roman" w:eastAsia="Times New Roman" w:hAnsi="Times New Roman"/>
          <w:sz w:val="16"/>
          <w:szCs w:val="16"/>
          <w:color w:val="auto"/>
        </w:rPr>
        <w:t>” means the Uniform Commercial Code, as in effect from time to time, of the State of New York or of any other state the laws of which are required as a result thereof to be applied in connection with the attachment, perfection or priority of, or remedies with respect to, Collateral Agent’s or any other Secured Party’s Lien on any Collateral.</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USPTO</w:t>
      </w:r>
      <w:r>
        <w:rPr>
          <w:rFonts w:ascii="Times New Roman" w:cs="Times New Roman" w:eastAsia="Times New Roman" w:hAnsi="Times New Roman"/>
          <w:sz w:val="16"/>
          <w:szCs w:val="16"/>
          <w:color w:val="auto"/>
        </w:rPr>
        <w:t>” means the United States Patent and Trademark Office.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foregoing definitions shall be equally applicable to both the singular and plural forms of the defined terms.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GRANT OF SECURITY INTEREST</w:t>
      </w:r>
    </w:p>
    <w:p>
      <w:pPr>
        <w:spacing w:after="0" w:line="18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Each Grantor hereby pledges, assigns and grants to the Collateral Agent, on behalf of and for the ratable benefit of the Secured Parties, a security interest in all of its right, title and interest in, to and under all personal property and other personal property assets, whether now owned by or owing to, or hereafter acquired by or arising in favor of such Grantor (including under any trade name or derivations thereof), and regardless of where located (all of which will be collectively referred to as the “Collateral”), including:</w:t>
      </w:r>
    </w:p>
    <w:p>
      <w:pPr>
        <w:spacing w:after="0" w:line="162" w:lineRule="exact"/>
        <w:rPr>
          <w:sz w:val="20"/>
          <w:szCs w:val="20"/>
          <w:color w:val="auto"/>
        </w:rPr>
      </w:pPr>
    </w:p>
    <w:p>
      <w:pPr>
        <w:ind w:left="1340" w:hanging="197"/>
        <w:spacing w:after="0"/>
        <w:tabs>
          <w:tab w:leader="none" w:pos="13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Accounts;</w:t>
      </w:r>
    </w:p>
    <w:p>
      <w:pPr>
        <w:spacing w:after="0" w:line="198"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Chattel Paper;</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Intellectual Property;</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2" w:name="page213"/>
    <w:bookmarkEnd w:id="212"/>
    <w:p>
      <w:pPr>
        <w:ind w:left="1360" w:hanging="217"/>
        <w:spacing w:after="0"/>
        <w:tabs>
          <w:tab w:leader="none" w:pos="13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Equipment;</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Fixtures;</w:t>
      </w:r>
    </w:p>
    <w:p>
      <w:pPr>
        <w:spacing w:after="0" w:line="198"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General Intangibles;</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Goods;</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Instruments;</w:t>
      </w:r>
    </w:p>
    <w:p>
      <w:pPr>
        <w:spacing w:after="0" w:line="198"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Inventory;</w:t>
      </w:r>
    </w:p>
    <w:p>
      <w:pPr>
        <w:spacing w:after="0" w:line="198"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Investment Property;</w:t>
      </w:r>
    </w:p>
    <w:p>
      <w:pPr>
        <w:spacing w:after="0" w:line="198" w:lineRule="exact"/>
        <w:rPr>
          <w:rFonts w:ascii="Times New Roman" w:cs="Times New Roman" w:eastAsia="Times New Roman" w:hAnsi="Times New Roman"/>
          <w:sz w:val="16"/>
          <w:szCs w:val="16"/>
          <w:color w:val="auto"/>
        </w:rPr>
      </w:pPr>
    </w:p>
    <w:p>
      <w:pPr>
        <w:ind w:left="1460" w:hanging="317"/>
        <w:spacing w:after="0"/>
        <w:tabs>
          <w:tab w:leader="none" w:pos="146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cash or cash equivalents;</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letters of credit, Letter-of-Credit Rights and Supporting Obligations;</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Deposit Accounts with any bank or other financial institution;</w:t>
      </w:r>
    </w:p>
    <w:p>
      <w:pPr>
        <w:spacing w:after="0" w:line="198" w:lineRule="exact"/>
        <w:rPr>
          <w:rFonts w:ascii="Times New Roman" w:cs="Times New Roman" w:eastAsia="Times New Roman" w:hAnsi="Times New Roman"/>
          <w:sz w:val="16"/>
          <w:szCs w:val="16"/>
          <w:color w:val="auto"/>
        </w:rPr>
      </w:pPr>
    </w:p>
    <w:p>
      <w:pPr>
        <w:ind w:left="1440" w:hanging="297"/>
        <w:spacing w:after="0"/>
        <w:tabs>
          <w:tab w:leader="none" w:pos="144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Commercial Tort Claims listed on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(including any supplements to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delivered pursuant to </w:t>
      </w:r>
      <w:r>
        <w:rPr>
          <w:rFonts w:ascii="Times New Roman" w:cs="Times New Roman" w:eastAsia="Times New Roman" w:hAnsi="Times New Roman"/>
          <w:sz w:val="16"/>
          <w:szCs w:val="16"/>
          <w:u w:val="single" w:color="auto"/>
          <w:color w:val="auto"/>
        </w:rPr>
        <w:t>Sections 4.1(c)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4.1(i)</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ind w:left="1500" w:hanging="357"/>
        <w:spacing w:after="0"/>
        <w:tabs>
          <w:tab w:leader="none" w:pos="150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Pledged Collateral listed on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(including any supplements to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delivered pursuant to </w:t>
      </w:r>
      <w:r>
        <w:rPr>
          <w:rFonts w:ascii="Times New Roman" w:cs="Times New Roman" w:eastAsia="Times New Roman" w:hAnsi="Times New Roman"/>
          <w:sz w:val="16"/>
          <w:szCs w:val="16"/>
          <w:u w:val="single" w:color="auto"/>
          <w:color w:val="auto"/>
        </w:rPr>
        <w:t>Sections 4.1(c)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4.1(i)</w:t>
      </w:r>
      <w:r>
        <w:rPr>
          <w:rFonts w:ascii="Times New Roman" w:cs="Times New Roman" w:eastAsia="Times New Roman" w:hAnsi="Times New Roman"/>
          <w:sz w:val="16"/>
          <w:szCs w:val="16"/>
          <w:color w:val="auto"/>
        </w:rPr>
        <w:t>; and</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54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 to secure the prompt and complete payment and performance of the Secured Obligations.</w:t>
      </w:r>
    </w:p>
    <w:p>
      <w:pPr>
        <w:spacing w:after="0" w:line="155"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Notwithstanding anything to the contrary in this Security Agreement, (i) no Grantor shall be required to pledge more than 65% of the voting stock (within the meaning of Section 1.956 2(c)(2) of the United States Treasury Regulations) of any Foreign Subsidiary (other than (A) any Foreign Subsidiary that is a Guarantor or (B) as otherwise required pursuant to Section 4.09 of the Indenture), (ii) immediately upon any Property of a Grantor ceasing to constitute Excluded Assets, the Collateral shall include, and the Company and the other Grantors, as applicable, shall be deemed to have granted a security interest in, such Property, and (iii) the security interest created by this Security Agreement shall not extend to, and the term “Collateral” shall not include any Excluded Assets (it being understood that such grant will be applicable at such time as any such Property ceases to constitute Excluded Assets).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Grantor represents and warrants to the Collateral Agent and the Secured Parties that:</w:t>
      </w:r>
    </w:p>
    <w:p>
      <w:pPr>
        <w:spacing w:after="0" w:line="198"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Title, Authorization, Validity, Enforceability, Perfection and Priority</w:t>
      </w:r>
      <w:r>
        <w:rPr>
          <w:rFonts w:ascii="Times New Roman" w:cs="Times New Roman" w:eastAsia="Times New Roman" w:hAnsi="Times New Roman"/>
          <w:sz w:val="16"/>
          <w:szCs w:val="16"/>
          <w:color w:val="auto"/>
        </w:rPr>
        <w:t xml:space="preserve">. Such Grantor has good and valid rights in or the power to transfer the Collateral owned by it and title to the Collateral with respect to which it has purported to grant a security interest hereunder, except for minor defects in title that do not interfere with its ability to conduct its business as currently conducted or to utilize such Collateral for its current uses, free and clear of all Liens except (i) for Liens permitted under Section 4.11 of the Indenture, (ii) where the failure to have such title would not reasonably be expected to have a Material Adverse Effect, and (iii) for defects in title that do not materially interfere with their ability to conduct their business as currently conducted or to utilize such properties and assets for their intended purposes and has full power and authority to grant to the Collateral Agent the security interest in the Collateral pursuant hereto. The execution and delivery by such Grantor of this Security Agreement have been duly authorized by proper corporate proceedings or other organizational action of such Grantor, and this Security Agreement constitutes a legal valid and binding obligation of such Grantor and creates a security interest which is enforceable against such Grantor in all Collateral it now owns or hereafter acquires, subject to applicable bankruptcy, insolvency, reorganization, moratorium or other laws affecting creditors’ rights generally and subject to general principles of equity, regardless of whether considered in a proceeding in equity or at law. When financing statements have been filed in the appropriate offices against such Grantor in the locations listed on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the Collateral Agent will have a perfected first priority security interest in that Collateral of such Grantor in which a security interest may be perfected by filing of a financing statement under the UCC, subject only to Liens permitted under Section 4.11 of the Indenture.</w:t>
      </w:r>
    </w:p>
    <w:p>
      <w:pPr>
        <w:spacing w:after="0" w:line="167"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Type and Jurisdiction of Organization and Identification Number</w:t>
      </w:r>
      <w:r>
        <w:rPr>
          <w:rFonts w:ascii="Times New Roman" w:cs="Times New Roman" w:eastAsia="Times New Roman" w:hAnsi="Times New Roman"/>
          <w:sz w:val="16"/>
          <w:szCs w:val="16"/>
          <w:color w:val="auto"/>
        </w:rPr>
        <w:t xml:space="preserve">. As of the Applicable Date, the type of entity of each Grantor, its state of organization and its federal employer identification number are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Principal Location</w:t>
      </w:r>
      <w:r>
        <w:rPr>
          <w:rFonts w:ascii="Times New Roman" w:cs="Times New Roman" w:eastAsia="Times New Roman" w:hAnsi="Times New Roman"/>
          <w:sz w:val="16"/>
          <w:szCs w:val="16"/>
          <w:color w:val="auto"/>
        </w:rPr>
        <w:t xml:space="preserve">. As of the Applicable Date, each Grantor’s mailing address, which shall be its address for notices and other communications provided for herein and the location of its place of business (if it has only one) or its chief executive office (if it has more than one place of business), are disclosed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As of the Applicable Date, each such Grantor has no other places of business except those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sets forth all registered and applied for Patents, Trademarks and Copyrights owned by such Grantor as of the Applicable Date. This Security Agreement is effective to create a valid and continuing Lien and, upon filing of appropriate financing statements in the offices listed on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xml:space="preserve"> and the Trademark Security Agreement (with respect to Trademarks) and the Patent Security Agreement (with respect to Patents) with the Applicable IP Office, fully perfected first priority security interests in favor of the Collateral Agent on such Grantor’s Patents, Trademarks and Copyrights, subject to Liens permitted under Section 4.11 of the Indenture. Notwithstanding anything herein to the contrary, other than UCC filings and the filing of documents effecting the recordation of security interests in the Applicable IP Office, in no event shall the Grantors be required, nor shall the Collateral Agent be authorized, to make any other filings or take any other actions related to Intellectual Property Collateral, including actions to enter into any source code escrow arrangement, or to apply for the registration of any Intellectual Property in any jurisdiction, or to make any filings or take any actions to record or to perfect the Collateral Agent’s lien on or security interest, in the Collateral.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14" w:name="page215"/>
    <w:bookmarkEnd w:id="214"/>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No Financing Statements, Security Agreements</w:t>
      </w:r>
      <w:r>
        <w:rPr>
          <w:rFonts w:ascii="Times New Roman" w:cs="Times New Roman" w:eastAsia="Times New Roman" w:hAnsi="Times New Roman"/>
          <w:sz w:val="16"/>
          <w:szCs w:val="16"/>
          <w:color w:val="auto"/>
        </w:rPr>
        <w:t>. As of the Applicable Date, no financing statement or security agreement describing all or any portion of the Collateral which has not lapsed or been terminated (by a filing authorized by the secured party in respect thereof or as otherwise permitted by Section 9-509 of the UCC) naming such Grantor as debtor has been filed or is of record in any jurisdiction except for financing statements or security agreements (a) naming the Collateral Agent on behalf of the Secured Parties as the secured party and (b) in respect to other Liens permitted under Section 4.11 of the Indenture.</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Section 3.6 </w:t>
      </w:r>
      <w:r>
        <w:rPr>
          <w:rFonts w:ascii="Times New Roman" w:cs="Times New Roman" w:eastAsia="Times New Roman" w:hAnsi="Times New Roman"/>
          <w:sz w:val="16"/>
          <w:szCs w:val="16"/>
          <w:u w:val="single" w:color="auto"/>
          <w:color w:val="auto"/>
        </w:rPr>
        <w:t>Pledged Collateral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569"/>
        <w:spacing w:after="0" w:line="269" w:lineRule="auto"/>
        <w:tabs>
          <w:tab w:leader="none" w:pos="794" w:val="left"/>
        </w:tabs>
        <w:numPr>
          <w:ilvl w:val="1"/>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Exhibit F</w:t>
      </w:r>
      <w:r>
        <w:rPr>
          <w:rFonts w:ascii="Times New Roman" w:cs="Times New Roman" w:eastAsia="Times New Roman" w:hAnsi="Times New Roman"/>
          <w:sz w:val="15"/>
          <w:szCs w:val="15"/>
          <w:color w:val="auto"/>
        </w:rPr>
        <w:t xml:space="preserve"> sets forth a complete and accurate list of all of the Pledged Collateral owned by such Grantor on the Applicable Date. Such Grantor is the direct, sole beneficial owner and sole holder of record of the Pledged Collateral listed on </w:t>
      </w:r>
      <w:r>
        <w:rPr>
          <w:rFonts w:ascii="Times New Roman" w:cs="Times New Roman" w:eastAsia="Times New Roman" w:hAnsi="Times New Roman"/>
          <w:sz w:val="15"/>
          <w:szCs w:val="15"/>
          <w:u w:val="single" w:color="auto"/>
          <w:color w:val="auto"/>
        </w:rPr>
        <w:t>Exhibit F</w:t>
      </w:r>
      <w:r>
        <w:rPr>
          <w:rFonts w:ascii="Times New Roman" w:cs="Times New Roman" w:eastAsia="Times New Roman" w:hAnsi="Times New Roman"/>
          <w:sz w:val="15"/>
          <w:szCs w:val="15"/>
          <w:color w:val="auto"/>
        </w:rPr>
        <w:t xml:space="preserve"> as being owned by it, free and clear of any Liens, except for the security interest granted to the Collateral Agent for the benefit of the Secured Parties hereunder and Liens permitted under Section 4.11 of the Indenture. Such Grantor further represents and warrants that (i) all Pledged Collateral owned by it constituting an Equity Interest has been (to the extent such concepts are relevant with respect to such Pledged Collateral) duly authorized, validly issued, are fully paid and non-assessable, (ii) with respect to any certificates delivered to the Collateral Agent representing an Equity Interest, either such certificates are Securities as defined in Article 8 of the UCC as a result of actions by the issuer or otherwise, or, if such certificates are not Securities, such Grantor has so informed the Collateral Agent and has taken steps to cause the Collateral Agent’s security interest therein to be perfected as a General Intangible under the applicable UCC, and</w:t>
      </w:r>
    </w:p>
    <w:p>
      <w:pPr>
        <w:spacing w:after="0" w:line="1" w:lineRule="exact"/>
        <w:rPr>
          <w:rFonts w:ascii="Times New Roman" w:cs="Times New Roman" w:eastAsia="Times New Roman" w:hAnsi="Times New Roman"/>
          <w:sz w:val="15"/>
          <w:szCs w:val="15"/>
          <w:color w:val="auto"/>
        </w:rPr>
      </w:pPr>
    </w:p>
    <w:p>
      <w:pPr>
        <w:jc w:val="both"/>
        <w:ind w:left="4" w:hanging="4"/>
        <w:spacing w:after="0" w:line="279" w:lineRule="auto"/>
        <w:tabs>
          <w:tab w:leader="none" w:pos="315"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Pledged Collateral which represents Indebtedness owed to such Grantor has been duly authorized, authenticated or issued and delivered by the issuer of such Indebtedness, is the legal, valid and binding obligation of such issuer, subject to applicable bankruptcy, insolvency, reorganization, moratorium or other laws affecting creditors’ rights generally and subject to general principles of equity, regardless of whether considered in a proceeding in equity or at law, and such issuer is not in default thereunder.</w:t>
      </w:r>
    </w:p>
    <w:p>
      <w:pPr>
        <w:spacing w:after="0" w:line="146" w:lineRule="exact"/>
        <w:rPr>
          <w:rFonts w:ascii="Times New Roman" w:cs="Times New Roman" w:eastAsia="Times New Roman" w:hAnsi="Times New Roman"/>
          <w:sz w:val="15"/>
          <w:szCs w:val="15"/>
          <w:color w:val="auto"/>
        </w:rPr>
      </w:pPr>
    </w:p>
    <w:p>
      <w:pPr>
        <w:jc w:val="both"/>
        <w:ind w:left="4" w:firstLine="569"/>
        <w:spacing w:after="0" w:line="252" w:lineRule="auto"/>
        <w:tabs>
          <w:tab w:leader="none" w:pos="828"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(i) none of the Pledged Collateral owned by any Grantor as of the Applicable Date has been issued or transferred in violation of the securities registration, securities disclosure or similar laws of any jurisdiction to which such issuance or transfer is subject, (ii) with respect to any Equity Interests included in the Pledged Collateral issued by any Subsidiary, no options, warrants, calls or commitments of any character whatsoever (other than (x) customary rights to purchase or requirements to sell Equity Interests in respect of any Investment in a joint venture permitted under the Indenture and (y) agreements to sell or dispose of such Pledged Collateral to the extent such sale or disposition would be permitted by the Indenture) (A) exist relating to such Pledged Collateral or (B) obligate any such Subsidiary to issue additional Equity Interests, and (iii) no consent, approval, authorization, or other action by, and no giving of notice to or filing with any Governmental Authority or any other Person is required for the pledge by such Grantor of such Pledged Collateral pursuant to this Security Agreement or for the execution, delivery and performance of this Security Agreement by such Grantor, or, in the case of any Equity Interests included in the Pledged Collateral issued by any Subsidiary (other than customary rights of first offer, rights of first refusal and similar rights in respect of any Investment in the Equity Interests of a joint venture permitted under the Indenture), for the exercise by the Collateral Agent of the voting or other rights provided for in this Security Agreement or for the remedies in respect of the Pledged Collateral pursuant to this Security Agreement, except in each case for any consent, approval, authorization or other action that has already been obtained or as may be required in connection with such disposition by laws affecting the offering and sale of securities generally.</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15" w:name="page216"/>
    <w:bookmarkEnd w:id="215"/>
    <w:p>
      <w:pPr>
        <w:jc w:val="both"/>
        <w:ind w:right="20" w:firstLine="569"/>
        <w:spacing w:after="0" w:line="259" w:lineRule="auto"/>
        <w:tabs>
          <w:tab w:leader="none" w:pos="794"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(as amended or supplemented from time to time by such Grantor by delivery of an amendment to this Security Agreement, in such form acceptable to the Collateral Agent and the Required Noteholders (each acting reasonably)), each Grantor owns 100% of the issued and outstanding Equity Interests which constitute Pledged Collateral owned by it and none of the Pledged Collateral which represents Indebtedness owed to such Grantor is subordinated in right of payment to other Indebtedness or subject to the terms of an indenture.</w:t>
      </w:r>
    </w:p>
    <w:p>
      <w:pPr>
        <w:spacing w:after="0" w:line="1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From the date of this Security Agreement, and thereafter until this Security Agreement is terminated, each Grantor agrees that: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69"/>
        <w:spacing w:after="0" w:line="265" w:lineRule="auto"/>
        <w:tabs>
          <w:tab w:leader="none" w:pos="79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Records</w:t>
      </w:r>
      <w:r>
        <w:rPr>
          <w:rFonts w:ascii="Times New Roman" w:cs="Times New Roman" w:eastAsia="Times New Roman" w:hAnsi="Times New Roman"/>
          <w:sz w:val="16"/>
          <w:szCs w:val="16"/>
          <w:color w:val="auto"/>
        </w:rPr>
        <w:t>. Each Grantor will maintain, in all material respects, complete and accurate books and records with respect to the Collateral owned by it, and furnish to the Collateral Agent, such written reports relating to such Collateral as the Collateral Agent shall from time to time reasonably request in writing; provided that unless an Event of Default has occurred and is continuing, such request may be made by the Collateral Agent no more than once per calendar year.</w:t>
      </w:r>
    </w:p>
    <w:p>
      <w:pPr>
        <w:spacing w:after="0" w:line="155" w:lineRule="exact"/>
        <w:rPr>
          <w:rFonts w:ascii="Times New Roman" w:cs="Times New Roman" w:eastAsia="Times New Roman" w:hAnsi="Times New Roman"/>
          <w:sz w:val="16"/>
          <w:szCs w:val="16"/>
          <w:color w:val="auto"/>
        </w:rPr>
      </w:pPr>
    </w:p>
    <w:p>
      <w:pPr>
        <w:jc w:val="both"/>
        <w:ind w:firstLine="569"/>
        <w:spacing w:after="0" w:line="253" w:lineRule="auto"/>
        <w:tabs>
          <w:tab w:leader="none" w:pos="799"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to File Financing Statements; Ratification</w:t>
      </w:r>
      <w:r>
        <w:rPr>
          <w:rFonts w:ascii="Times New Roman" w:cs="Times New Roman" w:eastAsia="Times New Roman" w:hAnsi="Times New Roman"/>
          <w:sz w:val="16"/>
          <w:szCs w:val="16"/>
          <w:color w:val="auto"/>
        </w:rPr>
        <w:t>. Each Grantor hereby authorizes the Collateral Agent to file (but the Collateral Agent shall have no duty to file), and will deliver to the Collateral Agent (as applicable), all financing statements and other documents and take such other actions as may from time to time be required, or as reasonably requested by the Collateral Agent, in order for the Collateral Agent to maintain a first priority perfected security interest in the Collateral owned by such Grantor, subject to Liens permitted under Section 4.11 of the Indenture. Any financing statement filed by the Collateral Agent may be filed in the appropriate filing office in the appropriate UCC jurisdiction and may (i) indicate such Grantor’s Collateral (1) as all assets of the Grantor or words of similar effect, regardless of whether any particular asset comprised in the Collateral falls within the scope of Article 9 of the UCC of such jurisdiction, or (2) by any other description which reasonably approximates the description contained in this Security Agreement, and (ii) contain any other information required by part 5 of Article 9 of the UCC for the sufficiency or filing office acceptance of any financing statement or amendment, including (A) whether such Grantor is an organization and (B) the type of organization. Such Grantor also agrees to furnish any such information described in the foregoing sentence to the Collateral Agent promptly upon written request.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6" w:name="page217"/>
    <w:bookmarkEnd w:id="216"/>
    <w:p>
      <w:pPr>
        <w:jc w:val="both"/>
        <w:ind w:firstLine="569"/>
        <w:spacing w:after="0" w:line="251" w:lineRule="auto"/>
        <w:tabs>
          <w:tab w:leader="none" w:pos="81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xml:space="preserve">. Each Grantor will, upon the reasonable written request of the Collateral Agent, furnish to the Collateral Agent, written statements and schedules further identifying and describing the Collateral owned by it and such other written reports and information in connection with its Collateral as the Collateral Agent may reasonably request in writing, all in such detail as the Collateral Agent may reasonably specify. Such Grantor also agrees to take commercially reasonable actions to defend title to the Collateral against all Persons and to defend the security interest of the Collateral Agent in its Collateral and the priority thereof against any Lien not expressly permitted hereunder, unless in each case such Grantor shall reasonably determine in good faith that such Collateral is not material to the conduct of its business or operations. Concurrently with the delivery of each compliance certificate delivered pursuant to Section 4.08 of the Indenture, each Grantor shall notify the Collateral Agent of (i) any additional Patents, Trademarks or Copyrights acquired or arising after the Issue Date that would be required to be set forth on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and shall submit to the Collateral Agent a supplement to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xml:space="preserve">, in such form acceptable to the Collateral Agent and the Required Noteholders (each acting reasonably), to reflect such additional Patents, Trademarks or Copyrights, (ii) any additional Pledged Collateral acquired or arising after the Issue Date that would be required to be set forth on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and shall submit to the Collateral Agent a supplement to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in such form acceptable to the Collateral Agent and the Required Noteholders (each acting reasonably), to reflect such additional Certificated Securities; and (iii) the transfer of any Pledged Collateral to a securities intermediary to be held by it; provided that such Grantor’s failure to notify the Collateral Agent of any newly acquired or arising Collateral shall not impair the Collateral Agent’s Lien thereon. Notwithstanding anything contained herein to the contrary (and other than with respect those certain obligations governed by Section 4.09(c) of the Indenture), no Grantor shall be required to perfect or to maintain the perfection and priority of the Collateral Agent’s security interest in any Collateral held outside of the United States by any Grantor.</w:t>
      </w:r>
    </w:p>
    <w:p>
      <w:pPr>
        <w:spacing w:after="0" w:line="174" w:lineRule="exact"/>
        <w:rPr>
          <w:rFonts w:ascii="Times New Roman" w:cs="Times New Roman" w:eastAsia="Times New Roman" w:hAnsi="Times New Roman"/>
          <w:sz w:val="16"/>
          <w:szCs w:val="16"/>
          <w:color w:val="auto"/>
        </w:rPr>
      </w:pPr>
    </w:p>
    <w:p>
      <w:pPr>
        <w:ind w:right="20" w:firstLine="569"/>
        <w:spacing w:after="0" w:line="280" w:lineRule="auto"/>
        <w:tabs>
          <w:tab w:leader="none" w:pos="799"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Disposition of Collateral</w:t>
      </w:r>
      <w:r>
        <w:rPr>
          <w:rFonts w:ascii="Times New Roman" w:cs="Times New Roman" w:eastAsia="Times New Roman" w:hAnsi="Times New Roman"/>
          <w:sz w:val="16"/>
          <w:szCs w:val="16"/>
          <w:color w:val="auto"/>
        </w:rPr>
        <w:t>. Such Grantor will not sell, lease or otherwise dispose of the Collateral owned by it, except for dispositions specifically permitted pursuant to Section 4.16 of the Indenture.</w:t>
      </w:r>
    </w:p>
    <w:p>
      <w:pPr>
        <w:spacing w:after="0" w:line="144" w:lineRule="exact"/>
        <w:rPr>
          <w:rFonts w:ascii="Times New Roman" w:cs="Times New Roman" w:eastAsia="Times New Roman" w:hAnsi="Times New Roman"/>
          <w:sz w:val="16"/>
          <w:szCs w:val="16"/>
          <w:color w:val="auto"/>
        </w:rPr>
      </w:pPr>
    </w:p>
    <w:p>
      <w:pPr>
        <w:ind w:right="20" w:firstLine="569"/>
        <w:spacing w:after="0" w:line="280" w:lineRule="auto"/>
        <w:tabs>
          <w:tab w:leader="none" w:pos="79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Such Grantor will not create, incur, or suffer to exist any Lien on the Collateral except (i) the security interest created by this Security Agreement, and (ii) Liens permitted under Section 4.11 of the Indenture.</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7" w:lineRule="auto"/>
        <w:tabs>
          <w:tab w:leader="none" w:pos="772"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Financing Statements</w:t>
      </w:r>
      <w:r>
        <w:rPr>
          <w:rFonts w:ascii="Times New Roman" w:cs="Times New Roman" w:eastAsia="Times New Roman" w:hAnsi="Times New Roman"/>
          <w:sz w:val="16"/>
          <w:szCs w:val="16"/>
          <w:color w:val="auto"/>
        </w:rPr>
        <w:t>. Such Grantor will not authorize the filing of any financing statement naming it as debtor covering all or any portion of the Collateral owned by it, except for financing statements (i) naming the Collateral Agent on behalf of the Secured Parties as the secured party, and (ii) in respect of Liens permitted under Section 4.11 of the Indenture not covered by clause (i) above. Such Grantor acknowledges that it is not authorized to file any financing statement or amendment or termination statement with respect to any financing statement filed in connection herewith without the prior written consent of the Collateral Agent, subject to such Grantor’s rights under Section 9-509(d)(2) of the UCC.</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7" w:name="page218"/>
    <w:bookmarkEnd w:id="217"/>
    <w:p>
      <w:pPr>
        <w:jc w:val="both"/>
        <w:ind w:right="20" w:firstLine="569"/>
        <w:spacing w:after="0" w:line="265" w:lineRule="auto"/>
        <w:tabs>
          <w:tab w:leader="none" w:pos="82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Terms</w:t>
      </w:r>
      <w:r>
        <w:rPr>
          <w:rFonts w:ascii="Times New Roman" w:cs="Times New Roman" w:eastAsia="Times New Roman" w:hAnsi="Times New Roman"/>
          <w:sz w:val="16"/>
          <w:szCs w:val="16"/>
          <w:color w:val="auto"/>
        </w:rPr>
        <w:t>. Such Grantor will perform and comply in all material respects with all obligations in respect of the Collateral owned by it and all agreements to which it is a party or by which it is bound relating to such Collateral except to the extent the failure of such Grantor to comply could not reasonably be expected to have a Material Adverse Effect.</w:t>
      </w:r>
    </w:p>
    <w:p>
      <w:pPr>
        <w:spacing w:after="0" w:line="155"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811"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Applicable IP Office Filings</w:t>
      </w:r>
      <w:r>
        <w:rPr>
          <w:rFonts w:ascii="Times New Roman" w:cs="Times New Roman" w:eastAsia="Times New Roman" w:hAnsi="Times New Roman"/>
          <w:sz w:val="16"/>
          <w:szCs w:val="16"/>
          <w:color w:val="auto"/>
        </w:rPr>
        <w:t>. Each Grantor hereby authorizes the Collateral Agent (or its designee) to file (but the Collateral Agent shall have no duty to file) instruments with the Applicable IP Office (or any successor office), including Trademark Security Agreements and Patent Security Agreements, or other documents that are necessary for the purpose of perfecting, confirming, continuing, enforcing or protecting the pledge and security interest granted by such Grantor hereunder in any Intellectual Property owned by Grantor and applied for, registered or issued in the United States naming such Grantor as debtor, and the Collateral Agent, as secured party.</w:t>
      </w:r>
    </w:p>
    <w:p>
      <w:pPr>
        <w:spacing w:after="0" w:line="161" w:lineRule="exact"/>
        <w:rPr>
          <w:rFonts w:ascii="Times New Roman" w:cs="Times New Roman" w:eastAsia="Times New Roman" w:hAnsi="Times New Roman"/>
          <w:sz w:val="16"/>
          <w:szCs w:val="16"/>
          <w:color w:val="auto"/>
        </w:rPr>
      </w:pPr>
    </w:p>
    <w:p>
      <w:pPr>
        <w:jc w:val="both"/>
        <w:ind w:firstLine="569"/>
        <w:spacing w:after="0" w:line="257" w:lineRule="auto"/>
        <w:tabs>
          <w:tab w:leader="none" w:pos="776"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Grantors</w:t>
      </w:r>
      <w:r>
        <w:rPr>
          <w:rFonts w:ascii="Times New Roman" w:cs="Times New Roman" w:eastAsia="Times New Roman" w:hAnsi="Times New Roman"/>
          <w:sz w:val="16"/>
          <w:szCs w:val="16"/>
          <w:color w:val="auto"/>
        </w:rPr>
        <w:t xml:space="preserve">. From time to time subsequent to the date hereof, Subsidiaries of the Company may become parties hereto as Grantors in accordance with Section 4.09 of the Indenture by executing a Security Joinder Agreement in the form of </w:t>
      </w:r>
      <w:r>
        <w:rPr>
          <w:rFonts w:ascii="Times New Roman" w:cs="Times New Roman" w:eastAsia="Times New Roman" w:hAnsi="Times New Roman"/>
          <w:sz w:val="16"/>
          <w:szCs w:val="16"/>
          <w:u w:val="single" w:color="auto"/>
          <w:color w:val="auto"/>
        </w:rPr>
        <w:t>Exhibit N</w:t>
      </w:r>
      <w:r>
        <w:rPr>
          <w:rFonts w:ascii="Times New Roman" w:cs="Times New Roman" w:eastAsia="Times New Roman" w:hAnsi="Times New Roman"/>
          <w:sz w:val="16"/>
          <w:szCs w:val="16"/>
          <w:color w:val="auto"/>
        </w:rPr>
        <w:t xml:space="preserve"> attached hereto. Upon delivery of any such Security Joinder Agreement, each new Grantor will be a party hereto as if such Grantor were an original signatory hereto. Each Grantor expressly agrees that its obligations arising hereunder will not be affected or diminished by the addition or release of any other Grantor hereunder. This Security Agreement will be fully effective as to any Grantor that is or becomes a party hereto regardless of whether any other Person becomes or fails to become or ceases to be a Grantor hereunder.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Receivables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right="20" w:firstLine="569"/>
        <w:spacing w:after="0" w:line="280" w:lineRule="auto"/>
        <w:tabs>
          <w:tab w:leader="none" w:pos="79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Invoices</w:t>
      </w:r>
      <w:r>
        <w:rPr>
          <w:rFonts w:ascii="Times New Roman" w:cs="Times New Roman" w:eastAsia="Times New Roman" w:hAnsi="Times New Roman"/>
          <w:sz w:val="16"/>
          <w:szCs w:val="16"/>
          <w:color w:val="auto"/>
        </w:rPr>
        <w:t>. Each Grantor will deliver to the Collateral Agent promptly upon written request and after the occurrence and during the continuation of an Event of Default duplicate invoices with respect to each Account owned by such Grantor bearing such language of assignment as the Collateral Agent shall specify.</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823"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of Counterclaims on Receivables</w:t>
      </w:r>
      <w:r>
        <w:rPr>
          <w:rFonts w:ascii="Times New Roman" w:cs="Times New Roman" w:eastAsia="Times New Roman" w:hAnsi="Times New Roman"/>
          <w:sz w:val="16"/>
          <w:szCs w:val="16"/>
          <w:color w:val="auto"/>
        </w:rPr>
        <w:t>. Upon the occurrence and during the continuance of an Event of Default, if (i) any material discount, credit or agreement to make a rebate or to otherwise reduce the amount owing on any Receivable owned by such Grantor exists or (ii) to the knowledge of such Grantor, any material dispute, setoff, claim, counterclaim or defense exists or has been asserted or threatened with respect to any such Receivable, such Grantor will promptly disclose such fact to the Collateral Agent in writing.</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Inventory and Equipment</w:t>
      </w:r>
      <w:r>
        <w:rPr>
          <w:rFonts w:ascii="Times New Roman" w:cs="Times New Roman" w:eastAsia="Times New Roman" w:hAnsi="Times New Roman"/>
          <w:sz w:val="16"/>
          <w:szCs w:val="16"/>
          <w:color w:val="auto"/>
        </w:rPr>
        <w:t>. Each Grantor will do all things reasonably necessary to maintain, preserve, protect and keep its Inventory and the Equipment in good repair and working and saleable condition, except for (i) damaged or defective goods arising in the ordinary course of such Grantor’s business, (ii) casualty and condemnation, (iii) ordinary wear and tear in respect of the Equipment and (iv) in each case, where the failure to do so could not reasonably be expected to have a Material Adverse Effect.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8" w:name="page219"/>
    <w:bookmarkEnd w:id="218"/>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Delivery of Instruments, Chattel Paper and Documents</w:t>
      </w:r>
      <w:r>
        <w:rPr>
          <w:rFonts w:ascii="Times New Roman" w:cs="Times New Roman" w:eastAsia="Times New Roman" w:hAnsi="Times New Roman"/>
          <w:sz w:val="16"/>
          <w:szCs w:val="16"/>
          <w:color w:val="auto"/>
        </w:rPr>
        <w:t>. To the extent any Receivable or other item of Collateral with a face amount in excess of $1,000,000 is evidenced by an Instrument or tangible Chattel Paper, each Grantor will (a) deliver to the Collateral Agent promptly (and in any event, within fifteen (15) Business Days of the Issue Date) upon execution of this Security Agreement the originals of all Chattel Paper and Instruments constituting Collateral owned by it (if any then exist), together with duly executed instruments of transfer or assignments in blank and (b) hold in trust for the Collateral Agent upon receipt and promptly thereafter (and in any event, no later than fifteen (15) days after receipt) deliver to the Collateral Agent any Chattel Paper and Instruments constituting Collateral, together with duly executed instruments of transfer or assignments in blank. Upon the Collateral Agent’s written request, such Grantor will deliver to the Collateral Agent (and thereafter hold in trust for the Collateral Agent upon receipt and promptly deliver to the Collateral Agent) any Document evidencing or constituting Collateral.</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Uncertificated Securities</w:t>
      </w:r>
      <w:r>
        <w:rPr>
          <w:rFonts w:ascii="Times New Roman" w:cs="Times New Roman" w:eastAsia="Times New Roman" w:hAnsi="Times New Roman"/>
          <w:sz w:val="16"/>
          <w:szCs w:val="16"/>
          <w:color w:val="auto"/>
        </w:rPr>
        <w:t xml:space="preserve">. With respect to any uncertificated security issued by a Subsidiary (other than an uncertificated security credited on the books of a Securities Intermediary) existing on or acquired after the Issue Date and held by any Grantor that constitutes Collateral, such Grantor shall execute, and cause the issuer of such uncertificated security to duly authorize, execute and deliver to the Collateral Agent, on the date hereof or, with respect to any uncertificated security issued by a Subsidiary that is acquired after the Issue Date, within thirty (30) days of acquiring such uncertificated security, as applicable, an agreement in form attached as </w:t>
      </w:r>
      <w:r>
        <w:rPr>
          <w:rFonts w:ascii="Times New Roman" w:cs="Times New Roman" w:eastAsia="Times New Roman" w:hAnsi="Times New Roman"/>
          <w:sz w:val="16"/>
          <w:szCs w:val="16"/>
          <w:u w:val="single" w:color="auto"/>
          <w:color w:val="auto"/>
        </w:rPr>
        <w:t>Exhibit K</w:t>
      </w:r>
      <w:r>
        <w:rPr>
          <w:rFonts w:ascii="Times New Roman" w:cs="Times New Roman" w:eastAsia="Times New Roman" w:hAnsi="Times New Roman"/>
          <w:sz w:val="16"/>
          <w:szCs w:val="16"/>
          <w:color w:val="auto"/>
        </w:rPr>
        <w:t xml:space="preserve"> hereto pursuant to which such issuer agrees to comply with any and all instructions originated by the Collateral Agent without further consent by such Grantor.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Pledged Collateral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69"/>
        <w:spacing w:after="0" w:line="257" w:lineRule="auto"/>
        <w:tabs>
          <w:tab w:leader="none" w:pos="80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 Structure of the Company</w:t>
      </w:r>
      <w:r>
        <w:rPr>
          <w:rFonts w:ascii="Times New Roman" w:cs="Times New Roman" w:eastAsia="Times New Roman" w:hAnsi="Times New Roman"/>
          <w:sz w:val="16"/>
          <w:szCs w:val="16"/>
          <w:color w:val="auto"/>
        </w:rPr>
        <w:t>. Except as permitted by the Indenture, each Grantor will not (i) permit or suffer any issuer of an Equity Interest constituting Pledged Collateral owned by it to dissolve, merge, liquidate, retire any of its Equity Interests or other Instruments or Securities evidencing ownership, reduce its capital, sell or encumber all or substantially all of its assets or merge or consolidate with any other entity, or (ii) vote any such Pledged Collateral in favor of any of the foregoing, in each case, without the prior written consent of the Collateral Agent (such consent to be delivered at the direction of Required Noteholders in accordance with the Indenture).</w:t>
      </w:r>
    </w:p>
    <w:p>
      <w:pPr>
        <w:spacing w:after="0" w:line="162" w:lineRule="exact"/>
        <w:rPr>
          <w:rFonts w:ascii="Times New Roman" w:cs="Times New Roman" w:eastAsia="Times New Roman" w:hAnsi="Times New Roman"/>
          <w:sz w:val="16"/>
          <w:szCs w:val="16"/>
          <w:color w:val="auto"/>
        </w:rPr>
      </w:pPr>
    </w:p>
    <w:p>
      <w:pPr>
        <w:ind w:right="20" w:firstLine="569"/>
        <w:spacing w:after="0" w:line="280" w:lineRule="auto"/>
        <w:tabs>
          <w:tab w:leader="none" w:pos="811"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Additional Securities</w:t>
      </w:r>
      <w:r>
        <w:rPr>
          <w:rFonts w:ascii="Times New Roman" w:cs="Times New Roman" w:eastAsia="Times New Roman" w:hAnsi="Times New Roman"/>
          <w:sz w:val="16"/>
          <w:szCs w:val="16"/>
          <w:color w:val="auto"/>
        </w:rPr>
        <w:t>. Except as permitted under the Indenture, each Grantor will not permit or suffer the issuer of an Equity Interest constituting Pledged Collateral owned by it to issue additional Equity Interests, any right to receive the same or any right to receive earnings, except to such Grantor.</w:t>
      </w:r>
    </w:p>
    <w:p>
      <w:pPr>
        <w:spacing w:after="0" w:line="144"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Rights in Pledged Collateral</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47"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in any way limiting the foregoing and subject to clause (ii) below, each Grantor shall have the right to exercise all voting rights or other rights relating to the Pledged Collateral owned by it for all purposes not inconsistent with this Security Agreement or the Indenture; provided however, that no vote or other right shall be exercised or action taken which would have the effect of impairing the rights of the Collateral Agent in respect of such Pledged Collateral.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9" w:name="page220"/>
    <w:bookmarkEnd w:id="219"/>
    <w:p>
      <w:pPr>
        <w:jc w:val="both"/>
        <w:ind w:firstLine="1143"/>
        <w:spacing w:after="0" w:line="259" w:lineRule="auto"/>
        <w:tabs>
          <w:tab w:leader="none" w:pos="1383"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Grantor will permit the Collateral Agent or its nominee at any time after the occurrence and during the continuation of an Event of Default, upon not less than contemporaneous written notice to such Grantor, to exercise all voting rights or other rights relating to the Pledged Collateral owned by it, including, without limitation, exchange, subscription or any other rights, privileges, or options pertaining to any Equity Interest or Investment Property constituting Pledged Collateral as if it were the absolute owner thereof.</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433"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Grantor shall be entitled to collect and receive for its own use all cash dividends, interest, and any other distributions and other payments made in respect of the Pledged Collateral owned by it to the extent not in violation of the Indenture.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422"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and all dividends, interest, payments or distributions in respect of any of the Pledged Collateral owned by any Grantor, made in contravention of </w:t>
      </w:r>
      <w:r>
        <w:rPr>
          <w:rFonts w:ascii="Times New Roman" w:cs="Times New Roman" w:eastAsia="Times New Roman" w:hAnsi="Times New Roman"/>
          <w:sz w:val="16"/>
          <w:szCs w:val="16"/>
          <w:u w:val="single" w:color="auto"/>
          <w:color w:val="auto"/>
        </w:rPr>
        <w:t>Section 4.6(c)(iii)</w:t>
      </w:r>
      <w:r>
        <w:rPr>
          <w:rFonts w:ascii="Times New Roman" w:cs="Times New Roman" w:eastAsia="Times New Roman" w:hAnsi="Times New Roman"/>
          <w:sz w:val="16"/>
          <w:szCs w:val="16"/>
          <w:color w:val="auto"/>
        </w:rPr>
        <w:t xml:space="preserve"> whenever paid or made, shall, if received by such Grantor, be received in trust for the benefit of the Collateral Agent and be segregated from the other property or funds of such Grantor, and be forthwith delivered to the Collateral Agent as Pledged Collateral in the same form as so received (with any necessary endorsement).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0" w:val="left"/>
        </w:tabs>
        <w:numPr>
          <w:ilvl w:val="1"/>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and during the continuation of an Event of Default, each Grantor will permit any registerable Pledged Collateral to be registered in the name of the Collateral Agent or its nominee.</w:t>
      </w:r>
    </w:p>
    <w:p>
      <w:pPr>
        <w:spacing w:after="0" w:line="144" w:lineRule="exact"/>
        <w:rPr>
          <w:rFonts w:ascii="Times New Roman" w:cs="Times New Roman" w:eastAsia="Times New Roman" w:hAnsi="Times New Roman"/>
          <w:sz w:val="16"/>
          <w:szCs w:val="16"/>
          <w:color w:val="auto"/>
        </w:rPr>
      </w:pPr>
    </w:p>
    <w:p>
      <w:pPr>
        <w:jc w:val="both"/>
        <w:ind w:firstLine="569"/>
        <w:spacing w:after="0" w:line="259" w:lineRule="auto"/>
        <w:tabs>
          <w:tab w:leader="none" w:pos="799"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Stock Certificates</w:t>
      </w:r>
      <w:r>
        <w:rPr>
          <w:rFonts w:ascii="Times New Roman" w:cs="Times New Roman" w:eastAsia="Times New Roman" w:hAnsi="Times New Roman"/>
          <w:sz w:val="16"/>
          <w:szCs w:val="16"/>
          <w:color w:val="auto"/>
        </w:rPr>
        <w:t>. Each Grantor will (a) deliver to the Collateral Agent promptly (and in any event, no later than twenty (20) Business Days after the Issue Date) upon execution of this Security Agreement the originals of (i) all certificates representing pledged Equity Interests constituting Collateral, together with duly executed instruments of transfer or assignments in blank and (b) hold in trust for the Collateral Agent upon receipt and promptly thereafter deliver to the Collateral Agent any certificates representing pledged Equity Interests constituting Collateral, together with duly executed instruments of transfer or assignments in blank.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69"/>
        <w:spacing w:after="0" w:line="265" w:lineRule="auto"/>
        <w:tabs>
          <w:tab w:leader="none" w:pos="798"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occurrence and during the continuation of an Event of Default, upon the written request of the Collateral Agent, each Grantor will use commercially reasonable efforts to secure all consents and approvals necessary or appropriate for the assignment to or benefit of the Collateral Agent of any material License held by such Grantor and to enforce the security interests granted hereunder.</w:t>
      </w:r>
    </w:p>
    <w:p>
      <w:pPr>
        <w:spacing w:after="0" w:line="155"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80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Grantor shall notify the Collateral Agent promptly if it knows that any application or registration relating to any Material Intellectual Property material to the conduct of its business or operations (now or hereafter existing) will become abandoned or dedicated to the public domain, or of any material adverse determination regarding such Grantor’s ownership of any Material Intellectual Property material to the conduct of its business or operations, its right to register the same, or to keep and maintain the same.</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797"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Grantor shall use its commercially reasonable efforts to maintain and pursue each application, to obtain the relevant registration and to maintain its Material Intellectual Property and the registration of its Material Intellectual Property (now or hereafter existing), including the filing of applications for renewal, affidavits of use, affidavits of noncontestability and opposition and interference and cancellation proceedings, unless such Grantor shall reasonably determine that any such Material Intellectual Property (or application therefor) is not material to the conduct of its business or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0" w:name="page221"/>
    <w:bookmarkEnd w:id="220"/>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Commercial Tort Claims</w:t>
      </w:r>
      <w:r>
        <w:rPr>
          <w:rFonts w:ascii="Times New Roman" w:cs="Times New Roman" w:eastAsia="Times New Roman" w:hAnsi="Times New Roman"/>
          <w:sz w:val="16"/>
          <w:szCs w:val="16"/>
          <w:color w:val="auto"/>
        </w:rPr>
        <w:t>. Each Grantor shall promptly, and in any event within fifteen (15) Business Days after the same is acquired by it, notify the Collateral Agent of any Commercial Tort Claim with a value exceeding $1,000,000 acquired by it and, such Grantor shall enter into an amendment to this Security Agreement, in such form acceptable to the Collateral Agent and the Required Noteholders (each acting reasonably), granting to Collateral Agent a first priority security interest in such Commercial Tort Claim, subject to Liens permitted under Section 4.11 of the Indenture.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Letter-of-Credit Rights</w:t>
      </w:r>
      <w:r>
        <w:rPr>
          <w:rFonts w:ascii="Times New Roman" w:cs="Times New Roman" w:eastAsia="Times New Roman" w:hAnsi="Times New Roman"/>
          <w:sz w:val="16"/>
          <w:szCs w:val="16"/>
          <w:color w:val="auto"/>
        </w:rPr>
        <w:t>. If any Grantor is or becomes the beneficiary of a letter of credit in an amount in excess of $1,000,000, it shall promptly, and in any event within fifteen (15) Business Days after becoming a beneficiary, notify the Collateral Agent thereof.</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Federal, State or Municipal Claims</w:t>
      </w:r>
      <w:r>
        <w:rPr>
          <w:rFonts w:ascii="Times New Roman" w:cs="Times New Roman" w:eastAsia="Times New Roman" w:hAnsi="Times New Roman"/>
          <w:sz w:val="16"/>
          <w:szCs w:val="16"/>
          <w:color w:val="auto"/>
        </w:rPr>
        <w:t>. Each Grantor will promptly notify the Collateral Agent of any Collateral owned by such Grantor which constitutes a claim (other than any claim in respect of Taxes to be refunded to such Grantor) in excess of $1,000,000 against the United States government or any state or local government or any instrumentality or agency thereof, the assignment of which claim is restricted by federal, state or municipal law.</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No Interference</w:t>
      </w:r>
      <w:r>
        <w:rPr>
          <w:rFonts w:ascii="Times New Roman" w:cs="Times New Roman" w:eastAsia="Times New Roman" w:hAnsi="Times New Roman"/>
          <w:sz w:val="16"/>
          <w:szCs w:val="16"/>
          <w:color w:val="auto"/>
        </w:rPr>
        <w:t>. Such Grantor agrees that it will not interfere with any right, power and remedy of the Collateral Agent provided for in this Security Agreement or now or hereafter existing at law or in equity or by statute or otherwise, or the exercise or beginning of the exercise by the Collateral Agent of any one or more of such rights, powers or remedies.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569"/>
        <w:spacing w:after="0" w:line="259" w:lineRule="auto"/>
        <w:tabs>
          <w:tab w:leader="none" w:pos="789"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insurance policies required under Section 4.10 of the Indenture with respect to the Collateral shall name the Collateral Agent (for the benefit of the Collateral Agent and the other Secured Parties) as an additional insured or as lender’s loss payee, as applicable, and shall contain loss payable clauses, through endorsements in form and substance reasonably satisfactory to the Collateral Agent, which provide that such policy and lender loss payable clauses may be canceled, amended, or terminated prior to the expiration date of such policy only upon at least thirty (30) days prior written notice (or at least ten (10) days for cancellation for non-payment) given to the Collateral Agent.</w:t>
      </w:r>
    </w:p>
    <w:p>
      <w:pPr>
        <w:spacing w:after="0" w:line="161" w:lineRule="exact"/>
        <w:rPr>
          <w:rFonts w:ascii="Times New Roman" w:cs="Times New Roman" w:eastAsia="Times New Roman" w:hAnsi="Times New Roman"/>
          <w:sz w:val="16"/>
          <w:szCs w:val="16"/>
          <w:color w:val="auto"/>
        </w:rPr>
      </w:pPr>
    </w:p>
    <w:p>
      <w:pPr>
        <w:jc w:val="both"/>
        <w:ind w:right="20" w:firstLine="569"/>
        <w:spacing w:after="0" w:line="257" w:lineRule="auto"/>
        <w:tabs>
          <w:tab w:leader="none" w:pos="798"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premiums on any such insurance shall be paid when due by such Grantor, and copies of the policies delivered to the Collateral Agent. If such Grantor fails to obtain or maintain any insurance as required by this Section, the Collateral Agent may (but shall not be obligated to), upon thirty (30) days’ written notice to Company, obtain such insurance at the Company’s expense. By purchasing such insurance, the Collateral Agent shall not be deemed to have waived any Default arising from the Grantor’s failure to maintain such insurance or pay any premiums therefor. Any amounts incurred by the Collateral Agent shall be additional Secured Obligations reimbursable by the Grantor on demand.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1" w:name="page222"/>
    <w:bookmarkEnd w:id="221"/>
    <w:p>
      <w:pPr>
        <w:ind w:left="564"/>
        <w:spacing w:after="0"/>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u w:val="single" w:color="auto"/>
          <w:color w:val="auto"/>
        </w:rPr>
        <w:t>Change of Name or Location</w:t>
      </w:r>
      <w:r>
        <w:rPr>
          <w:rFonts w:ascii="Times New Roman" w:cs="Times New Roman" w:eastAsia="Times New Roman" w:hAnsi="Times New Roman"/>
          <w:sz w:val="16"/>
          <w:szCs w:val="16"/>
          <w:color w:val="auto"/>
        </w:rPr>
        <w:t>. Each Grantor shall not (a) change its name as it appears in official filings in the state of its incorporation or organization,</w:t>
      </w:r>
    </w:p>
    <w:p>
      <w:pPr>
        <w:spacing w:after="0" w:line="24" w:lineRule="exact"/>
        <w:rPr>
          <w:sz w:val="20"/>
          <w:szCs w:val="20"/>
          <w:color w:val="auto"/>
        </w:rPr>
      </w:pPr>
    </w:p>
    <w:p>
      <w:pPr>
        <w:jc w:val="both"/>
        <w:ind w:left="4" w:hanging="4"/>
        <w:spacing w:after="0" w:line="272" w:lineRule="auto"/>
        <w:tabs>
          <w:tab w:leader="none" w:pos="233"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change its chief executive office, principal place of business, mailing address, corporate offices or warehouses or locations at which any material portion of the Collateral is held or stored, or the location of its records concerning the Collateral as set forth in this Security Agreement, (c) change the type of entity that it is or (d) change its state of incorporation or organization, in each case, unless the Collateral Agent shall have received written notice of such change and only after the Grantor has delivered to the Collateral Agent in form for filing all necessary financing statements or financing statement amendments necessary to maintain the perfection of the Collateral Agent’s Liens to the extent required by this Security Agreement. The Grantor shall make such filings contemporaneously with the effective date of the changes referred to in this </w:t>
      </w:r>
      <w:r>
        <w:rPr>
          <w:rFonts w:ascii="Times New Roman" w:cs="Times New Roman" w:eastAsia="Times New Roman" w:hAnsi="Times New Roman"/>
          <w:sz w:val="15"/>
          <w:szCs w:val="15"/>
          <w:u w:val="single" w:color="auto"/>
          <w:color w:val="auto"/>
        </w:rPr>
        <w:t>Section 4.13</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EVENTS OF DEFAULT AND REMEDIES</w:t>
      </w:r>
    </w:p>
    <w:p>
      <w:pPr>
        <w:spacing w:after="0" w:line="182"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 The occurrence of any “Event of Default” under, and as defined in, Section 6.01 of the Indenture shall constitute an Event of Default hereunder.</w:t>
      </w:r>
    </w:p>
    <w:p>
      <w:pPr>
        <w:spacing w:after="0" w:line="14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4" w:right="20" w:firstLine="569"/>
        <w:spacing w:after="0" w:line="280" w:lineRule="auto"/>
        <w:tabs>
          <w:tab w:leader="none" w:pos="795"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and during the continuation of an Event of Default, the Collateral Agent may (but shall not be obligated to) exercise any or all of the following rights and remedies:</w:t>
      </w:r>
    </w:p>
    <w:p>
      <w:pPr>
        <w:spacing w:after="0" w:line="142" w:lineRule="exact"/>
        <w:rPr>
          <w:rFonts w:ascii="Times New Roman" w:cs="Times New Roman" w:eastAsia="Times New Roman" w:hAnsi="Times New Roman"/>
          <w:sz w:val="16"/>
          <w:szCs w:val="16"/>
          <w:color w:val="auto"/>
        </w:rPr>
      </w:pPr>
    </w:p>
    <w:p>
      <w:pPr>
        <w:ind w:left="564" w:right="20" w:firstLine="583"/>
        <w:spacing w:after="0" w:line="283" w:lineRule="auto"/>
        <w:tabs>
          <w:tab w:leader="none" w:pos="1328"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those rights and remedies provided in this Security Agreement or the Indenture;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shall not be understood to limit any rights or remedies available to the Collateral Agent and the other Secured Parties prior to an Event of Default;</w:t>
      </w:r>
    </w:p>
    <w:p>
      <w:pPr>
        <w:spacing w:after="0" w:line="141" w:lineRule="exact"/>
        <w:rPr>
          <w:rFonts w:ascii="Times New Roman" w:cs="Times New Roman" w:eastAsia="Times New Roman" w:hAnsi="Times New Roman"/>
          <w:sz w:val="16"/>
          <w:szCs w:val="16"/>
          <w:color w:val="auto"/>
        </w:rPr>
      </w:pPr>
    </w:p>
    <w:p>
      <w:pPr>
        <w:jc w:val="both"/>
        <w:ind w:left="564" w:right="20" w:firstLine="583"/>
        <w:spacing w:after="0" w:line="265" w:lineRule="auto"/>
        <w:tabs>
          <w:tab w:leader="none" w:pos="1390"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155" w:lineRule="exact"/>
        <w:rPr>
          <w:rFonts w:ascii="Times New Roman" w:cs="Times New Roman" w:eastAsia="Times New Roman" w:hAnsi="Times New Roman"/>
          <w:sz w:val="16"/>
          <w:szCs w:val="16"/>
          <w:color w:val="auto"/>
        </w:rPr>
      </w:pPr>
    </w:p>
    <w:p>
      <w:pPr>
        <w:ind w:left="1424" w:hanging="277"/>
        <w:spacing w:after="0"/>
        <w:tabs>
          <w:tab w:leader="none" w:pos="1424"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98"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415"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not less than contemporaneous written notice (except as provided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Collateral Agent may deem commercially reasonable; and</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22" w:name="page223"/>
    <w:bookmarkEnd w:id="222"/>
    <w:p>
      <w:pPr>
        <w:jc w:val="both"/>
        <w:ind w:left="560" w:firstLine="583"/>
        <w:spacing w:after="0" w:line="259" w:lineRule="auto"/>
        <w:tabs>
          <w:tab w:leader="none" w:pos="1366"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 less than contemporaneous written notice to the applicable Grantor, transfer and register in its name or in the name of its nominee the whole or any part of the Pledged Collateral,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Collateral Agent was the outright owner thereof.</w:t>
      </w:r>
    </w:p>
    <w:p>
      <w:pPr>
        <w:spacing w:after="0" w:line="161" w:lineRule="exact"/>
        <w:rPr>
          <w:rFonts w:ascii="Times New Roman" w:cs="Times New Roman" w:eastAsia="Times New Roman" w:hAnsi="Times New Roman"/>
          <w:sz w:val="16"/>
          <w:szCs w:val="16"/>
          <w:color w:val="auto"/>
        </w:rPr>
      </w:pPr>
    </w:p>
    <w:p>
      <w:pPr>
        <w:ind w:firstLine="569"/>
        <w:spacing w:after="0" w:line="280" w:lineRule="auto"/>
        <w:tabs>
          <w:tab w:leader="none" w:pos="805"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on behalf of the Secured Parties, may comply with any applicable state or federal law requirements in connection with a disposition of the Collateral and compliance will not be considered to adversely affect the commercial reasonableness of any sale of the Collateral.</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92"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have the right (but not the obligation) upon any such public sale or sales and, to the extent permitted by law, upon any such private sale or sales, to purchase for the benefit of the Collateral Agent and the other Secured Parties, the whole or any part of the Collateral so sold, free of any right of equity redemption, which equity redemption the Grantor hereby expressly releases.</w:t>
      </w:r>
    </w:p>
    <w:p>
      <w:pPr>
        <w:spacing w:after="0" w:line="155" w:lineRule="exact"/>
        <w:rPr>
          <w:rFonts w:ascii="Times New Roman" w:cs="Times New Roman" w:eastAsia="Times New Roman" w:hAnsi="Times New Roman"/>
          <w:sz w:val="16"/>
          <w:szCs w:val="16"/>
          <w:color w:val="auto"/>
        </w:rPr>
      </w:pPr>
    </w:p>
    <w:p>
      <w:pPr>
        <w:jc w:val="both"/>
        <w:ind w:firstLine="569"/>
        <w:spacing w:after="0" w:line="259" w:lineRule="auto"/>
        <w:tabs>
          <w:tab w:leader="none" w:pos="804"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Collateral Agent is able to effect a sale, lease, or other disposition of Collateral, the Collateral Agent shall have the right to hold or use Collateral, or any part thereof, to the extent that it deems appropriate for the purpose of preserving Collateral or its value or for any other purpose deemed appropriate by the Collateral Agent. The Collateral Agent may, if it so elects, seek the appointment of a receiver or keeper to take possession of Collateral and to enforce any of the Collateral Agent’s remedies (for the benefit of the Collateral Agent and the other Secured Parties), with respect to such appointment without prior notice or hearing as to such appointment.</w:t>
      </w:r>
    </w:p>
    <w:p>
      <w:pPr>
        <w:spacing w:after="0" w:line="161" w:lineRule="exact"/>
        <w:rPr>
          <w:rFonts w:ascii="Times New Roman" w:cs="Times New Roman" w:eastAsia="Times New Roman" w:hAnsi="Times New Roman"/>
          <w:sz w:val="16"/>
          <w:szCs w:val="16"/>
          <w:color w:val="auto"/>
        </w:rPr>
      </w:pPr>
    </w:p>
    <w:p>
      <w:pPr>
        <w:ind w:left="780" w:hanging="211"/>
        <w:spacing w:after="0"/>
        <w:tabs>
          <w:tab w:leader="none" w:pos="7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98"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773"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neither the Collateral Agent nor any other Secured Party shall be required to (i) make any demand upon, or pursue or exhaust any of its rights or remedies against, any Grantor, any other obligor, guarantor, pledgor or any other Person with respect to the payment of the Secured Obligations or to pursue or exhaust any of its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61" w:lineRule="exact"/>
        <w:rPr>
          <w:rFonts w:ascii="Times New Roman" w:cs="Times New Roman" w:eastAsia="Times New Roman" w:hAnsi="Times New Roman"/>
          <w:sz w:val="16"/>
          <w:szCs w:val="16"/>
          <w:color w:val="auto"/>
        </w:rPr>
      </w:pPr>
    </w:p>
    <w:p>
      <w:pPr>
        <w:jc w:val="both"/>
        <w:ind w:firstLine="569"/>
        <w:spacing w:after="0" w:line="255" w:lineRule="auto"/>
        <w:tabs>
          <w:tab w:leader="none" w:pos="804"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Grantor recognizes that the Collateral Agent may be unable to effect a public sale of any or all the Pledged Collateral and may be compelled to resort to one or more private sales thereof in accordance with clause (a)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Collateral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3" w:name="page224"/>
    <w:bookmarkEnd w:id="223"/>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u w:val="single" w:color="auto"/>
          <w:color w:val="auto"/>
        </w:rPr>
        <w:t>Grantor’s Obligations Upon Event of Default</w:t>
      </w:r>
      <w:r>
        <w:rPr>
          <w:rFonts w:ascii="Times New Roman" w:cs="Times New Roman" w:eastAsia="Times New Roman" w:hAnsi="Times New Roman"/>
          <w:sz w:val="16"/>
          <w:szCs w:val="16"/>
          <w:color w:val="auto"/>
        </w:rPr>
        <w:t>. Upon the written request of the Collateral Agent after the occurrence and during the continuation of an Event of Default, each Grantor will:</w:t>
      </w:r>
    </w:p>
    <w:p>
      <w:pPr>
        <w:spacing w:after="0" w:line="144" w:lineRule="exact"/>
        <w:rPr>
          <w:sz w:val="20"/>
          <w:szCs w:val="20"/>
          <w:color w:val="auto"/>
        </w:rPr>
      </w:pPr>
    </w:p>
    <w:p>
      <w:pPr>
        <w:ind w:right="20" w:firstLine="569"/>
        <w:spacing w:after="0" w:line="280" w:lineRule="auto"/>
        <w:tabs>
          <w:tab w:leader="none" w:pos="806"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assemble and make available to the Collateral Agent the Collateral and all books and records relating thereto at any place or places specified by the Collateral Agent, whether at a Grantor’s premises or elsewhere;</w:t>
      </w:r>
    </w:p>
    <w:p>
      <w:pPr>
        <w:spacing w:after="0" w:line="144" w:lineRule="exact"/>
        <w:rPr>
          <w:rFonts w:ascii="Times New Roman" w:cs="Times New Roman" w:eastAsia="Times New Roman" w:hAnsi="Times New Roman"/>
          <w:sz w:val="16"/>
          <w:szCs w:val="16"/>
          <w:color w:val="auto"/>
        </w:rPr>
      </w:pPr>
    </w:p>
    <w:p>
      <w:pPr>
        <w:jc w:val="both"/>
        <w:ind w:right="20" w:firstLine="569"/>
        <w:spacing w:after="0" w:line="259" w:lineRule="auto"/>
        <w:tabs>
          <w:tab w:leader="none" w:pos="805"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permit the Collateral Agent, by the Collateral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the Grantor for such use and occupancy;</w:t>
      </w:r>
    </w:p>
    <w:p>
      <w:pPr>
        <w:spacing w:after="0" w:line="161" w:lineRule="exact"/>
        <w:rPr>
          <w:rFonts w:ascii="Times New Roman" w:cs="Times New Roman" w:eastAsia="Times New Roman" w:hAnsi="Times New Roman"/>
          <w:sz w:val="16"/>
          <w:szCs w:val="16"/>
          <w:color w:val="auto"/>
        </w:rPr>
      </w:pPr>
    </w:p>
    <w:p>
      <w:pPr>
        <w:jc w:val="both"/>
        <w:ind w:firstLine="569"/>
        <w:spacing w:after="0" w:line="259" w:lineRule="auto"/>
        <w:tabs>
          <w:tab w:leader="none" w:pos="80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file, or cause an issuer of Pledged Collateral to prepare and file, with the Securities and Exchange Commission or any other applicable government agency, registration statements, a prospectus and such other documentation in connection with the Pledged Collateral as the Collateral Agent may request in writing, all in form and substance satisfactory to the Collateral Agent, and furnish to the Collateral Agent, or cause an issuer of Pledged Collateral to furnish to the Collateral Agent, any information regarding the Pledged Collateral in such detail as the Collateral Agent may specify;</w:t>
      </w:r>
    </w:p>
    <w:p>
      <w:pPr>
        <w:spacing w:after="0" w:line="161" w:lineRule="exact"/>
        <w:rPr>
          <w:rFonts w:ascii="Times New Roman" w:cs="Times New Roman" w:eastAsia="Times New Roman" w:hAnsi="Times New Roman"/>
          <w:sz w:val="16"/>
          <w:szCs w:val="16"/>
          <w:color w:val="auto"/>
        </w:rPr>
      </w:pPr>
    </w:p>
    <w:p>
      <w:pPr>
        <w:ind w:right="20" w:firstLine="569"/>
        <w:spacing w:after="0" w:line="280" w:lineRule="auto"/>
        <w:tabs>
          <w:tab w:leader="none" w:pos="809"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or cause an issuer of Pledged Collateral to take, any and all actions necessary to register or qualify the Pledged Collateral to enable the Collateral Agent to consummate a public sale or other disposition of the Pledged Collateral; and</w:t>
      </w:r>
    </w:p>
    <w:p>
      <w:pPr>
        <w:spacing w:after="0" w:line="144" w:lineRule="exact"/>
        <w:rPr>
          <w:rFonts w:ascii="Times New Roman" w:cs="Times New Roman" w:eastAsia="Times New Roman" w:hAnsi="Times New Roman"/>
          <w:sz w:val="16"/>
          <w:szCs w:val="16"/>
          <w:color w:val="auto"/>
        </w:rPr>
      </w:pPr>
    </w:p>
    <w:p>
      <w:pPr>
        <w:jc w:val="both"/>
        <w:ind w:firstLine="569"/>
        <w:spacing w:after="0" w:line="265" w:lineRule="auto"/>
        <w:tabs>
          <w:tab w:leader="none" w:pos="81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its own expense, cause the independent certified public accountants then engaged by each Grantor to prepare and deliver to the Collateral Agent and each Secured Party, at any time, and from time to time, promptly upon the Collateral Agent’s written request, the following reports with respect to the applicable Grantor: (i) a reconciliation of all Accounts; (ii) an aging of all Accounts; (iii) trial balances; and (iv) a test verification of such Accounts.</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Grant of Intellectual Property License</w:t>
      </w:r>
      <w:r>
        <w:rPr>
          <w:rFonts w:ascii="Times New Roman" w:cs="Times New Roman" w:eastAsia="Times New Roman" w:hAnsi="Times New Roman"/>
          <w:sz w:val="16"/>
          <w:szCs w:val="16"/>
          <w:color w:val="auto"/>
        </w:rPr>
        <w:t xml:space="preserve">. To the extent permitted under all applicable leases, licenses, agreements or arrangements related thereupon, for the purpose of enabling the Collateral Agent to exercise the rights and remedies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at such time as the Collateral Agent shall be lawfully entitled to exercise such rights and remedies consistent with the terms of this Security Agreement, each Grantor hereby (a) grants to the Collateral Agent, for the benefit of the Collateral Agent and the other Secured Parties, an irrevocable, nonexclusive license (exercisable without payment of royalty or other compensation to any Grantor) to use, license or sublicense any Intellectual Property rights now owned or hereafter acquired by such Grantor, and wherever the same may be located, and including in such license access to all media in which any of the licensed items may be recorded or stored and to all computer software and programs used for the compilation or printout thereof, provided that (x) such license shall not be exercisable unless an Event of Default shall have occurred and be continuing and (y) such license and sublicense with respect to Trademarks shall be subject to the maintenance of quality standards with respect to the goods and services on which such Trademarks are used sufficient to preserve the validity and enforceability of such Trademarks and (b) irrevocably agrees that after the occurrence and during the continuance of an Event of Default, the Collateral Agent may sell any of such Grantor’s Inventory directly to any Person, including without limitation Persons who have previously purchased the Grantor’s Inventory from such Grantor and in connection with any such sale or other enforcement of the Collateral Agent’s rights under this Security Agreement, may sell Inventory which bears any Trademark owned by or licensed to such Grantor and any Inventory that is covered by any Copyright owned by or licensed to such Grantor and the Collateral Agent may finish any work in process and affix any Trademark owned by or licensed to such Grantor and sell such Inventory as provided herein.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ACCOUNT VERIFICATION; ATTORNEY IN FACT; PROXY</w:t>
      </w:r>
    </w:p>
    <w:p>
      <w:pPr>
        <w:spacing w:after="0" w:line="182"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Account Verification</w:t>
      </w:r>
      <w:r>
        <w:rPr>
          <w:rFonts w:ascii="Times New Roman" w:cs="Times New Roman" w:eastAsia="Times New Roman" w:hAnsi="Times New Roman"/>
          <w:sz w:val="16"/>
          <w:szCs w:val="16"/>
          <w:color w:val="auto"/>
        </w:rPr>
        <w:t>. The Collateral Agent may at any time after the occurrence and during the continuation of an Event of Default, in the Collateral Agent’s own name, in the name of a nominee of the Collateral Agent, or in the name of any Grantor, communicate (by mail, telephone, facsimile or otherwise) with the Account Debtors of any such Grantor, parties to contracts with any such Grantor and obligors in respect of Instruments of any such Grantor to verify with such Persons, to the Collateral Agent’s reasonable satisfaction, the existence, amount, terms of, and any other matter relating to, Accounts, Instruments, Chattel Paper, payment intangibles and/or other Receivables.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Authorization for Collateral Agent to Take Certain Action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69"/>
        <w:spacing w:after="0" w:line="251" w:lineRule="auto"/>
        <w:tabs>
          <w:tab w:leader="none" w:pos="794"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Grantor irrevocably authorizes the Collateral Agent at any time after the occurrence and during the continuation of an Event of Default (other than clause (ii) below, which may be done irrespective of whether an Event of Default has occurred and is continuing) in the sole discretion of the Collateral Agent and appoints the Collateral Agent as its attorney-in-fact (i) to endorse and collect any cash proceeds of the Collateral, (ii) to file any financing statement with respect to the Collateral and to file any other financing statement or amendment of a financing statement (which does not add new collateral or add a debtor) in such offices as the Collateral Agent in its sole discretion deems necessary or desirable to perfect and to maintain the perfection and priority of the Collateral Agent’s security interest in the Collateral, (iii) in the case of any Material Intellectual Property owned by a Grantor, execute, deliver and have recorded any document that the Collateral Agent may request to evidence, effect, publicize or record the Collateral Agent’s security interest in such Material Intellectual Property, (iv) to contact and enter into one or more agreements with securities intermediaries holding Pledged Collateral as may be necessary or advisable to give the Collateral Agent Control over such Pledged Collateral, (v) to discharge past due taxes, assessments, charges, fees or Liens on the Collateral (except for such Liens that are permitted under Section 4.11 of the Indenture), (vi) to contact Account Debtors for any reason, (vii) to demand payment or enforce payment of the Receivables in the name of the Collateral Agent or such Grantor and to endorse any and all checks, drafts, and other instruments for the payment of money relating to the Receivables, (viii) to sign such Grantor’s name on any invoice or bill of lading relating to the Receivables, drafts against any Account Debtor of such Grantor, assignments and verifications of Receivables, (ix) to exercise all of such Grantor’s rights and remedies with respect to the collection of the Receivables and any other Collateral, (x) to settle, adjust, compromise, extend or renew the Receivables, (xi) to settle, adjust or compromise any legal proceedings brought to collect Receivables, (xii) to prepare, file and sign such Grantor’s name on a proof of claim in bankruptcy or similar document against any Account Debtor of such Grantor, (xiii) to prepare, file and sign such Grantor’s name on any notice of Lien, assignment or satisfaction of Lien or similar document in connection with the Receivables, (xiv) to change the address for delivery of mail addressed to such Grantor to such address as the Collateral Agent may designate and to receive, open and dispose of all mail addressed to such Grantor, and (xv) to do all other acts and things necessary to carry out this Security Agreement; and such Grantor agrees to reimburse the Collateral Agent on demand for any reasonable expense incurred by the Collateral Agent in connection with the foregoing clause (a); provided that, this authorization shall not relieve such Grantor of any of its obligations under this Security Agreement or under the Indenture.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25" w:name="page226"/>
    <w:bookmarkEnd w:id="225"/>
    <w:p>
      <w:pPr>
        <w:jc w:val="both"/>
        <w:ind w:right="20" w:firstLine="569"/>
        <w:spacing w:after="0" w:line="259" w:lineRule="auto"/>
        <w:tabs>
          <w:tab w:leader="none" w:pos="801"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acts of said attorney or designee are hereby ratified and approved. The powers conferred on the Collateral Agent, for the benefit of the Collateral Agent and Secured Parties, under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are solely to protect the Collateral Agent’s interests in the Collateral and shall not impose any duty upon the Collateral Agent or any other Secured Party to exercise any such powers. The Collateral Agent agrees that it shall not exercise any power or authority granted to it unless an Event of Default has occurred and is continuing.</w:t>
      </w:r>
    </w:p>
    <w:p>
      <w:pPr>
        <w:spacing w:after="0" w:line="162" w:lineRule="exact"/>
        <w:rPr>
          <w:sz w:val="20"/>
          <w:szCs w:val="20"/>
          <w:color w:val="auto"/>
        </w:rPr>
      </w:pPr>
    </w:p>
    <w:p>
      <w:pPr>
        <w:jc w:val="both"/>
        <w:ind w:right="20" w:firstLine="574"/>
        <w:spacing w:after="0" w:line="272" w:lineRule="auto"/>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u w:val="single" w:color="auto"/>
          <w:color w:val="auto"/>
        </w:rPr>
        <w:t>Proxy</w:t>
      </w:r>
      <w:r>
        <w:rPr>
          <w:rFonts w:ascii="Times New Roman" w:cs="Times New Roman" w:eastAsia="Times New Roman" w:hAnsi="Times New Roman"/>
          <w:sz w:val="15"/>
          <w:szCs w:val="15"/>
          <w:color w:val="auto"/>
        </w:rPr>
        <w:t xml:space="preserve">. EACH GRANTOR HEREBY IRREVOCABLY CONSTITUTES AND APPOINTS THE COLLATERAL AGENT AS ITS PROXY AND ATTORNEY-IN-FACT (AS SET FORTH IN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ABOVE) OF THE GRANTOR WITH RESPECT TO ITS PLEDGED COLLATERAL, INCLUDING THE RIGHT TO VOTE SUCH PLEDGED COLLATERAL, WITH FULL POWER OF SUBSTITUTION TO DO SO. IN ADDITION TO THE RIGHT TO VOTE ANY SUCH PLEDGED COLLATERAL, THE APPOINTMENT OF THE COLLATERAL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AUTOMATICALLY AND WITHOUT THE NECESSITY OF ANY ACTION (INCLUDING ANY TRANSFER OF ANY SUCH PLEDGED COLLATERAL ON THE RECORD BOOKS OF THE ISSUER THEREOF) BY ANY PERSON (INCLUDING THE ISSUER OF SUCH PLEDGED COLLATERAL OR ANY OFFICER OR AGENT THEREOF), UPON THE OCCURRENCE AND DURING THE CONTINUATION OF AN EVENT OF DEFAULT.</w:t>
      </w:r>
    </w:p>
    <w:p>
      <w:pPr>
        <w:spacing w:after="0" w:line="153"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Nature of Appointment; Limitation of Duty</w:t>
      </w:r>
      <w:r>
        <w:rPr>
          <w:rFonts w:ascii="Times New Roman" w:cs="Times New Roman" w:eastAsia="Times New Roman" w:hAnsi="Times New Roman"/>
          <w:sz w:val="16"/>
          <w:szCs w:val="16"/>
          <w:color w:val="auto"/>
        </w:rPr>
        <w:t xml:space="preserve">. THE APPOINTMENT OF THE COLLATERAL AGENT AS PROXY AND ATTORNEY-IN-FACT IN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IS COUPLED WITH AN INTEREST AND SHALL BE IRREVOCABLE UNTIL THE DATE ON WHICH THIS SECURITY AGREEMENT IS TERMINATED IN ACCORDANCE WITH </w:t>
      </w:r>
      <w:r>
        <w:rPr>
          <w:rFonts w:ascii="Times New Roman" w:cs="Times New Roman" w:eastAsia="Times New Roman" w:hAnsi="Times New Roman"/>
          <w:sz w:val="16"/>
          <w:szCs w:val="16"/>
          <w:u w:val="single" w:color="auto"/>
          <w:color w:val="auto"/>
        </w:rPr>
        <w:t>SECTION 7.13</w:t>
      </w:r>
      <w:r>
        <w:rPr>
          <w:rFonts w:ascii="Times New Roman" w:cs="Times New Roman" w:eastAsia="Times New Roman" w:hAnsi="Times New Roman"/>
          <w:sz w:val="16"/>
          <w:szCs w:val="16"/>
          <w:color w:val="auto"/>
        </w:rPr>
        <w:t>. NOTWITHSTANDING ANYTHING CONTAINED HEREIN, NONE OF THE COLLATERAL AGENT, ANY HOLDER, ANY OTHER SECURED PARTY, ANY OF THEIR RESPECTIVE AFFILIATES, OR ANY OF THEIR OR THEIR AFFILIATES’ RESPECTIVE OFFICERS, DIRECTORS, EMPLOYEES, AGENTS OR REPRESENTATIVES SHALL HAVE ANY DUTY TO EXERCISE ANY RIGHT OR POWER GRANTED HEREUNDER OR OTHERWISE OR TO PRESERVE THE SAME AND SHALL NOT BE LIABLE FOR ANY FAILURE TO DO SO OR FOR ANY DELAY IN DOING SO, EXCEPT IN RESPECT OF DAMAGES ATTRIBUTABLE SOLELY TO ITS OWN GROSS NEGLIGENCE OR WILLFUL MISCONDUCT AS FINALLY DETERMINED BY A COURT OF COMPETENT JURISDICTION; PROVIDED THAT, IN NO EVENT SHALL THEY BE LIABLE FOR ANY PUNITIVE, EXEMPLARY, SPECIAL, INDIRECT OR CONSEQUENTIAL DAMAGES.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18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Waivers</w:t>
      </w:r>
      <w:r>
        <w:rPr>
          <w:rFonts w:ascii="Times New Roman" w:cs="Times New Roman" w:eastAsia="Times New Roman" w:hAnsi="Times New Roman"/>
          <w:sz w:val="16"/>
          <w:szCs w:val="16"/>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Grantors, addressed as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at least ten (10) days prior to (i) the date of any such public sale or (ii) the time after which any such private sale or other disposition may be made. To the maximum extent permitted by applicable law, each Grantor waives all claims, damages, and demands against the Collateral Agent or any Secured Party arising out of the repossession, retention or sale of the Collateral, except such as arise solely out of the gross negligence or willful misconduct of the Collateral Agent or such Secured Party (or its successors, assigns or agents) as finally determined by a court of competent jurisdiction. To the extent it may lawfully do so, each Grantor absolutely and irrevocably waives and relinquishes the benefit and advantage of, and covenants not to assert against the Collateral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6" w:name="page227"/>
    <w:bookmarkEnd w:id="226"/>
    <w:p>
      <w:pPr>
        <w:jc w:val="both"/>
        <w:ind w:left="4" w:firstLine="574"/>
        <w:spacing w:after="0" w:line="267" w:lineRule="auto"/>
        <w:rPr>
          <w:sz w:val="20"/>
          <w:szCs w:val="20"/>
          <w:color w:val="auto"/>
        </w:rPr>
      </w:pPr>
      <w:r>
        <w:rPr>
          <w:rFonts w:ascii="Times New Roman" w:cs="Times New Roman" w:eastAsia="Times New Roman" w:hAnsi="Times New Roman"/>
          <w:sz w:val="15"/>
          <w:szCs w:val="15"/>
          <w:color w:val="auto"/>
        </w:rPr>
        <w:t xml:space="preserve">Section 7.2 </w:t>
      </w:r>
      <w:r>
        <w:rPr>
          <w:rFonts w:ascii="Times New Roman" w:cs="Times New Roman" w:eastAsia="Times New Roman" w:hAnsi="Times New Roman"/>
          <w:sz w:val="15"/>
          <w:szCs w:val="15"/>
          <w:u w:val="single" w:color="auto"/>
          <w:color w:val="auto"/>
        </w:rPr>
        <w:t>Limitation on Collateral Agent’s and Secured Parties’ Duty with Respect to the Collateral</w:t>
      </w:r>
      <w:r>
        <w:rPr>
          <w:rFonts w:ascii="Times New Roman" w:cs="Times New Roman" w:eastAsia="Times New Roman" w:hAnsi="Times New Roman"/>
          <w:sz w:val="15"/>
          <w:szCs w:val="15"/>
          <w:color w:val="auto"/>
        </w:rPr>
        <w:t>. The Collateral Agent shall have no obligation to clean-up or otherwise prepare the Collateral for sale. The Collateral Agent and each other Secured Party shall use reasonable care with respect to the Collateral in its possession or under its control. Neither the Collateral Agent nor any other Secured Party shall have any other duty as to any Collateral in its possession or control or in the possession or control of any agent or nominee of the Collateral Agent or such other Secured Party, or any income thereon or as to the preservation of rights against prior parties or any other rights pertaining thereto. To the extent that applicable law imposes duties on the Collateral Agent to exercise remedies in a commercially reasonable manner, each Grantor acknowledges and agrees that it is commercially reasonable for the Collateral Agent (i) to fail to incur expenses deemed significant by the Collateral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w:t>
      </w:r>
    </w:p>
    <w:p>
      <w:pPr>
        <w:spacing w:after="0" w:line="6" w:lineRule="exact"/>
        <w:rPr>
          <w:sz w:val="20"/>
          <w:szCs w:val="20"/>
          <w:color w:val="auto"/>
        </w:rPr>
      </w:pPr>
    </w:p>
    <w:p>
      <w:pPr>
        <w:jc w:val="both"/>
        <w:ind w:left="4" w:hanging="4"/>
        <w:spacing w:after="0" w:line="250" w:lineRule="auto"/>
        <w:tabs>
          <w:tab w:leader="none" w:pos="276"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purchase insurance or credit enhancements to insure the Collateral Agent against risks of loss, collection or disposition of Collateral or to provide to the Collateral Agent a guaranteed return from the collection or disposition of Collateral, or (xii) to the extent deemed appropriate by the Collateral Agent, to obtain the services of other brokers, investment bankers, consultants and other professionals to assist the Collateral Agent in the collection or disposition of any of the Collateral. The Grantor acknowledges that the purpose of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is to provide non-exhaustive indications of what actions or omissions by the Collateral Agent would be commercially reasonable in the Collateral Agent’s exercise of remedies against the Collateral and that other actions or omissions by the Collateral Agent shall not be deemed commercially unreasonable solely on account of not being indicated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Without limitation upon the foregoing, nothing contained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shall be construed to grant any rights to the Grantor or to impose any duties on the Collateral Agent that would not have been granted or imposed by this Security Agreement or by applicable law in the absence of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w:t>
      </w:r>
    </w:p>
    <w:p>
      <w:pPr>
        <w:spacing w:after="0" w:line="171" w:lineRule="exact"/>
        <w:rPr>
          <w:sz w:val="20"/>
          <w:szCs w:val="20"/>
          <w:color w:val="auto"/>
        </w:rPr>
      </w:pPr>
    </w:p>
    <w:p>
      <w:pPr>
        <w:jc w:val="both"/>
        <w:ind w:left="4"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Compromises and Collection of Collateral</w:t>
      </w:r>
      <w:r>
        <w:rPr>
          <w:rFonts w:ascii="Times New Roman" w:cs="Times New Roman" w:eastAsia="Times New Roman" w:hAnsi="Times New Roman"/>
          <w:sz w:val="16"/>
          <w:szCs w:val="16"/>
          <w:color w:val="auto"/>
        </w:rPr>
        <w:t>. The Grantors and the Collateral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Collateral Agent may at any time and from time to time, if an Event of Default has occurred and is continuing, compromise with the obligor on any Receivable, accept in full payment of any Receivable such amount as the Collateral Agent in its sole discretion shall determine or abandon any Receivable, and any such action by the Collateral Agent shall be commercially reasonable so long as the Collateral Agent acts in good faith and without gross negligence or willful misconduct based on information known to it at the time it takes any such action.</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27" w:name="page228"/>
    <w:bookmarkEnd w:id="227"/>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u w:val="single" w:color="auto"/>
          <w:color w:val="auto"/>
        </w:rPr>
        <w:t>Secured Party Performance of Debtor Obligations</w:t>
      </w:r>
      <w:r>
        <w:rPr>
          <w:rFonts w:ascii="Times New Roman" w:cs="Times New Roman" w:eastAsia="Times New Roman" w:hAnsi="Times New Roman"/>
          <w:sz w:val="16"/>
          <w:szCs w:val="16"/>
          <w:color w:val="auto"/>
        </w:rPr>
        <w:t xml:space="preserve">. Without having any obligation to do so, during the continuation of an Event of Default, the Collateral Agent may (but shall not be obligated to), upon written notice to the Company, perform or pay any obligation which any Grantor has agreed to perform or pay in this Security Agreement but has failed to perform or pay within the time periods afforded in this Security Agreement, and the Grantors shall reimburse the Collateral Agent for any amounts paid by the Collateral Agent pursuant to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The Grantors’ obligation to reimburse the Collateral Agent pursuant to the preceding sentence shall be a Secured Obligation payable on demand.</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u w:val="single" w:color="auto"/>
          <w:color w:val="auto"/>
        </w:rPr>
        <w:t>Specific Performance of Certain Covenants</w:t>
      </w:r>
      <w:r>
        <w:rPr>
          <w:rFonts w:ascii="Times New Roman" w:cs="Times New Roman" w:eastAsia="Times New Roman" w:hAnsi="Times New Roman"/>
          <w:sz w:val="16"/>
          <w:szCs w:val="16"/>
          <w:color w:val="auto"/>
        </w:rPr>
        <w:t xml:space="preserve">. Each Grantor acknowledges and agrees that a breach of any of the covenants contained in </w:t>
      </w:r>
      <w:r>
        <w:rPr>
          <w:rFonts w:ascii="Times New Roman" w:cs="Times New Roman" w:eastAsia="Times New Roman" w:hAnsi="Times New Roman"/>
          <w:sz w:val="16"/>
          <w:szCs w:val="16"/>
          <w:u w:val="single" w:color="auto"/>
          <w:color w:val="auto"/>
        </w:rPr>
        <w:t>Sections 4.1(d)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7.7</w:t>
      </w:r>
      <w:r>
        <w:rPr>
          <w:rFonts w:ascii="Times New Roman" w:cs="Times New Roman" w:eastAsia="Times New Roman" w:hAnsi="Times New Roman"/>
          <w:sz w:val="16"/>
          <w:szCs w:val="16"/>
          <w:color w:val="auto"/>
        </w:rPr>
        <w:t xml:space="preserve"> will cause irreparable injury to the Collateral Agent and the other Secured Parties, that the Collateral Agent and the other Secured Parties have no adequate remedy at law in respect of such breaches and therefore agrees, without limiting the right of the Collateral Agent or the other Secured Parties to seek and obtain specific performance of other obligations of the Grantors contained in this Security Agreement, that the covenants of the Grantors contained in the Sections referred to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shall be specifically enforceable against the Grantors.</w:t>
      </w:r>
    </w:p>
    <w:p>
      <w:pPr>
        <w:spacing w:after="0" w:line="162"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7.6 </w:t>
      </w:r>
      <w:r>
        <w:rPr>
          <w:rFonts w:ascii="Times New Roman" w:cs="Times New Roman" w:eastAsia="Times New Roman" w:hAnsi="Times New Roman"/>
          <w:sz w:val="16"/>
          <w:szCs w:val="16"/>
          <w:u w:val="single" w:color="auto"/>
          <w:color w:val="auto"/>
        </w:rPr>
        <w:t>Dispositions of Collateral</w:t>
      </w:r>
      <w:r>
        <w:rPr>
          <w:rFonts w:ascii="Times New Roman" w:cs="Times New Roman" w:eastAsia="Times New Roman" w:hAnsi="Times New Roman"/>
          <w:sz w:val="16"/>
          <w:szCs w:val="16"/>
          <w:color w:val="auto"/>
        </w:rPr>
        <w:t xml:space="preserve">. No Grantor is authorized to sell or otherwise dispose of the Collateral except as set forth in </w:t>
      </w:r>
      <w:r>
        <w:rPr>
          <w:rFonts w:ascii="Times New Roman" w:cs="Times New Roman" w:eastAsia="Times New Roman" w:hAnsi="Times New Roman"/>
          <w:sz w:val="16"/>
          <w:szCs w:val="16"/>
          <w:u w:val="single" w:color="auto"/>
          <w:color w:val="auto"/>
        </w:rPr>
        <w:t>Section 4.1(d)</w:t>
      </w:r>
      <w:r>
        <w:rPr>
          <w:rFonts w:ascii="Times New Roman" w:cs="Times New Roman" w:eastAsia="Times New Roman" w:hAnsi="Times New Roman"/>
          <w:sz w:val="16"/>
          <w:szCs w:val="16"/>
          <w:color w:val="auto"/>
        </w:rPr>
        <w:t xml:space="preserve"> or as otherwise permitted under the Indenture, and notwithstanding any course of dealing between any Grantor and the Collateral Agent or other conduct of the Collateral Agent, no authorization to sell or otherwise dispose of the Collateral (except as set forth in </w:t>
      </w:r>
      <w:r>
        <w:rPr>
          <w:rFonts w:ascii="Times New Roman" w:cs="Times New Roman" w:eastAsia="Times New Roman" w:hAnsi="Times New Roman"/>
          <w:sz w:val="16"/>
          <w:szCs w:val="16"/>
          <w:u w:val="single" w:color="auto"/>
          <w:color w:val="auto"/>
        </w:rPr>
        <w:t>Section 4.1(d)</w:t>
      </w:r>
      <w:r>
        <w:rPr>
          <w:rFonts w:ascii="Times New Roman" w:cs="Times New Roman" w:eastAsia="Times New Roman" w:hAnsi="Times New Roman"/>
          <w:sz w:val="16"/>
          <w:szCs w:val="16"/>
          <w:color w:val="auto"/>
        </w:rPr>
        <w:t>) shall be binding upon the Collateral Agent or the other Secured Parties unless such authorization is in writing signed by the Collateral Agent with the consent or at the direction of the Required Noteholders.</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u w:val="single" w:color="auto"/>
          <w:color w:val="auto"/>
        </w:rPr>
        <w:t>No Waiver; Amendments; Cumulative Remedies</w:t>
      </w:r>
      <w:r>
        <w:rPr>
          <w:rFonts w:ascii="Times New Roman" w:cs="Times New Roman" w:eastAsia="Times New Roman" w:hAnsi="Times New Roman"/>
          <w:sz w:val="16"/>
          <w:szCs w:val="16"/>
          <w:color w:val="auto"/>
        </w:rPr>
        <w:t xml:space="preserve">. No failure or delay by the Collateral Agent or any other Secured Party in exercising any right or power under this Security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and the other Secured Parties hereunder are cumulative and are not exclusive of any rights or remedies that they would otherwise have. No waiver of any provision of this Security Agreement or consent to any departure by the Grantor therefrom shall in any event be effective unless in writing signed by the Collateral Agent with the concurrence or at the direction of the Required Noteholders required under Section 8.05 of the Indenture and then only to the extent specifically set forth in such writing; provided that this Security Agreement may be supplemented through amendments substantially in the forms of </w:t>
      </w:r>
      <w:r>
        <w:rPr>
          <w:rFonts w:ascii="Times New Roman" w:cs="Times New Roman" w:eastAsia="Times New Roman" w:hAnsi="Times New Roman"/>
          <w:sz w:val="16"/>
          <w:szCs w:val="16"/>
          <w:u w:val="single" w:color="auto"/>
          <w:color w:val="auto"/>
        </w:rPr>
        <w:t>Exhibits 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J</w:t>
      </w:r>
      <w:r>
        <w:rPr>
          <w:rFonts w:ascii="Times New Roman" w:cs="Times New Roman" w:eastAsia="Times New Roman" w:hAnsi="Times New Roman"/>
          <w:sz w:val="16"/>
          <w:szCs w:val="16"/>
          <w:color w:val="auto"/>
        </w:rPr>
        <w:t xml:space="preserve"> hereto, in each case duly executed by the Grantor directly affected thereby and acknowledged and agreed to by the Collateral Agent.</w:t>
      </w:r>
    </w:p>
    <w:p>
      <w:pPr>
        <w:spacing w:after="0" w:line="169"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u w:val="single" w:color="auto"/>
          <w:color w:val="auto"/>
        </w:rPr>
        <w:t>Limitation by Law; Severability of Provisions</w:t>
      </w:r>
      <w:r>
        <w:rPr>
          <w:rFonts w:ascii="Times New Roman" w:cs="Times New Roman" w:eastAsia="Times New Roman" w:hAnsi="Times New Roman"/>
          <w:sz w:val="16"/>
          <w:szCs w:val="16"/>
          <w:color w:val="auto"/>
        </w:rPr>
        <w:t>. All rights, remedies and powers provided in this Security Agreement may be exercised only to the extent that the exercise thereof does not violate any applicable provision of law, and all the provisions of this Security Agreement are intended to be subject to all applicable mandatory provisions of law that may be controlling and to be limited to the extent necessary so that they shall not render this Security Agreement invalid, unenforceable or not entitled to be recorded or registered, in whole or in part. Any provision in this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and to this end the provisions of this Security Agreement are declared to be severable.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8" w:name="page229"/>
    <w:bookmarkEnd w:id="228"/>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u w:val="single" w:color="auto"/>
          <w:color w:val="auto"/>
        </w:rPr>
        <w:t>Reinstatement</w:t>
      </w:r>
      <w:r>
        <w:rPr>
          <w:rFonts w:ascii="Times New Roman" w:cs="Times New Roman" w:eastAsia="Times New Roman" w:hAnsi="Times New Roman"/>
          <w:sz w:val="16"/>
          <w:szCs w:val="16"/>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(including a payment effected through exercise of a right of setoff), is, pursuant to applicable law, rescinded or reduced in amount, or must otherwise be restored or returned by any obligee of the Secured Obligations, whether as a “voidable preference,” “fraudulent conveyance,” or otherwise (including pursuant to any settlement entered into by a Secured Party in its discretion), all as though such payment or performance had not been made. In the event that any payment, or any part thereof (including a payment effected through exercise of a right of setoff), is rescinded, reduced, restored or returned, the Secured Obligations shall be reinstated and deemed reduced only by such amount paid and not so rescinded, reduced, restored or returned.</w:t>
      </w:r>
    </w:p>
    <w:p>
      <w:pPr>
        <w:spacing w:after="0" w:line="169"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u w:val="single" w:color="auto"/>
          <w:color w:val="auto"/>
        </w:rPr>
        <w:t>Benefit of Agreement</w:t>
      </w:r>
      <w:r>
        <w:rPr>
          <w:rFonts w:ascii="Times New Roman" w:cs="Times New Roman" w:eastAsia="Times New Roman" w:hAnsi="Times New Roman"/>
          <w:sz w:val="16"/>
          <w:szCs w:val="16"/>
          <w:color w:val="auto"/>
        </w:rPr>
        <w:t>. The terms and provisions of this Security Agreement shall be binding upon and inure to the benefit of the Grantors, the Collateral Agent and the other Secured Parties and their respective successors and permitted assigns (including all Persons who become bound as a debtor to this Security Agreement), except that no Grantor shall have the right to assign its rights or delegate its obligations under this Security Agreement or any interest herein, except as permitted by the Indenture or without the prior written consent of the Collateral Agent (acting at the direction of Required Noteholders). No sales of participations, assignments, transfers, or other dispositions of any agreement governing the Secured Obligations or any portion thereof or interest therein shall in any manner impair the Lien granted to the Collateral Agent, for the benefit of the Collateral Agent and the other Secured Parties, hereunder.</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u w:val="single" w:color="auto"/>
          <w:color w:val="auto"/>
        </w:rPr>
        <w:t>Survival of Representations</w:t>
      </w:r>
      <w:r>
        <w:rPr>
          <w:rFonts w:ascii="Times New Roman" w:cs="Times New Roman" w:eastAsia="Times New Roman" w:hAnsi="Times New Roman"/>
          <w:sz w:val="16"/>
          <w:szCs w:val="16"/>
          <w:color w:val="auto"/>
        </w:rPr>
        <w:t xml:space="preserve">. All representations and warranties of the Grantors contained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of this Security Agreement shall survive the execution and delivery of this Security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title of and section headings in this Security Agreement are for convenience of reference only, and shall not govern the interpretation of any of the terms and provisions of this Security Agreement.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7.13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(a) This Security Agreement shall continue in effect (notwithstanding the fact that from time to time there may be no Secured Obligations outstanding) until (i) the Indenture has terminated pursuant to its express terms and (ii) all of the Secured Obligations (other than contingent indemnification obligations as to which no claim has been made) have been paid and performed in full and no commitments of the Collateral Agent or the other Secured Parties which would give rise to any Secured Obligations are outstanding.</w:t>
      </w:r>
    </w:p>
    <w:p>
      <w:pPr>
        <w:spacing w:after="0" w:line="162" w:lineRule="exact"/>
        <w:rPr>
          <w:sz w:val="20"/>
          <w:szCs w:val="20"/>
          <w:color w:val="auto"/>
        </w:rPr>
      </w:pPr>
    </w:p>
    <w:p>
      <w:pPr>
        <w:ind w:left="780" w:hanging="211"/>
        <w:spacing w:after="0"/>
        <w:tabs>
          <w:tab w:leader="none" w:pos="78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Grantor shall automatically be released from its obligations hereunder in accordance with Section 13.02 and Article 3, as applicable, of the Indenture.</w:t>
      </w:r>
    </w:p>
    <w:p>
      <w:pPr>
        <w:spacing w:after="0" w:line="38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9" w:name="page230"/>
    <w:bookmarkEnd w:id="229"/>
    <w:p>
      <w:pPr>
        <w:jc w:val="both"/>
        <w:ind w:firstLine="569"/>
        <w:spacing w:after="0" w:line="265" w:lineRule="auto"/>
        <w:tabs>
          <w:tab w:leader="none" w:pos="793"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security interest granted in favor of Collateral Agent hereby in any Collateral shall automatically be released and such Collateral shall be free and clear of the Lien and security interests created hereby (i) to the extent provided in Section 8.03 or 11.02 of the Indenture, as applicable or (ii) upon the effectiveness of any written consent to the release of such security interest granted hereby in such Collateral pursuant to Section 11.02 of the Indenture.</w:t>
      </w:r>
    </w:p>
    <w:p>
      <w:pPr>
        <w:spacing w:after="0" w:line="155" w:lineRule="exact"/>
        <w:rPr>
          <w:rFonts w:ascii="Times New Roman" w:cs="Times New Roman" w:eastAsia="Times New Roman" w:hAnsi="Times New Roman"/>
          <w:sz w:val="16"/>
          <w:szCs w:val="16"/>
          <w:color w:val="auto"/>
        </w:rPr>
      </w:pPr>
    </w:p>
    <w:p>
      <w:pPr>
        <w:jc w:val="both"/>
        <w:ind w:firstLine="569"/>
        <w:spacing w:after="0" w:line="255" w:lineRule="auto"/>
        <w:tabs>
          <w:tab w:leader="none" w:pos="805"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termination or release pursuant to the preceding clauses (a), (b) or (c), the Collateral Agent shall, after receiving written documents required by Section 8.03 of the Indenture and at the Grantors’ expense and written request, execute and deliver to Grantors or otherwise authorize the filing of such documents as Grantors shall reasonably request, including financing statement amendments to evidence such termination or release. Any execution and delivery by the Collateral Agent of documents in connection with any such release shall be without representation, recourse to or warranty by the Collateral Agent. The Collateral Agent shall promptly deliver to the applicable Grantor any Pledged Collateral in its possession upon written request by the issuer, holder or owner thereof in connection with any release of such Pledged Collateral in accordance with the foregoing provisions of this Section 7.13.</w:t>
      </w:r>
    </w:p>
    <w:p>
      <w:pPr>
        <w:spacing w:after="0" w:line="16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Security Agreement and the Indenture embody the entire agreement and understanding between the Grantors and the Collateral Agent relating to the Collateral and supersedes all prior agreements and understandings between the Grantors and the Collateral Agent relating to the Collateral.</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Section 7.15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 xml:space="preserve">Section 7.16 </w:t>
      </w:r>
      <w:r>
        <w:rPr>
          <w:rFonts w:ascii="Times New Roman" w:cs="Times New Roman" w:eastAsia="Times New Roman" w:hAnsi="Times New Roman"/>
          <w:sz w:val="16"/>
          <w:szCs w:val="16"/>
          <w:b w:val="1"/>
          <w:bCs w:val="1"/>
          <w:u w:val="single" w:color="auto"/>
          <w:color w:val="auto"/>
        </w:rPr>
        <w:t>CHOICE OF LAW; CONSENT TO JURISDICTION</w:t>
      </w:r>
      <w:r>
        <w:rPr>
          <w:rFonts w:ascii="Times New Roman" w:cs="Times New Roman" w:eastAsia="Times New Roman" w:hAnsi="Times New Roman"/>
          <w:sz w:val="16"/>
          <w:szCs w:val="16"/>
          <w:b w:val="1"/>
          <w:bCs w:val="1"/>
          <w:color w:val="auto"/>
        </w:rPr>
        <w:t>. SECTION 18.04 OF THE INDENTURE IS HEREBY INCORPORATED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REFERENCE </w:t>
      </w:r>
      <w:r>
        <w:rPr>
          <w:rFonts w:ascii="Times New Roman" w:cs="Times New Roman" w:eastAsia="Times New Roman" w:hAnsi="Times New Roman"/>
          <w:sz w:val="16"/>
          <w:szCs w:val="16"/>
          <w:b w:val="1"/>
          <w:bCs w:val="1"/>
          <w:i w:val="1"/>
          <w:iCs w:val="1"/>
          <w:color w:val="auto"/>
        </w:rPr>
        <w:t>MUTATIS MUTANDIS</w:t>
      </w:r>
      <w:r>
        <w:rPr>
          <w:rFonts w:ascii="Times New Roman" w:cs="Times New Roman" w:eastAsia="Times New Roman" w:hAnsi="Times New Roman"/>
          <w:sz w:val="16"/>
          <w:szCs w:val="16"/>
          <w:b w:val="1"/>
          <w:bCs w:val="1"/>
          <w:color w:val="auto"/>
        </w:rPr>
        <w:t>.</w:t>
      </w:r>
    </w:p>
    <w:p>
      <w:pPr>
        <w:spacing w:after="0" w:line="14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Section 7.17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PARTY HERETO HEREBY WAIVES, TO THE FULLEST EXTENT PERMITTED BY APPLICABLE LAW, ANY RIGHT IT MAY HAVE TO A TRIAL BY JURY IN ANY LEGAL PROCEEDING DIRECTLY OR INDIRECTLY ARISING OUT OF OR RELATING TO THIS SECURITY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SECURITY AGREEMENT BY, AMONG OTHER THINGS, THE MUTUAL WAIVERS AND CERTIFICATIONS IN THIS SECTION.</w:t>
      </w:r>
    </w:p>
    <w:p>
      <w:pPr>
        <w:spacing w:after="0" w:line="167" w:lineRule="exact"/>
        <w:rPr>
          <w:sz w:val="20"/>
          <w:szCs w:val="20"/>
          <w:color w:val="auto"/>
        </w:rPr>
      </w:pPr>
    </w:p>
    <w:p>
      <w:pPr>
        <w:jc w:val="both"/>
        <w:ind w:firstLine="574"/>
        <w:spacing w:after="0" w:line="275" w:lineRule="auto"/>
        <w:rPr>
          <w:sz w:val="20"/>
          <w:szCs w:val="20"/>
          <w:color w:val="auto"/>
        </w:rPr>
      </w:pPr>
      <w:r>
        <w:rPr>
          <w:rFonts w:ascii="Times New Roman" w:cs="Times New Roman" w:eastAsia="Times New Roman" w:hAnsi="Times New Roman"/>
          <w:sz w:val="15"/>
          <w:szCs w:val="15"/>
          <w:color w:val="auto"/>
        </w:rPr>
        <w:t xml:space="preserve">Section 7.18 </w:t>
      </w:r>
      <w:r>
        <w:rPr>
          <w:rFonts w:ascii="Times New Roman" w:cs="Times New Roman" w:eastAsia="Times New Roman" w:hAnsi="Times New Roman"/>
          <w:sz w:val="15"/>
          <w:szCs w:val="15"/>
          <w:u w:val="single" w:color="auto"/>
          <w:color w:val="auto"/>
        </w:rPr>
        <w:t>Indemnity</w:t>
      </w:r>
      <w:r>
        <w:rPr>
          <w:rFonts w:ascii="Times New Roman" w:cs="Times New Roman" w:eastAsia="Times New Roman" w:hAnsi="Times New Roman"/>
          <w:sz w:val="15"/>
          <w:szCs w:val="15"/>
          <w:color w:val="auto"/>
        </w:rPr>
        <w:t>. Each Grantor hereby agrees to indemnify the Collateral Agent and the other Secured Parties, and their respective successors, permitted assigns, agents and employees (each such Person being called an “Indemnitee”), from and against any and all losses, claims, damages, liabilities and reasonable documented and invoiced out-of-pocket related expenses, including the reasonable documented and invoiced fees, charges and disbursements of any counsel for any Indemnitee, incurred by or asserted against any Indemnitee arising out of, in connection with, or as a result of the execution or delivery of this Security Agreement or any agreement or instrument contemplated thereby, the performance by the parties hereto of their respective obligations thereunder or the consummation of the transactions contemplated by this Security Agreements, in each case except (x) such as arise from the gross negligence or willful misconduct of such Indemnitee as finally determined by a court of competent jurisdiction.</w:t>
      </w:r>
    </w:p>
    <w:p>
      <w:pPr>
        <w:spacing w:after="0" w:line="153"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Section 7.19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Security Agreement may be executed in any number of counterparts, all of which taken together shall constitute one agreement, and any of the parties hereto may execute this Security Agreement by signing any such counterpart, including by electronic signature. Delivery of an executed counterpart of a signature page of this Security Agreement by facsimile or other electronic transmission shall be effective as delivery of a manually executed counterpart of this Security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NOTICES</w:t>
      </w:r>
    </w:p>
    <w:p>
      <w:pPr>
        <w:spacing w:after="0" w:line="18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Sending Notices</w:t>
      </w:r>
      <w:r>
        <w:rPr>
          <w:rFonts w:ascii="Times New Roman" w:cs="Times New Roman" w:eastAsia="Times New Roman" w:hAnsi="Times New Roman"/>
          <w:sz w:val="16"/>
          <w:szCs w:val="16"/>
          <w:color w:val="auto"/>
        </w:rPr>
        <w:t xml:space="preserve">. Any notice required or permitted to be given under this Security Agreement shall be sent in accordance with Section 18.03 of the Indenture, provided that notices to each Grantor shall be sent to such Grantor at its mailing address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(as the same may be supplemented from time to time by such Grantor).</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u w:val="single" w:color="auto"/>
          <w:color w:val="auto"/>
        </w:rPr>
        <w:t>Change in Address for Notices</w:t>
      </w:r>
      <w:r>
        <w:rPr>
          <w:rFonts w:ascii="Times New Roman" w:cs="Times New Roman" w:eastAsia="Times New Roman" w:hAnsi="Times New Roman"/>
          <w:sz w:val="16"/>
          <w:szCs w:val="16"/>
          <w:color w:val="auto"/>
        </w:rPr>
        <w:t>. Each of the Grantors and the Collateral Agent may change the address for service of notice upon it by a notice in writing to the other parties.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COLLATERAL AGENT</w:t>
      </w:r>
    </w:p>
    <w:p>
      <w:pPr>
        <w:spacing w:after="0" w:line="182"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U.S. Bank is entering into this Security Agreement and each other Notes Document not in its individual or corporate capacity but solely in its capacity as Collateral Agent under the Indenture and in acting hereunder and under each other Notes Document, whether or not expressly provided herein or therein, shall be entitled to all of the rights, privileges, immunities and indemnities granted to the Collateral Agent under the Indenture, including without limitation those set forth in Article 8 of the Indenture, as if such rights, privileges, immunities and indemnities were set forth herein. Whenever in this Security Agreement the Collateral Agent is granted the power to request or demand a document, instrument or action, exercise discretion or otherwise take actions with respect to the Collateral, the Collateral Agent shall be entitled to seek direction from Required Noteholders and shall have no liability for acting in accordance with such direction or any delays caused by seeking such direction. In the case of a conflict between this Security Agreement or any other Notes Document and the Indenture with respect to the Collateral Agent’s rights, the Indenture shall control.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 Page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31" w:name="page232"/>
    <w:bookmarkEnd w:id="231"/>
    <w:p>
      <w:pPr>
        <w:ind w:left="560"/>
        <w:spacing w:after="0"/>
        <w:rPr>
          <w:sz w:val="20"/>
          <w:szCs w:val="20"/>
          <w:color w:val="auto"/>
        </w:rPr>
      </w:pPr>
      <w:r>
        <w:rPr>
          <w:rFonts w:ascii="Times New Roman" w:cs="Times New Roman" w:eastAsia="Times New Roman" w:hAnsi="Times New Roman"/>
          <w:sz w:val="15"/>
          <w:szCs w:val="15"/>
          <w:color w:val="auto"/>
        </w:rPr>
        <w:t>IN WITNESS WHEREOF, the Grantors and the Collateral Agent have executed this Security Agreement as of the date first above written.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SUNPOWER INC., as a Grantor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COMPLETE SOLAR, INC., as a Grantor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Security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color w:val="auto"/>
        </w:rPr>
        <w:t>U.S. BANK TRUST COMPANY, NATIONAL ASSOCIATION,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Collateral Agent</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15240</wp:posOffset>
            </wp:positionV>
            <wp:extent cx="249682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Security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April 21, 2026</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YA II PN, Ltd.</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1012 Springfield Avenue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Mountainside, NJ 07092</w:t>
      </w:r>
    </w:p>
    <w:p>
      <w:pPr>
        <w:spacing w:after="0" w:line="18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u w:val="single" w:color="auto"/>
          <w:color w:val="auto"/>
        </w:rPr>
        <w:t>Re: Partial Prepayment of Convertible Debenture and Other Agreements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Dear Sirs:</w:t>
      </w:r>
    </w:p>
    <w:p>
      <w:pPr>
        <w:spacing w:after="0" w:line="198"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Reference is made to each of the: (a) Purchase Agreement (the “</w:t>
      </w:r>
      <w:r>
        <w:rPr>
          <w:rFonts w:ascii="Times New Roman" w:cs="Times New Roman" w:eastAsia="Times New Roman" w:hAnsi="Times New Roman"/>
          <w:sz w:val="16"/>
          <w:szCs w:val="16"/>
          <w:u w:val="single" w:color="auto"/>
          <w:color w:val="auto"/>
        </w:rPr>
        <w:t>Purchase Agreement</w:t>
      </w:r>
      <w:r>
        <w:rPr>
          <w:rFonts w:ascii="Times New Roman" w:cs="Times New Roman" w:eastAsia="Times New Roman" w:hAnsi="Times New Roman"/>
          <w:sz w:val="16"/>
          <w:szCs w:val="16"/>
          <w:color w:val="auto"/>
        </w:rPr>
        <w:t>”), dated as of March 6, 2026, by and between YA II PN, LTD, a Cayman Islands exempt limited company (the “</w:t>
      </w:r>
      <w:r>
        <w:rPr>
          <w:rFonts w:ascii="Times New Roman" w:cs="Times New Roman" w:eastAsia="Times New Roman" w:hAnsi="Times New Roman"/>
          <w:sz w:val="16"/>
          <w:szCs w:val="16"/>
          <w:u w:val="single" w:color="auto"/>
          <w:color w:val="auto"/>
        </w:rPr>
        <w:t>Investor</w:t>
      </w:r>
      <w:r>
        <w:rPr>
          <w:rFonts w:ascii="Times New Roman" w:cs="Times New Roman" w:eastAsia="Times New Roman" w:hAnsi="Times New Roman"/>
          <w:sz w:val="16"/>
          <w:szCs w:val="16"/>
          <w:color w:val="auto"/>
        </w:rPr>
        <w:t>”), and SunPower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(b) Convertible Debenture issued by the Company to the Investor on March 6, 2026 and in the original principal amount of $10,000,000 (the “</w:t>
      </w:r>
      <w:r>
        <w:rPr>
          <w:rFonts w:ascii="Times New Roman" w:cs="Times New Roman" w:eastAsia="Times New Roman" w:hAnsi="Times New Roman"/>
          <w:sz w:val="16"/>
          <w:szCs w:val="16"/>
          <w:u w:val="single" w:color="auto"/>
          <w:color w:val="auto"/>
        </w:rPr>
        <w:t>Debenture</w:t>
      </w:r>
      <w:r>
        <w:rPr>
          <w:rFonts w:ascii="Times New Roman" w:cs="Times New Roman" w:eastAsia="Times New Roman" w:hAnsi="Times New Roman"/>
          <w:sz w:val="16"/>
          <w:szCs w:val="16"/>
          <w:color w:val="auto"/>
        </w:rPr>
        <w:t>”). The Company and the Investor may be referred to herein individually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Capitalized terms used in this letter but not defined herein have the meanings given to them in the Purchase Agreement.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good and valuable consideration, the Parties agree as follows:</w:t>
      </w:r>
    </w:p>
    <w:p>
      <w:pPr>
        <w:spacing w:after="0" w:line="198" w:lineRule="exact"/>
        <w:rPr>
          <w:sz w:val="20"/>
          <w:szCs w:val="20"/>
          <w:color w:val="auto"/>
        </w:rPr>
      </w:pPr>
    </w:p>
    <w:p>
      <w:pPr>
        <w:jc w:val="both"/>
        <w:ind w:left="4" w:firstLine="569"/>
        <w:spacing w:after="0" w:line="257" w:lineRule="auto"/>
        <w:tabs>
          <w:tab w:leader="none" w:pos="737"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Partial Prepayment of Principal Amount of Debenture</w:t>
      </w:r>
      <w:r>
        <w:rPr>
          <w:rFonts w:ascii="Times New Roman" w:cs="Times New Roman" w:eastAsia="Times New Roman" w:hAnsi="Times New Roman"/>
          <w:sz w:val="16"/>
          <w:szCs w:val="16"/>
          <w:color w:val="auto"/>
        </w:rPr>
        <w:t>. The Investor hereby consents to the voluntary prepayment by the Company on the date hereof of $5,000,000.00 principal amount of the Debenture (the “</w:t>
      </w:r>
      <w:r>
        <w:rPr>
          <w:rFonts w:ascii="Times New Roman" w:cs="Times New Roman" w:eastAsia="Times New Roman" w:hAnsi="Times New Roman"/>
          <w:sz w:val="16"/>
          <w:szCs w:val="16"/>
          <w:u w:val="single" w:color="auto"/>
          <w:color w:val="auto"/>
        </w:rPr>
        <w:t>Prepayment Amount</w:t>
      </w:r>
      <w:r>
        <w:rPr>
          <w:rFonts w:ascii="Times New Roman" w:cs="Times New Roman" w:eastAsia="Times New Roman" w:hAnsi="Times New Roman"/>
          <w:sz w:val="16"/>
          <w:szCs w:val="16"/>
          <w:color w:val="auto"/>
        </w:rPr>
        <w:t>”), without penalty, premium or other charge; and the Company hereby agrees to pay the Prepayment Amount to the Investor, by wire transfer of immediately available funds on the date hereof to an account designated by the Investor. As a result of such payment of the Prepayment Amount, the Parties confirm and agree that the outstanding principal amount of the Debenture, immediately following the Company’s payment of the Prepayment Amount, is $5,000,000.00.</w:t>
      </w:r>
    </w:p>
    <w:p>
      <w:pPr>
        <w:spacing w:after="0" w:line="162" w:lineRule="exact"/>
        <w:rPr>
          <w:rFonts w:ascii="Times New Roman" w:cs="Times New Roman" w:eastAsia="Times New Roman" w:hAnsi="Times New Roman"/>
          <w:sz w:val="16"/>
          <w:szCs w:val="16"/>
          <w:color w:val="auto"/>
        </w:rPr>
      </w:pPr>
    </w:p>
    <w:p>
      <w:pPr>
        <w:ind w:left="4" w:right="20" w:firstLine="569"/>
        <w:spacing w:after="0" w:line="280" w:lineRule="auto"/>
        <w:tabs>
          <w:tab w:leader="none" w:pos="737" w:val="left"/>
        </w:tabs>
        <w:numPr>
          <w:ilvl w:val="1"/>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to Repayment Schedule</w:t>
      </w:r>
      <w:r>
        <w:rPr>
          <w:rFonts w:ascii="Times New Roman" w:cs="Times New Roman" w:eastAsia="Times New Roman" w:hAnsi="Times New Roman"/>
          <w:sz w:val="16"/>
          <w:szCs w:val="16"/>
          <w:color w:val="auto"/>
        </w:rPr>
        <w:t xml:space="preserve">. Subject to the receipt of the Prepayment Amount, the Parties hereby agree that the repayment schedule attached as Exhibit II to the Debenture is hereby amended and restated in its entirety by the repayment schedule attached to this letter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left="4" w:firstLine="569"/>
        <w:spacing w:after="0" w:line="269" w:lineRule="auto"/>
        <w:tabs>
          <w:tab w:leader="none" w:pos="737" w:val="left"/>
        </w:tabs>
        <w:numPr>
          <w:ilvl w:val="1"/>
          <w:numId w:val="2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Consent to Convertible Senior Secured Notes Financing</w:t>
      </w:r>
      <w:r>
        <w:rPr>
          <w:rFonts w:ascii="Times New Roman" w:cs="Times New Roman" w:eastAsia="Times New Roman" w:hAnsi="Times New Roman"/>
          <w:sz w:val="15"/>
          <w:szCs w:val="15"/>
          <w:color w:val="auto"/>
        </w:rPr>
        <w:t>. Subject to the receipt of the Prepayment Amount and the continued effectiveness of this letter, the Investor hereby consents to the Company’s sale and issuance (such sale and issuance, the “</w:t>
      </w:r>
      <w:r>
        <w:rPr>
          <w:rFonts w:ascii="Times New Roman" w:cs="Times New Roman" w:eastAsia="Times New Roman" w:hAnsi="Times New Roman"/>
          <w:sz w:val="15"/>
          <w:szCs w:val="15"/>
          <w:u w:val="single" w:color="auto"/>
          <w:color w:val="auto"/>
        </w:rPr>
        <w:t>Financing</w:t>
      </w:r>
      <w:r>
        <w:rPr>
          <w:rFonts w:ascii="Times New Roman" w:cs="Times New Roman" w:eastAsia="Times New Roman" w:hAnsi="Times New Roman"/>
          <w:sz w:val="15"/>
          <w:szCs w:val="15"/>
          <w:color w:val="auto"/>
        </w:rPr>
        <w:t>”) of up to $41,000,000 principal amount of 10.00% Convertible Senior Secured Notes due 2029 (the “</w:t>
      </w:r>
      <w:r>
        <w:rPr>
          <w:rFonts w:ascii="Times New Roman" w:cs="Times New Roman" w:eastAsia="Times New Roman" w:hAnsi="Times New Roman"/>
          <w:sz w:val="15"/>
          <w:szCs w:val="15"/>
          <w:u w:val="single" w:color="auto"/>
          <w:color w:val="auto"/>
        </w:rPr>
        <w:t>10.00% Notes</w:t>
      </w:r>
      <w:r>
        <w:rPr>
          <w:rFonts w:ascii="Times New Roman" w:cs="Times New Roman" w:eastAsia="Times New Roman" w:hAnsi="Times New Roman"/>
          <w:sz w:val="15"/>
          <w:szCs w:val="15"/>
          <w:color w:val="auto"/>
        </w:rPr>
        <w:t xml:space="preserve">”) on substantially the terms set forth in the form of indenture for the 10.00% Notes attached hereto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provided that the Financing is consummated on or before April 20, 2026. As a result of this consent, the 10.00% Notes issued in the Financing will constitute “Permitted Indebtedness” and the liens to be granted to the collateral agent as contemplated by the Indenture shall constitute “Permitted Liens” for all purposes under the Purchase Agreement, the Debenture, the SEPA and the Note. As soon as possible after the closing of the Financing, the Company shall publicly disclose all material, nonpublic information concerning</w:t>
      </w:r>
    </w:p>
    <w:p>
      <w:pPr>
        <w:spacing w:after="0" w:line="3" w:lineRule="exact"/>
        <w:rPr>
          <w:rFonts w:ascii="Times New Roman" w:cs="Times New Roman" w:eastAsia="Times New Roman" w:hAnsi="Times New Roman"/>
          <w:sz w:val="15"/>
          <w:szCs w:val="15"/>
          <w:color w:val="auto"/>
        </w:rPr>
      </w:pPr>
    </w:p>
    <w:p>
      <w:pPr>
        <w:ind w:left="4" w:hanging="4"/>
        <w:spacing w:after="0" w:line="258" w:lineRule="auto"/>
        <w:tabs>
          <w:tab w:leader="none" w:pos="223"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Financing and (ii) provided to the Investor by the Company or any of its respective officers, directors, employees or agents in connection with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14819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234" w:name="page235"/>
    <w:bookmarkEnd w:id="234"/>
    <w:p>
      <w:pPr>
        <w:jc w:val="both"/>
        <w:ind w:right="20" w:firstLine="569"/>
        <w:spacing w:after="0" w:line="259" w:lineRule="auto"/>
        <w:tabs>
          <w:tab w:leader="none" w:pos="73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The Investor and the Company hereby agree that Section 7.14 of the Purchase Agreement is amended as follows: (a) the time period set forth in the first sentence of Section 7.14 shall be 150 calendar days from the date of the Purchase Agreement; and (b) in lieu of obtaining the stockholder approval required by Section 7.14 at a Special Meeting, the Company may obtain such approval at its annual meeting of stockholders (so long as such annual meeting is held within 150 days of the date of the Purchase Agreement).</w:t>
      </w:r>
    </w:p>
    <w:p>
      <w:pPr>
        <w:spacing w:after="0" w:line="161"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letter shall terminate in all respects and have no force and effect if the Prepayment Amount is not received on or before April 24, 2026.</w:t>
      </w:r>
    </w:p>
    <w:p>
      <w:pPr>
        <w:spacing w:after="0" w:line="198" w:lineRule="exact"/>
        <w:rPr>
          <w:rFonts w:ascii="Times New Roman" w:cs="Times New Roman" w:eastAsia="Times New Roman" w:hAnsi="Times New Roman"/>
          <w:sz w:val="16"/>
          <w:szCs w:val="16"/>
          <w:color w:val="auto"/>
        </w:rPr>
      </w:pPr>
    </w:p>
    <w:p>
      <w:pPr>
        <w:jc w:val="both"/>
        <w:ind w:firstLine="569"/>
        <w:spacing w:after="0" w:line="257" w:lineRule="auto"/>
        <w:tabs>
          <w:tab w:leader="none" w:pos="74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Amendments</w:t>
      </w:r>
      <w:r>
        <w:rPr>
          <w:rFonts w:ascii="Times New Roman" w:cs="Times New Roman" w:eastAsia="Times New Roman" w:hAnsi="Times New Roman"/>
          <w:sz w:val="16"/>
          <w:szCs w:val="16"/>
          <w:color w:val="auto"/>
        </w:rPr>
        <w:t>. Except as expressly set forth in this letter, the other terms of the Purchase Agreement, Debenture, SEPA, Promissory Note and other Transaction Documents remain in full force and effect. The consent provided under section 3 of this letter shall not constitute a consent or waiver or other amendment by the Investor of any other term or provision of any of the Purchase Agreement, Debenture, SEPA, Promissory Note or any other Transaction Documents except as expressly set forth herein. For the avoidance of doubt, payment of the Prepayment Amount pursuant to section 1 letter applies only to the Debenture, and the full principal amount of the Promissory Note issued pursuant to the SEPA remains outstanding as of the date of this letter.</w:t>
      </w:r>
    </w:p>
    <w:p>
      <w:pPr>
        <w:spacing w:after="0" w:line="162" w:lineRule="exact"/>
        <w:rPr>
          <w:rFonts w:ascii="Times New Roman" w:cs="Times New Roman" w:eastAsia="Times New Roman" w:hAnsi="Times New Roman"/>
          <w:sz w:val="16"/>
          <w:szCs w:val="16"/>
          <w:color w:val="auto"/>
        </w:rPr>
      </w:pPr>
    </w:p>
    <w:p>
      <w:pPr>
        <w:jc w:val="both"/>
        <w:ind w:firstLine="569"/>
        <w:spacing w:after="0" w:line="255" w:lineRule="auto"/>
        <w:tabs>
          <w:tab w:leader="none" w:pos="73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Choice of Law</w:t>
      </w:r>
      <w:r>
        <w:rPr>
          <w:rFonts w:ascii="Times New Roman" w:cs="Times New Roman" w:eastAsia="Times New Roman" w:hAnsi="Times New Roman"/>
          <w:sz w:val="16"/>
          <w:szCs w:val="16"/>
          <w:color w:val="auto"/>
        </w:rPr>
        <w:t>. This letter, and any and all claims, proceedings or causes of action relating to this letter or arising from this letter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letter.</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EACH PARTY HERETO HEREBY WAIVES, TO THE FULLEST EXTENT PERMITTED BY APPLICABLE LAW, ANY RIGHT IT MAY HAVE TO A TRIAL BY JURY IN ANY LEGAL PROCEEDING DIRECTLY OR INDIRECTLY ARISING OUT OF OR RELATING TO THIS LETTER OR THE TRANSACTIONS CONTEMPLATED HEREIN, THE PERFORMANCE THEREOF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LETTER BY, AMONG OTHER THINGS, THE MUTUAL WAIVERS AND CERTIFICATIONS IN THIS PARAGRAPH.</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5" w:name="page236"/>
    <w:bookmarkEnd w:id="235"/>
    <w:p>
      <w:pPr>
        <w:jc w:val="both"/>
        <w:ind w:firstLine="569"/>
        <w:spacing w:after="0" w:line="257" w:lineRule="auto"/>
        <w:tabs>
          <w:tab w:leader="none" w:pos="733"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This letter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www.docusign.com), including by e-mail attachment, shall be deemed to have been duly and validly delivered and be valid as originals and effective for all purposes of this letter.</w:t>
      </w:r>
    </w:p>
    <w:p>
      <w:pPr>
        <w:spacing w:after="0" w:line="160"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Article XI of the Purchase Agreement is hereby incorporated by reference,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jc w:val="both"/>
        <w:ind w:right="20" w:firstLine="569"/>
        <w:spacing w:after="0" w:line="253" w:lineRule="auto"/>
        <w:tabs>
          <w:tab w:leader="none" w:pos="83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 Amendments</w:t>
      </w:r>
      <w:r>
        <w:rPr>
          <w:rFonts w:ascii="Times New Roman" w:cs="Times New Roman" w:eastAsia="Times New Roman" w:hAnsi="Times New Roman"/>
          <w:sz w:val="16"/>
          <w:szCs w:val="16"/>
          <w:color w:val="auto"/>
        </w:rPr>
        <w:t>. This letter and the Transaction Documents supersede all other prior oral or written agreements between the Investor, the Company, their respective Affiliates and persons acting on their behalf with respect to the matters discussed herein and therein, and this letter and the Transaction Documents contain the entire understanding of the parties with respect to the matters covered herein and therein and, except as specifically set forth herein, neither the Company nor the Investor makes any representation, warranty, covenant or undertaking with respect to such matters. No provision of this letter may be waived or amended other than by an instrument in writing signed by the parties to this letter. The failure of any party hereto to exercise any right, power or remedy provided under this letter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remedy available to it hereunder or any other right, power or remedy or to demand strict compliance with the terms of this letter.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6" w:name="page237"/>
    <w:bookmarkEnd w:id="236"/>
    <w:p>
      <w:pPr>
        <w:ind w:left="114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hereto have caused this letter to be executed by the undersigned, thereunto duly authorized, as of the date first set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forth above.</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SUNPOWER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Thurman J. Rodgers</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Thurman J. Rodgers</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382"/>
        </w:trPr>
        <w:tc>
          <w:tcPr>
            <w:tcW w:w="11260" w:type="dxa"/>
            <w:vAlign w:val="bottom"/>
            <w:gridSpan w:val="2"/>
          </w:tcPr>
          <w:p>
            <w:pPr>
              <w:ind w:left="6760"/>
              <w:spacing w:after="0"/>
              <w:rPr>
                <w:sz w:val="20"/>
                <w:szCs w:val="20"/>
                <w:color w:val="auto"/>
              </w:rPr>
            </w:pPr>
            <w:r>
              <w:rPr>
                <w:rFonts w:ascii="Times New Roman" w:cs="Times New Roman" w:eastAsia="Times New Roman" w:hAnsi="Times New Roman"/>
                <w:sz w:val="16"/>
                <w:szCs w:val="16"/>
                <w:b w:val="1"/>
                <w:bCs w:val="1"/>
                <w:color w:val="auto"/>
              </w:rPr>
              <w:t>INVESTOR:</w:t>
            </w:r>
          </w:p>
        </w:tc>
      </w:tr>
      <w:tr>
        <w:trPr>
          <w:trHeight w:val="382"/>
        </w:trPr>
        <w:tc>
          <w:tcPr>
            <w:tcW w:w="11260" w:type="dxa"/>
            <w:vAlign w:val="bottom"/>
            <w:gridSpan w:val="2"/>
          </w:tcPr>
          <w:p>
            <w:pPr>
              <w:ind w:left="6760"/>
              <w:spacing w:after="0"/>
              <w:rPr>
                <w:sz w:val="20"/>
                <w:szCs w:val="20"/>
                <w:color w:val="auto"/>
              </w:rPr>
            </w:pPr>
            <w:r>
              <w:rPr>
                <w:rFonts w:ascii="Times New Roman" w:cs="Times New Roman" w:eastAsia="Times New Roman" w:hAnsi="Times New Roman"/>
                <w:sz w:val="16"/>
                <w:szCs w:val="16"/>
                <w:b w:val="1"/>
                <w:bCs w:val="1"/>
                <w:color w:val="auto"/>
              </w:rPr>
              <w:t>YA II PN, Ltd.</w:t>
            </w:r>
          </w:p>
        </w:tc>
      </w:tr>
      <w:tr>
        <w:trPr>
          <w:trHeight w:val="366"/>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Yorkville Advisors Global, LP</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Its:</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Investment Manager</w:t>
            </w:r>
          </w:p>
        </w:tc>
      </w:tr>
      <w:tr>
        <w:trPr>
          <w:trHeight w:val="366"/>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Yorkville Advisors Global II, LLC</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Its:</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w:t>
            </w:r>
          </w:p>
        </w:tc>
      </w:tr>
      <w:tr>
        <w:trPr>
          <w:trHeight w:val="386"/>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Matt Beckman</w:t>
            </w:r>
          </w:p>
        </w:tc>
      </w:tr>
      <w:tr>
        <w:trPr>
          <w:trHeight w:val="175"/>
        </w:trPr>
        <w:tc>
          <w:tcPr>
            <w:tcW w:w="7320" w:type="dxa"/>
            <w:vAlign w:val="bottom"/>
          </w:tcPr>
          <w:p>
            <w:pPr>
              <w:ind w:left="676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Matt Beckman</w:t>
            </w:r>
          </w:p>
        </w:tc>
      </w:tr>
      <w:tr>
        <w:trPr>
          <w:trHeight w:val="208"/>
        </w:trPr>
        <w:tc>
          <w:tcPr>
            <w:tcW w:w="7320" w:type="dxa"/>
            <w:vAlign w:val="bottom"/>
          </w:tcPr>
          <w:p>
            <w:pPr>
              <w:ind w:left="67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Member</w:t>
            </w:r>
          </w:p>
        </w:tc>
      </w:tr>
      <w:tr>
        <w:trPr>
          <w:trHeight w:val="601"/>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237" w:name="page238"/>
    <w:bookmarkEnd w:id="2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20" w:type="dxa"/>
            <w:vAlign w:val="bottom"/>
            <w:gridSpan w:val="2"/>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Exhibit A</w:t>
            </w:r>
          </w:p>
        </w:tc>
        <w:tc>
          <w:tcPr>
            <w:tcW w:w="2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80" w:type="dxa"/>
            <w:vAlign w:val="bottom"/>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Repayment Schedule</w:t>
            </w:r>
          </w:p>
        </w:tc>
        <w:tc>
          <w:tcPr>
            <w:tcW w:w="2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Principal Amount:</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$ 5,000,000.00</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Original Issuance Date:</w:t>
            </w:r>
          </w:p>
        </w:tc>
        <w:tc>
          <w:tcPr>
            <w:tcW w:w="1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3/5/2026</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500" w:type="dxa"/>
            <w:vAlign w:val="bottom"/>
            <w:tcBorders>
              <w:left w:val="single" w:sz="8" w:color="auto"/>
              <w:right w:val="single" w:sz="8" w:color="auto"/>
            </w:tcBorders>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Installment Date</w:t>
            </w:r>
          </w:p>
        </w:tc>
        <w:tc>
          <w:tcPr>
            <w:tcW w:w="2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Installment Principal Amount</w:t>
            </w:r>
          </w:p>
        </w:tc>
        <w:tc>
          <w:tcPr>
            <w:tcW w:w="22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Accrued and</w:t>
            </w:r>
          </w:p>
        </w:tc>
        <w:tc>
          <w:tcPr>
            <w:tcW w:w="21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Payment Premium</w:t>
            </w:r>
          </w:p>
        </w:tc>
        <w:tc>
          <w:tcPr>
            <w:tcW w:w="202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Installment</w:t>
            </w:r>
          </w:p>
        </w:tc>
        <w:tc>
          <w:tcPr>
            <w:tcW w:w="0" w:type="dxa"/>
            <w:vAlign w:val="bottom"/>
          </w:tcPr>
          <w:p>
            <w:pPr>
              <w:spacing w:after="0"/>
              <w:rPr>
                <w:sz w:val="1"/>
                <w:szCs w:val="1"/>
                <w:color w:val="auto"/>
              </w:rPr>
            </w:pPr>
          </w:p>
        </w:tc>
      </w:tr>
      <w:tr>
        <w:trPr>
          <w:trHeight w:val="114"/>
        </w:trPr>
        <w:tc>
          <w:tcPr>
            <w:tcW w:w="250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Unpaid Interest</w:t>
            </w:r>
          </w:p>
        </w:tc>
        <w:tc>
          <w:tcPr>
            <w:tcW w:w="214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(3%) (If Applicable)</w:t>
            </w:r>
          </w:p>
        </w:tc>
        <w:tc>
          <w:tcPr>
            <w:tcW w:w="202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96"/>
        </w:trPr>
        <w:tc>
          <w:tcPr>
            <w:tcW w:w="2500" w:type="dxa"/>
            <w:vAlign w:val="bottom"/>
            <w:tcBorders>
              <w:left w:val="single" w:sz="8" w:color="auto"/>
              <w:right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May 5, 2026</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$ 1,250,000.00</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right"/>
              <w:ind w:right="1420"/>
              <w:spacing w:after="0"/>
              <w:rPr>
                <w:sz w:val="20"/>
                <w:szCs w:val="20"/>
                <w:color w:val="auto"/>
              </w:rPr>
            </w:pPr>
            <w:r>
              <w:rPr>
                <w:rFonts w:ascii="Times New Roman" w:cs="Times New Roman" w:eastAsia="Times New Roman" w:hAnsi="Times New Roman"/>
                <w:sz w:val="16"/>
                <w:szCs w:val="16"/>
                <w:color w:val="auto"/>
              </w:rPr>
              <w:t>$ -</w:t>
            </w:r>
          </w:p>
        </w:tc>
        <w:tc>
          <w:tcPr>
            <w:tcW w:w="2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$ 37,500.00</w:t>
            </w:r>
          </w:p>
        </w:tc>
        <w:tc>
          <w:tcPr>
            <w:tcW w:w="2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$ 1,287,500.00</w:t>
            </w: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June 5, 2026</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$ 1,250,000.00</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right"/>
              <w:ind w:right="1420"/>
              <w:spacing w:after="0"/>
              <w:rPr>
                <w:sz w:val="20"/>
                <w:szCs w:val="20"/>
                <w:color w:val="auto"/>
              </w:rPr>
            </w:pPr>
            <w:r>
              <w:rPr>
                <w:rFonts w:ascii="Times New Roman" w:cs="Times New Roman" w:eastAsia="Times New Roman" w:hAnsi="Times New Roman"/>
                <w:sz w:val="16"/>
                <w:szCs w:val="16"/>
                <w:color w:val="auto"/>
              </w:rPr>
              <w:t>$ -</w:t>
            </w:r>
          </w:p>
        </w:tc>
        <w:tc>
          <w:tcPr>
            <w:tcW w:w="2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$ 37,500.00</w:t>
            </w:r>
          </w:p>
        </w:tc>
        <w:tc>
          <w:tcPr>
            <w:tcW w:w="2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$ 1,287,500.00</w:t>
            </w: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July 5, 2026</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$ 1,250,000.00</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right"/>
              <w:ind w:right="1420"/>
              <w:spacing w:after="0"/>
              <w:rPr>
                <w:sz w:val="20"/>
                <w:szCs w:val="20"/>
                <w:color w:val="auto"/>
              </w:rPr>
            </w:pPr>
            <w:r>
              <w:rPr>
                <w:rFonts w:ascii="Times New Roman" w:cs="Times New Roman" w:eastAsia="Times New Roman" w:hAnsi="Times New Roman"/>
                <w:sz w:val="16"/>
                <w:szCs w:val="16"/>
                <w:color w:val="auto"/>
              </w:rPr>
              <w:t>$ -</w:t>
            </w:r>
          </w:p>
        </w:tc>
        <w:tc>
          <w:tcPr>
            <w:tcW w:w="2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$ 37,500.00</w:t>
            </w:r>
          </w:p>
        </w:tc>
        <w:tc>
          <w:tcPr>
            <w:tcW w:w="2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$ 1,287,500.00</w:t>
            </w: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August 5, 2026</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$ 1,250,000.00</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right"/>
              <w:ind w:right="1420"/>
              <w:spacing w:after="0"/>
              <w:rPr>
                <w:sz w:val="20"/>
                <w:szCs w:val="20"/>
                <w:color w:val="auto"/>
              </w:rPr>
            </w:pPr>
            <w:r>
              <w:rPr>
                <w:rFonts w:ascii="Times New Roman" w:cs="Times New Roman" w:eastAsia="Times New Roman" w:hAnsi="Times New Roman"/>
                <w:sz w:val="16"/>
                <w:szCs w:val="16"/>
                <w:color w:val="auto"/>
              </w:rPr>
              <w:t>$ -</w:t>
            </w:r>
          </w:p>
        </w:tc>
        <w:tc>
          <w:tcPr>
            <w:tcW w:w="2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$ 37,500.00</w:t>
            </w:r>
          </w:p>
        </w:tc>
        <w:tc>
          <w:tcPr>
            <w:tcW w:w="2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$ 1,287,500.00</w:t>
            </w: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1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$ 5,000,000</w:t>
            </w:r>
          </w:p>
        </w:tc>
        <w:tc>
          <w:tcPr>
            <w:tcW w:w="86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right"/>
              <w:ind w:right="1420"/>
              <w:spacing w:after="0"/>
              <w:rPr>
                <w:sz w:val="20"/>
                <w:szCs w:val="20"/>
                <w:color w:val="auto"/>
              </w:rPr>
            </w:pPr>
            <w:r>
              <w:rPr>
                <w:rFonts w:ascii="Times New Roman" w:cs="Times New Roman" w:eastAsia="Times New Roman" w:hAnsi="Times New Roman"/>
                <w:sz w:val="16"/>
                <w:szCs w:val="16"/>
                <w:b w:val="1"/>
                <w:bCs w:val="1"/>
                <w:color w:val="auto"/>
              </w:rPr>
              <w:t>$ -</w:t>
            </w:r>
          </w:p>
        </w:tc>
        <w:tc>
          <w:tcPr>
            <w:tcW w:w="21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$ 150,000</w:t>
            </w:r>
          </w:p>
        </w:tc>
        <w:tc>
          <w:tcPr>
            <w:tcW w:w="2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$ 5,150,000</w:t>
            </w:r>
          </w:p>
        </w:tc>
        <w:tc>
          <w:tcPr>
            <w:tcW w:w="0" w:type="dxa"/>
            <w:vAlign w:val="bottom"/>
          </w:tcPr>
          <w:p>
            <w:pPr>
              <w:spacing w:after="0"/>
              <w:rPr>
                <w:sz w:val="1"/>
                <w:szCs w:val="1"/>
                <w:color w:val="auto"/>
              </w:rPr>
            </w:pPr>
          </w:p>
        </w:tc>
      </w:tr>
      <w:tr>
        <w:trPr>
          <w:trHeight w:val="83"/>
        </w:trPr>
        <w:tc>
          <w:tcPr>
            <w:tcW w:w="2500" w:type="dxa"/>
            <w:vAlign w:val="bottom"/>
            <w:tcBorders>
              <w:left w:val="single" w:sz="8" w:color="auto"/>
              <w:bottom w:val="single" w:sz="8" w:color="auto"/>
              <w:right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93"/>
        </w:trPr>
        <w:tc>
          <w:tcPr>
            <w:tcW w:w="2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238" w:name="page239"/>
    <w:bookmarkEnd w:id="23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Indenture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758825</wp:posOffset>
            </wp:positionV>
            <wp:extent cx="714819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6"/>
          <w:szCs w:val="16"/>
          <w:b w:val="1"/>
          <w:bCs w:val="1"/>
          <w:color w:val="auto"/>
        </w:rPr>
        <w:t>Exhibit 10.6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198"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This Exchange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entered into as of April 21, 2026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by and between SunPower Inc.,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the holder party hereto (the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8" w:lineRule="exact"/>
        <w:rPr>
          <w:sz w:val="20"/>
          <w:szCs w:val="20"/>
          <w:color w:val="auto"/>
        </w:rPr>
      </w:pPr>
    </w:p>
    <w:p>
      <w:pPr>
        <w:ind w:right="20" w:firstLine="574"/>
        <w:spacing w:after="0" w:line="283" w:lineRule="auto"/>
        <w:rPr>
          <w:sz w:val="20"/>
          <w:szCs w:val="20"/>
          <w:color w:val="auto"/>
        </w:rPr>
      </w:pPr>
      <w:r>
        <w:rPr>
          <w:rFonts w:ascii="Times New Roman" w:cs="Times New Roman" w:eastAsia="Times New Roman" w:hAnsi="Times New Roman"/>
          <w:sz w:val="16"/>
          <w:szCs w:val="16"/>
          <w:color w:val="auto"/>
        </w:rPr>
        <w:t>A. The Holder is the beneficial and record owner of the aggregate principal amount of 7.0% Convertible Senior Notes due 2029 of the Company (the “</w:t>
      </w:r>
      <w:r>
        <w:rPr>
          <w:rFonts w:ascii="Times New Roman" w:cs="Times New Roman" w:eastAsia="Times New Roman" w:hAnsi="Times New Roman"/>
          <w:sz w:val="16"/>
          <w:szCs w:val="16"/>
          <w:b w:val="1"/>
          <w:bCs w:val="1"/>
          <w:color w:val="auto"/>
        </w:rPr>
        <w:t>7.0% Notes</w:t>
      </w:r>
      <w:r>
        <w:rPr>
          <w:rFonts w:ascii="Times New Roman" w:cs="Times New Roman" w:eastAsia="Times New Roman" w:hAnsi="Times New Roman"/>
          <w:sz w:val="16"/>
          <w:szCs w:val="16"/>
          <w:color w:val="auto"/>
        </w:rPr>
        <w:t xml:space="preserve">”) set forth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Exchanged Notes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B. Subject to the terms and conditions of this Agreement, the Holder and the Company wish to exchange the Exchanged Notes for shares of the common stock of the Company, par value $0.0001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Such exchange of the Exchanged Notes pursuant hereto is referred to as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C. The transactions under this Agreement have been privately and separately negotiated and agreed to between the Holder and the Company, and the agreements set forth herein are not contingent or conditioned upon any other transactions and are subject only to the satisfaction of the express conditions set forth in this Agreement.</w:t>
      </w:r>
    </w:p>
    <w:p>
      <w:pPr>
        <w:spacing w:after="0" w:line="144"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D. The Exchange is being made in reliance upon the exemptions from registration provided by Section 3(a)(9) and Section 4(a)(2) of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premises and the mutual covenants hereinafter contained, the parties hereto agree as follows:</w:t>
      </w:r>
    </w:p>
    <w:p>
      <w:pPr>
        <w:spacing w:after="0" w:line="198" w:lineRule="exact"/>
        <w:rPr>
          <w:sz w:val="20"/>
          <w:szCs w:val="20"/>
          <w:color w:val="auto"/>
        </w:rPr>
      </w:pPr>
    </w:p>
    <w:p>
      <w:pPr>
        <w:jc w:val="both"/>
        <w:ind w:firstLine="569"/>
        <w:spacing w:after="0" w:line="257" w:lineRule="auto"/>
        <w:tabs>
          <w:tab w:leader="none" w:pos="733"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Exchange. </w:t>
      </w:r>
      <w:r>
        <w:rPr>
          <w:rFonts w:ascii="Times New Roman" w:cs="Times New Roman" w:eastAsia="Times New Roman" w:hAnsi="Times New Roman"/>
          <w:sz w:val="16"/>
          <w:szCs w:val="16"/>
          <w:color w:val="auto"/>
        </w:rPr>
        <w:t>Subject to the terms and conditions set forth in this Agreement, at the Closing the Holder will assign, transfer and deliver to the Company all of its right,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title and interest in and to the Exchanged Notes set forth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xml:space="preserve"> free and clear of any mortgage, lien, pledge, charge, security interest, encumbrance, title retention agreement, option, equity or other adverse claim thereto (collectively, “</w:t>
      </w:r>
      <w:r>
        <w:rPr>
          <w:rFonts w:ascii="Times New Roman" w:cs="Times New Roman" w:eastAsia="Times New Roman" w:hAnsi="Times New Roman"/>
          <w:sz w:val="16"/>
          <w:szCs w:val="16"/>
          <w:b w:val="1"/>
          <w:bCs w:val="1"/>
          <w:color w:val="auto"/>
        </w:rPr>
        <w:t>Liens</w:t>
      </w:r>
      <w:r>
        <w:rPr>
          <w:rFonts w:ascii="Times New Roman" w:cs="Times New Roman" w:eastAsia="Times New Roman" w:hAnsi="Times New Roman"/>
          <w:sz w:val="16"/>
          <w:szCs w:val="16"/>
          <w:color w:val="auto"/>
        </w:rPr>
        <w:t xml:space="preserve">”), against issuance, delivery and payment to such Holder, which shall be in full satisfaction of all obligations of the Company under the Exchanged Notes of (i) the number of shares of Common Stock set forth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Exchange Shares</w:t>
      </w:r>
      <w:r>
        <w:rPr>
          <w:rFonts w:ascii="Times New Roman" w:cs="Times New Roman" w:eastAsia="Times New Roman" w:hAnsi="Times New Roman"/>
          <w:sz w:val="16"/>
          <w:szCs w:val="16"/>
          <w:color w:val="auto"/>
        </w:rPr>
        <w:t xml:space="preserve">”) and (ii) the cash payment set forth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xml:space="preserve"> comprising the accrued but unpaid interest on the Exchanged Notes as of the Closing Date (the “</w:t>
      </w:r>
      <w:r>
        <w:rPr>
          <w:rFonts w:ascii="Times New Roman" w:cs="Times New Roman" w:eastAsia="Times New Roman" w:hAnsi="Times New Roman"/>
          <w:sz w:val="16"/>
          <w:szCs w:val="16"/>
          <w:b w:val="1"/>
          <w:bCs w:val="1"/>
          <w:color w:val="auto"/>
        </w:rPr>
        <w:t>Interest Payment</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Closing and Closing Deliveries; Extinguishment of the Exchanged Notes.</w:t>
      </w:r>
    </w:p>
    <w:p>
      <w:pPr>
        <w:spacing w:after="0" w:line="198" w:lineRule="exact"/>
        <w:rPr>
          <w:sz w:val="20"/>
          <w:szCs w:val="20"/>
          <w:color w:val="auto"/>
        </w:rPr>
      </w:pPr>
    </w:p>
    <w:p>
      <w:pPr>
        <w:jc w:val="both"/>
        <w:ind w:right="20" w:firstLine="1721"/>
        <w:spacing w:after="0" w:line="266"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Closing and Closing Deliverables</w:t>
      </w:r>
      <w:r>
        <w:rPr>
          <w:rFonts w:ascii="Times New Roman" w:cs="Times New Roman" w:eastAsia="Times New Roman" w:hAnsi="Times New Roman"/>
          <w:sz w:val="16"/>
          <w:szCs w:val="16"/>
          <w:color w:val="auto"/>
        </w:rPr>
        <w:t>. The closing of the Exchange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shall take place at the offices of Arnold &amp; Porter Kaye Scholer LLP, New York, New York, at 10:00 a.m., local time, on the date that is two Business Days (as defined in the Indenture) following the Effective Date, subject to the satisfaction or waiver of the conditions in Section 2.3, or such other date and/or location as the Holder and the Company may mutually agree.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4819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40" w:name="page241"/>
    <w:bookmarkEnd w:id="240"/>
    <w:p>
      <w:pPr>
        <w:jc w:val="both"/>
        <w:ind w:left="780" w:firstLine="2299"/>
        <w:spacing w:after="0" w:line="259" w:lineRule="auto"/>
        <w:tabs>
          <w:tab w:leader="none" w:pos="3301"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(i) deliver to the Holder written evidence of the issuance by the Company of the number of Exchange Shares set forth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xml:space="preserve"> via book-entry delivery in accordance with the instructions received from the Holder; and (ii) pay to the Holder, by wire transfer of immediately available funds to such account as specified by the Holder, the Interest Payment in the amount set forth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without deduction or withholding of any amounts therefrom on account of taxes or otherwise; and</w:t>
      </w:r>
    </w:p>
    <w:p>
      <w:pPr>
        <w:spacing w:after="0" w:line="161" w:lineRule="exact"/>
        <w:rPr>
          <w:rFonts w:ascii="Times New Roman" w:cs="Times New Roman" w:eastAsia="Times New Roman" w:hAnsi="Times New Roman"/>
          <w:sz w:val="16"/>
          <w:szCs w:val="16"/>
          <w:color w:val="auto"/>
        </w:rPr>
      </w:pPr>
    </w:p>
    <w:p>
      <w:pPr>
        <w:jc w:val="both"/>
        <w:ind w:left="780" w:firstLine="2299"/>
        <w:spacing w:after="0" w:line="255" w:lineRule="auto"/>
        <w:tabs>
          <w:tab w:leader="none" w:pos="3308"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for any 7.0% Notes beneficially owned through a global note, the Holder shall effect by book entry, in accordance with the applicable procedures of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xml:space="preserve">”) and the instructions received from the Company, and (ii) for any 7.0% Notes held directly as physical notes, the holder shall effect, in accordance with the instructions received from the Company, the delivery to the Company (or its trustee or designee) of all of the Exchanged Notes set forth opposite the Holder’s name on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xml:space="preserve"> attached hereto and all other documents and instruments reasonably requested by the Company to effect the transfer of the Exchanged Notes to the Company and confirm in the Company all right, title and interest in and to the Exchanged Notes free and clear of any Liens.</w:t>
      </w:r>
    </w:p>
    <w:p>
      <w:pPr>
        <w:spacing w:after="0" w:line="165" w:lineRule="exact"/>
        <w:rPr>
          <w:sz w:val="20"/>
          <w:szCs w:val="20"/>
          <w:color w:val="auto"/>
        </w:rPr>
      </w:pPr>
    </w:p>
    <w:p>
      <w:pPr>
        <w:jc w:val="both"/>
        <w:ind w:firstLine="1721"/>
        <w:spacing w:after="0" w:line="259"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Extinguishment of the Exchanged Notes</w:t>
      </w:r>
      <w:r>
        <w:rPr>
          <w:rFonts w:ascii="Times New Roman" w:cs="Times New Roman" w:eastAsia="Times New Roman" w:hAnsi="Times New Roman"/>
          <w:sz w:val="16"/>
          <w:szCs w:val="16"/>
          <w:color w:val="auto"/>
        </w:rPr>
        <w:t>. Upon the consummation of the Exchange, the Company will tender the Exchanged Notes to U.S. Bank Trust Company, National Association (the “</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under the Indenture relating to the 7.0% Notes dated as of September 16, 2024, between the Company and the Trustee (the “</w:t>
      </w:r>
      <w:r>
        <w:rPr>
          <w:rFonts w:ascii="Times New Roman" w:cs="Times New Roman" w:eastAsia="Times New Roman" w:hAnsi="Times New Roman"/>
          <w:sz w:val="16"/>
          <w:szCs w:val="16"/>
          <w:b w:val="1"/>
          <w:bCs w:val="1"/>
          <w:color w:val="auto"/>
        </w:rPr>
        <w:t>Indenture</w:t>
      </w:r>
      <w:r>
        <w:rPr>
          <w:rFonts w:ascii="Times New Roman" w:cs="Times New Roman" w:eastAsia="Times New Roman" w:hAnsi="Times New Roman"/>
          <w:sz w:val="16"/>
          <w:szCs w:val="16"/>
          <w:color w:val="auto"/>
        </w:rPr>
        <w:t>”), for cancellation, and the Exchanged Notes surrendered hereunder shall be cancelled and shall be null and void, and any and all rights arising thereunder shall be extinguished and the Company shall no longer be required to reserve any shares of Common Stock for issuance upon conversion of the Exchanged Notes.</w:t>
      </w:r>
    </w:p>
    <w:p>
      <w:pPr>
        <w:spacing w:after="0" w:line="162" w:lineRule="exact"/>
        <w:rPr>
          <w:sz w:val="20"/>
          <w:szCs w:val="20"/>
          <w:color w:val="auto"/>
        </w:rPr>
      </w:pPr>
    </w:p>
    <w:p>
      <w:pPr>
        <w:jc w:val="both"/>
        <w:ind w:firstLine="1721"/>
        <w:spacing w:after="0" w:line="257"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 The obligations of the Holder and the Company under this Agreement are subject to the satisfaction at or prior to the Closing of the following conditions precedent: (a) the representations and warranties of the Company contained in Section 3 (with respect to the Holder) and of the Holder contained in Section 4 (with respect to the Company) shall be true and correct as of the Closing in all respects with the same effect as though such representations and warranties had been made as of the Closing and (b) no provision of any applicable law or any judgment, ruling, order, writ, injunction, award or decree of any governmental authority shall be in effect prohibiting or making illegal the consummation of the transactions contemplated by this Agreement.</w:t>
      </w:r>
    </w:p>
    <w:p>
      <w:pPr>
        <w:spacing w:after="0" w:line="160" w:lineRule="exact"/>
        <w:rPr>
          <w:sz w:val="20"/>
          <w:szCs w:val="20"/>
          <w:color w:val="auto"/>
        </w:rPr>
      </w:pPr>
    </w:p>
    <w:p>
      <w:pPr>
        <w:jc w:val="both"/>
        <w:ind w:right="20" w:firstLine="569"/>
        <w:spacing w:after="0" w:line="266" w:lineRule="auto"/>
        <w:tabs>
          <w:tab w:leader="none" w:pos="73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Company Covenants, Representations and Warranties. </w:t>
      </w:r>
      <w:r>
        <w:rPr>
          <w:rFonts w:ascii="Times New Roman" w:cs="Times New Roman" w:eastAsia="Times New Roman" w:hAnsi="Times New Roman"/>
          <w:sz w:val="16"/>
          <w:szCs w:val="16"/>
          <w:color w:val="auto"/>
        </w:rPr>
        <w:t>The Company hereby covenants as follows and makes the following representations and warranties,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is and shall be true and correct on the date hereof and at the Closing, to the Holder, and all such covenants, representations and warranties shall survive the Closing in accordance with Section 6.11.</w:t>
      </w:r>
    </w:p>
    <w:p>
      <w:pPr>
        <w:spacing w:after="0" w:line="155" w:lineRule="exact"/>
        <w:rPr>
          <w:sz w:val="20"/>
          <w:szCs w:val="20"/>
          <w:color w:val="auto"/>
        </w:rPr>
      </w:pPr>
    </w:p>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The Company is a corporation duly organized, validly existing and in good standing under the laws of the State of Delaware. The Company has the requisite corporate power to own and operate its properties and assets and to carry on its business as now conducted and as proposed to be conducted. The Company is duly qualified and is authorized to do business and is in good standing as a foreign corporation in all jurisdictions in which the nature of its activities and of its properties (both owned and leased) makes such qualification necessary, except for those jurisdictions in which failure to do so would not reasonably be expected to have a material adverse effect on the Company or the business of the Company and its subsidiaries (a “</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1" w:name="page242"/>
    <w:bookmarkEnd w:id="241"/>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Authorization; Binding Obligations</w:t>
      </w:r>
      <w:r>
        <w:rPr>
          <w:rFonts w:ascii="Times New Roman" w:cs="Times New Roman" w:eastAsia="Times New Roman" w:hAnsi="Times New Roman"/>
          <w:sz w:val="16"/>
          <w:szCs w:val="16"/>
          <w:color w:val="auto"/>
        </w:rPr>
        <w:t>. The Company has all requisite corporate power to execute and deliver this Agreement and to perform its obligations hereunder, including the consummation of the Exchange in accordance with the terms of this Agreement. The execution, delivery and performance of this Agreement by the Company have been duly authorized by all necessary corporate action by the Company and its Board of Directors, and no further filing, consent or authorization is required by the Company, the Company’s Board of Directors or its stockholders. This Agreement has been (or upon delivery will have been) duly executed and delivered by the Company, and constitutes the legal, valid and binding obligation of the Company, enforceable against the Company in accordance with its terms, except as such enforceability may be limited by general principles of equity or applicable bankruptcy, insolvency, reorganization, moratorium, liquidation or similar laws relating to, or affecting creditors’ rights and remedies generally.</w:t>
      </w:r>
    </w:p>
    <w:p>
      <w:pPr>
        <w:spacing w:after="0" w:line="167"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Compliance with Other Instruments</w:t>
      </w:r>
      <w:r>
        <w:rPr>
          <w:rFonts w:ascii="Times New Roman" w:cs="Times New Roman" w:eastAsia="Times New Roman" w:hAnsi="Times New Roman"/>
          <w:sz w:val="16"/>
          <w:szCs w:val="16"/>
          <w:color w:val="auto"/>
        </w:rPr>
        <w:t>. The Company is not in, and the execution, delivery and performance of this Agreement by the Company will not result in, any violation of, conflict with or constitute, with or without the passage of time or giving of notice, a default under any term of (a) its certificate of incorporation or bylaws, all as amended and as currently in effect, (b) any provision of any mortgage, indenture or contract to which it is a party and by which it, any of its subsidiaries or any of their respective assets is bound or (c) any statute, rule, regulation, judgment, decree, order or writ, other than, in the case of clauses (b) and (c), such violations, conflicts or defaults as would not reasonably be expected to have a Material Adverse Effect. The execution, delivery and performance of this Agreement by the Company will not result in the creation of any Lien upon any assets of the Company or its subsidiaries, or the suspension, revocation, impairment, forfeiture, or nonrenewal of any material permit, license, authorization or approval applicable to the Company, or the business, operations, assets or properties of the Company or its subsidiaries. Without limiting the foregoing, the Company has obtained all waivers reasonably necessary with respect to any preemptive rights, rights of first refusal or similar rights, including any notice or offering periods provided for as part of any such rights, in order for the Company to consummate the transactions contemplated under this Agreement without any third party obtaining any rights to cause the Company to offer or issue any securities of the Company as a result of the consummation of the transactions contemplated hereunder.</w:t>
      </w:r>
    </w:p>
    <w:p>
      <w:pPr>
        <w:spacing w:after="0" w:line="171" w:lineRule="exact"/>
        <w:rPr>
          <w:sz w:val="20"/>
          <w:szCs w:val="20"/>
          <w:color w:val="auto"/>
        </w:rPr>
      </w:pPr>
    </w:p>
    <w:p>
      <w:pPr>
        <w:jc w:val="both"/>
        <w:ind w:right="20" w:firstLine="1147"/>
        <w:spacing w:after="0" w:line="265" w:lineRule="auto"/>
        <w:rPr>
          <w:sz w:val="20"/>
          <w:szCs w:val="20"/>
          <w:color w:val="auto"/>
        </w:rPr>
      </w:pPr>
      <w:r>
        <w:rPr>
          <w:rFonts w:ascii="Times New Roman" w:cs="Times New Roman" w:eastAsia="Times New Roman" w:hAnsi="Times New Roman"/>
          <w:sz w:val="16"/>
          <w:szCs w:val="16"/>
          <w:color w:val="auto"/>
        </w:rPr>
        <w:t xml:space="preserve">3.4 </w:t>
      </w:r>
      <w:r>
        <w:rPr>
          <w:rFonts w:ascii="Times New Roman" w:cs="Times New Roman" w:eastAsia="Times New Roman" w:hAnsi="Times New Roman"/>
          <w:sz w:val="16"/>
          <w:szCs w:val="16"/>
          <w:u w:val="single" w:color="auto"/>
          <w:color w:val="auto"/>
        </w:rPr>
        <w:t>Securities Law Exemption</w:t>
      </w:r>
      <w:r>
        <w:rPr>
          <w:rFonts w:ascii="Times New Roman" w:cs="Times New Roman" w:eastAsia="Times New Roman" w:hAnsi="Times New Roman"/>
          <w:sz w:val="16"/>
          <w:szCs w:val="16"/>
          <w:color w:val="auto"/>
        </w:rPr>
        <w:t>. Assuming the accuracy of the representations and warranties of the Holder contained in this Agreement, the offer and issuance by the Company of the Exchange Shares pursuant to this Agreement are exempt from registration under Section 3(a)(9) and Section 4(a)(2) of the Securities Act and are exempt from registration and qualification under the registration, permit, or qualification requirements of all applicable state securities laws.</w:t>
      </w:r>
    </w:p>
    <w:p>
      <w:pPr>
        <w:spacing w:after="0" w:line="155" w:lineRule="exact"/>
        <w:rPr>
          <w:sz w:val="20"/>
          <w:szCs w:val="20"/>
          <w:color w:val="auto"/>
        </w:rPr>
      </w:pPr>
    </w:p>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Filings, Consents and Approvals</w:t>
      </w:r>
      <w:r>
        <w:rPr>
          <w:rFonts w:ascii="Times New Roman" w:cs="Times New Roman" w:eastAsia="Times New Roman" w:hAnsi="Times New Roman"/>
          <w:sz w:val="16"/>
          <w:szCs w:val="16"/>
          <w:color w:val="auto"/>
        </w:rPr>
        <w:t>. All consents, approvals, orders, or authorizations of, or registrations, qualifications, designations, declarations, or filings with, any governmental authority or self-regulatory organization required on the part of the Company in connection with the execution, delivery and performance of this Agreement and the issuance of the Exchange Shares have been obtained or made. No shareholder approval is required pursuant to the rules of the Nasdaq Stock Market in connection with the execution, delivery or performance of this Agreement, the issuance of the Exchange Shares or the completion of the Exchange.</w:t>
      </w:r>
    </w:p>
    <w:p>
      <w:pPr>
        <w:spacing w:after="0" w:line="162"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Issuance of Exchange Shares</w:t>
      </w:r>
      <w:r>
        <w:rPr>
          <w:rFonts w:ascii="Times New Roman" w:cs="Times New Roman" w:eastAsia="Times New Roman" w:hAnsi="Times New Roman"/>
          <w:sz w:val="16"/>
          <w:szCs w:val="16"/>
          <w:color w:val="auto"/>
        </w:rPr>
        <w:t xml:space="preserve">. The Exchange Shares have been duly authorized by the Company and upon the issuance of the Exchange Shares in accordance with the terms of this Agreement, the Exchange Shares will be validly issued, fully paid and non-assessable and free from all Liens with respect to the issuance thereof and shall not be subject to any preemptive, participation, rights of first refusal and similar rights. At the Closing, the Exchange Shares shall be delivered in book-entry form by the Company’s transfer agent with the restrictive legend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The Company acknowledges and agrees that (a) the holding period of the Exchange Shares for purposes of Rule 144 promulgated under the Securities Act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may be tacked on to the holding period of the exchanged 7.00% Notes in the Exchange and (b) it will not take any position to the contrary. The Company has filed and submitted all reports, exhibits and files set forth in Rule 144(c)(1) promulgated under the Securities Act.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2" w:name="page243"/>
    <w:bookmarkEnd w:id="242"/>
    <w:p>
      <w:pPr>
        <w:jc w:val="both"/>
        <w:ind w:firstLine="1147"/>
        <w:spacing w:after="0" w:line="257"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No Integration</w:t>
      </w:r>
      <w:r>
        <w:rPr>
          <w:rFonts w:ascii="Times New Roman" w:cs="Times New Roman" w:eastAsia="Times New Roman" w:hAnsi="Times New Roman"/>
          <w:sz w:val="16"/>
          <w:szCs w:val="16"/>
          <w:color w:val="auto"/>
        </w:rPr>
        <w:t>. None of the Company, any of its affiliates (as defined in Rule 501(b) under the Securities Act), or any person acting on behalf of the Company or such affiliate will sell, offer for sale, or solicit offers to buy or otherwise negotiate in respect of any security (as defined in the Securities Act) which will be integrated with the sale of the Securities in a manner which would require the registration of the offer and sale of the Exchange Shares in the Exchange under the Securities Act or require shareholder approval under the rules and regulations of the Nasdaq Stock Market, and the Company will take all action that is appropriate or necessary to assure that its offerings of other securities will not be integrated for purposes of the Securities Act or the rules and regulations of the Nasdaq Stock Market with the Exchange.</w:t>
      </w:r>
    </w:p>
    <w:p>
      <w:pPr>
        <w:spacing w:after="0" w:line="162"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Public Filings</w:t>
      </w:r>
      <w:r>
        <w:rPr>
          <w:rFonts w:ascii="Times New Roman" w:cs="Times New Roman" w:eastAsia="Times New Roman" w:hAnsi="Times New Roman"/>
          <w:sz w:val="16"/>
          <w:szCs w:val="16"/>
          <w:color w:val="auto"/>
        </w:rPr>
        <w:t>. From January 1, 2025 to the date of this Agreement, the Company has filed all reports, schedules, forms, proxy statements, statements and other documents required to be filed by it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pursuant to the reporting requirements of the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and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6"/>
          <w:szCs w:val="16"/>
          <w:b w:val="1"/>
          <w:bCs w:val="1"/>
          <w:color w:val="auto"/>
        </w:rPr>
        <w:t>SEC Documents</w:t>
      </w:r>
      <w:r>
        <w:rPr>
          <w:rFonts w:ascii="Times New Roman" w:cs="Times New Roman" w:eastAsia="Times New Roman" w:hAnsi="Times New Roman"/>
          <w:sz w:val="16"/>
          <w:szCs w:val="16"/>
          <w:color w:val="auto"/>
        </w:rPr>
        <w:t xml:space="preserve">”).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of Regulations S-X and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As of the date of this Agreement, the Company is not in possession of any material non-public information other (a) than the terms of the transactions contemplated by this Agreement, any Additional Holder Agreements (as defined below), the Note Purchase Agreement (as defined below) and any note purchase agreements analogous to the Note Purchase Agreement that the Company has executed with other persons and (b) such material non-public information required to be disclosed pursuant to </w:t>
      </w:r>
      <w:r>
        <w:rPr>
          <w:rFonts w:ascii="Times New Roman" w:cs="Times New Roman" w:eastAsia="Times New Roman" w:hAnsi="Times New Roman"/>
          <w:sz w:val="16"/>
          <w:szCs w:val="16"/>
          <w:u w:val="single" w:color="auto"/>
          <w:color w:val="auto"/>
        </w:rPr>
        <w:t>Section 3.9</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Securities Law Disclosure; Publicity</w:t>
      </w:r>
      <w:r>
        <w:rPr>
          <w:rFonts w:ascii="Times New Roman" w:cs="Times New Roman" w:eastAsia="Times New Roman" w:hAnsi="Times New Roman"/>
          <w:sz w:val="16"/>
          <w:szCs w:val="16"/>
          <w:color w:val="auto"/>
        </w:rPr>
        <w:t>. No later than 9:00 a.m. (New York City time) on the trading day immediately following the date of this Agreement (such date and time, the “</w:t>
      </w:r>
      <w:r>
        <w:rPr>
          <w:rFonts w:ascii="Times New Roman" w:cs="Times New Roman" w:eastAsia="Times New Roman" w:hAnsi="Times New Roman"/>
          <w:sz w:val="16"/>
          <w:szCs w:val="16"/>
          <w:b w:val="1"/>
          <w:bCs w:val="1"/>
          <w:color w:val="auto"/>
        </w:rPr>
        <w:t>Release Time</w:t>
      </w:r>
      <w:r>
        <w:rPr>
          <w:rFonts w:ascii="Times New Roman" w:cs="Times New Roman" w:eastAsia="Times New Roman" w:hAnsi="Times New Roman"/>
          <w:sz w:val="16"/>
          <w:szCs w:val="16"/>
          <w:color w:val="auto"/>
        </w:rPr>
        <w:t>”), the Company shall publicly disclose, via press release or Current Report on Form 8-K filed with the SEC, all material non-public information that was delivered to the Holder by the Company, its advisors or any person acting on behalf of the Company in connection with the transactions contemplated by this Agreement or that certain Note Purchase Agreement, dated as of the date hereof (the “</w:t>
      </w:r>
      <w:r>
        <w:rPr>
          <w:rFonts w:ascii="Times New Roman" w:cs="Times New Roman" w:eastAsia="Times New Roman" w:hAnsi="Times New Roman"/>
          <w:sz w:val="16"/>
          <w:szCs w:val="16"/>
          <w:b w:val="1"/>
          <w:bCs w:val="1"/>
          <w:color w:val="auto"/>
        </w:rPr>
        <w:t>Note Purchase Agreement</w:t>
      </w:r>
      <w:r>
        <w:rPr>
          <w:rFonts w:ascii="Times New Roman" w:cs="Times New Roman" w:eastAsia="Times New Roman" w:hAnsi="Times New Roman"/>
          <w:sz w:val="16"/>
          <w:szCs w:val="16"/>
          <w:color w:val="auto"/>
        </w:rPr>
        <w:t>”), between the Company and the Holder. After the Release Time, the Holder will not be under any contractual obligation to the Company to refrain from (a) disclosing the fact or the terms of the transactions contemplated by this Agreement or the Note Purchase Agreement or any other material non-public information required to be disclosed pursuant to this Section 3.9 or (b) using or trading on such information. The Company understands and acknowledges that the Holder and persons acting on its behalf will rely on the representations, warranties and covenants in this Section 3.9 in effecting transactions in the securities of the Company and of other persons. Without the prior written consent of the Holder (unless such disclosure is required by applicable law, rule, regulation or legal process based on advice of counsel), the Company shall not disclose (i) the name of the Holder in any filing or announcement or (ii) any information regarding the Holder’s holdings of securities of the Company or transactions in any securities of the Company at one of its prime brokers to any of the Holder’s other prime brokers or to any other person (other than the Company’s counsel, agents or representatives).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3" w:name="page244"/>
    <w:bookmarkEnd w:id="243"/>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Legend Removal</w:t>
      </w:r>
      <w:r>
        <w:rPr>
          <w:rFonts w:ascii="Times New Roman" w:cs="Times New Roman" w:eastAsia="Times New Roman" w:hAnsi="Times New Roman"/>
          <w:sz w:val="16"/>
          <w:szCs w:val="16"/>
          <w:color w:val="auto"/>
        </w:rPr>
        <w:t>. If the Holder transfers any Exchange Shares pursuant to an effective registration statement or in compliance with Rule 144 and delivers to the Company a written request, which request, in the case of a transfer pursuant to Rule 144, certifies that the Holder is not, and has not been at any time during the preceding three months, an affiliate (as defined in Rule 144 under the Securities Act) of the Company, the Company shall (a) cause all restrictive legends associated with such Exchange Shares to be removed, and use its commercially reasonable efforts to cause such removal within two trading days of such request, and (b) use its commercially reasonable efforts to cause the transfer agent for the Exchange Shares to transfer such Exchange Shares to the Holder’s prime brokerage account without the requirement that the Holder deliver any ink-original or medallion stamped transfer or other forms.</w:t>
      </w:r>
    </w:p>
    <w:p>
      <w:pPr>
        <w:spacing w:after="0" w:line="165"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Most Favored Nation</w:t>
      </w:r>
      <w:r>
        <w:rPr>
          <w:rFonts w:ascii="Times New Roman" w:cs="Times New Roman" w:eastAsia="Times New Roman" w:hAnsi="Times New Roman"/>
          <w:sz w:val="16"/>
          <w:szCs w:val="16"/>
          <w:color w:val="auto"/>
        </w:rPr>
        <w:t>. Prior to, concurrently with or following the execution of this Agreement, the Company may enter into one or more separate agreements with other beneficial owners of 7.0% Notes (the “</w:t>
      </w:r>
      <w:r>
        <w:rPr>
          <w:rFonts w:ascii="Times New Roman" w:cs="Times New Roman" w:eastAsia="Times New Roman" w:hAnsi="Times New Roman"/>
          <w:sz w:val="16"/>
          <w:szCs w:val="16"/>
          <w:b w:val="1"/>
          <w:bCs w:val="1"/>
          <w:color w:val="auto"/>
        </w:rPr>
        <w:t>Additional Holders</w:t>
      </w:r>
      <w:r>
        <w:rPr>
          <w:rFonts w:ascii="Times New Roman" w:cs="Times New Roman" w:eastAsia="Times New Roman" w:hAnsi="Times New Roman"/>
          <w:sz w:val="16"/>
          <w:szCs w:val="16"/>
          <w:color w:val="auto"/>
        </w:rPr>
        <w:t>”) for the exchange of additional 7.0% Notes for shares of Common Stock (the “</w:t>
      </w:r>
      <w:r>
        <w:rPr>
          <w:rFonts w:ascii="Times New Roman" w:cs="Times New Roman" w:eastAsia="Times New Roman" w:hAnsi="Times New Roman"/>
          <w:sz w:val="16"/>
          <w:szCs w:val="16"/>
          <w:b w:val="1"/>
          <w:bCs w:val="1"/>
          <w:color w:val="auto"/>
        </w:rPr>
        <w:t>Additional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Holder Agreements</w:t>
      </w:r>
      <w:r>
        <w:rPr>
          <w:rFonts w:ascii="Times New Roman" w:cs="Times New Roman" w:eastAsia="Times New Roman" w:hAnsi="Times New Roman"/>
          <w:sz w:val="16"/>
          <w:szCs w:val="16"/>
          <w:color w:val="auto"/>
        </w:rPr>
        <w:t>”). In the event that the Company enters into one or more Additional Holder Agreements, the Company covenants, represents and warrants that the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shares of Common Stock issued by the Company per $1,000 principal amount of 7.0% Notes exchanged by any such Additional Holder pursuant to the applicable Additional Holder Agreement is not and will not be greater than the number of Exchange Shares issued by the Company per $1,000 principal amount of Exchanged Notes pursuant to this Agreement.</w:t>
      </w:r>
    </w:p>
    <w:p>
      <w:pPr>
        <w:spacing w:after="0" w:line="163" w:lineRule="exact"/>
        <w:rPr>
          <w:sz w:val="20"/>
          <w:szCs w:val="20"/>
          <w:color w:val="auto"/>
        </w:rPr>
      </w:pPr>
    </w:p>
    <w:p>
      <w:pPr>
        <w:ind w:right="20" w:firstLine="569"/>
        <w:spacing w:after="0" w:line="283" w:lineRule="auto"/>
        <w:tabs>
          <w:tab w:leader="none" w:pos="73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Holder’s Representations and Warranties. </w:t>
      </w:r>
      <w:r>
        <w:rPr>
          <w:rFonts w:ascii="Times New Roman" w:cs="Times New Roman" w:eastAsia="Times New Roman" w:hAnsi="Times New Roman"/>
          <w:sz w:val="16"/>
          <w:szCs w:val="16"/>
          <w:color w:val="auto"/>
        </w:rPr>
        <w:t>The Holder hereby makes the following representations and warranties, each of which is and shall be true and correct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the date hereof and at the Closing, to the Company, and all such representations and warranties shall survive the Closing in accordance with Section 6.11:</w:t>
      </w:r>
    </w:p>
    <w:p>
      <w:pPr>
        <w:spacing w:after="0" w:line="14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The Holder is duly organized, validly existing and (where applicable) in good standing under the laws of the jurisdiction of its organization and has all requisite power and authority to carry on its business as now conducted in all material respects and to own its material properties.</w:t>
      </w:r>
    </w:p>
    <w:p>
      <w:pPr>
        <w:spacing w:after="0" w:line="144" w:lineRule="exact"/>
        <w:rPr>
          <w:sz w:val="20"/>
          <w:szCs w:val="20"/>
          <w:color w:val="auto"/>
        </w:rPr>
      </w:pPr>
    </w:p>
    <w:p>
      <w:pPr>
        <w:jc w:val="both"/>
        <w:ind w:right="20" w:firstLine="1147"/>
        <w:spacing w:after="0" w:line="254"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Authorization; Binding Obligations</w:t>
      </w:r>
      <w:r>
        <w:rPr>
          <w:rFonts w:ascii="Times New Roman" w:cs="Times New Roman" w:eastAsia="Times New Roman" w:hAnsi="Times New Roman"/>
          <w:sz w:val="16"/>
          <w:szCs w:val="16"/>
          <w:color w:val="auto"/>
        </w:rPr>
        <w:t>. The Holder has the requisite right, power and authority to enter into this Agreement and to consummate the transactions in accordance with the terms of this Agreement. The execution and delivery of this Agreement by the Holder and the consummation by the Holder of the Exchange have been duly authorized by all necessary action by the Holder, and no further filing, consent or authorization is required by the Holder, its board of directors, board of managers (or similar governing board) or its equity holders. This Agreement has been (or upon delivery will have been) duly executed and delivered by the Holder, and it constitutes the legal, valid and binding obligation of the Holder, enforceable against the Holder in accordance with its terms, except as such enforceability may be limited by general principles of equity or applicable bankruptcy, insolvency, reorganization, moratorium, liquidation or similar laws relating to, or affecting creditors’ rights and remedies generally.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4" w:name="page245"/>
    <w:bookmarkEnd w:id="244"/>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delivery and performance of this Agreement by the Holder and the consummation by the Holder of the Exchange will not conflict with or result in a breach or violation of any of the terms and provisions of, or constitute a default under (a) the Holder’s Certificate of Incorporation or the Holder’s Bylaws (or other governing documents), all as amended and in effect on the date hereof, (b) any statute, rule, regulation or order of any governmental agency or body or any court, domestic or foreign, having jurisdiction over the Holder or any of its respective assets or properties, or (c) any agreement or instrument to which the Holder is a party or by which the Holder is bound or to which any of their respective assets or properties is subject, except, in the case of clause (b) or (c) above, for any such conflict, breach, violation or default that would not reasonably be expected to have a material adverse effect on the authority or the ability of the Holder to perform its obligations under this Agreement.</w:t>
      </w:r>
    </w:p>
    <w:p>
      <w:pPr>
        <w:spacing w:after="0" w:line="167"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Filings, Consents and Approvals</w:t>
      </w:r>
      <w:r>
        <w:rPr>
          <w:rFonts w:ascii="Times New Roman" w:cs="Times New Roman" w:eastAsia="Times New Roman" w:hAnsi="Times New Roman"/>
          <w:sz w:val="16"/>
          <w:szCs w:val="16"/>
          <w:color w:val="auto"/>
        </w:rPr>
        <w:t>. The Holder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Holder of this Agreement, other than filings that have been made, or will be made, or consents that have been obtained, or will be obtained by the Holder, on or prior to the Closing and filings and consents the absence of which would not reasonably be expected to have a material adverse effect on the authority or the ability of the Holder to perform its obligations under this Agreement.</w:t>
      </w:r>
    </w:p>
    <w:p>
      <w:pPr>
        <w:spacing w:after="0" w:line="162"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Beneficial Owner and Title</w:t>
      </w:r>
      <w:r>
        <w:rPr>
          <w:rFonts w:ascii="Times New Roman" w:cs="Times New Roman" w:eastAsia="Times New Roman" w:hAnsi="Times New Roman"/>
          <w:sz w:val="16"/>
          <w:szCs w:val="16"/>
          <w:color w:val="auto"/>
        </w:rPr>
        <w:t>. The Holder is the legal and beneficial owner of the Exchanged Notes; the Holder has good and marketable title to the Exchanged Notes, free and clear of any Liens (other than Liens in connection with prime brokerage relationships, which will be released at or before the Closing); and at the Closing, the Holder will convey to the Company good and marketable title to the Exchanged Notes surrendered by the Holder in their entirety in connection with the Exchange, free and clear of any Liens.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Securities Representations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780" w:right="20" w:firstLine="2299"/>
        <w:spacing w:after="0" w:line="280" w:lineRule="auto"/>
        <w:tabs>
          <w:tab w:leader="none" w:pos="3298"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is not, and has not been for a preceding three months, an affiliate (as defined in Rule 144 under the Securities Act) of the Company. To its knowledge, the Holder did not acquire any of the Exchanged Notes, directly or indirectly, from an affiliate of the Company.</w:t>
      </w:r>
    </w:p>
    <w:p>
      <w:pPr>
        <w:spacing w:after="0" w:line="144" w:lineRule="exact"/>
        <w:rPr>
          <w:rFonts w:ascii="Times New Roman" w:cs="Times New Roman" w:eastAsia="Times New Roman" w:hAnsi="Times New Roman"/>
          <w:sz w:val="16"/>
          <w:szCs w:val="16"/>
          <w:color w:val="auto"/>
        </w:rPr>
      </w:pPr>
    </w:p>
    <w:p>
      <w:pPr>
        <w:jc w:val="both"/>
        <w:ind w:left="780" w:right="20" w:firstLine="2299"/>
        <w:spacing w:after="0" w:line="265" w:lineRule="auto"/>
        <w:tabs>
          <w:tab w:leader="none" w:pos="3306"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is a “qualified institutional buyer” as defined in Rule 144A under the Securities Act with such knowledge and experience in financial and business matters as are necessary in order to evaluate the merits and risks of the Exchange. The Holder is able to bear the economic risk of an investment in the Exchange Shares and, at the present time, is able to afford a complete loss of its investment.</w:t>
      </w:r>
    </w:p>
    <w:p>
      <w:pPr>
        <w:spacing w:after="0" w:line="155" w:lineRule="exact"/>
        <w:rPr>
          <w:rFonts w:ascii="Times New Roman" w:cs="Times New Roman" w:eastAsia="Times New Roman" w:hAnsi="Times New Roman"/>
          <w:sz w:val="16"/>
          <w:szCs w:val="16"/>
          <w:color w:val="auto"/>
        </w:rPr>
      </w:pPr>
    </w:p>
    <w:p>
      <w:pPr>
        <w:jc w:val="both"/>
        <w:ind w:left="780" w:firstLine="2299"/>
        <w:spacing w:after="0" w:line="259" w:lineRule="auto"/>
        <w:tabs>
          <w:tab w:leader="none" w:pos="3289"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is acquiring the Exchange Shares for its own account for investment without a view towards distribution thereof. The Holder has not engaged in any illegal actions in connection with the Exchange, including any violation of applicable securities laws governing confidential information. The Holder agrees not to reoffer or resell the Exchange Shares except pursuant to an exemption from registration under the Act or pursuant to an effective registration statement thereunder.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5" w:name="page246"/>
    <w:bookmarkEnd w:id="245"/>
    <w:p>
      <w:pPr>
        <w:jc w:val="both"/>
        <w:ind w:right="20" w:firstLine="1147"/>
        <w:spacing w:after="0" w:line="259"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Reliance on Exemptions</w:t>
      </w:r>
      <w:r>
        <w:rPr>
          <w:rFonts w:ascii="Times New Roman" w:cs="Times New Roman" w:eastAsia="Times New Roman" w:hAnsi="Times New Roman"/>
          <w:sz w:val="16"/>
          <w:szCs w:val="16"/>
          <w:color w:val="auto"/>
        </w:rPr>
        <w:t>. The Holder understands that the Exchange Shares are being offered in the Exchange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acquire the Exchange Shares.</w:t>
      </w:r>
    </w:p>
    <w:p>
      <w:pPr>
        <w:spacing w:after="0" w:line="162"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Disclosure of Information; Consultation with Counsel and Advisors</w:t>
      </w:r>
      <w:r>
        <w:rPr>
          <w:rFonts w:ascii="Times New Roman" w:cs="Times New Roman" w:eastAsia="Times New Roman" w:hAnsi="Times New Roman"/>
          <w:sz w:val="16"/>
          <w:szCs w:val="16"/>
          <w:color w:val="auto"/>
        </w:rPr>
        <w:t>. The Holder has access to (including through the EDGAR system) and has had an opportunity to review the Annual Reports, Quarterly Reports, Current Reports, Proxy Statements and other filings and submissions made by the Company with the SEC, including the “Risk Factors” contained therein. The Holder acknowledges, confirms and agrees that: (a) the Holder is a sophisticated institutional investor that is willing and able to conduct, and has conducted, a thorough investigation of the Exchange Shares, the Company and the business and financial position of the Company and its Subsidiaries (the “</w:t>
      </w:r>
      <w:r>
        <w:rPr>
          <w:rFonts w:ascii="Times New Roman" w:cs="Times New Roman" w:eastAsia="Times New Roman" w:hAnsi="Times New Roman"/>
          <w:sz w:val="16"/>
          <w:szCs w:val="16"/>
          <w:b w:val="1"/>
          <w:bCs w:val="1"/>
          <w:color w:val="auto"/>
        </w:rPr>
        <w:t>Company Business</w:t>
      </w:r>
      <w:r>
        <w:rPr>
          <w:rFonts w:ascii="Times New Roman" w:cs="Times New Roman" w:eastAsia="Times New Roman" w:hAnsi="Times New Roman"/>
          <w:sz w:val="16"/>
          <w:szCs w:val="16"/>
          <w:color w:val="auto"/>
        </w:rPr>
        <w:t xml:space="preserve">”), (b) no prospectus, offering document or other disclosure document has been or will be prepared in connection with the Exchange and the transactions under this Agreement, (c) the Holder has or has requested access to (including through the EDGAR system), and has had sufficient opportunity to evaluate, all information and documentation that it believes is necessary or appropriate in connection with its decision to enter into this Agreement and to participate in the Exchange, including such information with respect to the Company and the Company Business, (d) neither the Company nor its representatives or advisors are responsible for any due diligence investigation on the Holder’s behalf, the advisability of the Exchange or any information or document delivered in connection with this Agreement (including, without limitation, with respect to the Company Business) other than the SEC Documents, (e) the Holder is not relying upon any representations, expressed or implied, with respect to the transactions contemplated by this Agreement, including the Exchange, except those expressly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Agreement, (f) the Holder has consulted its own independent advisors with regard to, without limitation, the legal, regulatory, tax, business, investment, financial, accounting, currency and other economic considerations related to the Exchange and the risks associated with an investment in the Exchange Shares (including, without limitation, with respect to the Company Business), (g) the Holder has made its own investment, hedging and trading decisions based upon its own judgment and upon advice from its own independent advisors and not upon any view expressed by the other person, and (h) the Holder is acquiring the Exchange Shares with a full understanding of the terms, conditions and risks thereof including, but not limited to, counterparty risk, country risk, price risk and liquidity risk, and the Holder is capable of and willing to assume those risks. The Holder further represents that it is acting as principal in the Exchange of the Exchanged Notes. The Holder has been represented by such legal and tax counsel and other counsel and advisors selected by the Holder as the Holder has found necessary to consult concerning this transaction, to review and evaluate the tax, economic and other ramifications of the Exchange, including, without limitation, whether the Exchange will result in any adverse tax consequences to the Holder.</w:t>
      </w:r>
    </w:p>
    <w:p>
      <w:pPr>
        <w:spacing w:after="0" w:line="168"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Proceedings</w:t>
      </w:r>
      <w:r>
        <w:rPr>
          <w:rFonts w:ascii="Times New Roman" w:cs="Times New Roman" w:eastAsia="Times New Roman" w:hAnsi="Times New Roman"/>
          <w:sz w:val="16"/>
          <w:szCs w:val="16"/>
          <w:color w:val="auto"/>
        </w:rPr>
        <w:t>. The Holder knows of no proceedings relating to the Exchanged Notes that are pending or threatened before any court, arbitrator or administrative or governmental body that would adversely affect the completion of the Exchange.</w:t>
      </w:r>
    </w:p>
    <w:p>
      <w:pPr>
        <w:spacing w:after="0" w:line="144"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The Holder acknowledges that the Exchange may involve tax consequences to the Holder, and that the contents of this Agreement do not constitute tax advice. The Holder acknowledges that it has not relied on and will not rely upon the Company with respect to any tax consequences related to the Exchange. The Holder assumes full responsibility for all such consequences and for the preparation and filing of any tax returns and elections which may or must be filed in connection with its beneficial ownership of the Exchanged Notes or the Exchange.</w:t>
      </w:r>
    </w:p>
    <w:p>
      <w:pPr>
        <w:spacing w:after="0" w:line="162"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Full Satisfaction of Obligations</w:t>
      </w:r>
      <w:r>
        <w:rPr>
          <w:rFonts w:ascii="Times New Roman" w:cs="Times New Roman" w:eastAsia="Times New Roman" w:hAnsi="Times New Roman"/>
          <w:sz w:val="16"/>
          <w:szCs w:val="16"/>
          <w:color w:val="auto"/>
        </w:rPr>
        <w:t>. The Holder acknowledges that upon the full issuance of the Exchange Shares and payment of the Interest Payment, the obligations of the Company to the Holder under the Exchanged Notes shall have been satisfied in full.</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6" w:name="page247"/>
    <w:bookmarkEnd w:id="246"/>
    <w:p>
      <w:pPr>
        <w:ind w:left="1140"/>
        <w:spacing w:after="0"/>
        <w:rPr>
          <w:sz w:val="20"/>
          <w:szCs w:val="20"/>
          <w:color w:val="auto"/>
        </w:rPr>
      </w:pPr>
      <w:r>
        <w:rPr>
          <w:rFonts w:ascii="Times New Roman" w:cs="Times New Roman" w:eastAsia="Times New Roman" w:hAnsi="Times New Roman"/>
          <w:sz w:val="16"/>
          <w:szCs w:val="16"/>
          <w:b w:val="1"/>
          <w:bCs w:val="1"/>
          <w:color w:val="auto"/>
        </w:rPr>
        <w:t>5. Registration Rights.</w:t>
      </w:r>
    </w:p>
    <w:p>
      <w:pPr>
        <w:spacing w:after="0" w:line="198" w:lineRule="exact"/>
        <w:rPr>
          <w:sz w:val="20"/>
          <w:szCs w:val="20"/>
          <w:color w:val="auto"/>
        </w:rPr>
      </w:pPr>
    </w:p>
    <w:p>
      <w:pPr>
        <w:jc w:val="both"/>
        <w:ind w:firstLine="1147"/>
        <w:spacing w:after="0" w:line="251" w:lineRule="auto"/>
        <w:rPr>
          <w:sz w:val="20"/>
          <w:szCs w:val="20"/>
          <w:color w:val="auto"/>
        </w:rPr>
      </w:pPr>
      <w:r>
        <w:rPr>
          <w:rFonts w:ascii="Times New Roman" w:cs="Times New Roman" w:eastAsia="Times New Roman" w:hAnsi="Times New Roman"/>
          <w:sz w:val="16"/>
          <w:szCs w:val="16"/>
          <w:color w:val="auto"/>
        </w:rPr>
        <w:t>5.1 The Company agrees that, on or before May 15, 2026 (the “</w:t>
      </w:r>
      <w:r>
        <w:rPr>
          <w:rFonts w:ascii="Times New Roman" w:cs="Times New Roman" w:eastAsia="Times New Roman" w:hAnsi="Times New Roman"/>
          <w:sz w:val="16"/>
          <w:szCs w:val="16"/>
          <w:b w:val="1"/>
          <w:bCs w:val="1"/>
          <w:color w:val="auto"/>
        </w:rPr>
        <w:t>Filing Date</w:t>
      </w:r>
      <w:r>
        <w:rPr>
          <w:rFonts w:ascii="Times New Roman" w:cs="Times New Roman" w:eastAsia="Times New Roman" w:hAnsi="Times New Roman"/>
          <w:sz w:val="16"/>
          <w:szCs w:val="16"/>
          <w:color w:val="auto"/>
        </w:rPr>
        <w:t>”), the Company will file with the SEC, at the Company’s sole cost and expense, a registration statement for a shelf registration on Form S-1 (or Form S-3, if the Company is eligible to use Form S-3) (in either case,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registering the resale of the Exchange Shares held by the Holder as of two Business Days prior to such filing (such shares of Common Stock issuable upon the conversion of such Notes, the “</w:t>
      </w:r>
      <w:r>
        <w:rPr>
          <w:rFonts w:ascii="Times New Roman" w:cs="Times New Roman" w:eastAsia="Times New Roman" w:hAnsi="Times New Roman"/>
          <w:sz w:val="16"/>
          <w:szCs w:val="16"/>
          <w:b w:val="1"/>
          <w:bCs w:val="1"/>
          <w:color w:val="auto"/>
        </w:rPr>
        <w:t>Registrable Securities</w:t>
      </w:r>
      <w:r>
        <w:rPr>
          <w:rFonts w:ascii="Times New Roman" w:cs="Times New Roman" w:eastAsia="Times New Roman" w:hAnsi="Times New Roman"/>
          <w:sz w:val="16"/>
          <w:szCs w:val="16"/>
          <w:color w:val="auto"/>
        </w:rPr>
        <w:t>”), and the Company shall use its commercially reasonable efforts to have the Registration Statement declared effective as soon as practicable after the filing thereof, but no later than the 10th Business Day after the date the Company is notified (orally or in writing, whichever is earlier) by the SEC that the Registration Statement will not be “reviewed” or will not be subject to further review (the “</w:t>
      </w:r>
      <w:r>
        <w:rPr>
          <w:rFonts w:ascii="Times New Roman" w:cs="Times New Roman" w:eastAsia="Times New Roman" w:hAnsi="Times New Roman"/>
          <w:sz w:val="16"/>
          <w:szCs w:val="16"/>
          <w:b w:val="1"/>
          <w:bCs w:val="1"/>
          <w:color w:val="auto"/>
        </w:rPr>
        <w:t>Effectiveness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Company’s obligations to include the Registrable Securities in the Registration Statement are contingent upon the Holder furnishing a completed and executed selling securityholder questionnaire in customary form to the Company that contains the information required by SEC rules for a Registration Statement regarding the Holder, the securities of the Company held by the Holder and the intended method of disposition of the Registrable Securities (which shall be limited to non-underwritten public offerings) to effect the registration of the Registrable Securities, and the Holder shall execute such documents in connection with such registration as the Company may reasonably request that are customary of a selling securityholder in similar situations. For purposes of clarification, any failure by the Company to file the Registration Statement by the Filing Date or to effect such Registration Statement by the Effectiveness Date shall not otherwise relieve the Company of its obligations to file or effect the Registration Statement as set forth above in this section. Notwithstanding the foregoing, if the SEC prevents the Company from including any or all of the shares of Common Stock proposed to be registered under the Registration Statement due to limitations on the use of Rule 415 of the Securities Act for the resale of the Common Stock by the applicable securityholder or otherwise, such Registration Statement shall register for resale such number of shares of Common Stock which is equal to the maximum number of shares of Common Stock as is permitted by the SEC. In such event, the number of shares of Common Stock to be registered for each selling securityholder named in the Registration Statement shall be reduced pro rata among all such selling securityholders. Unless required under applicable laws and SEC rules, in no event shall the Holder be identified as a statutory underwriter in the Registration Statement; provided, that if the Holder is required to be so identified as a statutory underwriter in the Registration Statement, the Holder will have an opportunity to withdraw its Registrable Securities from the Registration Statement.</w:t>
      </w:r>
    </w:p>
    <w:p>
      <w:pPr>
        <w:spacing w:after="0" w:line="170" w:lineRule="exact"/>
        <w:rPr>
          <w:sz w:val="20"/>
          <w:szCs w:val="20"/>
          <w:color w:val="auto"/>
        </w:rPr>
      </w:pPr>
    </w:p>
    <w:p>
      <w:pPr>
        <w:jc w:val="both"/>
        <w:ind w:firstLine="1147"/>
        <w:spacing w:after="0" w:line="255" w:lineRule="auto"/>
        <w:rPr>
          <w:sz w:val="20"/>
          <w:szCs w:val="20"/>
          <w:color w:val="auto"/>
        </w:rPr>
      </w:pPr>
      <w:r>
        <w:rPr>
          <w:rFonts w:ascii="Times New Roman" w:cs="Times New Roman" w:eastAsia="Times New Roman" w:hAnsi="Times New Roman"/>
          <w:sz w:val="16"/>
          <w:szCs w:val="16"/>
          <w:color w:val="auto"/>
        </w:rPr>
        <w:t>5.2 The Company shall use its commercially reasonable efforts to keep such registration, and any qualification, exemption or compliance under state securities laws which the Company determines to obtain, continuously effective with respect to the Holder, and to keep the applicable Registration Statement or any subsequent shelf registration statement free of any material misstatements or omissions, until the earlier of the following: (i) the Holder ceases to hold any Registrable Securities and (ii) the date all Registrable Securities held by the Holder may be sold without restriction under Rule 144, including without limitation, any volume and manner of sale restrictions which may be applicable to affiliates under Rule 144 and without the requirement for the Company to be in compliance with the current public information required under Rule 144(c)(1) (or Rule 144(i)(2), if applicable).</w:t>
      </w:r>
    </w:p>
    <w:p>
      <w:pPr>
        <w:spacing w:after="0" w:line="163" w:lineRule="exact"/>
        <w:rPr>
          <w:sz w:val="20"/>
          <w:szCs w:val="20"/>
          <w:color w:val="auto"/>
        </w:rPr>
      </w:pPr>
    </w:p>
    <w:p>
      <w:pPr>
        <w:jc w:val="both"/>
        <w:ind w:firstLine="1147"/>
        <w:spacing w:after="0" w:line="253" w:lineRule="auto"/>
        <w:rPr>
          <w:sz w:val="20"/>
          <w:szCs w:val="20"/>
          <w:color w:val="auto"/>
        </w:rPr>
      </w:pPr>
      <w:r>
        <w:rPr>
          <w:rFonts w:ascii="Times New Roman" w:cs="Times New Roman" w:eastAsia="Times New Roman" w:hAnsi="Times New Roman"/>
          <w:sz w:val="16"/>
          <w:szCs w:val="16"/>
          <w:color w:val="auto"/>
        </w:rPr>
        <w:t>5.3 Notwithstanding anything herein to the contrary, the Company may suspend the use of any prospectus (a “</w:t>
      </w:r>
      <w:r>
        <w:rPr>
          <w:rFonts w:ascii="Times New Roman" w:cs="Times New Roman" w:eastAsia="Times New Roman" w:hAnsi="Times New Roman"/>
          <w:sz w:val="16"/>
          <w:szCs w:val="16"/>
          <w:b w:val="1"/>
          <w:bCs w:val="1"/>
          <w:color w:val="auto"/>
        </w:rPr>
        <w:t>Prospectus</w:t>
      </w:r>
      <w:r>
        <w:rPr>
          <w:rFonts w:ascii="Times New Roman" w:cs="Times New Roman" w:eastAsia="Times New Roman" w:hAnsi="Times New Roman"/>
          <w:sz w:val="16"/>
          <w:szCs w:val="16"/>
          <w:color w:val="auto"/>
        </w:rPr>
        <w:t>”) included in any Registration Statement contemplated by this Section in the event that the Company’s Board of Directors determines in good faith that such suspension is necessary to (A) delay the disclosure of material non-public information concerning the Company, the disclosure of which at the time is not, in the good faith opinion of the Company’s Board of Directors,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6"/>
          <w:szCs w:val="16"/>
          <w:b w:val="1"/>
          <w:bCs w:val="1"/>
          <w:color w:val="auto"/>
        </w:rPr>
        <w:t>Allowed Registration Delay</w:t>
      </w:r>
      <w:r>
        <w:rPr>
          <w:rFonts w:ascii="Times New Roman" w:cs="Times New Roman" w:eastAsia="Times New Roman" w:hAnsi="Times New Roman"/>
          <w:sz w:val="16"/>
          <w:szCs w:val="16"/>
          <w:color w:val="auto"/>
        </w:rPr>
        <w:t>”); provided, that the Company shall promptly (a) notify the Holder in writing of the commencement of and the reasons for an Allowed Registration Delay, but shall not (without the prior written consent of the Holder) disclose to the Holder any material non-public information giving rise to an Allowed Registration Delay, (b) advise the Holder in writing to cease all sales under the Registration Statement until the end of the Allowed Registration Delay and (c) use commercially reasonable efforts to terminate an Allowed Registration Delay as promptly as practicable.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47" w:name="page248"/>
    <w:bookmarkEnd w:id="247"/>
    <w:p>
      <w:pPr>
        <w:jc w:val="both"/>
        <w:ind w:right="20" w:firstLine="1147"/>
        <w:spacing w:after="0" w:line="255" w:lineRule="auto"/>
        <w:rPr>
          <w:sz w:val="20"/>
          <w:szCs w:val="20"/>
          <w:color w:val="auto"/>
        </w:rPr>
      </w:pPr>
      <w:r>
        <w:rPr>
          <w:rFonts w:ascii="Times New Roman" w:cs="Times New Roman" w:eastAsia="Times New Roman" w:hAnsi="Times New Roman"/>
          <w:sz w:val="16"/>
          <w:szCs w:val="16"/>
          <w:color w:val="auto"/>
        </w:rPr>
        <w:t>5.4 If the Company does not file a Registration Statement with the SEC covering the Registrable Securities on or prior to the Filing Date (other than as a result of an Allowed Registration Delay), the Company will make up to two payments to the Purchaser, as liquidated damages and not as a penalty, in an amount equal to 1.0% of the product of (a) the number of Exchange Shares that may not be sold without restriction under Rule 144 multiplied by (b) $1.13 per share, for each 30-day period or pro rata for any portion thereof following the Filing Date for which no Registration Statement is filed with respect to the Registrable Securities. Such payments shall constitute the Purchaser’s exclusive monetary remedy for the Company’s breach of Section 5.1 (a) only, but shall not affect the right of the Purchaser to seek injunctive relief. Such payments shall be made to the Purchaser in cash no later than 10 Business Days after the end of each 30-day period referred to above.</w:t>
      </w:r>
    </w:p>
    <w:p>
      <w:pPr>
        <w:spacing w:after="0" w:line="163" w:lineRule="exact"/>
        <w:rPr>
          <w:sz w:val="20"/>
          <w:szCs w:val="20"/>
          <w:color w:val="auto"/>
        </w:rPr>
      </w:pPr>
    </w:p>
    <w:p>
      <w:pPr>
        <w:ind w:left="1300" w:hanging="157"/>
        <w:spacing w:after="0"/>
        <w:tabs>
          <w:tab w:leader="none" w:pos="130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Miscellaneous Provisions.</w:t>
      </w:r>
    </w:p>
    <w:p>
      <w:pPr>
        <w:spacing w:after="0" w:line="200"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Each party hereto shall pay its own costs and expenses in connection with this Agreement and the Exchange, including all fees and expenses of legal counsel, accountants, financial advisors, agents and representatives.</w:t>
      </w:r>
    </w:p>
    <w:p>
      <w:pPr>
        <w:spacing w:after="0" w:line="144"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Entire Agreemen</w:t>
      </w:r>
      <w:r>
        <w:rPr>
          <w:rFonts w:ascii="Times New Roman" w:cs="Times New Roman" w:eastAsia="Times New Roman" w:hAnsi="Times New Roman"/>
          <w:sz w:val="16"/>
          <w:szCs w:val="16"/>
          <w:color w:val="auto"/>
        </w:rPr>
        <w:t>t. This Agreement, together with its exhibits and schedules, contains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u w:val="single" w:color="auto"/>
          <w:color w:val="auto"/>
        </w:rPr>
        <w:t>Titles and Subtitles</w:t>
      </w:r>
      <w:r>
        <w:rPr>
          <w:rFonts w:ascii="Times New Roman" w:cs="Times New Roman" w:eastAsia="Times New Roman" w:hAnsi="Times New Roman"/>
          <w:sz w:val="15"/>
          <w:szCs w:val="15"/>
          <w:color w:val="auto"/>
        </w:rPr>
        <w:t>. The titles and subtitles used in this Agreement are used for convenience only and are not to be considered in construing or interpreting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Agreement.</w:t>
      </w:r>
    </w:p>
    <w:p>
      <w:pPr>
        <w:spacing w:after="0" w:line="182" w:lineRule="exact"/>
        <w:rPr>
          <w:sz w:val="20"/>
          <w:szCs w:val="20"/>
          <w:color w:val="auto"/>
        </w:rPr>
      </w:pPr>
    </w:p>
    <w:p>
      <w:pPr>
        <w:jc w:val="both"/>
        <w:ind w:firstLine="1147"/>
        <w:spacing w:after="0" w:line="252"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(provided that in either case, except for written requests delivered pursuant to Section 3.10, it is followed promptly by a confirming copy of the notice given via another authorized means for that recipient); (c) five (5) days after having been sent to a U.S. address by registered or certified mail, return receipt requested, postage prepaid; (d) one (1) Business Day after the Business Day of deposit with a nationally recognized overnight courier, freight prepaid, specifying next-day delivery to a U.S. address, with written verification of receipt; or (e) three (3) Business Days after deposit with an internationally recognized expedited delivery services company, freight prepaid for delivery to a non-U.S. address, specifying next available Business Day delivery, with written verification of receipt. All communications shall be sent to the respective parties at their address as set forth on the signature page or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as the case may be, or to such email address, facsimile number or address as subsequently modified by written notice given in accordance with this Section 6.4. If notice is given to the Company, a copy (which shall not constitute notice) shall also be sent to Arnold &amp; Porter Kaye Scholer LLP, 250 West 55th Street, New York, NY 10019, Attention: Michael Penney.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8" w:name="page249"/>
    <w:bookmarkEnd w:id="248"/>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No provision of this Agreement may be waived, modified, supplemented or amended except in a written instrument signed, in the case of an amendment, by the Company and the Holder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62"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2" w:lineRule="exact"/>
        <w:rPr>
          <w:sz w:val="20"/>
          <w:szCs w:val="20"/>
          <w:color w:val="auto"/>
        </w:rPr>
      </w:pPr>
    </w:p>
    <w:p>
      <w:pPr>
        <w:jc w:val="both"/>
        <w:ind w:right="20" w:firstLine="1147"/>
        <w:spacing w:after="0" w:line="257" w:lineRule="auto"/>
        <w:rPr>
          <w:sz w:val="20"/>
          <w:szCs w:val="20"/>
          <w:color w:val="auto"/>
        </w:rPr>
      </w:pPr>
      <w:r>
        <w:rPr>
          <w:rFonts w:ascii="Times New Roman" w:cs="Times New Roman" w:eastAsia="Times New Roman" w:hAnsi="Times New Roman"/>
          <w:sz w:val="16"/>
          <w:szCs w:val="16"/>
          <w:color w:val="auto"/>
        </w:rPr>
        <w:t xml:space="preserve">6.7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62" w:lineRule="exact"/>
        <w:rPr>
          <w:sz w:val="20"/>
          <w:szCs w:val="20"/>
          <w:color w:val="auto"/>
        </w:rPr>
      </w:pPr>
    </w:p>
    <w:p>
      <w:pPr>
        <w:jc w:val="both"/>
        <w:ind w:firstLine="1147"/>
        <w:spacing w:after="0" w:line="259" w:lineRule="auto"/>
        <w:rPr>
          <w:sz w:val="20"/>
          <w:szCs w:val="20"/>
          <w:color w:val="auto"/>
        </w:rPr>
      </w:pPr>
      <w:r>
        <w:rPr>
          <w:rFonts w:ascii="Times New Roman" w:cs="Times New Roman" w:eastAsia="Times New Roman" w:hAnsi="Times New Roman"/>
          <w:sz w:val="16"/>
          <w:szCs w:val="16"/>
          <w:color w:val="auto"/>
        </w:rPr>
        <w:t xml:space="preserve">6.8 </w:t>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Unless the context of this Agreement clearly requires otherwise, (a) references to the plural include the singular, the singular the plural, the part the whole, (b) references to any gender include all genders, (c) “including” has the inclusive meaning frequently identified with the phrase “but not limited to” and (d) references to “hereunder” or “herein” relate to this Agreement.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right="20" w:firstLine="1147"/>
        <w:spacing w:after="0" w:line="255"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Holder and the Company and their respective successors, permitted assigns and legal representations, and nothing expressed or mentioned in this Agreement is intended or shall be construed to give any other person any legal or equitable right, remedy or claim under or in respect of this Agreement, or any provision contained in this Agreement, this Agreement and all conditions and provisions hereof being intended to be and being the sole and exclusive benefit of such persons and for the benefit of no other person. No purchaser of the Exchanged Notes from the Holder shall be deemed a successor because of such purchase. No party to this Agreement may assign this Agreement or its rights or obligations hereunder without the prior written consent of the other party hereto.</w:t>
      </w:r>
    </w:p>
    <w:p>
      <w:pPr>
        <w:spacing w:after="0" w:line="16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6.10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This Agreement is intended for the benefit of the parties hereto and their respective successors and permitted assigns and is not for the benefit of, nor may any provision hereof be enforced by, any other person.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9" w:name="page250"/>
    <w:bookmarkEnd w:id="249"/>
    <w:p>
      <w:pPr>
        <w:ind w:left="1140"/>
        <w:spacing w:after="0"/>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The representations, warranties and covenants of the Company and the Holder contained herein and this Section 6 shall survive the Closing.</w:t>
      </w:r>
    </w:p>
    <w:p>
      <w:pPr>
        <w:spacing w:after="0" w:line="198" w:lineRule="exact"/>
        <w:rPr>
          <w:sz w:val="20"/>
          <w:szCs w:val="20"/>
          <w:color w:val="auto"/>
        </w:rPr>
      </w:pPr>
    </w:p>
    <w:p>
      <w:pPr>
        <w:jc w:val="both"/>
        <w:ind w:firstLine="1147"/>
        <w:spacing w:after="0" w:line="254" w:lineRule="auto"/>
        <w:rPr>
          <w:sz w:val="20"/>
          <w:szCs w:val="20"/>
          <w:color w:val="auto"/>
        </w:rPr>
      </w:pPr>
      <w:r>
        <w:rPr>
          <w:rFonts w:ascii="Times New Roman" w:cs="Times New Roman" w:eastAsia="Times New Roman" w:hAnsi="Times New Roman"/>
          <w:sz w:val="16"/>
          <w:szCs w:val="16"/>
          <w:color w:val="auto"/>
        </w:rPr>
        <w:t xml:space="preserve">6.12 </w:t>
      </w:r>
      <w:r>
        <w:rPr>
          <w:rFonts w:ascii="Times New Roman" w:cs="Times New Roman" w:eastAsia="Times New Roman" w:hAnsi="Times New Roman"/>
          <w:sz w:val="16"/>
          <w:szCs w:val="16"/>
          <w:u w:val="single" w:color="auto"/>
          <w:color w:val="auto"/>
        </w:rPr>
        <w:t>Governing Law; Jurisdiction</w:t>
      </w:r>
      <w:r>
        <w:rPr>
          <w:rFonts w:ascii="Times New Roman" w:cs="Times New Roman" w:eastAsia="Times New Roman" w:hAnsi="Times New Roman"/>
          <w:sz w:val="16"/>
          <w:szCs w:val="16"/>
          <w:color w:val="auto"/>
        </w:rPr>
        <w:t>. This Agreement shall be governed by, and construed in accordance with, the internal laws of the State of New York without regard to the choice of law principles thereof. Each of the parties hereto irrevocably submits to the exclusive jurisdiction of the state and federal courts located in the City and County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67"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55" w:lineRule="exact"/>
        <w:rPr>
          <w:sz w:val="20"/>
          <w:szCs w:val="20"/>
          <w:color w:val="auto"/>
        </w:rPr>
      </w:pPr>
    </w:p>
    <w:p>
      <w:pPr>
        <w:jc w:val="both"/>
        <w:ind w:firstLine="1147"/>
        <w:spacing w:after="0" w:line="265" w:lineRule="auto"/>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party hereto shall do and perform, or cause to be done and performed, all such further acts and things, and shall execute and deliver all such other agreements, certificates, instruments and documents, as any other party hereto may reasonably request in order to carry out the intent and accomplish the purposes of this Agreement and the consummation of the transactions contemplated hereby.</w:t>
      </w:r>
    </w:p>
    <w:p>
      <w:pPr>
        <w:spacing w:after="0" w:line="155" w:lineRule="exact"/>
        <w:rPr>
          <w:sz w:val="20"/>
          <w:szCs w:val="20"/>
          <w:color w:val="auto"/>
        </w:rPr>
      </w:pPr>
    </w:p>
    <w:p>
      <w:pPr>
        <w:jc w:val="both"/>
        <w:ind w:right="20" w:firstLine="1147"/>
        <w:spacing w:after="0" w:line="280" w:lineRule="auto"/>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u w:val="single" w:color="auto"/>
          <w:color w:val="auto"/>
        </w:rPr>
        <w:t>No Strict Construction</w:t>
      </w:r>
      <w:r>
        <w:rPr>
          <w:rFonts w:ascii="Times New Roman" w:cs="Times New Roman" w:eastAsia="Times New Roman" w:hAnsi="Times New Roman"/>
          <w:sz w:val="16"/>
          <w:szCs w:val="16"/>
          <w:color w:val="auto"/>
        </w:rPr>
        <w:t>. The language used in this Agreement will be deemed to be the language chosen by the parties hereto to express their mutual intent, and no rules of strict construction will be applied against any party hereto.</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remainder of the page is intentionally left blank]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0" w:name="page251"/>
    <w:bookmarkEnd w:id="250"/>
    <w:p>
      <w:pPr>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the Holder and the Company have executed this Exchange Agreement as of the date set forth on the first page of this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SUNPOWER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15240</wp:posOffset>
            </wp:positionV>
            <wp:extent cx="22840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84095" cy="15240"/>
                    </a:xfrm>
                    <a:prstGeom prst="rect">
                      <a:avLst/>
                    </a:prstGeom>
                    <a:noFill/>
                  </pic:spPr>
                </pic:pic>
              </a:graphicData>
            </a:graphic>
          </wp:anchor>
        </w:drawing>
      </w:r>
    </w:p>
    <w:p>
      <w:pPr>
        <w:spacing w:after="0" w:line="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Thurman J. Rodgers</w:t>
      </w:r>
    </w:p>
    <w:p>
      <w:pPr>
        <w:spacing w:after="0" w:line="31"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Address: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1403 N. Research Way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Orem, UT 84097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Nicolas Wenker, Chief Legal Officer and General Counsel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Exchange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395605</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51" w:name="page252"/>
    <w:bookmarkEnd w:id="251"/>
    <w:p>
      <w:pPr>
        <w:ind w:firstLine="574"/>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the Holder and the Company have executed this Exchange Agreement as of the date set forth on the first page of this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15240</wp:posOffset>
            </wp:positionV>
            <wp:extent cx="257238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Name:</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Exchange 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395605</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RESTRICTIVE LEGEND</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53" w:name="page254"/>
    <w:bookmarkEnd w:id="253"/>
    <w:p>
      <w:pPr>
        <w:ind w:left="104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1623695" cy="2051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23695" cy="20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SunPower Prices $41 Million Convertible Debt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Pricing Post 10K Filing; $40 Million Debt Reduction</w:t>
      </w:r>
    </w:p>
    <w:p>
      <w:pPr>
        <w:spacing w:after="0" w:line="17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OREM, Utah (April 21, 2026) </w:t>
      </w:r>
      <w:r>
        <w:rPr>
          <w:rFonts w:ascii="Times New Roman" w:cs="Times New Roman" w:eastAsia="Times New Roman" w:hAnsi="Times New Roman"/>
          <w:sz w:val="16"/>
          <w:szCs w:val="16"/>
          <w:color w:val="auto"/>
        </w:rPr>
        <w:t>– SunPower Inc. (“SunPower,” the “Company,” or Nasdaq: “SPWR”) a solar technology, services, and installation company, announced it has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raised $41.0 million in Convertible Senior Secured Notes (the “convertible debenture”).</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We have signed contracts with investors for $41 million of convertible debentures, which will close this week. The terms include: 1) non-callable until maturity on May 1, 2029, 2) a 10% coupon, and 3) a 45% conversion premium to market closing price ($1.13), which leads to 25,022,887 shares issuable at the conversion price of $1.6385. The proceeds will be used for working cash and to directly pay off $18.75 million in debt. In addition, other investors have agreed to exchange their 7.0% notes for stock, which amounts to another $21.25 million of cancelled debt. Finally, the former owners of Sunder converted $10 million of their M&amp;A debt into the new convertible debenture, bringing the total debt reduction to $40 million.</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Rodgers concluded, “I continue to believe in the startup-like potential of this company, and, as with each prior SunPower fund raise, I invested $6 million personally into this deal. Sunder’s management team, which now runs four SunPower sales groups, also invested $10 million by cancelling a portion of our acquisition debt with them.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would like to express my deepest appreciation to our investors for their continued support.”</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convertible debentures to be sold in the offering were only offered to persons reasonably believed to either be qualified institutional buyers or accredited investors under the Securities Act. The convertible debentures, any shares of SunPower’s common stock potentially issuable upon conversion of the convertible debentures, and the exchange shares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4" w:name="page255"/>
    <w:bookmarkEnd w:id="254"/>
    <w:p>
      <w:pPr>
        <w:ind w:left="4"/>
        <w:spacing w:after="0"/>
        <w:rPr>
          <w:sz w:val="20"/>
          <w:szCs w:val="20"/>
          <w:color w:val="auto"/>
        </w:rPr>
      </w:pPr>
      <w:r>
        <w:rPr>
          <w:rFonts w:ascii="Times New Roman" w:cs="Times New Roman" w:eastAsia="Times New Roman" w:hAnsi="Times New Roman"/>
          <w:sz w:val="16"/>
          <w:szCs w:val="16"/>
          <w:b w:val="1"/>
          <w:bCs w:val="1"/>
          <w:color w:val="auto"/>
        </w:rPr>
        <w:t>About SunPower</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SunPower Inc. (Nasdaq: SPWR) is a leading residential solar services provider in North America. The Company’s digital platform and installation services support energy needs for customers wishing to make the transition to a more energy-efficient lifestyle. For more information visit www.sunpower.com.</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6"/>
          <w:szCs w:val="16"/>
          <w:color w:val="auto"/>
        </w:rPr>
        <w:t>This press release contains forward-looking statements including statements concerning the timing and completion of the offering of the convertible debentures, the 7.0% notes exchange and related transaction and the anticipated use of proceeds from the offering. The words “believe,” “may,” “will,” “estimate,” “continue,” “anticipate,” “intend,” “expect,” “seek,” “plan,” “project,” “target,” “looking ahead,” “look to,” “move into,” and similar expressions are intended to identify forward-looking statements. Forward-looking statements represent SunPower’s current beliefs, estimates and assumptions only as of the date of this press release and information contained in this press release should not be relied upon as representing SunPower’s estimates as of any subsequent date. These forward-looking statements are subject to risks, uncertainties, and assumptions. If the risks materialize or assumptions prove incorrect, actual results could differ materially from the results implied by these forward-looking statements. Risks include, but are not limited to market risks, trends and conditions. These risks are not exhaustive. For additional information on these risks and uncertainties and other potential factors that could cause actual results to differ from the results predicted, readers should carefully consider the foregoing factors and the other risks and uncertainties described in the “Risk Factors” section of our annual report on Form 10-K filed with the Securities and Exchange Commission (“SEC”) on April 14, 2026, our quarterly reports on Form 10-Q filed with the SEC, and other documents that we have filed with, or will file with, the SEC. Such filings identify and address other important risks and uncertainties that could cause actual events and results to differ materially from those contained in the forward-looking statements. Forward-looking statements in this press release speak only as of the date they are made. Readers are cautioned not to put undue reliance on forward-looking statements, and SunPower assumes no obligation and does not intend to update or revise these forward-looking statements, whether as a result of new information, future events, or otherwise.</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Company 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8195" cy="2425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242570"/>
                    </a:xfrm>
                    <a:prstGeom prst="rect">
                      <a:avLst/>
                    </a:prstGeom>
                    <a:noFill/>
                  </pic:spPr>
                </pic:pic>
              </a:graphicData>
            </a:graphic>
          </wp:anchor>
        </w:drawing>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Sioban Hickie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VP Investor Relations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IR@sunpower.com</w:t>
      </w:r>
    </w:p>
    <w:p>
      <w:pPr>
        <w:spacing w:after="0" w:line="7" w:lineRule="exact"/>
        <w:rPr>
          <w:sz w:val="20"/>
          <w:szCs w:val="20"/>
          <w:color w:val="auto"/>
        </w:rPr>
      </w:pPr>
    </w:p>
    <w:p>
      <w:pPr>
        <w:ind w:left="4" w:right="9800" w:hanging="4"/>
        <w:spacing w:after="0" w:line="558" w:lineRule="auto"/>
        <w:tabs>
          <w:tab w:leader="none" w:pos="389" w:val="left"/>
        </w:tabs>
        <w:numPr>
          <w:ilvl w:val="0"/>
          <w:numId w:val="2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515-8727 Source: SunPower Inc.</w:t>
      </w:r>
    </w:p>
    <w:p>
      <w:pPr>
        <w:spacing w:after="0" w:line="12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55695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3" w:name="page264"/>
    <w:bookmarkEnd w:id="2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4" w:name="page265"/>
    <w:bookmarkEnd w:id="2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5" w:name="page266"/>
    <w:bookmarkEnd w:id="2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6" w:name="page267"/>
    <w:bookmarkEnd w:id="2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5695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7203440" cy="556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
      <w:numFmt w:val="bullet"/>
      <w:start w:val="1"/>
    </w:lvl>
    <w:lvl w:ilvl="1">
      <w:lvlJc w:val="left"/>
      <w:lvlText w:val="%2"/>
      <w:numFmt w:val="decimal"/>
      <w:start w:val="104"/>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1)"/>
      <w:numFmt w:val="lowerLetter"/>
      <w:start w:val="1"/>
    </w:lvl>
  </w:abstractNum>
  <w:abstractNum w:abstractNumId="6">
    <w:nsid w:val="2B0D8DBE"/>
    <w:multiLevelType w:val="hybridMultilevel"/>
    <w:lvl w:ilvl="0">
      <w:lvlJc w:val="left"/>
      <w:lvlText w:val="(%1)"/>
      <w:numFmt w:val="lowerRoman"/>
      <w:start w:val="1"/>
    </w:lvl>
  </w:abstractNum>
  <w:abstractNum w:abstractNumId="7">
    <w:nsid w:val="6C80EC70"/>
    <w:multiLevelType w:val="hybridMultilevel"/>
    <w:lvl w:ilvl="0">
      <w:lvlJc w:val="left"/>
      <w:lvlText w:val="(%1)"/>
      <w:numFmt w:val="lowerRoman"/>
      <w:start w:val="3"/>
    </w:lvl>
  </w:abstractNum>
  <w:abstractNum w:abstractNumId="8">
    <w:nsid w:val="379E21B5"/>
    <w:multiLevelType w:val="hybridMultilevel"/>
    <w:lvl w:ilvl="0">
      <w:lvlJc w:val="left"/>
      <w:lvlText w:val="(%1)"/>
      <w:numFmt w:val="lowerLetter"/>
      <w:start w:val="1"/>
    </w:lvl>
  </w:abstractNum>
  <w:abstractNum w:abstractNumId="9">
    <w:nsid w:val="69E373"/>
    <w:multiLevelType w:val="hybridMultilevel"/>
    <w:lvl w:ilvl="0">
      <w:lvlJc w:val="left"/>
      <w:lvlText w:val="(%1)"/>
      <w:numFmt w:val="lowerLetter"/>
      <w:start w:val="3"/>
    </w:lvl>
    <w:lvl w:ilvl="1">
      <w:lvlJc w:val="left"/>
      <w:lvlText w:val="(%2)"/>
      <w:numFmt w:val="lowerRoman"/>
      <w:start w:val="1"/>
    </w:lvl>
  </w:abstractNum>
  <w:abstractNum w:abstractNumId="10">
    <w:nsid w:val="2C27173B"/>
    <w:multiLevelType w:val="hybridMultilevel"/>
    <w:lvl w:ilvl="0">
      <w:lvlJc w:val="left"/>
      <w:lvlText w:val="(%1)"/>
      <w:numFmt w:val="lowerLetter"/>
      <w:start w:val="1"/>
    </w:lvl>
  </w:abstractNum>
  <w:abstractNum w:abstractNumId="11">
    <w:nsid w:val="4C9B0904"/>
    <w:multiLevelType w:val="hybridMultilevel"/>
    <w:lvl w:ilvl="0">
      <w:lvlJc w:val="left"/>
      <w:lvlText w:val="(%1)"/>
      <w:numFmt w:val="lowerLetter"/>
      <w:start w:val="1"/>
    </w:lvl>
  </w:abstractNum>
  <w:abstractNum w:abstractNumId="12">
    <w:nsid w:val="6AA7B75C"/>
    <w:multiLevelType w:val="hybridMultilevel"/>
    <w:lvl w:ilvl="0">
      <w:lvlJc w:val="left"/>
      <w:lvlText w:val="(%1)"/>
      <w:numFmt w:val="lowerLetter"/>
      <w:start w:val="2"/>
    </w:lvl>
  </w:abstractNum>
  <w:abstractNum w:abstractNumId="13">
    <w:nsid w:val="1DF029D3"/>
    <w:multiLevelType w:val="hybridMultilevel"/>
    <w:lvl w:ilvl="0">
      <w:lvlJc w:val="left"/>
      <w:lvlText w:val="(%1)"/>
      <w:numFmt w:val="lowerLetter"/>
      <w:start w:val="1"/>
    </w:lvl>
  </w:abstractNum>
  <w:abstractNum w:abstractNumId="14">
    <w:nsid w:val="5675FF36"/>
    <w:multiLevelType w:val="hybridMultilevel"/>
    <w:lvl w:ilvl="0">
      <w:lvlJc w:val="left"/>
      <w:lvlText w:val="(%1)"/>
      <w:numFmt w:val="lowerLetter"/>
      <w:start w:val="3"/>
    </w:lvl>
  </w:abstractNum>
  <w:abstractNum w:abstractNumId="15">
    <w:nsid w:val="3DD15094"/>
    <w:multiLevelType w:val="hybridMultilevel"/>
    <w:lvl w:ilvl="0">
      <w:lvlJc w:val="left"/>
      <w:lvlText w:val="(%1)"/>
      <w:numFmt w:val="lowerLetter"/>
      <w:start w:val="1"/>
    </w:lvl>
  </w:abstractNum>
  <w:abstractNum w:abstractNumId="16">
    <w:nsid w:val="3DB012B3"/>
    <w:multiLevelType w:val="hybridMultilevel"/>
    <w:lvl w:ilvl="0">
      <w:lvlJc w:val="left"/>
      <w:lvlText w:val="(%1)"/>
      <w:numFmt w:val="lowerLetter"/>
      <w:start w:val="4"/>
    </w:lvl>
  </w:abstractNum>
  <w:abstractNum w:abstractNumId="17">
    <w:nsid w:val="2708C9AF"/>
    <w:multiLevelType w:val="hybridMultilevel"/>
    <w:lvl w:ilvl="0">
      <w:lvlJc w:val="left"/>
      <w:lvlText w:val="(%1)"/>
      <w:numFmt w:val="lowerLetter"/>
      <w:start w:val="13"/>
    </w:lvl>
  </w:abstractNum>
  <w:abstractNum w:abstractNumId="18">
    <w:nsid w:val="5B25ACE2"/>
    <w:multiLevelType w:val="hybridMultilevel"/>
    <w:lvl w:ilvl="0">
      <w:lvlJc w:val="left"/>
      <w:lvlText w:val="(%1)"/>
      <w:numFmt w:val="lowerLetter"/>
      <w:start w:val="15"/>
    </w:lvl>
  </w:abstractNum>
  <w:abstractNum w:abstractNumId="19">
    <w:nsid w:val="175DFCF0"/>
    <w:multiLevelType w:val="hybridMultilevel"/>
    <w:lvl w:ilvl="0">
      <w:lvlJc w:val="left"/>
      <w:lvlText w:val="(%1)"/>
      <w:numFmt w:val="lowerLetter"/>
      <w:start w:val="14"/>
    </w:lvl>
  </w:abstractNum>
  <w:abstractNum w:abstractNumId="20">
    <w:nsid w:val="4F97E3E4"/>
    <w:multiLevelType w:val="hybridMultilevel"/>
    <w:lvl w:ilvl="0">
      <w:lvlJc w:val="left"/>
      <w:lvlText w:val="(%1)"/>
      <w:numFmt w:val="lowerLetter"/>
      <w:start w:val="1"/>
    </w:lvl>
  </w:abstractNum>
  <w:abstractNum w:abstractNumId="21">
    <w:nsid w:val="53B0A9E"/>
    <w:multiLevelType w:val="hybridMultilevel"/>
    <w:lvl w:ilvl="0">
      <w:lvlJc w:val="left"/>
      <w:lvlText w:val="(%1)"/>
      <w:numFmt w:val="lowerLetter"/>
      <w:start w:val="6"/>
    </w:lvl>
  </w:abstractNum>
  <w:abstractNum w:abstractNumId="22">
    <w:nsid w:val="34FD6B4F"/>
    <w:multiLevelType w:val="hybridMultilevel"/>
    <w:lvl w:ilvl="0">
      <w:lvlJc w:val="left"/>
      <w:lvlText w:val="(%1)"/>
      <w:numFmt w:val="lowerLetter"/>
      <w:start w:val="1"/>
    </w:lvl>
  </w:abstractNum>
  <w:abstractNum w:abstractNumId="23">
    <w:nsid w:val="5915FF32"/>
    <w:multiLevelType w:val="hybridMultilevel"/>
    <w:lvl w:ilvl="0">
      <w:lvlJc w:val="left"/>
      <w:lvlText w:val="(%1)"/>
      <w:numFmt w:val="lowerRoman"/>
      <w:start w:val="10"/>
    </w:lvl>
  </w:abstractNum>
  <w:abstractNum w:abstractNumId="24">
    <w:nsid w:val="56438D15"/>
    <w:multiLevelType w:val="hybridMultilevel"/>
    <w:lvl w:ilvl="0">
      <w:lvlJc w:val="left"/>
      <w:lvlText w:val="(%1)"/>
      <w:numFmt w:val="lowerLetter"/>
      <w:start w:val="1"/>
    </w:lvl>
  </w:abstractNum>
  <w:abstractNum w:abstractNumId="25">
    <w:nsid w:val="519E3149"/>
    <w:multiLevelType w:val="hybridMultilevel"/>
    <w:lvl w:ilvl="0">
      <w:lvlJc w:val="left"/>
      <w:lvlText w:val="(%1)"/>
      <w:numFmt w:val="decimal"/>
      <w:start w:val="1"/>
    </w:lvl>
  </w:abstractNum>
  <w:abstractNum w:abstractNumId="26">
    <w:nsid w:val="2C6E4AFD"/>
    <w:multiLevelType w:val="hybridMultilevel"/>
    <w:lvl w:ilvl="0">
      <w:lvlJc w:val="left"/>
      <w:lvlText w:val="(%1)"/>
      <w:numFmt w:val="lowerLetter"/>
      <w:start w:val="2"/>
    </w:lvl>
  </w:abstractNum>
  <w:abstractNum w:abstractNumId="27">
    <w:nsid w:val="17A1B582"/>
    <w:multiLevelType w:val="hybridMultilevel"/>
    <w:lvl w:ilvl="0">
      <w:lvlJc w:val="left"/>
      <w:lvlText w:val="(%1)"/>
      <w:numFmt w:val="lowerLetter"/>
      <w:start w:val="1"/>
    </w:lvl>
    <w:lvl w:ilvl="1">
      <w:lvlJc w:val="left"/>
      <w:lvlText w:val="(%2)"/>
      <w:numFmt w:val="lowerLetter"/>
      <w:start w:val="9"/>
    </w:lvl>
  </w:abstractNum>
  <w:abstractNum w:abstractNumId="28">
    <w:nsid w:val="4DF72E4E"/>
    <w:multiLevelType w:val="hybridMultilevel"/>
    <w:lvl w:ilvl="0">
      <w:lvlJc w:val="left"/>
      <w:lvlText w:val="(%1)"/>
      <w:numFmt w:val="lowerRoman"/>
      <w:start w:val="2"/>
    </w:lvl>
  </w:abstractNum>
  <w:abstractNum w:abstractNumId="29">
    <w:nsid w:val="5046B5A9"/>
    <w:multiLevelType w:val="hybridMultilevel"/>
    <w:lvl w:ilvl="0">
      <w:lvlJc w:val="left"/>
      <w:lvlText w:val="(%1)"/>
      <w:numFmt w:val="lowerLetter"/>
      <w:start w:val="1"/>
    </w:lvl>
  </w:abstractNum>
  <w:abstractNum w:abstractNumId="30">
    <w:nsid w:val="5D888A08"/>
    <w:multiLevelType w:val="hybridMultilevel"/>
    <w:lvl w:ilvl="0">
      <w:lvlJc w:val="left"/>
      <w:lvlText w:val="(%1)"/>
      <w:numFmt w:val="lowerLetter"/>
      <w:start w:val="2"/>
    </w:lvl>
  </w:abstractNum>
  <w:abstractNum w:abstractNumId="31">
    <w:nsid w:val="2A082C70"/>
    <w:multiLevelType w:val="hybridMultilevel"/>
    <w:lvl w:ilvl="0">
      <w:lvlJc w:val="left"/>
      <w:lvlText w:val="(%1)"/>
      <w:numFmt w:val="lowerLetter"/>
      <w:start w:val="23"/>
    </w:lvl>
  </w:abstractNum>
  <w:abstractNum w:abstractNumId="32">
    <w:nsid w:val="5EC6AFD4"/>
    <w:multiLevelType w:val="hybridMultilevel"/>
    <w:lvl w:ilvl="0">
      <w:lvlJc w:val="left"/>
      <w:lvlText w:val="%1"/>
      <w:numFmt w:val="upperLetter"/>
      <w:start w:val="1"/>
    </w:lvl>
    <w:lvl w:ilvl="1">
      <w:lvlJc w:val="left"/>
      <w:lvlText w:val="(%2)"/>
      <w:numFmt w:val="decimal"/>
      <w:start w:val="1"/>
    </w:lvl>
  </w:abstractNum>
  <w:abstractNum w:abstractNumId="33">
    <w:nsid w:val="19E21BB2"/>
    <w:multiLevelType w:val="hybridMultilevel"/>
    <w:lvl w:ilvl="0">
      <w:lvlJc w:val="left"/>
      <w:lvlText w:val="(%1)"/>
      <w:numFmt w:val="upperLetter"/>
      <w:start w:val="1"/>
    </w:lvl>
    <w:lvl w:ilvl="1">
      <w:lvlJc w:val="left"/>
      <w:lvlText w:val="%2"/>
      <w:numFmt w:val="decimal"/>
      <w:start w:val="1"/>
    </w:lvl>
  </w:abstractNum>
  <w:abstractNum w:abstractNumId="34">
    <w:nsid w:val="75E0858A"/>
    <w:multiLevelType w:val="hybridMultilevel"/>
    <w:lvl w:ilvl="0">
      <w:lvlJc w:val="left"/>
      <w:lvlText w:val="(%1)"/>
      <w:numFmt w:val="lowerLetter"/>
      <w:start w:val="4"/>
    </w:lvl>
  </w:abstractNum>
  <w:abstractNum w:abstractNumId="35">
    <w:nsid w:val="57A61A29"/>
    <w:multiLevelType w:val="hybridMultilevel"/>
    <w:lvl w:ilvl="0">
      <w:lvlJc w:val="left"/>
      <w:lvlText w:val="%1"/>
      <w:numFmt w:val="upperLetter"/>
      <w:start w:val="1"/>
    </w:lvl>
    <w:lvl w:ilvl="1">
      <w:lvlJc w:val="left"/>
      <w:lvlText w:val="(%2)"/>
      <w:numFmt w:val="decimal"/>
      <w:start w:val="1"/>
    </w:lvl>
  </w:abstractNum>
  <w:abstractNum w:abstractNumId="36">
    <w:nsid w:val="5399C654"/>
    <w:multiLevelType w:val="hybridMultilevel"/>
    <w:lvl w:ilvl="0">
      <w:lvlJc w:val="left"/>
      <w:lvlText w:val="(%1)"/>
      <w:numFmt w:val="upperLetter"/>
      <w:start w:val="1"/>
    </w:lvl>
    <w:lvl w:ilvl="1">
      <w:lvlJc w:val="left"/>
      <w:lvlText w:val="%2"/>
      <w:numFmt w:val="decimal"/>
      <w:start w:val="1"/>
    </w:lvl>
  </w:abstractNum>
  <w:abstractNum w:abstractNumId="37">
    <w:nsid w:val="20EE1348"/>
    <w:multiLevelType w:val="hybridMultilevel"/>
    <w:lvl w:ilvl="0">
      <w:lvlJc w:val="left"/>
      <w:lvlText w:val="%1"/>
      <w:numFmt w:val="upperLetter"/>
      <w:start w:val="1"/>
    </w:lvl>
    <w:lvl w:ilvl="1">
      <w:lvlJc w:val="left"/>
      <w:lvlText w:val="(%2)"/>
      <w:numFmt w:val="decimal"/>
      <w:start w:val="1"/>
    </w:lvl>
  </w:abstractNum>
  <w:abstractNum w:abstractNumId="38">
    <w:nsid w:val="4427069A"/>
    <w:multiLevelType w:val="hybridMultilevel"/>
    <w:lvl w:ilvl="0">
      <w:lvlJc w:val="left"/>
      <w:lvlText w:val="(%1)"/>
      <w:numFmt w:val="upperLetter"/>
      <w:start w:val="1"/>
    </w:lvl>
    <w:lvl w:ilvl="1">
      <w:lvlJc w:val="left"/>
      <w:lvlText w:val="%2"/>
      <w:numFmt w:val="decimal"/>
      <w:start w:val="1"/>
    </w:lvl>
  </w:abstractNum>
  <w:abstractNum w:abstractNumId="39">
    <w:nsid w:val="B37E80A"/>
    <w:multiLevelType w:val="hybridMultilevel"/>
    <w:lvl w:ilvl="0">
      <w:lvlJc w:val="left"/>
      <w:lvlText w:val="(%1)"/>
      <w:numFmt w:val="lowerLetter"/>
      <w:start w:val="5"/>
    </w:lvl>
  </w:abstractNum>
  <w:abstractNum w:abstractNumId="40">
    <w:nsid w:val="2157F6BC"/>
    <w:multiLevelType w:val="hybridMultilevel"/>
    <w:lvl w:ilvl="0">
      <w:lvlJc w:val="left"/>
      <w:lvlText w:val="(%1)"/>
      <w:numFmt w:val="lowerLetter"/>
      <w:start w:val="1"/>
    </w:lvl>
    <w:lvl w:ilvl="1">
      <w:lvlJc w:val="left"/>
      <w:lvlText w:val="(%2)"/>
      <w:numFmt w:val="lowerRoman"/>
      <w:start w:val="1"/>
    </w:lvl>
  </w:abstractNum>
  <w:abstractNum w:abstractNumId="41">
    <w:nsid w:val="704E1DD5"/>
    <w:multiLevelType w:val="hybridMultilevel"/>
    <w:lvl w:ilvl="0">
      <w:lvlJc w:val="left"/>
      <w:lvlText w:val="(%1)"/>
      <w:numFmt w:val="lowerLetter"/>
      <w:start w:val="2"/>
    </w:lvl>
  </w:abstractNum>
  <w:abstractNum w:abstractNumId="42">
    <w:nsid w:val="57D2F10E"/>
    <w:multiLevelType w:val="hybridMultilevel"/>
    <w:lvl w:ilvl="0">
      <w:lvlJc w:val="left"/>
      <w:lvlText w:val="(%1)"/>
      <w:numFmt w:val="lowerLetter"/>
      <w:start w:val="3"/>
    </w:lvl>
  </w:abstractNum>
  <w:abstractNum w:abstractNumId="43">
    <w:nsid w:val="BFFAE18"/>
    <w:multiLevelType w:val="hybridMultilevel"/>
    <w:lvl w:ilvl="0">
      <w:lvlJc w:val="left"/>
      <w:lvlText w:val="(%1)"/>
      <w:numFmt w:val="lowerLetter"/>
      <w:start w:val="1"/>
    </w:lvl>
  </w:abstractNum>
  <w:abstractNum w:abstractNumId="44">
    <w:nsid w:val="E3E47A8"/>
    <w:multiLevelType w:val="hybridMultilevel"/>
    <w:lvl w:ilvl="0">
      <w:lvlJc w:val="left"/>
      <w:lvlText w:val="(%1)"/>
      <w:numFmt w:val="lowerLetter"/>
      <w:start w:val="3"/>
    </w:lvl>
  </w:abstractNum>
  <w:abstractNum w:abstractNumId="45">
    <w:nsid w:val="2E48F044"/>
    <w:multiLevelType w:val="hybridMultilevel"/>
    <w:lvl w:ilvl="0">
      <w:lvlJc w:val="left"/>
      <w:lvlText w:val="(%1)"/>
      <w:numFmt w:val="lowerLetter"/>
      <w:start w:val="9"/>
    </w:lvl>
  </w:abstractNum>
  <w:abstractNum w:abstractNumId="46">
    <w:nsid w:val="49D0FEAC"/>
    <w:multiLevelType w:val="hybridMultilevel"/>
    <w:lvl w:ilvl="0">
      <w:lvlJc w:val="left"/>
      <w:lvlText w:val="(%1)"/>
      <w:numFmt w:val="lowerLetter"/>
      <w:start w:val="1"/>
    </w:lvl>
    <w:lvl w:ilvl="1">
      <w:lvlJc w:val="left"/>
      <w:lvlText w:val="(%2)"/>
      <w:numFmt w:val="lowerRoman"/>
      <w:start w:val="1"/>
    </w:lvl>
  </w:abstractNum>
  <w:abstractNum w:abstractNumId="47">
    <w:nsid w:val="4BEE5A5B"/>
    <w:multiLevelType w:val="hybridMultilevel"/>
    <w:lvl w:ilvl="0">
      <w:lvlJc w:val="left"/>
      <w:lvlText w:val="(%1)"/>
      <w:numFmt w:val="lowerLetter"/>
      <w:start w:val="3"/>
    </w:lvl>
    <w:lvl w:ilvl="1">
      <w:lvlJc w:val="left"/>
      <w:lvlText w:val="(%2)"/>
      <w:numFmt w:val="lowerRoman"/>
      <w:start w:val="1"/>
    </w:lvl>
  </w:abstractNum>
  <w:abstractNum w:abstractNumId="48">
    <w:nsid w:val="5551B9F3"/>
    <w:multiLevelType w:val="hybridMultilevel"/>
    <w:lvl w:ilvl="0">
      <w:lvlJc w:val="left"/>
      <w:lvlText w:val="(%1)"/>
      <w:numFmt w:val="lowerLetter"/>
      <w:start w:val="1"/>
    </w:lvl>
  </w:abstractNum>
  <w:abstractNum w:abstractNumId="49">
    <w:nsid w:val="24F6AB8E"/>
    <w:multiLevelType w:val="hybridMultilevel"/>
    <w:lvl w:ilvl="0">
      <w:lvlJc w:val="left"/>
      <w:lvlText w:val="(%1)"/>
      <w:numFmt w:val="lowerLetter"/>
      <w:start w:val="2"/>
    </w:lvl>
    <w:lvl w:ilvl="1">
      <w:lvlJc w:val="left"/>
      <w:lvlText w:val="(%2)"/>
      <w:numFmt w:val="lowerRoman"/>
      <w:start w:val="1"/>
    </w:lvl>
  </w:abstractNum>
  <w:abstractNum w:abstractNumId="50">
    <w:nsid w:val="634C574C"/>
    <w:multiLevelType w:val="hybridMultilevel"/>
    <w:lvl w:ilvl="0">
      <w:lvlJc w:val="left"/>
      <w:lvlText w:val="(%1)"/>
      <w:numFmt w:val="lowerRoman"/>
      <w:start w:val="8"/>
    </w:lvl>
  </w:abstractNum>
  <w:abstractNum w:abstractNumId="51">
    <w:nsid w:val="24E99DD7"/>
    <w:multiLevelType w:val="hybridMultilevel"/>
    <w:lvl w:ilvl="0">
      <w:lvlJc w:val="left"/>
      <w:lvlText w:val="%1"/>
      <w:numFmt w:val="lowerLetter"/>
      <w:start w:val="1"/>
    </w:lvl>
    <w:lvl w:ilvl="1">
      <w:lvlJc w:val="left"/>
      <w:lvlText w:val="(%2)"/>
      <w:numFmt w:val="lowerRoman"/>
      <w:start w:val="17"/>
    </w:lvl>
  </w:abstractNum>
  <w:abstractNum w:abstractNumId="52">
    <w:nsid w:val="2A31B62D"/>
    <w:multiLevelType w:val="hybridMultilevel"/>
    <w:lvl w:ilvl="0">
      <w:lvlJc w:val="left"/>
      <w:lvlText w:val="(%1)"/>
      <w:numFmt w:val="lowerLetter"/>
      <w:start w:val="3"/>
    </w:lvl>
    <w:lvl w:ilvl="1">
      <w:lvlJc w:val="left"/>
      <w:lvlText w:val="(%2)"/>
      <w:numFmt w:val="lowerRoman"/>
      <w:start w:val="1"/>
    </w:lvl>
  </w:abstractNum>
  <w:abstractNum w:abstractNumId="53">
    <w:nsid w:val="1849C29B"/>
    <w:multiLevelType w:val="hybridMultilevel"/>
    <w:lvl w:ilvl="0">
      <w:lvlJc w:val="left"/>
      <w:lvlText w:val="(%1)"/>
      <w:numFmt w:val="lowerLetter"/>
      <w:start w:val="6"/>
    </w:lvl>
  </w:abstractNum>
  <w:abstractNum w:abstractNumId="54">
    <w:nsid w:val="7DFF9D09"/>
    <w:multiLevelType w:val="hybridMultilevel"/>
    <w:lvl w:ilvl="0">
      <w:lvlJc w:val="left"/>
      <w:lvlText w:val="(%1)"/>
      <w:numFmt w:val="lowerLetter"/>
      <w:start w:val="1"/>
    </w:lvl>
    <w:lvl w:ilvl="1">
      <w:lvlJc w:val="left"/>
      <w:lvlText w:val="(%2)"/>
      <w:numFmt w:val="lowerRoman"/>
      <w:start w:val="1"/>
    </w:lvl>
  </w:abstractNum>
  <w:abstractNum w:abstractNumId="55">
    <w:nsid w:val="754342"/>
    <w:multiLevelType w:val="hybridMultilevel"/>
    <w:lvl w:ilvl="0">
      <w:lvlJc w:val="left"/>
      <w:lvlText w:val="%1"/>
      <w:numFmt w:val="lowerLetter"/>
      <w:start w:val="1"/>
    </w:lvl>
    <w:lvl w:ilvl="1">
      <w:lvlJc w:val="left"/>
      <w:lvlText w:val="(%2)"/>
      <w:numFmt w:val="lowerRoman"/>
      <w:start w:val="4"/>
    </w:lvl>
  </w:abstractNum>
  <w:abstractNum w:abstractNumId="56">
    <w:nsid w:val="69E7F3E5"/>
    <w:multiLevelType w:val="hybridMultilevel"/>
    <w:lvl w:ilvl="0">
      <w:lvlJc w:val="left"/>
      <w:lvlText w:val="(%1)"/>
      <w:numFmt w:val="lowerLetter"/>
      <w:start w:val="2"/>
    </w:lvl>
    <w:lvl w:ilvl="1">
      <w:lvlJc w:val="left"/>
      <w:lvlText w:val="%2"/>
      <w:numFmt w:val="lowerRoman"/>
      <w:start w:val="1"/>
    </w:lvl>
  </w:abstractNum>
  <w:abstractNum w:abstractNumId="57">
    <w:nsid w:val="2A6DE806"/>
    <w:multiLevelType w:val="hybridMultilevel"/>
    <w:lvl w:ilvl="0">
      <w:lvlJc w:val="left"/>
      <w:lvlText w:val="(%1)"/>
      <w:numFmt w:val="lowerLetter"/>
      <w:start w:val="1"/>
    </w:lvl>
  </w:abstractNum>
  <w:abstractNum w:abstractNumId="58">
    <w:nsid w:val="1816F8C4"/>
    <w:multiLevelType w:val="hybridMultilevel"/>
    <w:lvl w:ilvl="0">
      <w:lvlJc w:val="left"/>
      <w:lvlText w:val="(%1)"/>
      <w:numFmt w:val="lowerLetter"/>
      <w:start w:val="1"/>
    </w:lvl>
  </w:abstractNum>
  <w:abstractNum w:abstractNumId="59">
    <w:nsid w:val="37DF2233"/>
    <w:multiLevelType w:val="hybridMultilevel"/>
    <w:lvl w:ilvl="0">
      <w:lvlJc w:val="left"/>
      <w:lvlText w:val="(%1)"/>
      <w:numFmt w:val="lowerLetter"/>
      <w:start w:val="1"/>
    </w:lvl>
  </w:abstractNum>
  <w:abstractNum w:abstractNumId="60">
    <w:nsid w:val="7AB49DAF"/>
    <w:multiLevelType w:val="hybridMultilevel"/>
    <w:lvl w:ilvl="0">
      <w:lvlJc w:val="left"/>
      <w:lvlText w:val="%1"/>
      <w:numFmt w:val="lowerLetter"/>
      <w:start w:val="1"/>
    </w:lvl>
    <w:lvl w:ilvl="1">
      <w:lvlJc w:val="left"/>
      <w:lvlText w:val="(%2)"/>
      <w:numFmt w:val="lowerLetter"/>
      <w:start w:val="8"/>
    </w:lvl>
  </w:abstractNum>
  <w:abstractNum w:abstractNumId="61">
    <w:nsid w:val="759F82CD"/>
    <w:multiLevelType w:val="hybridMultilevel"/>
    <w:lvl w:ilvl="0">
      <w:lvlJc w:val="left"/>
      <w:lvlText w:val="(%1)"/>
      <w:numFmt w:val="lowerLetter"/>
      <w:start w:val="9"/>
    </w:lvl>
    <w:lvl w:ilvl="1">
      <w:lvlJc w:val="left"/>
      <w:lvlText w:val="(%2)"/>
      <w:numFmt w:val="lowerLetter"/>
      <w:start w:val="9"/>
    </w:lvl>
  </w:abstractNum>
  <w:abstractNum w:abstractNumId="62">
    <w:nsid w:val="61E74EA3"/>
    <w:multiLevelType w:val="hybridMultilevel"/>
    <w:lvl w:ilvl="0">
      <w:lvlJc w:val="left"/>
      <w:lvlText w:val="(%1)"/>
      <w:numFmt w:val="lowerLetter"/>
      <w:start w:val="1"/>
    </w:lvl>
  </w:abstractNum>
  <w:abstractNum w:abstractNumId="63">
    <w:nsid w:val="597B4D84"/>
    <w:multiLevelType w:val="hybridMultilevel"/>
    <w:lvl w:ilvl="0">
      <w:lvlJc w:val="left"/>
      <w:lvlText w:val="(%1)"/>
      <w:numFmt w:val="lowerLetter"/>
      <w:start w:val="1"/>
    </w:lvl>
    <w:lvl w:ilvl="1">
      <w:lvlJc w:val="left"/>
      <w:lvlText w:val="(%2)"/>
      <w:numFmt w:val="lowerRoman"/>
      <w:start w:val="1"/>
    </w:lvl>
  </w:abstractNum>
  <w:abstractNum w:abstractNumId="64">
    <w:nsid w:val="F819E7F"/>
    <w:multiLevelType w:val="hybridMultilevel"/>
    <w:lvl w:ilvl="0">
      <w:lvlJc w:val="left"/>
      <w:lvlText w:val="(%1)"/>
      <w:numFmt w:val="lowerLetter"/>
      <w:start w:val="8"/>
    </w:lvl>
  </w:abstractNum>
  <w:abstractNum w:abstractNumId="65">
    <w:nsid w:val="57C7D42D"/>
    <w:multiLevelType w:val="hybridMultilevel"/>
    <w:lvl w:ilvl="0">
      <w:lvlJc w:val="left"/>
      <w:lvlText w:val="(%1)"/>
      <w:numFmt w:val="lowerLetter"/>
      <w:start w:val="1"/>
    </w:lvl>
  </w:abstractNum>
  <w:abstractNum w:abstractNumId="66">
    <w:nsid w:val="312167AD"/>
    <w:multiLevelType w:val="hybridMultilevel"/>
    <w:lvl w:ilvl="0">
      <w:lvlJc w:val="left"/>
      <w:lvlText w:val="(%1)"/>
      <w:numFmt w:val="lowerLetter"/>
      <w:start w:val="5"/>
    </w:lvl>
  </w:abstractNum>
  <w:abstractNum w:abstractNumId="67">
    <w:nsid w:val="631B64D4"/>
    <w:multiLevelType w:val="hybridMultilevel"/>
    <w:lvl w:ilvl="0">
      <w:lvlJc w:val="left"/>
      <w:lvlText w:val="(%1)"/>
      <w:numFmt w:val="lowerLetter"/>
      <w:start w:val="1"/>
    </w:lvl>
  </w:abstractNum>
  <w:abstractNum w:abstractNumId="68">
    <w:nsid w:val="78B5E776"/>
    <w:multiLevelType w:val="hybridMultilevel"/>
    <w:lvl w:ilvl="0">
      <w:lvlJc w:val="left"/>
      <w:lvlText w:val="(%1)"/>
      <w:numFmt w:val="lowerLetter"/>
      <w:start w:val="2"/>
    </w:lvl>
    <w:lvl w:ilvl="1">
      <w:lvlJc w:val="left"/>
      <w:lvlText w:val="(%2)"/>
      <w:numFmt w:val="lowerRoman"/>
      <w:start w:val="1"/>
    </w:lvl>
  </w:abstractNum>
  <w:abstractNum w:abstractNumId="69">
    <w:nsid w:val="75486E47"/>
    <w:multiLevelType w:val="hybridMultilevel"/>
    <w:lvl w:ilvl="0">
      <w:lvlJc w:val="left"/>
      <w:lvlText w:val="(%1)"/>
      <w:numFmt w:val="lowerLetter"/>
      <w:start w:val="1"/>
    </w:lvl>
  </w:abstractNum>
  <w:abstractNum w:abstractNumId="70">
    <w:nsid w:val="6E534CDE"/>
    <w:multiLevelType w:val="hybridMultilevel"/>
    <w:lvl w:ilvl="0">
      <w:lvlJc w:val="left"/>
      <w:lvlText w:val="(%1)"/>
      <w:numFmt w:val="lowerLetter"/>
      <w:start w:val="3"/>
    </w:lvl>
    <w:lvl w:ilvl="1">
      <w:lvlJc w:val="left"/>
      <w:lvlText w:val="(%2)"/>
      <w:numFmt w:val="lowerRoman"/>
      <w:start w:val="1"/>
    </w:lvl>
  </w:abstractNum>
  <w:abstractNum w:abstractNumId="71">
    <w:nsid w:val="1A0DDE32"/>
    <w:multiLevelType w:val="hybridMultilevel"/>
    <w:lvl w:ilvl="0">
      <w:lvlJc w:val="left"/>
      <w:lvlText w:val="(%1)"/>
      <w:numFmt w:val="lowerLetter"/>
      <w:start w:val="9"/>
    </w:lvl>
  </w:abstractNum>
  <w:abstractNum w:abstractNumId="72">
    <w:nsid w:val="65968C1C"/>
    <w:multiLevelType w:val="hybridMultilevel"/>
    <w:lvl w:ilvl="0">
      <w:lvlJc w:val="left"/>
      <w:lvlText w:val="(%1)"/>
      <w:numFmt w:val="lowerLetter"/>
      <w:start w:val="1"/>
    </w:lvl>
    <w:lvl w:ilvl="1">
      <w:lvlJc w:val="left"/>
      <w:lvlText w:val="(%2)"/>
      <w:numFmt w:val="lowerLetter"/>
      <w:start w:val="9"/>
    </w:lvl>
  </w:abstractNum>
  <w:abstractNum w:abstractNumId="73">
    <w:nsid w:val="46263DE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4">
    <w:nsid w:val="260D8C4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73D4D3C4"/>
    <w:multiLevelType w:val="hybridMultilevel"/>
    <w:lvl w:ilvl="0">
      <w:lvlJc w:val="left"/>
      <w:lvlText w:val="(%1)"/>
      <w:numFmt w:val="lowerLetter"/>
      <w:start w:val="1"/>
    </w:lvl>
    <w:lvl w:ilvl="1">
      <w:lvlJc w:val="left"/>
      <w:lvlText w:val="(%2)"/>
      <w:numFmt w:val="lowerRoman"/>
      <w:start w:val="1"/>
    </w:lvl>
  </w:abstractNum>
  <w:abstractNum w:abstractNumId="76">
    <w:nsid w:val="746F2E30"/>
    <w:multiLevelType w:val="hybridMultilevel"/>
    <w:lvl w:ilvl="0">
      <w:lvlJc w:val="left"/>
      <w:lvlText w:val="(%1)"/>
      <w:numFmt w:val="lowerLetter"/>
      <w:start w:val="1"/>
    </w:lvl>
  </w:abstractNum>
  <w:abstractNum w:abstractNumId="77">
    <w:nsid w:val="6FDE8AF6"/>
    <w:multiLevelType w:val="hybridMultilevel"/>
    <w:lvl w:ilvl="0">
      <w:lvlJc w:val="left"/>
      <w:lvlText w:val="(%1)"/>
      <w:numFmt w:val="lowerLetter"/>
      <w:start w:val="1"/>
    </w:lvl>
    <w:lvl w:ilvl="1">
      <w:lvlJc w:val="left"/>
      <w:lvlText w:val="(%2)"/>
      <w:numFmt w:val="lowerLetter"/>
      <w:start w:val="9"/>
    </w:lvl>
  </w:abstractNum>
  <w:abstractNum w:abstractNumId="78">
    <w:nsid w:val="3FC32E20"/>
    <w:multiLevelType w:val="hybridMultilevel"/>
    <w:lvl w:ilvl="0">
      <w:lvlJc w:val="left"/>
      <w:lvlText w:val="(%1)"/>
      <w:numFmt w:val="lowerLetter"/>
      <w:start w:val="1"/>
    </w:lvl>
  </w:abstractNum>
  <w:abstractNum w:abstractNumId="79">
    <w:nsid w:val="49C0E823"/>
    <w:multiLevelType w:val="hybridMultilevel"/>
    <w:lvl w:ilvl="0">
      <w:lvlJc w:val="left"/>
      <w:lvlText w:val="(%1)"/>
      <w:numFmt w:val="lowerLetter"/>
      <w:start w:val="3"/>
    </w:lvl>
  </w:abstractNum>
  <w:abstractNum w:abstractNumId="80">
    <w:nsid w:val="14D53685"/>
    <w:multiLevelType w:val="hybridMultilevel"/>
    <w:lvl w:ilvl="0">
      <w:lvlJc w:val="left"/>
      <w:lvlText w:val="(%1)"/>
      <w:numFmt w:val="lowerLetter"/>
      <w:start w:val="2"/>
    </w:lvl>
  </w:abstractNum>
  <w:abstractNum w:abstractNumId="81">
    <w:nsid w:val="230F856C"/>
    <w:multiLevelType w:val="hybridMultilevel"/>
    <w:lvl w:ilvl="0">
      <w:lvlJc w:val="left"/>
      <w:lvlText w:val="(%1)"/>
      <w:numFmt w:val="lowerLetter"/>
      <w:start w:val="15"/>
    </w:lvl>
  </w:abstractNum>
  <w:abstractNum w:abstractNumId="82">
    <w:nsid w:val="6EAA85FB"/>
    <w:multiLevelType w:val="hybridMultilevel"/>
    <w:lvl w:ilvl="0">
      <w:lvlJc w:val="left"/>
      <w:lvlText w:val="(%1)"/>
      <w:numFmt w:val="lowerLetter"/>
      <w:start w:val="1"/>
    </w:lvl>
  </w:abstractNum>
  <w:abstractNum w:abstractNumId="83">
    <w:nsid w:val="3F06ECB2"/>
    <w:multiLevelType w:val="hybridMultilevel"/>
    <w:lvl w:ilvl="0">
      <w:lvlJc w:val="left"/>
      <w:lvlText w:val="(%1)"/>
      <w:numFmt w:val="lowerLetter"/>
      <w:start w:val="7"/>
    </w:lvl>
  </w:abstractNum>
  <w:abstractNum w:abstractNumId="84">
    <w:nsid w:val="3B594807"/>
    <w:multiLevelType w:val="hybridMultilevel"/>
    <w:lvl w:ilvl="0">
      <w:lvlJc w:val="left"/>
      <w:lvlText w:val="(%1)"/>
      <w:numFmt w:val="lowerLetter"/>
      <w:start w:val="1"/>
    </w:lvl>
  </w:abstractNum>
  <w:abstractNum w:abstractNumId="85">
    <w:nsid w:val="6CAA2304"/>
    <w:multiLevelType w:val="hybridMultilevel"/>
    <w:lvl w:ilvl="0">
      <w:lvlJc w:val="left"/>
      <w:lvlText w:val="(%1)"/>
      <w:numFmt w:val="lowerLetter"/>
      <w:start w:val="2"/>
    </w:lvl>
  </w:abstractNum>
  <w:abstractNum w:abstractNumId="86">
    <w:nsid w:val="3F7C2FF4"/>
    <w:multiLevelType w:val="hybridMultilevel"/>
    <w:lvl w:ilvl="0">
      <w:lvlJc w:val="left"/>
      <w:lvlText w:val="(%1)"/>
      <w:numFmt w:val="lowerLetter"/>
      <w:start w:val="1"/>
    </w:lvl>
  </w:abstractNum>
  <w:abstractNum w:abstractNumId="87">
    <w:nsid w:val="25413BEC"/>
    <w:multiLevelType w:val="hybridMultilevel"/>
    <w:lvl w:ilvl="0">
      <w:lvlJc w:val="left"/>
      <w:lvlText w:val="(%1)"/>
      <w:numFmt w:val="lowerLetter"/>
      <w:start w:val="1"/>
    </w:lvl>
    <w:lvl w:ilvl="1">
      <w:lvlJc w:val="left"/>
      <w:lvlText w:val="(%2)"/>
      <w:numFmt w:val="lowerRoman"/>
      <w:start w:val="1"/>
    </w:lvl>
  </w:abstractNum>
  <w:abstractNum w:abstractNumId="88">
    <w:nsid w:val="17180B0B"/>
    <w:multiLevelType w:val="hybridMultilevel"/>
    <w:lvl w:ilvl="0">
      <w:lvlJc w:val="left"/>
      <w:lvlText w:val="%1"/>
      <w:numFmt w:val="lowerLetter"/>
      <w:start w:val="1"/>
    </w:lvl>
    <w:lvl w:ilvl="1">
      <w:lvlJc w:val="left"/>
      <w:lvlText w:val="(%2)"/>
      <w:numFmt w:val="lowerRoman"/>
      <w:start w:val="3"/>
    </w:lvl>
  </w:abstractNum>
  <w:abstractNum w:abstractNumId="89">
    <w:nsid w:val="579328B9"/>
    <w:multiLevelType w:val="hybridMultilevel"/>
    <w:lvl w:ilvl="0">
      <w:lvlJc w:val="left"/>
      <w:lvlText w:val="(%1)"/>
      <w:numFmt w:val="lowerLetter"/>
      <w:start w:val="3"/>
    </w:lvl>
    <w:lvl w:ilvl="1">
      <w:lvlJc w:val="left"/>
      <w:lvlText w:val="%2"/>
      <w:numFmt w:val="lowerRoman"/>
      <w:start w:val="1"/>
    </w:lvl>
  </w:abstractNum>
  <w:abstractNum w:abstractNumId="90">
    <w:nsid w:val="5D205E20"/>
    <w:multiLevelType w:val="hybridMultilevel"/>
    <w:lvl w:ilvl="0">
      <w:lvlJc w:val="left"/>
      <w:lvlText w:val="(%1)"/>
      <w:numFmt w:val="lowerLetter"/>
      <w:start w:val="1"/>
    </w:lvl>
  </w:abstractNum>
  <w:abstractNum w:abstractNumId="91">
    <w:nsid w:val="11CCA8BA"/>
    <w:multiLevelType w:val="hybridMultilevel"/>
    <w:lvl w:ilvl="0">
      <w:lvlJc w:val="left"/>
      <w:lvlText w:val="%1"/>
      <w:numFmt w:val="upperLetter"/>
      <w:start w:val="1"/>
    </w:lvl>
    <w:lvl w:ilvl="1">
      <w:lvlJc w:val="left"/>
      <w:lvlText w:val="(%2)"/>
      <w:numFmt w:val="lowerRoman"/>
      <w:start w:val="1"/>
    </w:lvl>
  </w:abstractNum>
  <w:abstractNum w:abstractNumId="92">
    <w:nsid w:val="4D32AB86"/>
    <w:multiLevelType w:val="hybridMultilevel"/>
    <w:lvl w:ilvl="0">
      <w:lvlJc w:val="left"/>
      <w:lvlText w:val="(%1)"/>
      <w:numFmt w:val="upperLetter"/>
      <w:start w:val="1"/>
    </w:lvl>
    <w:lvl w:ilvl="1">
      <w:lvlJc w:val="left"/>
      <w:lvlText w:val="%2"/>
      <w:numFmt w:val="lowerRoman"/>
      <w:start w:val="1"/>
    </w:lvl>
  </w:abstractNum>
  <w:abstractNum w:abstractNumId="93">
    <w:nsid w:val="3F07ACC3"/>
    <w:multiLevelType w:val="hybridMultilevel"/>
    <w:lvl w:ilvl="0">
      <w:lvlJc w:val="left"/>
      <w:lvlText w:val="%1"/>
      <w:numFmt w:val="lowerLetter"/>
      <w:start w:val="1"/>
    </w:lvl>
    <w:lvl w:ilvl="1">
      <w:lvlJc w:val="left"/>
      <w:lvlText w:val="(%2)"/>
      <w:numFmt w:val="lowerRoman"/>
      <w:start w:val="3"/>
    </w:lvl>
  </w:abstractNum>
  <w:abstractNum w:abstractNumId="94">
    <w:nsid w:val="6B47F63E"/>
    <w:multiLevelType w:val="hybridMultilevel"/>
    <w:lvl w:ilvl="0">
      <w:lvlJc w:val="left"/>
      <w:lvlText w:val="(%1)"/>
      <w:numFmt w:val="lowerLetter"/>
      <w:start w:val="2"/>
    </w:lvl>
    <w:lvl w:ilvl="1">
      <w:lvlJc w:val="left"/>
      <w:lvlText w:val="%2"/>
      <w:numFmt w:val="lowerRoman"/>
      <w:start w:val="1"/>
    </w:lvl>
  </w:abstractNum>
  <w:abstractNum w:abstractNumId="95">
    <w:nsid w:val="5CB44A05"/>
    <w:multiLevelType w:val="hybridMultilevel"/>
    <w:lvl w:ilvl="0">
      <w:lvlJc w:val="left"/>
      <w:lvlText w:val="(%1)"/>
      <w:numFmt w:val="lowerLetter"/>
      <w:start w:val="3"/>
    </w:lvl>
  </w:abstractNum>
  <w:abstractNum w:abstractNumId="96">
    <w:nsid w:val="16CF80F1"/>
    <w:multiLevelType w:val="hybridMultilevel"/>
    <w:lvl w:ilvl="0">
      <w:lvlJc w:val="left"/>
      <w:lvlText w:val="(%1)"/>
      <w:numFmt w:val="lowerLetter"/>
      <w:start w:val="8"/>
    </w:lvl>
  </w:abstractNum>
  <w:abstractNum w:abstractNumId="97">
    <w:nsid w:val="1C695DEC"/>
    <w:multiLevelType w:val="hybridMultilevel"/>
    <w:lvl w:ilvl="0">
      <w:lvlJc w:val="left"/>
      <w:lvlText w:val="(%1)"/>
      <w:numFmt w:val="lowerLetter"/>
      <w:start w:val="1"/>
    </w:lvl>
  </w:abstractNum>
  <w:abstractNum w:abstractNumId="98">
    <w:nsid w:val="3FCFAED9"/>
    <w:multiLevelType w:val="hybridMultilevel"/>
    <w:lvl w:ilvl="0">
      <w:lvlJc w:val="left"/>
      <w:lvlText w:val="(%1)"/>
      <w:numFmt w:val="lowerLetter"/>
      <w:start w:val="4"/>
    </w:lvl>
  </w:abstractNum>
  <w:abstractNum w:abstractNumId="99">
    <w:nsid w:val="F856867"/>
    <w:multiLevelType w:val="hybridMultilevel"/>
    <w:lvl w:ilvl="0">
      <w:lvlJc w:val="left"/>
      <w:lvlText w:val="(%1)"/>
      <w:numFmt w:val="lowerLetter"/>
      <w:start w:val="6"/>
    </w:lvl>
    <w:lvl w:ilvl="1">
      <w:lvlJc w:val="left"/>
      <w:lvlText w:val="(%2)"/>
      <w:numFmt w:val="lowerRoman"/>
      <w:start w:val="1"/>
    </w:lvl>
  </w:abstractNum>
  <w:abstractNum w:abstractNumId="100">
    <w:nsid w:val="11B1CC33"/>
    <w:multiLevelType w:val="hybridMultilevel"/>
    <w:lvl w:ilvl="0">
      <w:lvlJc w:val="left"/>
      <w:lvlText w:val="(%1)"/>
      <w:numFmt w:val="lowerLetter"/>
      <w:start w:val="7"/>
    </w:lvl>
  </w:abstractNum>
  <w:abstractNum w:abstractNumId="101">
    <w:nsid w:val="2E22FBB7"/>
    <w:multiLevelType w:val="hybridMultilevel"/>
    <w:lvl w:ilvl="0">
      <w:lvlJc w:val="left"/>
      <w:lvlText w:val="(%1)"/>
      <w:numFmt w:val="lowerLetter"/>
      <w:start w:val="25"/>
    </w:lvl>
  </w:abstractNum>
  <w:abstractNum w:abstractNumId="102">
    <w:nsid w:val="29934699"/>
    <w:multiLevelType w:val="hybridMultilevel"/>
    <w:lvl w:ilvl="0">
      <w:lvlJc w:val="left"/>
      <w:lvlText w:val="(%1)"/>
      <w:numFmt w:val="lowerLetter"/>
      <w:start w:val="1"/>
    </w:lvl>
  </w:abstractNum>
  <w:abstractNum w:abstractNumId="103">
    <w:nsid w:val="77485850"/>
    <w:multiLevelType w:val="hybridMultilevel"/>
    <w:lvl w:ilvl="0">
      <w:lvlJc w:val="left"/>
      <w:lvlText w:val="(%1)"/>
      <w:numFmt w:val="lowerLetter"/>
      <w:start w:val="2"/>
    </w:lvl>
  </w:abstractNum>
  <w:abstractNum w:abstractNumId="104">
    <w:nsid w:val="744939A3"/>
    <w:multiLevelType w:val="hybridMultilevel"/>
    <w:lvl w:ilvl="0">
      <w:lvlJc w:val="left"/>
      <w:lvlText w:val="(%1)"/>
      <w:numFmt w:val="lowerLetter"/>
      <w:start w:val="3"/>
    </w:lvl>
  </w:abstractNum>
  <w:abstractNum w:abstractNumId="105">
    <w:nsid w:val="4FA0D2E3"/>
    <w:multiLevelType w:val="hybridMultilevel"/>
    <w:lvl w:ilvl="0">
      <w:lvlJc w:val="left"/>
      <w:lvlText w:val="(%1)"/>
      <w:numFmt w:val="lowerRoman"/>
      <w:start w:val="10"/>
    </w:lvl>
  </w:abstractNum>
  <w:abstractNum w:abstractNumId="106">
    <w:nsid w:val="6B1D2C14"/>
    <w:multiLevelType w:val="hybridMultilevel"/>
    <w:lvl w:ilvl="0">
      <w:lvlJc w:val="left"/>
      <w:lvlText w:val="(%1)"/>
      <w:numFmt w:val="decimal"/>
      <w:start w:val="1"/>
    </w:lvl>
  </w:abstractNum>
  <w:abstractNum w:abstractNumId="107">
    <w:nsid w:val="68B867D3"/>
    <w:multiLevelType w:val="hybridMultilevel"/>
    <w:lvl w:ilvl="0">
      <w:lvlJc w:val="left"/>
      <w:lvlText w:val="(%1)"/>
      <w:numFmt w:val="upperLetter"/>
      <w:start w:val="1"/>
    </w:lvl>
  </w:abstractNum>
  <w:abstractNum w:abstractNumId="108">
    <w:nsid w:val="3F7F5DD9"/>
    <w:multiLevelType w:val="hybridMultilevel"/>
    <w:lvl w:ilvl="0">
      <w:lvlJc w:val="left"/>
      <w:lvlText w:val="(%1)"/>
      <w:numFmt w:val="lowerLetter"/>
      <w:start w:val="4"/>
    </w:lvl>
  </w:abstractNum>
  <w:abstractNum w:abstractNumId="109">
    <w:nsid w:val="2AE05A34"/>
    <w:multiLevelType w:val="hybridMultilevel"/>
    <w:lvl w:ilvl="0">
      <w:lvlJc w:val="left"/>
      <w:lvlText w:val="(%1)"/>
      <w:numFmt w:val="lowerLetter"/>
      <w:start w:val="5"/>
    </w:lvl>
  </w:abstractNum>
  <w:abstractNum w:abstractNumId="110">
    <w:nsid w:val="32794FF7"/>
    <w:multiLevelType w:val="hybridMultilevel"/>
    <w:lvl w:ilvl="0">
      <w:lvlJc w:val="left"/>
      <w:lvlText w:val="(%1)"/>
      <w:numFmt w:val="lowerLetter"/>
      <w:start w:val="6"/>
    </w:lvl>
    <w:lvl w:ilvl="1">
      <w:lvlJc w:val="left"/>
      <w:lvlText w:val="(%2)"/>
      <w:numFmt w:val="lowerRoman"/>
      <w:start w:val="1"/>
    </w:lvl>
  </w:abstractNum>
  <w:abstractNum w:abstractNumId="111">
    <w:nsid w:val="5454945E"/>
    <w:multiLevelType w:val="hybridMultilevel"/>
    <w:lvl w:ilvl="0">
      <w:lvlJc w:val="left"/>
      <w:lvlText w:val="(%1)"/>
      <w:numFmt w:val="lowerRoman"/>
      <w:start w:val="6"/>
    </w:lvl>
  </w:abstractNum>
  <w:abstractNum w:abstractNumId="112">
    <w:nsid w:val="4DEFDFA0"/>
    <w:multiLevelType w:val="hybridMultilevel"/>
    <w:lvl w:ilvl="0">
      <w:lvlJc w:val="left"/>
      <w:lvlText w:val="(%1)"/>
      <w:numFmt w:val="lowerLetter"/>
      <w:start w:val="10"/>
    </w:lvl>
  </w:abstractNum>
  <w:abstractNum w:abstractNumId="113">
    <w:nsid w:val="2123D5F2"/>
    <w:multiLevelType w:val="hybridMultilevel"/>
    <w:lvl w:ilvl="0">
      <w:lvlJc w:val="left"/>
      <w:lvlText w:val="(%1)"/>
      <w:numFmt w:val="lowerLetter"/>
      <w:start w:val="1"/>
    </w:lvl>
    <w:lvl w:ilvl="1">
      <w:lvlJc w:val="left"/>
      <w:lvlText w:val="(%2)"/>
      <w:numFmt w:val="lowerRoman"/>
      <w:start w:val="1"/>
    </w:lvl>
  </w:abstractNum>
  <w:abstractNum w:abstractNumId="114">
    <w:nsid w:val="135B8110"/>
    <w:multiLevelType w:val="hybridMultilevel"/>
    <w:lvl w:ilvl="0">
      <w:lvlJc w:val="left"/>
      <w:lvlText w:val="(%1)"/>
      <w:numFmt w:val="lowerLetter"/>
      <w:start w:val="2"/>
    </w:lvl>
  </w:abstractNum>
  <w:abstractNum w:abstractNumId="115">
    <w:nsid w:val="94927A8"/>
    <w:multiLevelType w:val="hybridMultilevel"/>
    <w:lvl w:ilvl="0">
      <w:lvlJc w:val="left"/>
      <w:lvlText w:val="(%1)"/>
      <w:numFmt w:val="lowerLetter"/>
      <w:start w:val="2"/>
    </w:lvl>
  </w:abstractNum>
  <w:abstractNum w:abstractNumId="116">
    <w:nsid w:val="DCDF8F6"/>
    <w:multiLevelType w:val="hybridMultilevel"/>
    <w:lvl w:ilvl="0">
      <w:lvlJc w:val="left"/>
      <w:lvlText w:val="(%1)"/>
      <w:numFmt w:val="lowerLetter"/>
      <w:start w:val="1"/>
    </w:lvl>
  </w:abstractNum>
  <w:abstractNum w:abstractNumId="117">
    <w:nsid w:val="52D7B105"/>
    <w:multiLevelType w:val="hybridMultilevel"/>
    <w:lvl w:ilvl="0">
      <w:lvlJc w:val="left"/>
      <w:lvlText w:val="(%1)"/>
      <w:numFmt w:val="lowerLetter"/>
      <w:start w:val="2"/>
    </w:lvl>
  </w:abstractNum>
  <w:abstractNum w:abstractNumId="118">
    <w:nsid w:val="2E8A6394"/>
    <w:multiLevelType w:val="hybridMultilevel"/>
    <w:lvl w:ilvl="0">
      <w:lvlJc w:val="left"/>
      <w:lvlText w:val="(%1)"/>
      <w:numFmt w:val="lowerLetter"/>
      <w:start w:val="1"/>
    </w:lvl>
  </w:abstractNum>
  <w:abstractNum w:abstractNumId="119">
    <w:nsid w:val="24E60401"/>
    <w:multiLevelType w:val="hybridMultilevel"/>
    <w:lvl w:ilvl="0">
      <w:lvlJc w:val="left"/>
      <w:lvlText w:val="(%1)"/>
      <w:numFmt w:val="lowerLetter"/>
      <w:start w:val="2"/>
    </w:lvl>
  </w:abstractNum>
  <w:abstractNum w:abstractNumId="120">
    <w:nsid w:val="2A6AD9BE"/>
    <w:multiLevelType w:val="hybridMultilevel"/>
    <w:lvl w:ilvl="0">
      <w:lvlJc w:val="left"/>
      <w:lvlText w:val="(%1)"/>
      <w:numFmt w:val="lowerLetter"/>
      <w:start w:val="2"/>
    </w:lvl>
    <w:lvl w:ilvl="1">
      <w:lvlJc w:val="left"/>
      <w:lvlText w:val="(%2)"/>
      <w:numFmt w:val="lowerLetter"/>
      <w:start w:val="9"/>
    </w:lvl>
  </w:abstractNum>
  <w:abstractNum w:abstractNumId="121">
    <w:nsid w:val="BAAC1B4"/>
    <w:multiLevelType w:val="hybridMultilevel"/>
    <w:lvl w:ilvl="0">
      <w:lvlJc w:val="left"/>
      <w:lvlText w:val="%1"/>
      <w:numFmt w:val="lowerLetter"/>
      <w:start w:val="1"/>
    </w:lvl>
    <w:lvl w:ilvl="1">
      <w:lvlJc w:val="left"/>
      <w:lvlText w:val="(%2)"/>
      <w:numFmt w:val="lowerLetter"/>
      <w:start w:val="35"/>
    </w:lvl>
  </w:abstractNum>
  <w:abstractNum w:abstractNumId="122">
    <w:nsid w:val="36B2ACBC"/>
    <w:multiLevelType w:val="hybridMultilevel"/>
    <w:lvl w:ilvl="0">
      <w:lvlJc w:val="left"/>
      <w:lvlText w:val="(%1)"/>
      <w:numFmt w:val="lowerLetter"/>
      <w:start w:val="6"/>
    </w:lvl>
    <w:lvl w:ilvl="1">
      <w:lvlJc w:val="left"/>
      <w:lvlText w:val="%2"/>
      <w:numFmt w:val="lowerLetter"/>
      <w:start w:val="1"/>
    </w:lvl>
  </w:abstractNum>
  <w:abstractNum w:abstractNumId="123">
    <w:nsid w:val="779D8544"/>
    <w:multiLevelType w:val="hybridMultilevel"/>
    <w:lvl w:ilvl="0">
      <w:lvlJc w:val="left"/>
      <w:lvlText w:val="(%1)"/>
      <w:numFmt w:val="lowerLetter"/>
      <w:start w:val="2"/>
    </w:lvl>
    <w:lvl w:ilvl="1">
      <w:lvlJc w:val="left"/>
      <w:lvlText w:val="(%2)"/>
      <w:numFmt w:val="lowerLetter"/>
      <w:start w:val="9"/>
    </w:lvl>
  </w:abstractNum>
  <w:abstractNum w:abstractNumId="124">
    <w:nsid w:val="4AB26E78"/>
    <w:multiLevelType w:val="hybridMultilevel"/>
    <w:lvl w:ilvl="0">
      <w:lvlJc w:val="left"/>
      <w:lvlText w:val="(%1)"/>
      <w:numFmt w:val="lowerRoman"/>
      <w:start w:val="2"/>
    </w:lvl>
  </w:abstractNum>
  <w:abstractNum w:abstractNumId="125">
    <w:nsid w:val="21FAA2FA"/>
    <w:multiLevelType w:val="hybridMultilevel"/>
    <w:lvl w:ilvl="0">
      <w:lvlJc w:val="left"/>
      <w:lvlText w:val="(%1)"/>
      <w:numFmt w:val="lowerRoman"/>
      <w:start w:val="1"/>
    </w:lvl>
  </w:abstractNum>
  <w:abstractNum w:abstractNumId="126">
    <w:nsid w:val="5451CF49"/>
    <w:multiLevelType w:val="hybridMultilevel"/>
    <w:lvl w:ilvl="0">
      <w:lvlJc w:val="left"/>
      <w:lvlText w:val="(%1)"/>
      <w:numFmt w:val="lowerLetter"/>
      <w:start w:val="3"/>
    </w:lvl>
    <w:lvl w:ilvl="1">
      <w:lvlJc w:val="left"/>
      <w:lvlText w:val="(%2)"/>
      <w:numFmt w:val="lowerRoman"/>
      <w:start w:val="1"/>
    </w:lvl>
  </w:abstractNum>
  <w:abstractNum w:abstractNumId="127">
    <w:nsid w:val="6181EF69"/>
    <w:multiLevelType w:val="hybridMultilevel"/>
    <w:lvl w:ilvl="0">
      <w:lvlJc w:val="left"/>
      <w:lvlText w:val="(%1)"/>
      <w:numFmt w:val="lowerRoman"/>
      <w:start w:val="3"/>
    </w:lvl>
  </w:abstractNum>
  <w:abstractNum w:abstractNumId="128">
    <w:nsid w:val="3E6400E6"/>
    <w:multiLevelType w:val="hybridMultilevel"/>
    <w:lvl w:ilvl="0">
      <w:lvlJc w:val="left"/>
      <w:lvlText w:val="(%1)"/>
      <w:numFmt w:val="lowerLetter"/>
      <w:start w:val="4"/>
    </w:lvl>
  </w:abstractNum>
  <w:abstractNum w:abstractNumId="129">
    <w:nsid w:val="14217E23"/>
    <w:multiLevelType w:val="hybridMultilevel"/>
    <w:lvl w:ilvl="0">
      <w:lvlJc w:val="left"/>
      <w:lvlText w:val="(%1)"/>
      <w:numFmt w:val="lowerLetter"/>
      <w:start w:val="6"/>
    </w:lvl>
  </w:abstractNum>
  <w:abstractNum w:abstractNumId="130">
    <w:nsid w:val="710757D0"/>
    <w:multiLevelType w:val="hybridMultilevel"/>
    <w:lvl w:ilvl="0">
      <w:lvlJc w:val="left"/>
      <w:lvlText w:val="(%1)"/>
      <w:numFmt w:val="lowerRoman"/>
      <w:start w:val="2"/>
    </w:lvl>
  </w:abstractNum>
  <w:abstractNum w:abstractNumId="131">
    <w:nsid w:val="5015CD1A"/>
    <w:multiLevelType w:val="hybridMultilevel"/>
    <w:lvl w:ilvl="0">
      <w:lvlJc w:val="left"/>
      <w:lvlText w:val="(%1)"/>
      <w:numFmt w:val="lowerLetter"/>
      <w:start w:val="1"/>
    </w:lvl>
  </w:abstractNum>
  <w:abstractNum w:abstractNumId="132">
    <w:nsid w:val="424479DA"/>
    <w:multiLevelType w:val="hybridMultilevel"/>
    <w:lvl w:ilvl="0">
      <w:lvlJc w:val="left"/>
      <w:lvlText w:val="(%1)"/>
      <w:numFmt w:val="lowerLetter"/>
      <w:start w:val="1"/>
    </w:lvl>
  </w:abstractNum>
  <w:abstractNum w:abstractNumId="133">
    <w:nsid w:val="1A9A9E69"/>
    <w:multiLevelType w:val="hybridMultilevel"/>
    <w:lvl w:ilvl="0">
      <w:lvlJc w:val="left"/>
      <w:lvlText w:val="(%1)"/>
      <w:numFmt w:val="decimal"/>
      <w:start w:val="1"/>
    </w:lvl>
  </w:abstractNum>
  <w:abstractNum w:abstractNumId="134">
    <w:nsid w:val="475E256A"/>
    <w:multiLevelType w:val="hybridMultilevel"/>
    <w:lvl w:ilvl="0">
      <w:lvlJc w:val="left"/>
      <w:lvlText w:val="(%1)"/>
      <w:numFmt w:val="upperLetter"/>
      <w:start w:val="1"/>
    </w:lvl>
  </w:abstractNum>
  <w:abstractNum w:abstractNumId="135">
    <w:nsid w:val="368DB37E"/>
    <w:multiLevelType w:val="hybridMultilevel"/>
    <w:lvl w:ilvl="0">
      <w:lvlJc w:val="left"/>
      <w:lvlText w:val="(%1)"/>
      <w:numFmt w:val="upperLetter"/>
      <w:start w:val="4"/>
    </w:lvl>
  </w:abstractNum>
  <w:abstractNum w:abstractNumId="136">
    <w:nsid w:val="6A3B714C"/>
    <w:multiLevelType w:val="hybridMultilevel"/>
    <w:lvl w:ilvl="0">
      <w:lvlJc w:val="left"/>
      <w:lvlText w:val="(%1)"/>
      <w:numFmt w:val="decimal"/>
      <w:start w:val="1"/>
    </w:lvl>
  </w:abstractNum>
  <w:abstractNum w:abstractNumId="137">
    <w:nsid w:val="327B517E"/>
    <w:multiLevelType w:val="hybridMultilevel"/>
    <w:lvl w:ilvl="0">
      <w:lvlJc w:val="left"/>
      <w:lvlText w:val="(%1)"/>
      <w:numFmt w:val="upperLetter"/>
      <w:start w:val="1"/>
    </w:lvl>
  </w:abstractNum>
  <w:abstractNum w:abstractNumId="138">
    <w:nsid w:val="1F461B51"/>
    <w:multiLevelType w:val="hybridMultilevel"/>
    <w:lvl w:ilvl="0">
      <w:lvlJc w:val="left"/>
      <w:lvlText w:val="1"/>
      <w:numFmt w:val="bullet"/>
      <w:start w:val="1"/>
    </w:lvl>
  </w:abstractNum>
  <w:abstractNum w:abstractNumId="139">
    <w:nsid w:val="29BACF25"/>
    <w:multiLevelType w:val="hybridMultilevel"/>
    <w:lvl w:ilvl="0">
      <w:lvlJc w:val="left"/>
      <w:lvlText w:val="6"/>
      <w:numFmt w:val="bullet"/>
      <w:start w:val="1"/>
    </w:lvl>
  </w:abstractNum>
  <w:abstractNum w:abstractNumId="140">
    <w:nsid w:val="5D5BABB3"/>
    <w:multiLevelType w:val="hybridMultilevel"/>
    <w:lvl w:ilvl="0">
      <w:lvlJc w:val="left"/>
      <w:lvlText w:val="☐"/>
      <w:numFmt w:val="bullet"/>
      <w:start w:val="1"/>
    </w:lvl>
  </w:abstractNum>
  <w:abstractNum w:abstractNumId="141">
    <w:nsid w:val="51BF6B48"/>
    <w:multiLevelType w:val="hybridMultilevel"/>
    <w:lvl w:ilvl="0">
      <w:lvlJc w:val="left"/>
      <w:lvlText w:val="7"/>
      <w:numFmt w:val="bullet"/>
      <w:start w:val="1"/>
    </w:lvl>
  </w:abstractNum>
  <w:abstractNum w:abstractNumId="142">
    <w:nsid w:val="7E0F6384"/>
    <w:multiLevelType w:val="hybridMultilevel"/>
    <w:lvl w:ilvl="0">
      <w:lvlJc w:val="left"/>
      <w:lvlText w:val="(%1)"/>
      <w:numFmt w:val="decimal"/>
      <w:start w:val="1"/>
    </w:lvl>
  </w:abstractNum>
  <w:abstractNum w:abstractNumId="143">
    <w:nsid w:val="2B4B8B53"/>
    <w:multiLevelType w:val="hybridMultilevel"/>
    <w:lvl w:ilvl="0">
      <w:lvlJc w:val="left"/>
      <w:lvlText w:val="(%1)"/>
      <w:numFmt w:val="lowerLetter"/>
      <w:start w:val="1"/>
    </w:lvl>
    <w:lvl w:ilvl="1">
      <w:lvlJc w:val="left"/>
      <w:lvlText w:val="(%2)"/>
      <w:numFmt w:val="lowerLetter"/>
      <w:start w:val="9"/>
    </w:lvl>
  </w:abstractNum>
  <w:abstractNum w:abstractNumId="144">
    <w:nsid w:val="72E3413A"/>
    <w:multiLevelType w:val="hybridMultilevel"/>
    <w:lvl w:ilvl="0">
      <w:lvlJc w:val="left"/>
      <w:lvlText w:val="%1"/>
      <w:numFmt w:val="lowerLetter"/>
      <w:start w:val="1"/>
    </w:lvl>
    <w:lvl w:ilvl="1">
      <w:lvlJc w:val="left"/>
      <w:lvlText w:val="(%2)"/>
      <w:numFmt w:val="lowerLetter"/>
      <w:start w:val="35"/>
    </w:lvl>
  </w:abstractNum>
  <w:abstractNum w:abstractNumId="145">
    <w:nsid w:val="116AE494"/>
    <w:multiLevelType w:val="hybridMultilevel"/>
    <w:lvl w:ilvl="0">
      <w:lvlJc w:val="left"/>
      <w:lvlText w:val="(%1)"/>
      <w:numFmt w:val="lowerLetter"/>
      <w:start w:val="2"/>
    </w:lvl>
    <w:lvl w:ilvl="1">
      <w:lvlJc w:val="left"/>
      <w:lvlText w:val="%2"/>
      <w:numFmt w:val="lowerLetter"/>
      <w:start w:val="1"/>
    </w:lvl>
  </w:abstractNum>
  <w:abstractNum w:abstractNumId="146">
    <w:nsid w:val="3494B2FB"/>
    <w:multiLevelType w:val="hybridMultilevel"/>
    <w:lvl w:ilvl="0">
      <w:lvlJc w:val="left"/>
      <w:lvlText w:val="(%1)"/>
      <w:numFmt w:val="lowerLetter"/>
      <w:start w:val="8"/>
    </w:lvl>
  </w:abstractNum>
  <w:abstractNum w:abstractNumId="147">
    <w:nsid w:val="B13A31"/>
    <w:multiLevelType w:val="hybridMultilevel"/>
    <w:lvl w:ilvl="0">
      <w:lvlJc w:val="left"/>
      <w:lvlText w:val="(%1)"/>
      <w:numFmt w:val="decimal"/>
      <w:start w:val="3"/>
    </w:lvl>
  </w:abstractNum>
  <w:abstractNum w:abstractNumId="148">
    <w:nsid w:val="64429599"/>
    <w:multiLevelType w:val="hybridMultilevel"/>
    <w:lvl w:ilvl="0">
      <w:lvlJc w:val="left"/>
      <w:lvlText w:val="(%1)"/>
      <w:numFmt w:val="decimal"/>
      <w:start w:val="5"/>
    </w:lvl>
  </w:abstractNum>
  <w:abstractNum w:abstractNumId="149">
    <w:nsid w:val="631F1690"/>
    <w:multiLevelType w:val="hybridMultilevel"/>
    <w:lvl w:ilvl="0">
      <w:lvlJc w:val="left"/>
      <w:lvlText w:val="(%1)"/>
      <w:numFmt w:val="decimal"/>
      <w:start w:val="6"/>
    </w:lvl>
  </w:abstractNum>
  <w:abstractNum w:abstractNumId="150">
    <w:nsid w:val="25973E32"/>
    <w:multiLevelType w:val="hybridMultilevel"/>
    <w:lvl w:ilvl="0">
      <w:lvlJc w:val="left"/>
      <w:lvlText w:val="%1."/>
      <w:numFmt w:val="decimal"/>
      <w:start w:val="1"/>
    </w:lvl>
    <w:lvl w:ilvl="1">
      <w:lvlJc w:val="left"/>
      <w:lvlText w:val="(%2)"/>
      <w:numFmt w:val="lowerLetter"/>
      <w:start w:val="1"/>
    </w:lvl>
  </w:abstractNum>
  <w:abstractNum w:abstractNumId="151">
    <w:nsid w:val="EAD6F57"/>
    <w:multiLevelType w:val="hybridMultilevel"/>
    <w:lvl w:ilvl="0">
      <w:lvlJc w:val="left"/>
      <w:lvlText w:val="%1."/>
      <w:numFmt w:val="decimal"/>
      <w:start w:val="2"/>
    </w:lvl>
    <w:lvl w:ilvl="1">
      <w:lvlJc w:val="left"/>
      <w:lvlText w:val="(%2)"/>
      <w:numFmt w:val="lowerLetter"/>
      <w:start w:val="1"/>
    </w:lvl>
  </w:abstractNum>
  <w:abstractNum w:abstractNumId="152">
    <w:nsid w:val="6EC9D844"/>
    <w:multiLevelType w:val="hybridMultilevel"/>
    <w:lvl w:ilvl="0">
      <w:lvlJc w:val="left"/>
      <w:lvlText w:val="%1"/>
      <w:numFmt w:val="decimal"/>
      <w:start w:val="1"/>
    </w:lvl>
    <w:lvl w:ilvl="1">
      <w:lvlJc w:val="left"/>
      <w:lvlText w:val="(%2)"/>
      <w:numFmt w:val="lowerLetter"/>
      <w:start w:val="5"/>
    </w:lvl>
  </w:abstractNum>
  <w:abstractNum w:abstractNumId="153">
    <w:nsid w:val="5C49EAEE"/>
    <w:multiLevelType w:val="hybridMultilevel"/>
    <w:lvl w:ilvl="0">
      <w:lvlJc w:val="left"/>
      <w:lvlText w:val="%1."/>
      <w:numFmt w:val="decimal"/>
      <w:start w:val="4"/>
    </w:lvl>
    <w:lvl w:ilvl="1">
      <w:lvlJc w:val="left"/>
      <w:lvlText w:val="(%2)"/>
      <w:numFmt w:val="lowerLetter"/>
      <w:start w:val="1"/>
    </w:lvl>
  </w:abstractNum>
  <w:abstractNum w:abstractNumId="154">
    <w:nsid w:val="64AF4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5">
    <w:nsid w:val="397C46B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56">
    <w:nsid w:val="7E448DE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7">
    <w:nsid w:val="5A9CC3E5"/>
    <w:multiLevelType w:val="hybridMultilevel"/>
    <w:lvl w:ilvl="0">
      <w:lvlJc w:val="left"/>
      <w:lvlText w:val="%1."/>
      <w:numFmt w:val="decimal"/>
      <w:start w:val="8"/>
    </w:lvl>
  </w:abstractNum>
  <w:abstractNum w:abstractNumId="158">
    <w:nsid w:val="1AFE3625"/>
    <w:multiLevelType w:val="hybridMultilevel"/>
    <w:lvl w:ilvl="0">
      <w:lvlJc w:val="left"/>
      <w:lvlText w:val="%1."/>
      <w:numFmt w:val="decimal"/>
      <w:start w:val="9"/>
    </w:lvl>
    <w:lvl w:ilvl="1">
      <w:lvlJc w:val="left"/>
      <w:lvlText w:val="(%2)"/>
      <w:numFmt w:val="lowerLetter"/>
      <w:start w:val="1"/>
    </w:lvl>
  </w:abstractNum>
  <w:abstractNum w:abstractNumId="159">
    <w:nsid w:val="3CA88ECF"/>
    <w:multiLevelType w:val="hybridMultilevel"/>
    <w:lvl w:ilvl="0">
      <w:lvlJc w:val="left"/>
      <w:lvlText w:val="(%1)"/>
      <w:numFmt w:val="lowerLetter"/>
      <w:start w:val="3"/>
    </w:lvl>
    <w:lvl w:ilvl="1">
      <w:lvlJc w:val="left"/>
      <w:lvlText w:val="(%2)"/>
      <w:numFmt w:val="lowerLetter"/>
      <w:start w:val="9"/>
    </w:lvl>
  </w:abstractNum>
  <w:abstractNum w:abstractNumId="160">
    <w:nsid w:val="6EBE4208"/>
    <w:multiLevelType w:val="hybridMultilevel"/>
    <w:lvl w:ilvl="0">
      <w:lvlJc w:val="left"/>
      <w:lvlText w:val="%1"/>
      <w:numFmt w:val="lowerLetter"/>
      <w:start w:val="1"/>
    </w:lvl>
    <w:lvl w:ilvl="1">
      <w:lvlJc w:val="left"/>
      <w:lvlText w:val="(%2)"/>
      <w:numFmt w:val="lowerLetter"/>
      <w:start w:val="35"/>
    </w:lvl>
  </w:abstractNum>
  <w:abstractNum w:abstractNumId="161">
    <w:nsid w:val="C058DF5"/>
    <w:multiLevelType w:val="hybridMultilevel"/>
    <w:lvl w:ilvl="0">
      <w:lvlJc w:val="left"/>
      <w:lvlText w:val="(%1)"/>
      <w:numFmt w:val="lowerLetter"/>
      <w:start w:val="5"/>
    </w:lvl>
    <w:lvl w:ilvl="1">
      <w:lvlJc w:val="left"/>
      <w:lvlText w:val="%2"/>
      <w:numFmt w:val="lowerLetter"/>
      <w:start w:val="1"/>
    </w:lvl>
  </w:abstractNum>
  <w:abstractNum w:abstractNumId="162">
    <w:nsid w:val="CBE5BE9"/>
    <w:multiLevelType w:val="hybridMultilevel"/>
    <w:lvl w:ilvl="0">
      <w:lvlJc w:val="left"/>
      <w:lvlText w:val="(%1)"/>
      <w:numFmt w:val="lowerLetter"/>
      <w:start w:val="1"/>
    </w:lvl>
  </w:abstractNum>
  <w:abstractNum w:abstractNumId="163">
    <w:nsid w:val="3102BB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4">
    <w:nsid w:val="26A02C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5">
    <w:nsid w:val="541C8153"/>
    <w:multiLevelType w:val="hybridMultilevel"/>
    <w:lvl w:ilvl="0">
      <w:lvlJc w:val="left"/>
      <w:lvlText w:val="(%1)"/>
      <w:numFmt w:val="lowerLetter"/>
      <w:start w:val="1"/>
    </w:lvl>
  </w:abstractNum>
  <w:abstractNum w:abstractNumId="166">
    <w:nsid w:val="67906F60"/>
    <w:multiLevelType w:val="hybridMultilevel"/>
    <w:lvl w:ilvl="0">
      <w:lvlJc w:val="left"/>
      <w:lvlText w:val="%1."/>
      <w:numFmt w:val="decimal"/>
      <w:start w:val="3"/>
    </w:lvl>
  </w:abstractNum>
  <w:abstractNum w:abstractNumId="167">
    <w:nsid w:val="10DB9DAA"/>
    <w:multiLevelType w:val="hybridMultilevel"/>
    <w:lvl w:ilvl="0">
      <w:lvlJc w:val="left"/>
      <w:lvlText w:val="(%1)"/>
      <w:numFmt w:val="lowerLetter"/>
      <w:start w:val="1"/>
    </w:lvl>
  </w:abstractNum>
  <w:abstractNum w:abstractNumId="168">
    <w:nsid w:val="697D2D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69">
    <w:nsid w:val="6D68AB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4"/>
    </w:lvl>
  </w:abstractNum>
  <w:abstractNum w:abstractNumId="170">
    <w:nsid w:val="3A966CD0"/>
    <w:multiLevelType w:val="hybridMultilevel"/>
    <w:lvl w:ilvl="0">
      <w:lvlJc w:val="left"/>
      <w:lvlText w:val="(%1)"/>
      <w:numFmt w:val="lowerLetter"/>
      <w:start w:val="1"/>
    </w:lvl>
  </w:abstractNum>
  <w:abstractNum w:abstractNumId="171">
    <w:nsid w:val="63F37E85"/>
    <w:multiLevelType w:val="hybridMultilevel"/>
    <w:lvl w:ilvl="0">
      <w:lvlJc w:val="left"/>
      <w:lvlText w:val="(%1)"/>
      <w:numFmt w:val="lowerRoman"/>
      <w:start w:val="10"/>
    </w:lvl>
  </w:abstractNum>
  <w:abstractNum w:abstractNumId="172">
    <w:nsid w:val="5895F5FA"/>
    <w:multiLevelType w:val="hybridMultilevel"/>
    <w:lvl w:ilvl="0">
      <w:lvlJc w:val="left"/>
      <w:lvlText w:val="(%1)"/>
      <w:numFmt w:val="lowerLetter"/>
      <w:start w:val="1"/>
    </w:lvl>
  </w:abstractNum>
  <w:abstractNum w:abstractNumId="173">
    <w:nsid w:val="38A5D054"/>
    <w:multiLevelType w:val="hybridMultilevel"/>
    <w:lvl w:ilvl="0">
      <w:lvlJc w:val="left"/>
      <w:lvlText w:val="(%1)"/>
      <w:numFmt w:val="lowerLetter"/>
      <w:start w:val="1"/>
    </w:lvl>
    <w:lvl w:ilvl="1">
      <w:lvlJc w:val="left"/>
      <w:lvlText w:val="(%2)"/>
      <w:numFmt w:val="lowerRoman"/>
      <w:start w:val="1"/>
    </w:lvl>
  </w:abstractNum>
  <w:abstractNum w:abstractNumId="174">
    <w:nsid w:val="F3F09D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5">
    <w:nsid w:val="4B79373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6">
    <w:nsid w:val="4A10B4E8"/>
    <w:multiLevelType w:val="hybridMultilevel"/>
    <w:lvl w:ilvl="0">
      <w:lvlJc w:val="left"/>
      <w:lvlText w:val="(%1)"/>
      <w:numFmt w:val="lowerLetter"/>
      <w:start w:val="1"/>
    </w:lvl>
  </w:abstractNum>
  <w:abstractNum w:abstractNumId="177">
    <w:nsid w:val="43D3BCD4"/>
    <w:multiLevelType w:val="hybridMultilevel"/>
    <w:lvl w:ilvl="0">
      <w:lvlJc w:val="left"/>
      <w:lvlText w:val="%1."/>
      <w:numFmt w:val="decimal"/>
      <w:start w:val="3"/>
    </w:lvl>
  </w:abstractNum>
  <w:abstractNum w:abstractNumId="178">
    <w:nsid w:val="4C2A7166"/>
    <w:multiLevelType w:val="hybridMultilevel"/>
    <w:lvl w:ilvl="0">
      <w:lvlJc w:val="left"/>
      <w:lvlText w:val="(%1)"/>
      <w:numFmt w:val="lowerLetter"/>
      <w:start w:val="1"/>
    </w:lvl>
  </w:abstractNum>
  <w:abstractNum w:abstractNumId="179">
    <w:nsid w:val="2E534A8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0">
    <w:nsid w:val="26F2D364"/>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1">
    <w:nsid w:val="71C1AF98"/>
    <w:multiLevelType w:val="hybridMultilevel"/>
    <w:lvl w:ilvl="0">
      <w:lvlJc w:val="left"/>
      <w:lvlText w:val="(%1)"/>
      <w:numFmt w:val="lowerLetter"/>
      <w:start w:val="1"/>
    </w:lvl>
  </w:abstractNum>
  <w:abstractNum w:abstractNumId="182">
    <w:nsid w:val="3D00B9D9"/>
    <w:multiLevelType w:val="hybridMultilevel"/>
    <w:lvl w:ilvl="0">
      <w:lvlJc w:val="left"/>
      <w:lvlText w:val="(%1)"/>
      <w:numFmt w:val="lowerRoman"/>
      <w:start w:val="10"/>
    </w:lvl>
  </w:abstractNum>
  <w:abstractNum w:abstractNumId="183">
    <w:nsid w:val="15BCABA8"/>
    <w:multiLevelType w:val="hybridMultilevel"/>
    <w:lvl w:ilvl="0">
      <w:lvlJc w:val="left"/>
      <w:lvlText w:val="(%1)"/>
      <w:numFmt w:val="lowerLetter"/>
      <w:start w:val="1"/>
    </w:lvl>
  </w:abstractNum>
  <w:abstractNum w:abstractNumId="184">
    <w:nsid w:val="4E0B9A87"/>
    <w:multiLevelType w:val="hybridMultilevel"/>
    <w:lvl w:ilvl="0">
      <w:lvlJc w:val="left"/>
      <w:lvlText w:val="(%1)"/>
      <w:numFmt w:val="lowerLetter"/>
      <w:start w:val="1"/>
    </w:lvl>
    <w:lvl w:ilvl="1">
      <w:lvlJc w:val="left"/>
      <w:lvlText w:val="(%2)"/>
      <w:numFmt w:val="lowerRoman"/>
      <w:start w:val="1"/>
    </w:lvl>
  </w:abstractNum>
  <w:abstractNum w:abstractNumId="185">
    <w:nsid w:val="434BAE75"/>
    <w:multiLevelType w:val="hybridMultilevel"/>
    <w:lvl w:ilvl="0">
      <w:lvlJc w:val="left"/>
      <w:lvlText w:val="(%1)"/>
      <w:numFmt w:val="lowerLetter"/>
      <w:start w:val="1"/>
    </w:lvl>
  </w:abstractNum>
  <w:abstractNum w:abstractNumId="186">
    <w:nsid w:val="4F38F265"/>
    <w:multiLevelType w:val="hybridMultilevel"/>
    <w:lvl w:ilvl="0">
      <w:lvlJc w:val="left"/>
      <w:lvlText w:val="(%1)"/>
      <w:numFmt w:val="lowerLetter"/>
      <w:start w:val="2"/>
    </w:lvl>
    <w:lvl w:ilvl="1">
      <w:lvlJc w:val="left"/>
      <w:lvlText w:val="(%2)"/>
      <w:numFmt w:val="lowerRoman"/>
      <w:start w:val="1"/>
    </w:lvl>
  </w:abstractNum>
  <w:abstractNum w:abstractNumId="187">
    <w:nsid w:val="4C502870"/>
    <w:multiLevelType w:val="hybridMultilevel"/>
    <w:lvl w:ilvl="0">
      <w:lvlJc w:val="left"/>
      <w:lvlText w:val="%1."/>
      <w:numFmt w:val="decimal"/>
      <w:start w:val="2"/>
    </w:lvl>
  </w:abstractNum>
  <w:abstractNum w:abstractNumId="188">
    <w:nsid w:val="1DE8725A"/>
    <w:multiLevelType w:val="hybridMultilevel"/>
    <w:lvl w:ilvl="0">
      <w:lvlJc w:val="left"/>
      <w:lvlText w:val="%1."/>
      <w:numFmt w:val="decimal"/>
      <w:start w:val="3"/>
    </w:lvl>
  </w:abstractNum>
  <w:abstractNum w:abstractNumId="189">
    <w:nsid w:val="6A37288A"/>
    <w:multiLevelType w:val="hybridMultilevel"/>
    <w:lvl w:ilvl="0">
      <w:lvlJc w:val="left"/>
      <w:lvlText w:val="(%1)"/>
      <w:numFmt w:val="lowerLetter"/>
      <w:start w:val="1"/>
    </w:lvl>
  </w:abstractNum>
  <w:abstractNum w:abstractNumId="190">
    <w:nsid w:val="8F8B73F"/>
    <w:multiLevelType w:val="hybridMultilevel"/>
    <w:lvl w:ilvl="0">
      <w:lvlJc w:val="left"/>
      <w:lvlText w:val="(%1)"/>
      <w:numFmt w:val="lowerLetter"/>
      <w:start w:val="3"/>
    </w:lvl>
  </w:abstractNum>
  <w:abstractNum w:abstractNumId="191">
    <w:nsid w:val="CA6B462"/>
    <w:multiLevelType w:val="hybridMultilevel"/>
    <w:lvl w:ilvl="0">
      <w:lvlJc w:val="left"/>
      <w:lvlText w:val="(%1)"/>
      <w:numFmt w:val="lowerRoman"/>
      <w:start w:val="1"/>
    </w:lvl>
  </w:abstractNum>
  <w:abstractNum w:abstractNumId="192">
    <w:nsid w:val="763CB680"/>
    <w:multiLevelType w:val="hybridMultilevel"/>
    <w:lvl w:ilvl="0">
      <w:lvlJc w:val="left"/>
      <w:lvlText w:val="(%1)"/>
      <w:numFmt w:val="lowerRoman"/>
      <w:start w:val="5"/>
    </w:lvl>
  </w:abstractNum>
  <w:abstractNum w:abstractNumId="193">
    <w:nsid w:val="15B71329"/>
    <w:multiLevelType w:val="hybridMultilevel"/>
    <w:lvl w:ilvl="0">
      <w:lvlJc w:val="left"/>
      <w:lvlText w:val="%1"/>
      <w:numFmt w:val="lowerLetter"/>
      <w:start w:val="1"/>
    </w:lvl>
    <w:lvl w:ilvl="1">
      <w:lvlJc w:val="left"/>
      <w:lvlText w:val="(%2)"/>
      <w:numFmt w:val="lowerLetter"/>
      <w:start w:val="1"/>
    </w:lvl>
  </w:abstractNum>
  <w:abstractNum w:abstractNumId="194">
    <w:nsid w:val="3DA97044"/>
    <w:multiLevelType w:val="hybridMultilevel"/>
    <w:lvl w:ilvl="0">
      <w:lvlJc w:val="left"/>
      <w:lvlText w:val="(%1)"/>
      <w:numFmt w:val="lowerLetter"/>
      <w:start w:val="61"/>
    </w:lvl>
    <w:lvl w:ilvl="1">
      <w:lvlJc w:val="left"/>
      <w:lvlText w:val="(%2)"/>
      <w:numFmt w:val="lowerLetter"/>
      <w:start w:val="2"/>
    </w:lvl>
  </w:abstractNum>
  <w:abstractNum w:abstractNumId="195">
    <w:nsid w:val="1CDCE2DE"/>
    <w:multiLevelType w:val="hybridMultilevel"/>
    <w:lvl w:ilvl="0">
      <w:lvlJc w:val="left"/>
      <w:lvlText w:val="(%1)"/>
      <w:numFmt w:val="lowerLetter"/>
      <w:start w:val="3"/>
    </w:lvl>
  </w:abstractNum>
  <w:abstractNum w:abstractNumId="196">
    <w:nsid w:val="69D3947C"/>
    <w:multiLevelType w:val="hybridMultilevel"/>
    <w:lvl w:ilvl="0">
      <w:lvlJc w:val="left"/>
      <w:lvlText w:val="(%1)"/>
      <w:numFmt w:val="lowerLetter"/>
      <w:start w:val="1"/>
    </w:lvl>
  </w:abstractNum>
  <w:abstractNum w:abstractNumId="197">
    <w:nsid w:val="2539DFA5"/>
    <w:multiLevelType w:val="hybridMultilevel"/>
    <w:lvl w:ilvl="0">
      <w:lvlJc w:val="left"/>
      <w:lvlText w:val="(%1)"/>
      <w:numFmt w:val="lowerLetter"/>
      <w:start w:val="3"/>
    </w:lvl>
  </w:abstractNum>
  <w:abstractNum w:abstractNumId="198">
    <w:nsid w:val="2DB88089"/>
    <w:multiLevelType w:val="hybridMultilevel"/>
    <w:lvl w:ilvl="0">
      <w:lvlJc w:val="left"/>
      <w:lvlText w:val="(%1)"/>
      <w:numFmt w:val="lowerLetter"/>
      <w:start w:val="7"/>
    </w:lvl>
  </w:abstractNum>
  <w:abstractNum w:abstractNumId="199">
    <w:nsid w:val="706B674E"/>
    <w:multiLevelType w:val="hybridMultilevel"/>
    <w:lvl w:ilvl="0">
      <w:lvlJc w:val="left"/>
      <w:lvlText w:val="(%1)"/>
      <w:numFmt w:val="lowerLetter"/>
      <w:start w:val="1"/>
    </w:lvl>
  </w:abstractNum>
  <w:abstractNum w:abstractNumId="200">
    <w:nsid w:val="2C106A57"/>
    <w:multiLevelType w:val="hybridMultilevel"/>
    <w:lvl w:ilvl="0">
      <w:lvlJc w:val="left"/>
      <w:lvlText w:val="(%1)"/>
      <w:numFmt w:val="lowerLetter"/>
      <w:start w:val="1"/>
    </w:lvl>
    <w:lvl w:ilvl="1">
      <w:lvlJc w:val="left"/>
      <w:lvlText w:val="(%2)"/>
      <w:numFmt w:val="lowerLetter"/>
      <w:start w:val="9"/>
    </w:lvl>
  </w:abstractNum>
  <w:abstractNum w:abstractNumId="201">
    <w:nsid w:val="684EED59"/>
    <w:multiLevelType w:val="hybridMultilevel"/>
    <w:lvl w:ilvl="0">
      <w:lvlJc w:val="left"/>
      <w:lvlText w:val="%1"/>
      <w:numFmt w:val="lowerLetter"/>
      <w:start w:val="1"/>
    </w:lvl>
    <w:lvl w:ilvl="1">
      <w:lvlJc w:val="left"/>
      <w:lvlText w:val="(%2)"/>
      <w:numFmt w:val="lowerRoman"/>
      <w:start w:val="2"/>
    </w:lvl>
  </w:abstractNum>
  <w:abstractNum w:abstractNumId="202">
    <w:nsid w:val="545EE5D3"/>
    <w:multiLevelType w:val="hybridMultilevel"/>
    <w:lvl w:ilvl="0">
      <w:lvlJc w:val="left"/>
      <w:lvlText w:val="(%1)"/>
      <w:numFmt w:val="lowerLetter"/>
      <w:start w:val="4"/>
    </w:lvl>
    <w:lvl w:ilvl="1">
      <w:lvlJc w:val="left"/>
      <w:lvlText w:val="%2"/>
      <w:numFmt w:val="lowerRoman"/>
      <w:start w:val="1"/>
    </w:lvl>
  </w:abstractNum>
  <w:abstractNum w:abstractNumId="203">
    <w:nsid w:val="4A66051"/>
    <w:multiLevelType w:val="hybridMultilevel"/>
    <w:lvl w:ilvl="0">
      <w:lvlJc w:val="left"/>
      <w:lvlText w:val="(%1)"/>
      <w:numFmt w:val="lowerLetter"/>
      <w:start w:val="1"/>
    </w:lvl>
  </w:abstractNum>
  <w:abstractNum w:abstractNumId="204">
    <w:nsid w:val="20F4BDAD"/>
    <w:multiLevelType w:val="hybridMultilevel"/>
    <w:lvl w:ilvl="0">
      <w:lvlJc w:val="left"/>
      <w:lvlText w:val="(%1)"/>
      <w:numFmt w:val="lowerLetter"/>
      <w:start w:val="1"/>
    </w:lvl>
  </w:abstractNum>
  <w:abstractNum w:abstractNumId="205">
    <w:nsid w:val="639DEFAC"/>
    <w:multiLevelType w:val="hybridMultilevel"/>
    <w:lvl w:ilvl="0">
      <w:lvlJc w:val="left"/>
      <w:lvlText w:val="(%1)"/>
      <w:numFmt w:val="lowerLetter"/>
      <w:start w:val="2"/>
    </w:lvl>
  </w:abstractNum>
  <w:abstractNum w:abstractNumId="206">
    <w:nsid w:val="501F9786"/>
    <w:multiLevelType w:val="hybridMultilevel"/>
    <w:lvl w:ilvl="0">
      <w:lvlJc w:val="left"/>
      <w:lvlText w:val="(%1)"/>
      <w:numFmt w:val="lowerLetter"/>
      <w:start w:val="1"/>
    </w:lvl>
    <w:lvl w:ilvl="1">
      <w:lvlJc w:val="left"/>
      <w:lvlText w:val="(%2)"/>
      <w:numFmt w:val="lowerRoman"/>
      <w:start w:val="1"/>
    </w:lvl>
  </w:abstractNum>
  <w:abstractNum w:abstractNumId="207">
    <w:nsid w:val="6B057295"/>
    <w:multiLevelType w:val="hybridMultilevel"/>
    <w:lvl w:ilvl="0">
      <w:lvlJc w:val="left"/>
      <w:lvlText w:val="%1"/>
      <w:numFmt w:val="lowerLetter"/>
      <w:start w:val="1"/>
    </w:lvl>
    <w:lvl w:ilvl="1">
      <w:lvlJc w:val="left"/>
      <w:lvlText w:val="(%2)"/>
      <w:numFmt w:val="lowerLetter"/>
      <w:start w:val="22"/>
    </w:lvl>
  </w:abstractNum>
  <w:abstractNum w:abstractNumId="208">
    <w:nsid w:val="2771AC80"/>
    <w:multiLevelType w:val="hybridMultilevel"/>
    <w:lvl w:ilvl="0">
      <w:lvlJc w:val="left"/>
      <w:lvlText w:val="(%1)"/>
      <w:numFmt w:val="lowerLetter"/>
      <w:start w:val="2"/>
    </w:lvl>
    <w:lvl w:ilvl="1">
      <w:lvlJc w:val="left"/>
      <w:lvlText w:val="%2"/>
      <w:numFmt w:val="lowerLetter"/>
      <w:start w:val="1"/>
    </w:lvl>
  </w:abstractNum>
  <w:abstractNum w:abstractNumId="209">
    <w:nsid w:val="1C4A08EC"/>
    <w:multiLevelType w:val="hybridMultilevel"/>
    <w:lvl w:ilvl="0">
      <w:lvlJc w:val="left"/>
      <w:lvlText w:val="(%1)"/>
      <w:numFmt w:val="lowerLetter"/>
      <w:start w:val="1"/>
    </w:lvl>
  </w:abstractNum>
  <w:abstractNum w:abstractNumId="210">
    <w:nsid w:val="1958BD17"/>
    <w:multiLevelType w:val="hybridMultilevel"/>
    <w:lvl w:ilvl="0">
      <w:lvlJc w:val="left"/>
      <w:lvlText w:val="(%1)"/>
      <w:numFmt w:val="lowerLetter"/>
      <w:start w:val="1"/>
    </w:lvl>
  </w:abstractNum>
  <w:abstractNum w:abstractNumId="211">
    <w:nsid w:val="4E647FE4"/>
    <w:multiLevelType w:val="hybridMultilevel"/>
    <w:lvl w:ilvl="0">
      <w:lvlJc w:val="left"/>
      <w:lvlText w:val="(%1)"/>
      <w:numFmt w:val="lowerLetter"/>
      <w:start w:val="2"/>
    </w:lvl>
  </w:abstractNum>
  <w:abstractNum w:abstractNumId="212">
    <w:nsid w:val="E0BB885"/>
    <w:multiLevelType w:val="hybridMultilevel"/>
    <w:lvl w:ilvl="0">
      <w:lvlJc w:val="left"/>
      <w:lvlText w:val="(%1)"/>
      <w:numFmt w:val="lowerRoman"/>
      <w:start w:val="11"/>
    </w:lvl>
  </w:abstractNum>
  <w:abstractNum w:abstractNumId="213">
    <w:nsid w:val="565976F1"/>
    <w:multiLevelType w:val="hybridMultilevel"/>
    <w:lvl w:ilvl="0">
      <w:lvlJc w:val="left"/>
      <w:lvlText w:val="(%1)"/>
      <w:numFmt w:val="lowerLetter"/>
      <w:start w:val="2"/>
    </w:lvl>
  </w:abstractNum>
  <w:abstractNum w:abstractNumId="214">
    <w:nsid w:val="64212B8C"/>
    <w:multiLevelType w:val="hybridMultilevel"/>
    <w:lvl w:ilvl="0">
      <w:lvlJc w:val="left"/>
      <w:lvlText w:val="(%1)"/>
      <w:numFmt w:val="lowerLetter"/>
      <w:start w:val="3"/>
    </w:lvl>
  </w:abstractNum>
  <w:abstractNum w:abstractNumId="215">
    <w:nsid w:val="5C17530C"/>
    <w:multiLevelType w:val="hybridMultilevel"/>
    <w:lvl w:ilvl="0">
      <w:lvlJc w:val="left"/>
      <w:lvlText w:val="%1"/>
      <w:numFmt w:val="lowerRoman"/>
      <w:start w:val="1"/>
    </w:lvl>
    <w:lvl w:ilvl="1">
      <w:lvlJc w:val="left"/>
      <w:lvlText w:val="%2."/>
      <w:numFmt w:val="decimal"/>
      <w:start w:val="1"/>
    </w:lvl>
  </w:abstractNum>
  <w:abstractNum w:abstractNumId="216">
    <w:nsid w:val="19A52566"/>
    <w:multiLevelType w:val="hybridMultilevel"/>
    <w:lvl w:ilvl="0">
      <w:lvlJc w:val="left"/>
      <w:lvlText w:val="(%1)"/>
      <w:numFmt w:val="lowerRoman"/>
      <w:start w:val="1"/>
    </w:lvl>
    <w:lvl w:ilvl="1">
      <w:lvlJc w:val="left"/>
      <w:lvlText w:val="%2"/>
      <w:numFmt w:val="decimal"/>
      <w:start w:val="1"/>
    </w:lvl>
  </w:abstractNum>
  <w:abstractNum w:abstractNumId="217">
    <w:nsid w:val="335A1DF1"/>
    <w:multiLevelType w:val="hybridMultilevel"/>
    <w:lvl w:ilvl="0">
      <w:lvlJc w:val="left"/>
      <w:lvlText w:val="%1."/>
      <w:numFmt w:val="decimal"/>
      <w:start w:val="4"/>
    </w:lvl>
  </w:abstractNum>
  <w:abstractNum w:abstractNumId="218">
    <w:nsid w:val="28677B7C"/>
    <w:multiLevelType w:val="hybridMultilevel"/>
    <w:lvl w:ilvl="0">
      <w:lvlJc w:val="left"/>
      <w:lvlText w:val="%1."/>
      <w:numFmt w:val="decimal"/>
      <w:start w:val="8"/>
    </w:lvl>
  </w:abstractNum>
  <w:abstractNum w:abstractNumId="219">
    <w:nsid w:val="378D97C0"/>
    <w:multiLevelType w:val="hybridMultilevel"/>
    <w:lvl w:ilvl="0">
      <w:lvlJc w:val="left"/>
      <w:lvlText w:val="%1."/>
      <w:numFmt w:val="decimal"/>
      <w:start w:val="1"/>
    </w:lvl>
  </w:abstractNum>
  <w:abstractNum w:abstractNumId="220">
    <w:nsid w:val="1D91467C"/>
    <w:multiLevelType w:val="hybridMultilevel"/>
    <w:lvl w:ilvl="0">
      <w:lvlJc w:val="left"/>
      <w:lvlText w:val="(%1)"/>
      <w:numFmt w:val="lowerLetter"/>
      <w:start w:val="1"/>
    </w:lvl>
  </w:abstractNum>
  <w:abstractNum w:abstractNumId="221">
    <w:nsid w:val="316032BB"/>
    <w:multiLevelType w:val="hybridMultilevel"/>
    <w:lvl w:ilvl="0">
      <w:lvlJc w:val="left"/>
      <w:lvlText w:val="%1."/>
      <w:numFmt w:val="decimal"/>
      <w:start w:val="3"/>
    </w:lvl>
  </w:abstractNum>
  <w:abstractNum w:abstractNumId="222">
    <w:nsid w:val="44344C22"/>
    <w:multiLevelType w:val="hybridMultilevel"/>
    <w:lvl w:ilvl="0">
      <w:lvlJc w:val="left"/>
      <w:lvlText w:val="%1."/>
      <w:numFmt w:val="decimal"/>
      <w:start w:val="4"/>
    </w:lvl>
  </w:abstractNum>
  <w:abstractNum w:abstractNumId="223">
    <w:nsid w:val="13CDFCFC"/>
    <w:multiLevelType w:val="hybridMultilevel"/>
    <w:lvl w:ilvl="0">
      <w:lvlJc w:val="left"/>
      <w:lvlText w:val="(%1)"/>
      <w:numFmt w:val="lowerLetter"/>
      <w:start w:val="1"/>
    </w:lvl>
  </w:abstractNum>
  <w:abstractNum w:abstractNumId="224">
    <w:nsid w:val="471745E4"/>
    <w:multiLevelType w:val="hybridMultilevel"/>
    <w:lvl w:ilvl="0">
      <w:lvlJc w:val="left"/>
      <w:lvlText w:val="%1."/>
      <w:numFmt w:val="decimal"/>
      <w:start w:val="6"/>
    </w:lvl>
  </w:abstractNum>
  <w:abstractNum w:abstractNumId="225">
    <w:nsid w:val="1DDBC66"/>
    <w:multiLevelType w:val="hybridMultilevel"/>
    <w:lvl w:ilvl="0">
      <w:lvlJc w:val="left"/>
      <w:lvlText w:val="(%1)"/>
      <w:numFmt w:val="decimal"/>
      <w:start w:val="8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2026-04-22T07:05:55Z</dcterms:created>
  <dcterms:modified xsi:type="dcterms:W3CDTF">2026-04-22T07:05:55Z</dcterms:modified>
</cp:coreProperties>
</file>