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bookmarkStart w:id="0" w:name="ea0305623-03.htm"/>
      <w:bookmarkStart w:id="1" w:name="ksea030562303"/>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14A INFORMATION </w:t>
      </w:r>
    </w:p>
    <w:p>
      <w:pPr>
        <w:pStyle w:val="TextBody"/>
        <w:keepNext w:val="false"/>
        <w:pageBreakBefore w:val="false"/>
        <w:widowControl/>
        <w:pBdr/>
        <w:bidi w:val="0"/>
        <w:spacing w:before="10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SUNPOWER INC.</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Registrant as Specified In Its Charter)</w:t>
      </w:r>
      <w:r>
        <w:rPr>
          <w:rFonts w:ascii="Times New Roman PS Std;serif" w:hAnsi="Times New Roman PS Std;serif"/>
          <w:b/>
          <w:i w:val="false"/>
          <w:caps w:val="false"/>
          <w:smallCaps w:val="false"/>
          <w:sz w:val="20"/>
        </w:rPr>
        <w:t xml:space="preserve"> </w:t>
      </w:r>
    </w:p>
    <w:p>
      <w:pPr>
        <w:pStyle w:val="TextBody"/>
        <w:keepNext w:val="false"/>
        <w:pageBreakBefore w:val="false"/>
        <w:widowControl/>
        <w:pBdr/>
        <w:bidi w:val="0"/>
        <w:spacing w:before="200" w:after="283"/>
        <w:jc w:val="center"/>
        <w:rPr>
          <w:caps w:val="false"/>
          <w:smallCaps w:val="false"/>
        </w:rPr>
      </w:pPr>
      <w:r>
        <w:rPr>
          <w:caps w:val="false"/>
          <w:smallCaps w:val="false"/>
        </w:rPr>
        <w:t>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_____________________________________________________________________________________________________________________________</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SUNPOWER INC.</w:t>
        <w:br/>
        <w:t>1403 N. Research Way</w:t>
        <w:br/>
        <w:t>Orem, UT 84097</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ANNUAL MEETING OF STOCKHOLDERS</w:t>
        <w:br/>
        <w:t>To Be Held at 11:00 a.m. Pacific Time on November 2,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2026 annual meeting of stockholders (the “</w:t>
      </w:r>
      <w:r>
        <w:rPr>
          <w:rFonts w:ascii="Times New Roman PS Std;serif" w:hAnsi="Times New Roman PS Std;serif"/>
          <w:b/>
          <w:i/>
          <w:caps w:val="false"/>
          <w:smallCaps w:val="false"/>
          <w:sz w:val="20"/>
        </w:rPr>
        <w:t>Annual Meeting</w:t>
      </w:r>
      <w:r>
        <w:rPr>
          <w:rFonts w:ascii="Times New Roman PS Std;serif" w:hAnsi="Times New Roman PS Std;serif"/>
          <w:b w:val="false"/>
          <w:i w:val="false"/>
          <w:caps w:val="false"/>
          <w:smallCaps w:val="false"/>
          <w:sz w:val="20"/>
        </w:rPr>
        <w:t xml:space="preserve">”) of </w:t>
      </w:r>
      <w:r>
        <w:rPr>
          <w:rFonts w:ascii="Times New Roman PS Std;serif" w:hAnsi="Times New Roman PS Std;serif"/>
          <w:b/>
          <w:i w:val="false"/>
          <w:caps w:val="false"/>
          <w:smallCaps w:val="false"/>
          <w:sz w:val="20"/>
        </w:rPr>
        <w:t>SUNPOWER INC.</w:t>
      </w:r>
      <w:r>
        <w:rPr>
          <w:rFonts w:ascii="Times New Roman PS Std;serif" w:hAnsi="Times New Roman PS Std;serif"/>
          <w:b w:val="false"/>
          <w:i w:val="false"/>
          <w:caps w:val="false"/>
          <w:smallCaps w:val="false"/>
          <w:sz w:val="20"/>
        </w:rPr>
        <w:t>, a Delaware corporation (“</w:t>
      </w:r>
      <w:r>
        <w:rPr>
          <w:rFonts w:ascii="Times New Roman PS Std;serif" w:hAnsi="Times New Roman PS Std;serif"/>
          <w:b/>
          <w:i/>
          <w:caps w:val="false"/>
          <w:smallCaps w:val="false"/>
          <w:sz w:val="20"/>
        </w:rPr>
        <w:t>SunPower</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our</w:t>
      </w:r>
      <w:r>
        <w:rPr>
          <w:rFonts w:ascii="Times New Roman PS Std;serif" w:hAnsi="Times New Roman PS Std;serif"/>
          <w:b w:val="false"/>
          <w:i w:val="false"/>
          <w:caps w:val="false"/>
          <w:smallCaps w:val="false"/>
          <w:sz w:val="20"/>
        </w:rPr>
        <w:t xml:space="preserve">” and like expressions). The Annual Meeting will be held virtually via a live webcast by registering online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at 11:00 a.m. Pacific Time on November 2, 2026. There will not be a physical location for the Annual Meeting, and you will not be able to attend the Annual Meeting in person. We encourage you to attend online and participate. We recommend that you log in a few minutes before 11:00 a.m. Pacific Time on November 2, 2026 to ensure you are logged in when the Annual Meeting starts. The webcast will open 15 minutes before the start of the Annual Meeting. The Annual Meeting will be held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each of the Board of Directors’ 11 nominees for director to serve until the 2027 annual meeting of stockholders;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an amendment to our Certificate of Incorporation, as previously amended, to effect a reverse stock split of our issued and outstanding shares of common stock, par value $0.0001 per share (the “</w:t>
      </w:r>
      <w:r>
        <w:rPr>
          <w:rFonts w:ascii="Times New Roman PS Std;serif" w:hAnsi="Times New Roman PS Std;serif"/>
          <w:b/>
          <w:i/>
          <w:caps w:val="false"/>
          <w:smallCaps w:val="false"/>
          <w:sz w:val="20"/>
        </w:rPr>
        <w:t>Common Stock</w:t>
      </w:r>
      <w:r>
        <w:rPr>
          <w:rFonts w:ascii="Times New Roman PS Std;serif" w:hAnsi="Times New Roman PS Std;serif"/>
          <w:b w:val="false"/>
          <w:i w:val="false"/>
          <w:caps w:val="false"/>
          <w:smallCaps w:val="false"/>
          <w:sz w:val="20"/>
        </w:rPr>
        <w:t>”), at a ratio ranging from 1-for-5 to 1-for-35, with the exact ratio to be set within that range at the discretion of our Board of Directors without further approval or authorization of our stockholders, and with our Board of Directors retaining the authority to abandon the amendment at any time prior to the filing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ratify the selection of BDO USA, P.C. as our independent registered public accounting firm for the fiscal year ending January 3, 2027;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transact such other business as may properly come before the Annual Meeting or any adjournment or postponement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items of business are more fully described in the proxy statement accompanying this notice of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for the Annual Meeting (and any adjournment or postponement thereof) is September 18,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stockholders of record at the close of business on the Record Date may vote at the Annual Meeting or any adjournment or postponement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rules of the U.S. Securities and Exchange Commission (the “</w:t>
      </w:r>
      <w:r>
        <w:rPr>
          <w:rFonts w:ascii="Times New Roman PS Std;serif" w:hAnsi="Times New Roman PS Std;serif"/>
          <w:b/>
          <w:i/>
          <w:caps w:val="false"/>
          <w:smallCaps w:val="false"/>
          <w:sz w:val="20"/>
        </w:rPr>
        <w:t>SEC</w:t>
      </w:r>
      <w:r>
        <w:rPr>
          <w:rFonts w:ascii="Times New Roman PS Std;serif" w:hAnsi="Times New Roman PS Std;serif"/>
          <w:b w:val="false"/>
          <w:i w:val="false"/>
          <w:caps w:val="false"/>
          <w:smallCaps w:val="false"/>
          <w:sz w:val="20"/>
        </w:rPr>
        <w:t xml:space="preserve">”), with respect to the Annual Meeting, we have elected to utilize the “full set delivery” option of providing paper copies of all of our proxy materials by mail. We expect to mail to our stockholders copies of all of the proxy materials on or about September 28, 2026. We are also furnishing proxy materials to our stockholders over the Internet, and you may read, print and download these proxy materials over the Internet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Whether or not you are able to attend the Annual Meeting online, it is important that your shares be represented. Please vote as soon as possible.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would like additional copies of the Proxy Statement or need assistance with voting, please contact our proxy solicitor, Georgeson LLC, at (866) 946-2155 or by email at sunpower@georgeson.com.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our Board of Directors, thank you for your participation in this important process.</w:t>
      </w:r>
    </w:p>
    <w:tbl>
      <w:tblPr>
        <w:tblW w:w="5138" w:type="dxa"/>
        <w:jc w:val="left"/>
        <w:tblInd w:w="0" w:type="dxa"/>
        <w:tblLayout w:type="fixed"/>
        <w:tblCellMar>
          <w:top w:w="0" w:type="dxa"/>
          <w:left w:w="0" w:type="dxa"/>
          <w:bottom w:w="0" w:type="dxa"/>
          <w:right w:w="0" w:type="dxa"/>
        </w:tblCellMar>
      </w:tblPr>
      <w:tblGrid>
        <w:gridCol w:w="161"/>
        <w:gridCol w:w="146"/>
        <w:gridCol w:w="48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Executive 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28, 2026</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tru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 NOTICE REGARDING THE AVAILABILITY OF PROXY MATERIALS FOR THE ANNUAL MEETING OF STOCKHOLDERS TO BE HELD ON NOVEMBER 2, 2026</w:t>
            </w:r>
          </w:p>
          <w:p>
            <w:pPr>
              <w:pStyle w:val="TableContents"/>
              <w:keepNext w:val="false"/>
              <w:widowControl/>
              <w:pBdr/>
              <w:bidi w:val="0"/>
              <w:spacing w:before="240" w:after="283"/>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rules of the SEC, with respect to the Annual Meeting, we have elected to utilize the “full set delivery” option of providing paper copies of all of our proxy materials by mail. The proxy materials for the Annual Meeting are first being mailed on or about September 28, 2026 to stockholders of record as of September 18, 2026. </w:t>
            </w:r>
          </w:p>
          <w:p>
            <w:pPr>
              <w:pStyle w:val="TableContents"/>
              <w:keepNext w:val="false"/>
              <w:widowControl/>
              <w:pBdr/>
              <w:bidi w:val="0"/>
              <w:spacing w:before="240" w:after="60"/>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also furnishing proxy materials to our stockholders over the Internet, and you may read, print and download these proxy materials over the Internet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tc>
      </w:tr>
      <w:tr>
        <w:trPr/>
        <w:tc>
          <w:tcPr>
            <w:tcW w:w="10205" w:type="dxa"/>
            <w:tcBorders/>
            <w:vAlign w:val="center"/>
          </w:tcPr>
          <w:p>
            <w:pPr>
              <w:pStyle w:val="TableContents"/>
              <w:keepNext w:val="false"/>
              <w:widowControl/>
              <w:pBdr/>
              <w:bidi w:val="0"/>
              <w:spacing w:before="120" w:after="120"/>
              <w:ind w:left="100" w:right="10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Annual Meeting online. Your vote is important. Whether or not you expect to attend the Annual Meeting online, please complete, date, sign and return the proxy mailed to you, or vote over the Internet as instructed in these materials, as promptly as possible in order to ensure your representation at the Annual Meeting. Even if you have voted by proxy, you may still vote online if you attend the Annual Meeting. Please note, however, that if your shares are held of record by a broker, bank or other agent and you wish to vote at the Annual Meeting, you must follow the instructions from such organization and will need to obtain a proxy issued in your name from that agent in order to vote your shares that are held in such agent’s name and account.</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1">
              <w:r>
                <w:rPr>
                  <w:rStyle w:val="InternetLink"/>
                  <w:rFonts w:ascii="Times New Roman PS Std;serif" w:hAnsi="Times New Roman PS Std;serif"/>
                  <w:b w:val="false"/>
                  <w:i w:val="false"/>
                  <w:caps w:val="false"/>
                  <w:smallCaps w:val="false"/>
                  <w:sz w:val="20"/>
                </w:rPr>
                <w:t xml:space="preserve">GENERAL INFORMATION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2">
              <w:r>
                <w:rPr>
                  <w:rStyle w:val="InternetLink"/>
                  <w:rFonts w:ascii="Times New Roman PS Std;serif" w:hAnsi="Times New Roman PS Std;serif"/>
                  <w:b w:val="false"/>
                  <w:i w:val="false"/>
                  <w:caps w:val="false"/>
                  <w:smallCaps w:val="false"/>
                  <w:sz w:val="20"/>
                </w:rPr>
                <w:t xml:space="preserve">QUESTIONS AND ANSWERS ABOUT THESE PROXY MATERIALS AND VOTING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3">
              <w:r>
                <w:rPr>
                  <w:rStyle w:val="InternetLink"/>
                  <w:rFonts w:ascii="Times New Roman PS Std;serif" w:hAnsi="Times New Roman PS Std;serif"/>
                  <w:b w:val="false"/>
                  <w:i w:val="false"/>
                  <w:caps w:val="false"/>
                  <w:smallCaps w:val="false"/>
                  <w:sz w:val="20"/>
                </w:rPr>
                <w:t xml:space="preserve">PROPOSAL NO. 1 — ELECTION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4">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5">
              <w:r>
                <w:rPr>
                  <w:rStyle w:val="InternetLink"/>
                  <w:rFonts w:ascii="Times New Roman PS Std;serif" w:hAnsi="Times New Roman PS Std;serif"/>
                  <w:b w:val="false"/>
                  <w:i w:val="false"/>
                  <w:caps w:val="false"/>
                  <w:smallCaps w:val="false"/>
                  <w:sz w:val="20"/>
                </w:rPr>
                <w:t xml:space="preserve">INFORMATION REGARDING THE BOARD OF DIRECTORS AND CORPORATE </w:t>
                <w:br/>
                <w:t>GOVERNANCE</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6">
              <w:r>
                <w:rPr>
                  <w:rStyle w:val="InternetLink"/>
                  <w:rFonts w:ascii="Times New Roman PS Std;serif" w:hAnsi="Times New Roman PS Std;serif"/>
                  <w:b w:val="false"/>
                  <w:i w:val="false"/>
                  <w:caps w:val="false"/>
                  <w:smallCaps w:val="false"/>
                  <w:sz w:val="20"/>
                </w:rPr>
                <w:t>PROPOSAL NO. 2 — APPROVAL OF AN AMENDMENT TO THE COMPANY’S CERTIFICATE OF INCORPORATION TO EFFECT A REVERSE STOCK SPLIT</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7">
              <w:r>
                <w:rPr>
                  <w:rStyle w:val="InternetLink"/>
                  <w:rFonts w:ascii="Times New Roman PS Std;serif" w:hAnsi="Times New Roman PS Std;serif"/>
                  <w:b w:val="false"/>
                  <w:i w:val="false"/>
                  <w:caps w:val="false"/>
                  <w:smallCaps w:val="false"/>
                  <w:sz w:val="20"/>
                </w:rPr>
                <w:t xml:space="preserve">INDEPENDENT REGISTERED PUBLIC ACCOUNTING FIRM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08">
              <w:r>
                <w:rPr>
                  <w:rStyle w:val="InternetLink"/>
                  <w:rFonts w:ascii="Times New Roman PS Std;serif" w:hAnsi="Times New Roman PS Std;serif"/>
                  <w:b w:val="false"/>
                  <w:i w:val="false"/>
                  <w:caps w:val="false"/>
                  <w:smallCaps w:val="false"/>
                  <w:sz w:val="20"/>
                </w:rPr>
                <w:t>PROPOSAL NO. 3 — RATIFICATION OF SELECTION OF INDEPENDENT REGISTERED PUBLIC ACCOUNTING FIRM</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09">
              <w:r>
                <w:rPr>
                  <w:rStyle w:val="InternetLink"/>
                  <w:rFonts w:ascii="Times New Roman PS Std;serif" w:hAnsi="Times New Roman PS Std;serif"/>
                  <w:b w:val="false"/>
                  <w:i w:val="false"/>
                  <w:caps w:val="false"/>
                  <w:smallCaps w:val="false"/>
                  <w:sz w:val="20"/>
                </w:rPr>
                <w:t xml:space="preserve">REPORT OF THE AUDIT COMMITTEE OF THE BOARD OF DIRECTORS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0">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1">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2">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3">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4">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715">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716">
              <w:r>
                <w:rPr>
                  <w:rStyle w:val="InternetLink"/>
                  <w:rFonts w:ascii="Times New Roman PS Std;serif" w:hAnsi="Times New Roman PS Std;serif"/>
                  <w:b w:val="false"/>
                  <w:i w:val="false"/>
                  <w:caps w:val="false"/>
                  <w:smallCaps w:val="false"/>
                  <w:sz w:val="20"/>
                </w:rPr>
                <w:t>APPENDIX A — FORM OF CERTIFICATE OF AMENDMENT OF CERTIFICATE OF INCORPORATION</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701"/>
      <w:bookmarkEnd w:id="3"/>
      <w:r>
        <w:rPr>
          <w:rFonts w:ascii="Times New Roman PS Std;serif" w:hAnsi="Times New Roman PS Std;serif"/>
          <w:b/>
          <w:i w:val="false"/>
          <w:caps w:val="false"/>
          <w:smallCaps w:val="false"/>
          <w:sz w:val="20"/>
        </w:rPr>
        <w:t xml:space="preserve">SUNPOWER INC. </w:t>
        <w:br/>
        <w:t>1403 N. Research Way</w:t>
        <w:br/>
        <w:t>Orem, UT 84097</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THE 2026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at 11:00 a.m. Pacific Time on November 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materials for our 2026 annual meeting of stockholders (the “</w:t>
      </w:r>
      <w:r>
        <w:rPr>
          <w:rFonts w:ascii="Times New Roman PS Std;serif" w:hAnsi="Times New Roman PS Std;serif"/>
          <w:b/>
          <w:i/>
          <w:caps w:val="false"/>
          <w:smallCaps w:val="false"/>
          <w:sz w:val="20"/>
        </w:rPr>
        <w:t>Annual Meeting</w:t>
      </w:r>
      <w:r>
        <w:rPr>
          <w:rFonts w:ascii="Times New Roman PS Std;serif" w:hAnsi="Times New Roman PS Std;serif"/>
          <w:b w:val="false"/>
          <w:i w:val="false"/>
          <w:caps w:val="false"/>
          <w:smallCaps w:val="false"/>
          <w:sz w:val="20"/>
        </w:rPr>
        <w:t>”) include the Notice of 2026 Annual Meeting of Stockholders, this Proxy Statement, the attached proxy card, and our Annual Report on Form 10-K for the fiscal year ended December 28, 2025 (collectively, the “</w:t>
      </w:r>
      <w:r>
        <w:rPr>
          <w:rFonts w:ascii="Times New Roman PS Std;serif" w:hAnsi="Times New Roman PS Std;serif"/>
          <w:b/>
          <w:i/>
          <w:caps w:val="false"/>
          <w:smallCaps w:val="false"/>
          <w:sz w:val="20"/>
        </w:rPr>
        <w:t>proxy materials</w:t>
      </w:r>
      <w:r>
        <w:rPr>
          <w:rFonts w:ascii="Times New Roman PS Std;serif" w:hAnsi="Times New Roman PS Std;serif"/>
          <w:b w:val="false"/>
          <w:i w:val="false"/>
          <w:caps w:val="false"/>
          <w:smallCaps w:val="false"/>
          <w:sz w:val="20"/>
        </w:rPr>
        <w:t>”). The proxy materials for the Annual Meeting are first being mailed on or about September 28, 2026 to stockholders of record as of the Record Date (as defined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Inc. (referred to as the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SunPower</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us</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our</w:t>
      </w:r>
      <w:r>
        <w:rPr>
          <w:rFonts w:ascii="Times New Roman PS Std;serif" w:hAnsi="Times New Roman PS Std;serif"/>
          <w:b w:val="false"/>
          <w:i w:val="false"/>
          <w:caps w:val="false"/>
          <w:smallCaps w:val="false"/>
          <w:sz w:val="20"/>
        </w:rPr>
        <w:t>” and like expressions) was originally known as Freedom Acquisition I Corp. (“</w:t>
      </w:r>
      <w:r>
        <w:rPr>
          <w:rFonts w:ascii="Times New Roman PS Std;serif" w:hAnsi="Times New Roman PS Std;serif"/>
          <w:b/>
          <w:i/>
          <w:caps w:val="false"/>
          <w:smallCaps w:val="false"/>
          <w:sz w:val="20"/>
        </w:rPr>
        <w:t>FACT</w:t>
      </w:r>
      <w:r>
        <w:rPr>
          <w:rFonts w:ascii="Times New Roman PS Std;serif" w:hAnsi="Times New Roman PS Std;serif"/>
          <w:b w:val="false"/>
          <w:i w:val="false"/>
          <w:caps w:val="false"/>
          <w:smallCaps w:val="false"/>
          <w:sz w:val="20"/>
        </w:rPr>
        <w:t>”). On July 18, 2023, Complete Solaria, Inc. (f/k/a Complete Solar Holding Corporation), a Delaware corporation (“</w:t>
      </w:r>
      <w:r>
        <w:rPr>
          <w:rFonts w:ascii="Times New Roman PS Std;serif" w:hAnsi="Times New Roman PS Std;serif"/>
          <w:b/>
          <w:i/>
          <w:caps w:val="false"/>
          <w:smallCaps w:val="false"/>
          <w:sz w:val="20"/>
        </w:rPr>
        <w:t>Legacy Complete Solaria</w:t>
      </w:r>
      <w:r>
        <w:rPr>
          <w:rFonts w:ascii="Times New Roman PS Std;serif" w:hAnsi="Times New Roman PS Std;serif"/>
          <w:b w:val="false"/>
          <w:i w:val="false"/>
          <w:caps w:val="false"/>
          <w:smallCaps w:val="false"/>
          <w:sz w:val="20"/>
        </w:rPr>
        <w:t>”), FACT, Jupiter Merger Sub I Corp., a Delaware corporation and wholly-owned subsidiary of FACT, Jupiter Merger Sub II LLC, a Delaware limited liability company and a wholly-owned subsidiary of FACT, and SolarCA LLC, a Delaware limited liability company and a wholly-owned subsidiary of FACT, consummated the transactions contemplated under the amended and restated business combination agreement, dated as of May 26, 2023 (such transactions, the “</w:t>
      </w:r>
      <w:r>
        <w:rPr>
          <w:rFonts w:ascii="Times New Roman PS Std;serif" w:hAnsi="Times New Roman PS Std;serif"/>
          <w:b/>
          <w:i/>
          <w:caps w:val="false"/>
          <w:smallCaps w:val="false"/>
          <w:sz w:val="20"/>
        </w:rPr>
        <w:t>Business Combination</w:t>
      </w:r>
      <w:r>
        <w:rPr>
          <w:rFonts w:ascii="Times New Roman PS Std;serif" w:hAnsi="Times New Roman PS Std;serif"/>
          <w:b w:val="false"/>
          <w:i w:val="false"/>
          <w:caps w:val="false"/>
          <w:smallCaps w:val="false"/>
          <w:sz w:val="20"/>
        </w:rPr>
        <w:t>”), following the approval at the special meeting of the stockholders of FACT held July 11, 2023. In connection with the closing of the Business Combination, we changed our name from Freedom Acquisition I Corp. to Complete Solaria, Inc. On September 30, 2024, we completed the acquisition of certain assets of SunPower Corporation and certain of its affiliates, and we subsequently changed our name to SunPower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par value $0.0001 per share (the “</w:t>
      </w:r>
      <w:r>
        <w:rPr>
          <w:rFonts w:ascii="Times New Roman PS Std;serif" w:hAnsi="Times New Roman PS Std;serif"/>
          <w:b/>
          <w:i/>
          <w:caps w:val="false"/>
          <w:smallCaps w:val="false"/>
          <w:sz w:val="20"/>
        </w:rPr>
        <w:t>Common Stock</w:t>
      </w:r>
      <w:r>
        <w:rPr>
          <w:rFonts w:ascii="Times New Roman PS Std;serif" w:hAnsi="Times New Roman PS Std;serif"/>
          <w:b w:val="false"/>
          <w:i w:val="false"/>
          <w:caps w:val="false"/>
          <w:smallCaps w:val="false"/>
          <w:sz w:val="20"/>
        </w:rPr>
        <w:t>”), and our public warrants are listed on The Nasdaq Global Market under the symbols “SPWR” and “SPWRW,”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702"/>
      <w:bookmarkEnd w:id="4"/>
      <w:r>
        <w:rPr>
          <w:rFonts w:ascii="Times New Roman PS Std;serif" w:hAnsi="Times New Roman PS Std;serif"/>
          <w:b/>
          <w:i w:val="false"/>
          <w:caps w:val="false"/>
          <w:smallCaps w:val="false"/>
          <w:sz w:val="20"/>
        </w:rPr>
        <w:t xml:space="preserve">QUESTIONS AND ANSWERS ABOUT THESE PROXY MATERIALS AND VOTING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Why am I receiving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receiving this Proxy Statement and the other proxy materials from us because you own shares of our Common Stock as of the Record Date. This Proxy Statement describes the matters on which we would like you, as a stockholder, to vote. It also gives you information on these matters so that you can make an informed decision.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 and Tom Kowalczuk were named by the Board of Directors as proxy holders. Messrs. Rodgers and Kowalczuk will vote all proxies, or record an abstention or withheld vote, in accordance with the directions on the proxy. This way, your shares will be voted whether or not you attend the Annual Meeting. Even if you plan to attend the Annual Meeting, please complete, sign and return your proxy card, or vote on the Internet, in advance of the Annual Meeting just in case you are unable to attend. You can always decide to vote online during the Annual Meeting. If no contrary direction is given, the shares will be voted as recommended by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When is the record date for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 the record date for the Annual Meeting as the close of business on September 18,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attend, participate in, and ask questions during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Annual Meeting via live webcast only. Any stockholder can attend the Annual Meeting live by registering online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The Annual Meeting will start at 11:00 a.m. Pacific Time on November 2,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register for the Annual Meeting, you will need the control number, which is included on your proxy card or voting instruction form if you are a stockholder of record of shares of our Common Stock, or included with your voting instruction card and voting instructions received from your broker, bank or other agent if you hold your shares of Common Stock in “street name.” Instructions on how to attend and participate are available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We recommend that you log in a few minutes before 11:00 a.m. Pacific Time to ensure you are logged in when the Annual Meeting starts. The webcast will open 15 minutes before the start of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May I submit questions prior to or during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would like to submit a question during the Annual Meeting, you may log in to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using your control number and by following the applicable instructions. The webcast will open 15 minutes before the start of the Annual Meeting. Please refer to any rules of conduct for additional guidelines regarding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I have technical difficulties or trouble accessing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Beginning at 10:45 a.m. Pacific Time and during the virtual Annual Meeting, we will have a support team ready to assist stockholders with technical difficulties they may have accessing or hearing the virtual meeting. If you encounter any difficulties accessing the Annual Meeting during the check-in or meeting time, please call the technical support number that will be posted at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can vote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stockholders of record at the close of business on the Record Date (i.e., September 18, 2026) will be entitled to vote at the Annual Meeting. On the Record Date, there were 320,300,345 shares of Common Stock outstanding and entitled to vote. Holders of our shares of Common Stock as of the Record Date are entitled to one vote for each share held on all matters to be voted on by stockholders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stockholders of record will be available for inspection by stockholders of record online during the Annual Meeting for those that attend. In addition, for the ten days prior to the Annual Meeting, the stockholder list will be available upon request via IR@sunpower.com for examination by any stockholder for any purpose relating to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with our transfer agent, Continental Stock Transfer &amp; Trust Company, then you are a stockholder of record. As a stockholder of record, you may vote online during the Annual Meeting or by proxy in advance of the Annual Meeting. Whether or not you plan to attend the Annual Meeting, we urge you to vote your shares by proxy in advance of the Annual Meeting through the internet, by telephone or by completing and returning a printed proxy card that you may request or that we may elect to deliver at a later time to ensure your vote is counted.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a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not in your name, but rather in an account at a broker, bank or other agent, then you are the beneficial owner of shares held in “street name.” The organization holding your account is considered to be the stockholder of record for purposes of voting at the Annual Meeting. As a beneficial owner, you have the right to direct your broker, bank or other agent regarding how to vote the shares in your account, and your broker, bank or other agent will request voting instructions from you. You are also invited to attend the Annual Meeting. However, since you are not the stockholder of record, you may not vote your shares online at the Annual Meeting unless you request and obtain a valid legal proxy from your broker, bank or other agent. Check with your broker, bank, or other agent, and follow the instructions you receive during the registration process prior to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matters scheduled for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w:t>
      </w:r>
      <w:r>
        <w:rPr>
          <w:rFonts w:ascii="Times New Roman PS Std;serif" w:hAnsi="Times New Roman PS Std;serif"/>
          <w:b w:val="false"/>
          <w:i w:val="false"/>
          <w:caps w:val="false"/>
          <w:smallCaps w:val="false"/>
          <w:sz w:val="20"/>
        </w:rPr>
        <w:t xml:space="preserve"> — To elect each of the Board of Directors’ 11 nominees for director to serve until the 2027 annual meeting of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w:t>
      </w:r>
      <w:r>
        <w:rPr>
          <w:rFonts w:ascii="Times New Roman PS Std;serif" w:hAnsi="Times New Roman PS Std;serif"/>
          <w:b w:val="false"/>
          <w:i w:val="false"/>
          <w:caps w:val="false"/>
          <w:smallCaps w:val="false"/>
          <w:sz w:val="20"/>
        </w:rPr>
        <w:t xml:space="preserve"> — To approve an amendment to our Certificate of Incorporation, as previously amended (the “</w:t>
      </w:r>
      <w:r>
        <w:rPr>
          <w:rFonts w:ascii="Times New Roman PS Std;serif" w:hAnsi="Times New Roman PS Std;serif"/>
          <w:b/>
          <w:i/>
          <w:caps w:val="false"/>
          <w:smallCaps w:val="false"/>
          <w:sz w:val="20"/>
        </w:rPr>
        <w:t>Certificate of Incorporation</w:t>
      </w:r>
      <w:r>
        <w:rPr>
          <w:rFonts w:ascii="Times New Roman PS Std;serif" w:hAnsi="Times New Roman PS Std;serif"/>
          <w:b w:val="false"/>
          <w:i w:val="false"/>
          <w:caps w:val="false"/>
          <w:smallCaps w:val="false"/>
          <w:sz w:val="20"/>
        </w:rPr>
        <w:t>”), to effect a reverse stock split of our issued and outstanding shares of Common Stock at a ratio ranging from 1-for-5 to 1-for-35, with the exact ratio to be set within that range at the discretion of our Board of Directors without further approval or authorization of our stockholders (the “</w:t>
      </w:r>
      <w:r>
        <w:rPr>
          <w:rFonts w:ascii="Times New Roman PS Std;serif" w:hAnsi="Times New Roman PS Std;serif"/>
          <w:b/>
          <w:i/>
          <w:caps w:val="false"/>
          <w:smallCaps w:val="false"/>
          <w:sz w:val="20"/>
        </w:rPr>
        <w:t>Reverse Stock Split</w:t>
      </w:r>
      <w:r>
        <w:rPr>
          <w:rFonts w:ascii="Times New Roman PS Std;serif" w:hAnsi="Times New Roman PS Std;serif"/>
          <w:b w:val="false"/>
          <w:i w:val="false"/>
          <w:caps w:val="false"/>
          <w:smallCaps w:val="false"/>
          <w:sz w:val="20"/>
        </w:rPr>
        <w:t>”), and with our Board of Directors retaining the authority to abandon the amendment at any time prior to the filing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w:t>
      </w:r>
      <w:r>
        <w:rPr>
          <w:rFonts w:ascii="Times New Roman PS Std;serif" w:hAnsi="Times New Roman PS Std;serif"/>
          <w:b w:val="false"/>
          <w:i w:val="false"/>
          <w:caps w:val="false"/>
          <w:smallCaps w:val="false"/>
          <w:sz w:val="20"/>
        </w:rPr>
        <w:t xml:space="preserve"> — To ratify the selection of BDO USA, P.C. as our independent registered public accounting firm for the fiscal year ending January 3,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you may be asked to: (a) approve an adjournment of the Annual Meeting to a later date, if necessary, to permit further solicitation and vote of proxies if, based on the tabulated votes at the time of the Annual Meeting, there are insufficient shares of our capital stock represented, either in person or by proxy, to constitute a quorum necessary to conduct business at the Annual Meeting or to approve Proposal No. 1, Proposal No. 2 or Proposal No. 3; and (b) transact such other business that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another matter is properly brought before the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Thurman J. Rodgers, Chief Executive Officer, and Tom Kowalczuk, Chief Financial Officer, to vote on those matters in accordance with their best judgment. As of the date of this Proxy Statement, the Board of Directors did not know of any business — other than the matters summarized above — to be presented for consideration at the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either vote “For” the nominees to the Board of Directors, or you may “Withhold” your vote for any nominee you specify. For each of Proposal No. 2 and Proposal No. 3, you may vote “For” or “Against” or “Abstain” from voting.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may vote (1) online during the Annual Meeting or (2) in advance of the Annual Meeting by proxy through the internet, by telephone or by completing and returning the enclosed proxy card. Whether or not you plan to attend the Annual Meeting, we urge you to vote by proxy to ensure your vote is counted. You may still attend the Annual Meeting and vote online even if you have already voted by proxy.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online during the Annual Meeting, follow the instructions provided on the Annual Meeting portal, starting at 11:00 a.m. Pacific Time on November 2, 2026. The webcast will open 15 minutes before the start of the Annual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vote in advance of the Annual Meeting through the internet, go to </w:t>
      </w:r>
      <w:r>
        <w:rPr>
          <w:rFonts w:ascii="Times New Roman PS Std;serif" w:hAnsi="Times New Roman PS Std;serif"/>
          <w:b w:val="false"/>
          <w:i/>
          <w:caps w:val="false"/>
          <w:smallCaps w:val="false"/>
          <w:sz w:val="20"/>
        </w:rPr>
        <w:t>www.proxydocs.com/SPWR</w:t>
      </w:r>
      <w:r>
        <w:rPr>
          <w:rFonts w:ascii="Times New Roman PS Std;serif" w:hAnsi="Times New Roman PS Std;serif"/>
          <w:b w:val="false"/>
          <w:i w:val="false"/>
          <w:caps w:val="false"/>
          <w:smallCaps w:val="false"/>
          <w:sz w:val="20"/>
        </w:rPr>
        <w:t xml:space="preserve"> to complete an electronic proxy card. You will be asked to provide the control number from the proxy card or voting instruction form. Your internet vote must be received by the start of the meeting on November 2, 2026 to be counted.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in advance of the Annual Meeting by telephone, dial 1-866-994-3906 using a touch-tone phone and follow the recorded instructions. You will be asked to provide the control number from the proxy card. Your telephone vote must be received by the start of the meeting on November 2, 2026 to be counted.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vote in advance of the Annual Meeting using the printed proxy card that may be delivered to you, simply complete, sign and date the proxy card and return it promptly in the envelope provided. If you return your signed proxy card to us before the Annual Meeting, we will vote your shares as you direct.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would like additional copies of the Proxy Statement or need assistance with voting, please contact our proxy solicitor, Georgeson LLC, at: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828800" cy="4845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84505"/>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 West 52nd Street, 6th Floor</w:t>
        <w:br/>
        <w:t>New York, NY 10019</w:t>
        <w:br/>
        <w:t>Shareholders, Banks and Brokers</w:t>
        <w:br/>
        <w:t>Call Toll Free: (866) 946-2155</w:t>
        <w:br/>
        <w:t>Email: sunpower@georgeson.com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registered in the name of your broker, bank or other agent, you should have received voting instructions from that organization rather than from us. Simply follow the voting instructions received from your broker, bank or other agent to ensure that your vote is counted. To vote online at the Annual Meeting, you must obtain a valid legal proxy from your broker, bank or other agent. Follow the instructions from your broker, bank or other agent included with these proxy materials, or contact your broker, bank or other agent to request a proxy form.</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283"/>
              <w:ind w:left="120" w:right="12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Internet proxy voting is being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many votes do I have?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each matter to be voted upon, you have one vote for each share of Common Stock you own as of the Record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if I do not vote?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and do not vote by completing your proxy card, through the internet, by telephone or online at the Annual Meeting, your shares will not be voted.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bank or other agent may not vote your shares on Proposal No. 1 without your instructions, but your broker, bank or other agent may vote your shares on Proposal No. 2 and Proposal No. 3 even in the absence of your instructions. We encourage you to provide voting instructions to your broker, bank or other agent. This ensures that your shares will be voted at the Annual Meeting according to your instructions.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if I return a proxy card or otherwise vote but do not make specific choices?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return a signed and dated proxy card or otherwise vote without marking voting selections, your shares will be voted, as applicable, “For” the election of each of the nominees for director, “For” the approval of the amendment to our Certificate of Incorporation to effect the Reverse Stock Split, and “For” the ratification of the selection of BDO USA, P.C. as our independent registered public accounting firm for the fiscal year ending January 3, 2027. If any other matter is properly presented at the Annual Meeting, it is the intention of the persons named in the accompanying proxy to vote on such matter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brokers, banks and other agents for the cost of forwarding proxy materials to beneficial owners. We have hired Georgeson LLC to assist in the proxy solicitation process. We have agreed to pay Georgeson LLC a fee of approximately $30,000, plus customary costs and expenses for these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does it mean if I receive more than one set of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set of proxy materials, your shares may be registered in more than one name or in different accounts. Please follow the voting instructions on each of the notices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Can I revoke my vote after submitting my proxy?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 Shares Registered in Your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 can revoke your proxy at any time before the final vote at the Annual Meeting. If you are the record holder of your shares, you may revoke your proxy at any time before the final vote at the Annual Meeting in any one of the following 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submit another properly completed proxy card with a later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grant a subsequent proxy by telephone or through the internet.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send a timely written notice that you are revoking your proxy to our Secretary at SunPower Inc., 1403 N. Research Way, Orem, UT 84097.</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may attend the Annual Meeting and vote online. Simply attending the Annual Meeting will not, by itself, revoke your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most current proxy card or telephone or internet proxy is the one that is counted.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 Shares Registered in the Name of Broker, Bank or Other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by your broker, bank or other agent, you should follow the instructions provided by your broker, bank or other agent.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are votes counted?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Votes will be counted by the inspector of election appointed for the Annual Meeting, who will separately count (a) for Proposal No. 1 to elect directors, votes “For,” “Withhold” and broker non-votes; and (b) for Proposal No. 2 and Proposal No. 3, votes “For” and “Against,” as well as abstentions.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abstentions and broker non-votes differs for each proposal,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 (Election of Directors).</w:t>
      </w:r>
      <w:r>
        <w:rPr>
          <w:rFonts w:ascii="Times New Roman PS Std;serif" w:hAnsi="Times New Roman PS Std;serif"/>
          <w:b w:val="false"/>
          <w:i w:val="false"/>
          <w:caps w:val="false"/>
          <w:smallCaps w:val="false"/>
          <w:sz w:val="20"/>
        </w:rPr>
        <w:t>    You may vote “For” or “Withhold” with respect to each nominee. Because directors are elected by a plurality of the votes cast, votes to “Withhold” and broker non-votes will have no effect on the outcome of the election of directors. Accordingly, only votes “For” will affect the outcome.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 (Reverse Stock Split).</w:t>
      </w:r>
      <w:r>
        <w:rPr>
          <w:rFonts w:ascii="Times New Roman PS Std;serif" w:hAnsi="Times New Roman PS Std;serif"/>
          <w:b w:val="false"/>
          <w:i w:val="false"/>
          <w:caps w:val="false"/>
          <w:smallCaps w:val="false"/>
          <w:sz w:val="20"/>
        </w:rPr>
        <w:t>    Because approval of Proposal No. 2 requires the affirmative vote of a majority of the votes cast on Proposal No. 2 at the Annual Meeting in accordance with Section 242(d)(2) of the Delaware General Corporation Law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abstentions are not treated as votes cast and will have no effect on the outcome of Proposal No. 2. Proposal No. 2 is a “routine” matter and, accordingly, we do not expect broker non-votes to exist in connection with Proposal No. 2; any broker non-votes that do occur would have no effect on the outcome of Proposal No. 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 (Ratification of Independent Registered Public Accounting Firm).</w:t>
      </w:r>
      <w:r>
        <w:rPr>
          <w:rFonts w:ascii="Times New Roman PS Std;serif" w:hAnsi="Times New Roman PS Std;serif"/>
          <w:b w:val="false"/>
          <w:i w:val="false"/>
          <w:caps w:val="false"/>
          <w:smallCaps w:val="false"/>
          <w:sz w:val="20"/>
        </w:rPr>
        <w:t>    Because Proposal No. 3 requires the affirmative vote from the holders of a majority of shares present by virtual attendance or represented by proxy and entitled to vote on the matter, abstentions will have the same effect as an “Against” vote. Proposal No. 3 is a “routine” matter and, accordingly, we do not expect broker non-votes to exist in connection with Proposal No. 3; any broker non-votes that do occur would have no effect on the outcome of Proposal No. 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are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when a beneficial owner of shares held in “street name” does not give voting instructions to his or her broker, bank or other agent holding his or her shares as to how to vote on matters deemed to be “non-routine,” the broker, bank or other such agent cannot vote the shares. These unvoted shares are counted as “broker non-votes.” Because Proposal No. 1 is considered to be “non-routine,” we expect broker non-votes to exist in connection with Proposal No. 1. Each of Proposal No. 2 and Proposal No. 3 is considered “routine,” and therefore we do not expect broker non-votes to exist in connection with Proposal No. 2 or Proposal No. 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many votes are needed to approve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1</w:t>
      </w:r>
      <w:r>
        <w:rPr>
          <w:rFonts w:ascii="Times New Roman PS Std;serif" w:hAnsi="Times New Roman PS Std;serif"/>
          <w:b w:val="false"/>
          <w:i w:val="false"/>
          <w:caps w:val="false"/>
          <w:smallCaps w:val="false"/>
          <w:sz w:val="20"/>
        </w:rPr>
        <w:t xml:space="preserve"> — For the election of directors, the 11 nominees receiving the most “For” votes from the holders of shares present by virtual attendance or represented by proxy and entitled to vote on the election of directors will be elected. Votes to “Withhold” and broker non-votes will not affect the outcome of the election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2</w:t>
      </w:r>
      <w:r>
        <w:rPr>
          <w:rFonts w:ascii="Times New Roman PS Std;serif" w:hAnsi="Times New Roman PS Std;serif"/>
          <w:b w:val="false"/>
          <w:i w:val="false"/>
          <w:caps w:val="false"/>
          <w:smallCaps w:val="false"/>
          <w:sz w:val="20"/>
        </w:rPr>
        <w:t xml:space="preserve"> — For the approval of the amendment to our Certificate of Incorporation to effect the Reverse Stock Split, the proposal must receive the affirmative vote of a majority of the votes cast on Proposal No. 2 at the Annual Meeting in accordance with Section 242(d)(2) of the DGCL. Abstentions are not treated as votes cast and will have no effect on the outcome of Proposal No. 2.</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Proposal No. 3</w:t>
      </w:r>
      <w:r>
        <w:rPr>
          <w:rFonts w:ascii="Times New Roman PS Std;serif" w:hAnsi="Times New Roman PS Std;serif"/>
          <w:b w:val="false"/>
          <w:i w:val="false"/>
          <w:caps w:val="false"/>
          <w:smallCaps w:val="false"/>
          <w:sz w:val="20"/>
        </w:rPr>
        <w:t xml:space="preserve"> — For the ratification of the selection of BDO USA, P.C. as our independent registered public accounting firm for the fiscal year ending January 3, 2027 , the proposal must receive “For” votes from the holders of a majority of shares present by virtual attendance or represented by proxy and entitled to vote on the matter. If you “Abstain” from voting, it will have the same effect as an “Against” vote.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is the quorum requirement?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for the Annual Meeting (and for any adjournment of the Annual Meeting) will be present if stockholders holding at least a majority of the outstanding shares entitled to vote are present at the Annual Meeting (and for any adjournment of the Annual Meeting) online or represented by proxy. On the Record Date, there were 320,300,345 shares outstanding and entitled to vote. The inspector(s) of election appointed for the Annual Meeting will determine whether or not a quorum is present.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towards the quorum only if you submit a valid proxy (or one is submitted on your behalf by your broker, bank or other agent) or if you vote online at the Annual Meeting (or any adjournment of the Annual Meeting). Abstentions and broker non-votes will be counted towards the quorum requirement. In the absence of a quorum, the Annual Meeting may be adjourned to another date either by the chairperson of the meeting or by vote of the holders of a majority of shares present at the Annual Meeting by virtual attendance or represented by proxy.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What happens if the Annual Meeting is postponed or adjourned?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proxy may be voted at the postponed or adjourned meeting. You will still be able to change your proxy until it is voted.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 I entitled to dissenters’ or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Under the DGCL, our stockholders are not entitled to any dissenters’ or appraisal rights in connection with any of the proposals at the Annual Meeting, including the Reverse Stock Split, and we will not independently provide stockholders with any such right.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can I find out the results of the voting at the Annual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voting results will be announced at the Annual Meeting. Final voting results will be disclosed in a Current Report on Form 8-K that we expect to file with the SEC within four business days after the Annual Meeting. If final voting results are not available to us in time to file a Current Report on Form 8-K within four business days after the Annual Meeting, we intend to file a Current Report on Form 8-K to disclose preliminary results and, within four business days after the final results are known to us, file an amended Current Report on Form 8-K to disclose the final voting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When are stockholder proposals and director nominations due for the 2027 annual meeting of stockholders?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2027 annual meeting of stockholders, our Secretary must receive the written proposal at our principal executive offices no later than May 31, 2027, which is 120 calendar days before the one-year anniversary of the date on which this Proxy Statement is first released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In addition, stockholder proposals must comply with the other requirements of Rule 14a-8 under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regarding the inclusion of stockholder proposals in company-sponsored proxy materials. Stockholder proposals should be addressed to: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SunPower Inc.</w:t>
        <w:br/>
        <w:t>Attention: Secretary</w:t>
        <w:br/>
        <w:t>1403 N. Research Way</w:t>
        <w:br/>
        <w:t>Orem, UT 84097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Second Amended and Restated Bylaws (the “</w:t>
      </w:r>
      <w:r>
        <w:rPr>
          <w:rFonts w:ascii="Times New Roman PS Std;serif" w:hAnsi="Times New Roman PS Std;serif"/>
          <w:b/>
          <w:i/>
          <w:caps w:val="false"/>
          <w:smallCaps w:val="false"/>
          <w:sz w:val="20"/>
        </w:rPr>
        <w:t>Bylaws</w:t>
      </w:r>
      <w:r>
        <w:rPr>
          <w:rFonts w:ascii="Times New Roman PS Std;serif" w:hAnsi="Times New Roman PS Std;serif"/>
          <w:b w:val="false"/>
          <w:i w:val="false"/>
          <w:caps w:val="false"/>
          <w:smallCaps w:val="false"/>
          <w:sz w:val="20"/>
        </w:rPr>
        <w:t>”)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the notice with respect to such annual meeting delivered to stockholders, (ii) brought specifically by or at the direction of our Board of Directors, or a duly authorized committee of our Board of Directors, or (iii) properly brought before the meeting in accordance with our Bylaws by a stockholder of record entitled to vote at the meeting. To be properly brought, notice of the proposal must contain the information required by our Bylaws, must comply with the other requirements of our Bylaws, and must be received by our Secretary at our principal executive offices not earlier than the close of business on July 5, 2027 and not later than the close of business on August 4,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we hold the 2027 annual meeting of stockholders more than 30 days before or after the one-year anniversary of the 2026 Annual Meeting, notice of a stockholder proposal that is not intended to be included in our proxy statement must be received no earlier than the close of business on the 120th day before the 2027 annual meeting of stockholders and no later than the close of business on the later of the following two 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90th day prior to the 2027 annual meeting of stockholders;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10th day following the day on which public announcement of the date of our 2027 annual meeting of stockholders is first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Nominations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w:t>
      </w:r>
      <w:r>
        <w:rPr>
          <w:rFonts w:ascii="Times New Roman PS Std;serif" w:hAnsi="Times New Roman PS Std;serif"/>
          <w:b w:val="false"/>
          <w:i/>
          <w:caps w:val="false"/>
          <w:smallCaps w:val="false"/>
          <w:sz w:val="20"/>
        </w:rPr>
        <w:t>Information Regarding the Board of Directors and Corporate Governance — Nominating and Corporate Governance Committee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permit stockholders to nominate directors for election at an annual meeting of stockholders. To nominate a director candidate, the stockholder must provide the information required by our Bylaws and must comply with the other requirements of our Bylaws. In addition, the stockholder must give timely notice to our Secretary in accordance with our Bylaws, which, in general, require that the notice be received by our Secretary within the time periods described above for stockholder proposals that are not intended to be included in a proxy statement pursuant to Rule 14a-8 under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satisfying the foregoing requirements under our Bylaws, to comply with the universal proxy rules in connection with our 2027 annual meeting of stockholders, stockholders who intend to solicit proxies in support of director nominees other than our nominees must provide notice to us that sets forth the information required by Rule 14a-19 under the Exchange Act no later than 60 calendar days prior to the date of the 2027 annual meeting of stockholders or the 10th calendar day following the day on which public announcement of the date of the 2027 annual meeting of stockholders is first made by us. Assuming the 2027 annual meeting of stockholders is held on the one-year anniversary of the Annual Meeting, that date would be September 3,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703"/>
      <w:bookmarkEnd w:id="5"/>
      <w:r>
        <w:rPr>
          <w:rFonts w:ascii="Times New Roman PS Std;serif" w:hAnsi="Times New Roman PS Std;serif"/>
          <w:b/>
          <w:i w:val="false"/>
          <w:caps w:val="false"/>
          <w:smallCaps w:val="false"/>
          <w:sz w:val="20"/>
        </w:rPr>
        <w:t xml:space="preserve">PROPOSAL NO. 1 — ELECTION OF DIRECTORS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affairs are managed under the direction of the Board of Directors. The Board of Directors presently has twelve members, seven of whom are deemed “independent” under the rules of the SEC and the listing standards of The Nasdaq Stock Market LLC (“</w:t>
      </w:r>
      <w:r>
        <w:rPr>
          <w:rFonts w:ascii="Times New Roman PS Std;serif" w:hAnsi="Times New Roman PS Std;serif"/>
          <w:b/>
          <w:i/>
          <w:caps w:val="false"/>
          <w:smallCaps w:val="false"/>
          <w:sz w:val="20"/>
        </w:rPr>
        <w:t>Nasdaq</w:t>
      </w:r>
      <w:r>
        <w:rPr>
          <w:rFonts w:ascii="Times New Roman PS Std;serif" w:hAnsi="Times New Roman PS Std;serif"/>
          <w:b w:val="false"/>
          <w:i w:val="false"/>
          <w:caps w:val="false"/>
          <w:smallCaps w:val="false"/>
          <w:sz w:val="20"/>
        </w:rPr>
        <w:t>”). Vacancies on the Board of Directors may be filled only by persons elected by a majority of the remaining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Nominees and 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recommendation of the Nominating and Corporate Governance Committee of our Board of Directors, our Board of Directors has nominated the eleven directors listed below (collectively, the “</w:t>
      </w:r>
      <w:r>
        <w:rPr>
          <w:rFonts w:ascii="Times New Roman PS Std;serif" w:hAnsi="Times New Roman PS Std;serif"/>
          <w:b/>
          <w:i/>
          <w:caps w:val="false"/>
          <w:smallCaps w:val="false"/>
          <w:sz w:val="20"/>
        </w:rPr>
        <w:t>director nominees</w:t>
      </w:r>
      <w:r>
        <w:rPr>
          <w:rFonts w:ascii="Times New Roman PS Std;serif" w:hAnsi="Times New Roman PS Std;serif"/>
          <w:b w:val="false"/>
          <w:i w:val="false"/>
          <w:caps w:val="false"/>
          <w:smallCaps w:val="false"/>
          <w:sz w:val="20"/>
        </w:rPr>
        <w:t>”) to stand for election for a one-year term expiring at our 2027 annual meeting of stockholders or until their respective successors have been elected and qualified. Ms Haenggi’s term as a director will end at the Annual Meeting, and she is not standing for reelection. Her determination to not stand for reelection does not arise from or result from any disagreement with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are elected by a plurality of the votes of the holders of shares of Common Stock present in person, by remote communication, if applicable, or represented by proxy duly authorized at the meeting and entitled to vote generally on the election of directors. Accordingly, the eleven director nominees receiving the highest number of affirmative votes will be elected. Shares represented by executed proxies will be voted, if authority to do so is not withheld, for the election of each of the director nominees named below. If any director nominee becomes unavailable for election as a result of an unexpected occurrence, shares that would have been voted for that nominee will instead be voted for the election of a substitute director nominee proposed by the Board of Directors. Each person nominated for election has consented to being named as a director nominee in this Proxy Statement and has agreed to serve if elected. We have no reason to believe that any of the director nominees will be unable to serve if elected.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Concerning Director Nominees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brief biography of the director nominees for election at the Annual Meeting, including their respective ages as of September 28, 2026. Each biography includes information regarding the specific experience, qualifications, attributes or skills that led the Nominating and Corporate Governance Committee and the Board of Directors to determine that the applicable director nominee should serve as a member of the Board of Directors.</w:t>
      </w:r>
    </w:p>
    <w:tbl>
      <w:tblPr>
        <w:tblW w:w="10205" w:type="dxa"/>
        <w:jc w:val="left"/>
        <w:tblInd w:w="0" w:type="dxa"/>
        <w:tblLayout w:type="fixed"/>
        <w:tblCellMar>
          <w:top w:w="0" w:type="dxa"/>
          <w:left w:w="0" w:type="dxa"/>
          <w:bottom w:w="0" w:type="dxa"/>
          <w:right w:w="0" w:type="dxa"/>
        </w:tblCellMar>
      </w:tblPr>
      <w:tblGrid>
        <w:gridCol w:w="1948"/>
        <w:gridCol w:w="146"/>
        <w:gridCol w:w="4499"/>
        <w:gridCol w:w="146"/>
        <w:gridCol w:w="556"/>
        <w:gridCol w:w="146"/>
        <w:gridCol w:w="1533"/>
        <w:gridCol w:w="146"/>
        <w:gridCol w:w="1085"/>
      </w:tblGrid>
      <w:tr>
        <w:trPr/>
        <w:tc>
          <w:tcPr>
            <w:tcW w:w="1948"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Independent </w:t>
              <w:br/>
              <w:t>(Y/N)</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w:t>
              <w:br/>
              <w:t>Since</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Chairman, Chief Executive Officer, 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Gishen(1)(3)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Maier(1)(2)</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Pasek(1)(3)</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Lead Independent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Thiam(2)(3)</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r>
      <w:tr>
        <w:trPr/>
        <w:tc>
          <w:tcPr>
            <w:tcW w:w="194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Gutmann(1)</w:t>
            </w:r>
          </w:p>
        </w:tc>
        <w:tc>
          <w:tcPr>
            <w:tcW w:w="146" w:type="dxa"/>
            <w:tcBorders/>
            <w:vAlign w:val="center"/>
          </w:tcPr>
          <w:p>
            <w:pPr>
              <w:pStyle w:val="TableContents"/>
              <w:bidi w:val="0"/>
              <w:spacing w:before="0" w:after="283"/>
              <w:jc w:val="left"/>
              <w:rPr/>
            </w:pPr>
            <w:r>
              <w:rPr/>
              <w:t> </w:t>
            </w:r>
          </w:p>
        </w:tc>
        <w:tc>
          <w:tcPr>
            <w:tcW w:w="4499"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153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vAlign w:val="center"/>
          </w:tcPr>
          <w:p>
            <w:pPr>
              <w:pStyle w:val="TableContents"/>
              <w:bidi w:val="0"/>
              <w:spacing w:before="0" w:after="283"/>
              <w:jc w:val="left"/>
              <w:rPr/>
            </w:pPr>
            <w:r>
              <w:rPr/>
              <w:t> </w:t>
            </w:r>
          </w:p>
        </w:tc>
        <w:tc>
          <w:tcPr>
            <w:tcW w:w="1085"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r>
        <w:trPr/>
        <w:tc>
          <w:tcPr>
            <w:tcW w:w="194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Whatley(2)</w:t>
            </w:r>
          </w:p>
        </w:tc>
        <w:tc>
          <w:tcPr>
            <w:tcW w:w="146" w:type="dxa"/>
            <w:tcBorders/>
            <w:shd w:fill="CCEEFF" w:val="clear"/>
            <w:vAlign w:val="center"/>
          </w:tcPr>
          <w:p>
            <w:pPr>
              <w:pStyle w:val="TableContents"/>
              <w:bidi w:val="0"/>
              <w:spacing w:before="0" w:after="283"/>
              <w:jc w:val="left"/>
              <w:rPr/>
            </w:pPr>
            <w:r>
              <w:rPr/>
              <w:t> </w:t>
            </w:r>
          </w:p>
        </w:tc>
        <w:tc>
          <w:tcPr>
            <w:tcW w:w="4499"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vAlign w:val="center"/>
          </w:tcPr>
          <w:p>
            <w:pPr>
              <w:pStyle w:val="TableContents"/>
              <w:bidi w:val="0"/>
              <w:spacing w:before="0" w:after="283"/>
              <w:jc w:val="left"/>
              <w:rPr/>
            </w:pPr>
            <w:r>
              <w:rPr/>
              <w:t> </w:t>
            </w:r>
          </w:p>
        </w:tc>
        <w:tc>
          <w:tcPr>
            <w:tcW w:w="1533"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w:t>
            </w:r>
          </w:p>
        </w:tc>
        <w:tc>
          <w:tcPr>
            <w:tcW w:w="146"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Member of the Audit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Member of the Compensation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Member of the 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Thurman J. Rodgers.</w:t>
      </w:r>
      <w:r>
        <w:rPr>
          <w:rFonts w:ascii="Times New Roman PS Std;serif" w:hAnsi="Times New Roman PS Std;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Antonio R. Alvarez.</w:t>
      </w:r>
      <w:r>
        <w:rPr>
          <w:rFonts w:ascii="Times New Roman PS Std;serif" w:hAnsi="Times New Roman PS Std;serif"/>
          <w:b w:val="false"/>
          <w:i w:val="false"/>
          <w:caps w:val="false"/>
          <w:smallCaps w:val="false"/>
          <w:sz w:val="20"/>
        </w:rPr>
        <w:t>    Antonio R. Alvarez, 69, has served as a member of the Company’s Board of Directors since November 2022. Mr. Alvarez had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previously served as a board member of SunEdison, SunEdison Semiconductor, ChipMOS Technology, Nexgen Power Systems, and Validity Sensors. Mr. Alvarez holds a B.S. and an M.S. in Electrical Engineering from the Georgia Institute of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J. Anderson.</w:t>
      </w:r>
      <w:r>
        <w:rPr>
          <w:rFonts w:ascii="Times New Roman PS Std;serif" w:hAnsi="Times New Roman PS Std;serif"/>
          <w:b w:val="false"/>
          <w:i w:val="false"/>
          <w:caps w:val="false"/>
          <w:smallCaps w:val="false"/>
          <w:sz w:val="20"/>
        </w:rPr>
        <w:t>    William J. Anderson, 49, served as the Chief Executive Officer of the Company from November 2022 to December 2023. He currently serves as the Chief Executive Officer and a director of SameDay Solar.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Adam Gishen.    </w:t>
      </w:r>
      <w:r>
        <w:rPr>
          <w:rFonts w:ascii="Times New Roman PS Std;serif" w:hAnsi="Times New Roman PS Std;serif"/>
          <w:b w:val="false"/>
          <w:i w:val="false"/>
          <w:caps w:val="false"/>
          <w:smallCaps w:val="false"/>
          <w:sz w:val="20"/>
        </w:rPr>
        <w:t>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Chris Lundell.    </w:t>
      </w:r>
      <w:r>
        <w:rPr>
          <w:rFonts w:ascii="Times New Roman PS Std;serif" w:hAnsi="Times New Roman PS Std;serif"/>
          <w:b w:val="false"/>
          <w:i w:val="false"/>
          <w:caps w:val="false"/>
          <w:smallCaps w:val="false"/>
          <w:sz w:val="20"/>
        </w:rPr>
        <w:t>Chris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Lothar Maier.    </w:t>
      </w:r>
      <w:r>
        <w:rPr>
          <w:rFonts w:ascii="Times New Roman PS Std;serif" w:hAnsi="Times New Roman PS Std;serif"/>
          <w:b w:val="false"/>
          <w:i w:val="false"/>
          <w:caps w:val="false"/>
          <w:smallCaps w:val="false"/>
          <w:sz w:val="20"/>
        </w:rPr>
        <w:t>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 Daniel McCranie.</w:t>
      </w:r>
      <w:r>
        <w:rPr>
          <w:rFonts w:ascii="Times New Roman PS Std;serif" w:hAnsi="Times New Roman PS Std;serif"/>
          <w:b w:val="false"/>
          <w:i w:val="false"/>
          <w:caps w:val="false"/>
          <w:smallCaps w:val="false"/>
          <w:sz w:val="20"/>
        </w:rPr>
        <w:t>    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 &amp; marketing. He has held 10 board positions in the semiconductor and technology industries,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electronic design automation company. He holds a B.S. in Electrical Engineering from Virginia Polytechnic Institute. We believe that Mr. McCranie is qualified to serve on our Board of Directors based on his public company board experience and his industry expertise.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Ronald Pasek.    </w:t>
      </w:r>
      <w:r>
        <w:rPr>
          <w:rFonts w:ascii="Times New Roman PS Std;serif" w:hAnsi="Times New Roman PS Std;serif"/>
          <w:b w:val="false"/>
          <w:i w:val="false"/>
          <w:caps w:val="false"/>
          <w:smallCaps w:val="false"/>
          <w:sz w:val="20"/>
        </w:rPr>
        <w:t>Ronald Pasek, 65, has served as a member of the Company’s Board of Directors since February 2023 and serves as our Lead Independent Director.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Tidjane Thiam.    </w:t>
      </w:r>
      <w:r>
        <w:rPr>
          <w:rFonts w:ascii="Times New Roman PS Std;serif" w:hAnsi="Times New Roman PS Std;serif"/>
          <w:b w:val="false"/>
          <w:i w:val="false"/>
          <w:caps w:val="false"/>
          <w:smallCaps w:val="false"/>
          <w:sz w:val="20"/>
        </w:rPr>
        <w:t>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21st Century Fox and served on its Nominating and Corporate Governance Committee. Mr. Thiam previously served at Prudential plc, a global insurance company based in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Devin Whatley.    </w:t>
      </w:r>
      <w:r>
        <w:rPr>
          <w:rFonts w:ascii="Times New Roman PS Std;serif" w:hAnsi="Times New Roman PS Std;serif"/>
          <w:b w:val="false"/>
          <w:i w:val="false"/>
          <w:caps w:val="false"/>
          <w:smallCaps w:val="false"/>
          <w:sz w:val="20"/>
        </w:rPr>
        <w:t>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Bernard Gutmann.</w:t>
      </w:r>
      <w:r>
        <w:rPr>
          <w:rFonts w:ascii="Times New Roman PS Std;serif" w:hAnsi="Times New Roman PS Std;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Retiring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Haenggi has determined not to stand for reelection, and her term as a director will expire at the Annual Meeting. Her determination to not stand for reelection does not arise from or result from any disagreement with the Company. Ms. Haenggi currently serves on the Compensation Committee and previously served on the Nominating and Corporate Governance Committee.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120"/>
              <w:ind w:left="120" w:right="12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“FOR” THE ELECTION OF EACH OF THE NAMED DIRECTOR NOMINEES ABOVE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704"/>
      <w:bookmarkEnd w:id="6"/>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and their ages as of September 28, 2026 are presented in the table below:</w:t>
      </w:r>
    </w:p>
    <w:tbl>
      <w:tblPr>
        <w:tblW w:w="6520" w:type="dxa"/>
        <w:jc w:val="left"/>
        <w:tblInd w:w="0" w:type="dxa"/>
        <w:tblLayout w:type="fixed"/>
        <w:tblCellMar>
          <w:top w:w="0" w:type="dxa"/>
          <w:left w:w="0" w:type="dxa"/>
          <w:bottom w:w="0" w:type="dxa"/>
          <w:right w:w="0" w:type="dxa"/>
        </w:tblCellMar>
      </w:tblPr>
      <w:tblGrid>
        <w:gridCol w:w="2026"/>
        <w:gridCol w:w="146"/>
        <w:gridCol w:w="556"/>
        <w:gridCol w:w="146"/>
        <w:gridCol w:w="3646"/>
      </w:tblGrid>
      <w:tr>
        <w:trPr/>
        <w:tc>
          <w:tcPr>
            <w:tcW w:w="20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02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center"/>
          </w:tcPr>
          <w:p>
            <w:pPr>
              <w:pStyle w:val="TableContents"/>
              <w:bidi w:val="0"/>
              <w:spacing w:before="0" w:after="283"/>
              <w:jc w:val="left"/>
              <w:rPr/>
            </w:pPr>
            <w:r>
              <w:rPr/>
              <w:t> </w:t>
            </w:r>
          </w:p>
        </w:tc>
        <w:tc>
          <w:tcPr>
            <w:tcW w:w="36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02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Kowalczuk</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information for Mr. Rodgers is included with the director biographies under the section titled “</w:t>
      </w:r>
      <w:r>
        <w:rPr>
          <w:rFonts w:ascii="Times New Roman PS Std;serif" w:hAnsi="Times New Roman PS Std;serif"/>
          <w:b w:val="false"/>
          <w:i/>
          <w:caps w:val="false"/>
          <w:smallCaps w:val="false"/>
          <w:sz w:val="20"/>
        </w:rPr>
        <w:t>Proposal No. 1 — Election of Directors — Information Concerning Director Nominees</w:t>
      </w:r>
      <w:r>
        <w:rPr>
          <w:rFonts w:ascii="Times New Roman PS Std;serif" w:hAnsi="Times New Roman PS Std;serif"/>
          <w:b w:val="false"/>
          <w:i w:val="false"/>
          <w:caps w:val="false"/>
          <w:smallCaps w:val="false"/>
          <w:sz w:val="20"/>
        </w:rPr>
        <w:t>”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Tom Kowalczuk.    </w:t>
      </w:r>
      <w:r>
        <w:rPr>
          <w:rFonts w:ascii="Times New Roman PS Std;serif" w:hAnsi="Times New Roman PS Std;serif"/>
          <w:b w:val="false"/>
          <w:i w:val="false"/>
          <w:caps w:val="false"/>
          <w:smallCaps w:val="false"/>
          <w:sz w:val="20"/>
        </w:rPr>
        <w:t>Mr. Kowalczuk, age 43, has more than 20 years of finance and accounting experience.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705"/>
      <w:bookmarkEnd w:id="7"/>
      <w:r>
        <w:rPr>
          <w:rFonts w:ascii="Times New Roman PS Std;serif" w:hAnsi="Times New Roman PS Std;serif"/>
          <w:b/>
          <w:i w:val="false"/>
          <w:caps w:val="false"/>
          <w:smallCaps w:val="false"/>
          <w:sz w:val="20"/>
        </w:rPr>
        <w:t xml:space="preserve">INFORMATION REGARDING THE BOARD OF DIRECTORS AND CORPORATE GOVERNANCE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consults with our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William Anderson, J. Daniel McCranie, and Chris Lundell — has any relationships that would interfere with the exercise of independent judgment in carrying out the responsibilities of a Director and that each of Messrs. Alvarez, Gishen, Maier, Pasek, Thiam, Whatley and Gutmann and Ms. Haenggi, representing a majority of SunPower’s incumbent Directors, is “independent” as that term is defined under the Nasdaq listing standards.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these determinations, the Board of Directors considered the current and prior relationships that each non-employee director nominee has with SunPower and all other facts and circumstances the Board of Directors deems relevant in determining their independence, including the beneficial ownership of our capital stock by each non-employee director and the transactions described in the section titled “</w:t>
      </w:r>
      <w:r>
        <w:rPr>
          <w:rFonts w:ascii="Times New Roman PS Std;serif" w:hAnsi="Times New Roman PS Std;serif"/>
          <w:b w:val="false"/>
          <w:i/>
          <w:caps w:val="false"/>
          <w:smallCaps w:val="false"/>
          <w:sz w:val="20"/>
        </w:rPr>
        <w:t>Certain Relationships and Related Party Transactions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family relationships among any of our Directors or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the Board of Directors in Risk Oversight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also addresses our cybersecurity risk management as part of its general oversight function. Our Audit Committee is responsible for overseeing our cybersecurity risk management processes, including oversight of mitigation of risks from cybersecurity threats. Our Vice President of Information Technology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consists of Ronald Pasek, who serves as the chairperson, Adam Gishen, Bernard Gutmann and Lothar Maier.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responsibilities of the Audit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helping the Board of Directors oversee corporate accounting and financial reporting processes;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managing the selection, engagement and qualifications of a qualified firm to serve as the independent registered public accounting firm to audit SunPower’s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helping to ensure the independence and performance of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registered public accounting firm, and reviewing, with management and the independent accountants, SunPower’s interim and year-end operating results;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procedures for employees to submit concerns anonymously about questionable accounting or audit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policies on financial risk assessment and financial risk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related party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(or, as permitted, pre-approving) all audit and all permissible non-audit services to be performed by the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of the Audit Committee which is available on SunPower’s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is a “non-employee director” as defined in Rule 16b-3 promulgated under the Exchange Act. Mr. Alvarez resigned from the Compensation Committee during April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responsibilities of the Compensation Committee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recommending that the Board of Directors approve, the compensation of SunPower’s executive officers and senior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of Directors the compensation of SunPower’s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recommending that the Board of Directors approve, the terms of compensatory arrangements with SunPower’s executives;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SunPower’s stock and equity incentive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independent compensation consultants and assessing whether there are any conflicts of interest with any of the committee’s compensation advisors;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establishing general policies relating to compensation and benefits of SunPower’s employees;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SunPower’s overall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for the Compensation Committee which is available on SunPower’s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consists of Tony Alvarez, who serves as the chairperson, Ronald Pasek, Tidjane Thiam, and Adam Gishen. The Board of Directors has determined that each current member of the Nominating and Corporate Governance Committee is independent. The responsibilities of the Nominating and Corporate Governance Committee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evaluating and selecting, or recommending that the Board of Directors approve, nominees for election to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of Directors and of individual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adequacy of SunPower’s corporate governance practices and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management succession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making recommendations to the Board of Directors regarding corporate governance guidelines and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charter of the Nominating and Corporate Governance Committee which is available on SunPower’s website.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Ethical Business Conduct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SunPower has adopted a code of ethical business conduct that applies to all of its Directors, officers and employees, including its principal executive officer, principal financial officer and principal accounting officer, and is available on SunPower’s website at </w:t>
      </w:r>
      <w:r>
        <w:rPr>
          <w:rFonts w:ascii="Times New Roman PS Std;serif" w:hAnsi="Times New Roman PS Std;serif"/>
          <w:b w:val="false"/>
          <w:i/>
          <w:caps w:val="false"/>
          <w:smallCaps w:val="false"/>
          <w:sz w:val="20"/>
        </w:rPr>
        <w:t>https://investors.sunpower.com/corporate-governance/governance-overview</w:t>
      </w:r>
      <w:r>
        <w:rPr>
          <w:rFonts w:ascii="Times New Roman PS Std;serif" w:hAnsi="Times New Roman PS Std;serif"/>
          <w:b w:val="false"/>
          <w:i w:val="false"/>
          <w:caps w:val="false"/>
          <w:smallCaps w:val="false"/>
          <w:sz w:val="20"/>
        </w:rPr>
        <w:t>.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and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Leadership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positions of Chairman of the Board of Directors and Chief Executive Officer are not presently separated, with Mr. Rodgers serving as the Executive Chairman of the Board of Directors and as Chief Executive Officer. Mr. Pasek serves as our Lead Independent Director. Our Bylaws and Corporate Governance Guidelines, which do not require that our Chairman of the Board of Directors and Chief Executive Officer positions be separate, allow our Board of Directors to determine the leadership structure that is appropriate for us at any given point in time, taking into account the dynamic demands of our business and other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oversees the risk management activities designed and implemented by our management. Our Board of Directors executes its oversight responsibility both directly and through its committees. Our Board of Directors also considers specific risk topics, including risks associated with our strategic initiatives, business plans and capital structure. Our management, including our executive officers, is primarily responsible for managing the risks associated with the operation and business of the Company. Our Chief Executive Officer and other executive officers regularly report to the non-executive directors and the Audit, Compensation and Nominating and Corporate Governance Committees to ensure effective and efficient oversight of our activities and to assist in proper risk management and ongoing evaluation of management controls. Our board committees also consider risk as they perform their respective responsibilities and report to the Board of Directors as appropriate, including when a matter rises to the level of a material or enterprise risk. We believe that the leadership structure of our Board of Directors provides appropriate risk oversight of our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Meetings of the Board of Directors and Its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met eight times during the fiscal year ended December 28, 2025. The Audit Committee met six times during the fiscal year ended December 28, 2025. The Compensation Committee met three times during the fiscal year ended December 28, 2025. The Nominating and Corporate Governance Committee met four times during the fiscal year ended December 28, 2025. Each director attended 75% or more of the aggregate number of meetings of the Board of Directors and of the committees on which he or she served, held during the portion of the fiscal year ended December 28, 2025 for which he or she was a director or committee member.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our directors and nominees for director to attend our annual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has adopted Corporate Governance Guidelines to assure that the Board of Directors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of Directors intends to follow with respect to, among other things, board composition and selection, board meetings and involvement of senior management, Chief Executive Officer performance evaluation and succession planning, and board committees and compensation. The Corporate Governance Guidelines are available in the investors section of our website at </w:t>
      </w:r>
      <w:r>
        <w:rPr>
          <w:rFonts w:ascii="Times New Roman PS Std;serif" w:hAnsi="Times New Roman PS Std;serif"/>
          <w:b w:val="false"/>
          <w:i/>
          <w:caps w:val="false"/>
          <w:smallCaps w:val="false"/>
          <w:sz w:val="20"/>
        </w:rPr>
        <w:t>https://investors.sunpower.com/corporate-governance/governance-overview</w:t>
      </w:r>
      <w:r>
        <w:rPr>
          <w:rFonts w:ascii="Times New Roman PS Std;serif" w:hAnsi="Times New Roman PS Std;serif"/>
          <w:b w:val="false"/>
          <w:i w:val="false"/>
          <w:caps w:val="false"/>
          <w:smallCaps w:val="false"/>
          <w:sz w:val="20"/>
        </w:rPr>
        <w:t>. Please note that SunPower’s internet website address is provided as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an insider trading policy that applies to all of our Directors, our executive officers and to certain of our other employees and consultants. This policy prohibits engaging in short sales, transactions in put or call options, hedging transactions, or other inherently speculative transactions with respect to our securities or derivative securities at any time. We believe our insider trading policy is reasonably designed to promote compliance with insider trading laws, rules and regulations, as well as applicable Nasdaq listing standards. A copy of our insider trading policy is included as Exhibit 19.1 to our Annual Report on Form 10-K for the fiscal year ended December 28, 2025.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10b5-1 Sales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Communications with the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wishing to communicate with the Board of Directors or an individual director may send a written communication to the Board of Directors or such director addressed to c/o SunPower Inc., 1403 N. Research Way, Orem, Utah 84097,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will discard the communication or inform the proper authorities, as may be appropriate.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Delinquent Section 16(a) Reports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solely on our review of such forms furnished to the Company and written representations from certain reporting persons, we believe that all filing requirements applicable to our executive officers, Directors and greater than 10% beneficial owners were timely made during fiscal 2025, with the exception of: (1) Mr. Maier’s Form 3 filed on March 18, 2026 and his Form 5 filed on March 18, 2026 relating to his annual director restricted stock unit award issued on May 23, 2025 (the “</w:t>
      </w:r>
      <w:r>
        <w:rPr>
          <w:rFonts w:ascii="Times New Roman PS Std;serif" w:hAnsi="Times New Roman PS Std;serif"/>
          <w:b/>
          <w:i/>
          <w:caps w:val="false"/>
          <w:smallCaps w:val="false"/>
          <w:sz w:val="20"/>
        </w:rPr>
        <w:t>May 2025 Director Grant</w:t>
      </w:r>
      <w:r>
        <w:rPr>
          <w:rFonts w:ascii="Times New Roman PS Std;serif" w:hAnsi="Times New Roman PS Std;serif"/>
          <w:b w:val="false"/>
          <w:i w:val="false"/>
          <w:caps w:val="false"/>
          <w:smallCaps w:val="false"/>
          <w:sz w:val="20"/>
        </w:rPr>
        <w:t>”) (and the related missed Form 4 filing); (2) Mr. Anderson’s Form 5 filed on March 5, 2026 relating to his May 2025 Director Grant (and the related missed Form 4 filing); (3) Mr. Pasek’s Form 5 filed on February 25, 2026 relating to his May 2025 Director Grant (and the related missed Form 4 filing); (4) Mr. Whatley’s Form 5 filed on February 18, 2026 relating to his May 2025 Director Grant (and the related missed Form 4 filing); (5) Mr. Lundell’s Form 5 filed on February 18, 2026 relating to his May 2025 Director Grant (and the related missed Form 4 filing); (6) Mr. Thiam’s Form 5 filed on February 18, 2026 relating to his May 2025 Director Grant and other open market purchases and sales completed between December 17, 2024 and December 16, 2025 (and related missed Form 4 filings); (7) Mr. Gishen’s Form 5 filed on February 17, 2026 relating to his May 2025 Director Grant (and related missed Form 4 filing); (8) Mr. Alvarez’s Form 5 filed on February 17, 2026 relating to his May 2025 Director Grant (and related missed Form 4 filing); (9) Mr. McCranie’s Form 5 filed on February 17, 2026 relating to his May 2025 Director Grant and July 9, 2025 restricted stock unit award (and related missed Form 4 filings); (10) Ms. Haenggi’s Form 3 filed on October 29, 2025 relating to her appointment as a director on May 29, 2025; (11) Mr. Gishen’s Form 4 filed on October 28, 2025 relating to open market sales completed on October 23, 2025; (12) Mr. Rodgers’s Form 4 filed on July 15, 2025 with respect to a note purchase on July 10, 2025; (13) Mr. Gishen’s Form 4 filed on May 28, 2025 relating to open market sales on May 16, 2025; and (14) Ms. Nguyen did not file a Form 3 relating to her role as interim Chief Financial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706"/>
      <w:bookmarkEnd w:id="8"/>
      <w:r>
        <w:rPr>
          <w:rFonts w:ascii="Times New Roman PS Std;serif" w:hAnsi="Times New Roman PS Std;serif"/>
          <w:b/>
          <w:i w:val="false"/>
          <w:caps w:val="false"/>
          <w:smallCaps w:val="false"/>
          <w:sz w:val="20"/>
        </w:rPr>
        <w:t>PROPOSAL NO. 2 — APPROVAL OF AN AMENDMENT TO THE COMPANY’S CERTIFICATE OF INCORPORATION TO EFFECT A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approved, subject to stockholder approval, an amendment to our Certificate of Incorporation to effect a reverse stock split of all of the Company’s issued and outstanding shares of Common Stock at a ratio to be determined by the Board of Directors ranging from 1-for-5 to 1-for-35, to be effected in the sole discretion of our Board of Directors at any time prior to December 31, 2026 (the “</w:t>
      </w:r>
      <w:r>
        <w:rPr>
          <w:rFonts w:ascii="Times New Roman PS Std;serif" w:hAnsi="Times New Roman PS Std;serif"/>
          <w:b/>
          <w:i/>
          <w:caps w:val="false"/>
          <w:smallCaps w:val="false"/>
          <w:sz w:val="20"/>
        </w:rPr>
        <w:t>Reverse Stock Split</w:t>
      </w:r>
      <w:r>
        <w:rPr>
          <w:rFonts w:ascii="Times New Roman PS Std;serif" w:hAnsi="Times New Roman PS Std;serif"/>
          <w:b w:val="false"/>
          <w:i w:val="false"/>
          <w:caps w:val="false"/>
          <w:smallCaps w:val="false"/>
          <w:sz w:val="20"/>
        </w:rPr>
        <w:t xml:space="preserve">”). At the Annual Meeting, stockholders are being asked to approve the foregoing amendment to our Certificate of Incorporation, with the final ratio to be selected by the Board of Directors. The text of the proposed form of Certificate of Amendment to our Certificate of Incorporation is attached hereto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(the “</w:t>
      </w:r>
      <w:r>
        <w:rPr>
          <w:rFonts w:ascii="Times New Roman PS Std;serif" w:hAnsi="Times New Roman PS Std;serif"/>
          <w:b/>
          <w:i/>
          <w:caps w:val="false"/>
          <w:smallCaps w:val="false"/>
          <w:sz w:val="20"/>
        </w:rPr>
        <w:t>Reverse Stock Split Amendment</w:t>
      </w:r>
      <w:r>
        <w:rPr>
          <w:rFonts w:ascii="Times New Roman PS Std;serif" w:hAnsi="Times New Roman PS Std;serif"/>
          <w:b w:val="false"/>
          <w:i w:val="false"/>
          <w:caps w:val="false"/>
          <w:smallCaps w:val="false"/>
          <w:sz w:val="20"/>
        </w:rPr>
        <w:t>”). The Board of Directors believes that the availability of alternative reverse stock split ratios will provide it with the flexibility to implement the Reverse Stock Split in a manner designed to maximize the anticipated benefits for the Company and our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vote “For” Proposal No. 2 will constitute approval of the Reverse Stock Split Amendment and will grant the Board of Directors the authority to determine whether to implement the Reverse Stock Split and to select the ratio thereof out of the range approved by the Company’s stockholders. The Reverse Stock Split will become effective at the time specified in the Reverse Stock Split Amendment. Upon the effectiveness of the Reverse Stock Split Amendment (the “</w:t>
      </w:r>
      <w:r>
        <w:rPr>
          <w:rFonts w:ascii="Times New Roman PS Std;serif" w:hAnsi="Times New Roman PS Std;serif"/>
          <w:b/>
          <w:i/>
          <w:caps w:val="false"/>
          <w:smallCaps w:val="false"/>
          <w:sz w:val="20"/>
        </w:rPr>
        <w:t>split effective time</w:t>
      </w:r>
      <w:r>
        <w:rPr>
          <w:rFonts w:ascii="Times New Roman PS Std;serif" w:hAnsi="Times New Roman PS Std;serif"/>
          <w:b w:val="false"/>
          <w:i w:val="false"/>
          <w:caps w:val="false"/>
          <w:smallCaps w:val="false"/>
          <w:sz w:val="20"/>
        </w:rPr>
        <w:t>”), the issued and outstanding shares of Common Stock immediately prior to the split effective time will be reclassified into a smaller number of shares based on the ratio selected by the Board of Directors. The final decision of whether to proceed with the Reverse Stock Split and the split effective time of the Reverse Stock Split will be determined by the Board of Directors, in its sole discretion.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stockholders approve the Reverse Stock Split Amendment, and the Board of Directors decides to implement it, the Reverse Stock Split will become effective as of the split effective time, which will be specified in the Reverse Stock Split Amendment. If the Board of Directors does not decide to implement the Reverse Stock Split by December 31, 2026, the authority granted in this Proposal No. 2 to implement the Reverse Stock Split will terminate. The Board of Directors reserves the right to elect to abandon the Reverse Stock Split, notwithstanding stockholder approval, if it determines, in its sole discretion, that the Reverse Stock Split is no longer in the best interests of the Company, in which case the Reverse Stock Split Amendment will not be filed with the Delaware Secretary of State.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of Directors elects to effect the Reverse Stock Split, following stockholder approval, then the number of issued and outstanding shares of Common Stock would be reduced in accordance with the final reverse stock split ratio selected by the Board of Directors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per share of the Common Stock would remain unchanged at $0.0001 per share. The Reverse Stock Split would not change the number of authorized shares of Common Stock or the number of authorized but unissued shares of our Preferred Stock. There are currently no specific plans, arrangements, agreements or understandings for the issuance of the additional authorized but unissued and unreserved shares of Common Stock that would be created by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Reverse Stock Split Amendment is included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However, such text is subject to amendment to include such changes as may be required by the office of the Delaware Secretary of State or as the Board of Directors deems necessary and advisable to effect the Reverse Stock Split. The Board has determined that the amendment is advisable and in the best interests of the Company and its stockholders and has submitted the amendment for consideration by our stockholders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Criteria Used for Proceeding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the Board of Directors will be authorized to proceed with the Reverse Stock Split. The exact ratio of the Reverse Stock Split, within the 1-for-5 to 1-for-35 range, would be determined by the Board of Directors, in its sole discretion, and publicly announced by us prior to the split effective time. In determining whether to proceed with the Reverse Stock Split and setting the appropriate ratio for the Reverse Stock Split, the Board of Directors will consider, among other things, factors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trading prices and trading volume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our Common Stock outstanding, and the number of shares of our Common Stock issuable upon conversion, exercise or settlement of our outstanding Convertible Notes (as defined below), warrants, options and restricted stock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then-prevailing and expected trading prices and trading volume of our Common Stock and the anticipated impact of the Reverse Stock Split on the trading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Nasdaq’s continued listing standards;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general market and economic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the Board of Directors will be authorized to proceed with the Reverse Stock Split. The primary objective for effecting the Reverse Stock Split, should the Board of Directors choose to effect it, would be to increase the per share price of our Common Stock. The Board of Directors believes that, should the appropriate circumstances arise, effecting the Reverse Stock Split would, among other things, help us to maintain compliance with the continued listing standards of Nasdaq (as defined below), appeal to a broader range of investors to generate greater investor interest in the Company, and improve the perception of our Common Stock as an investment security.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Compliance with Nasdaq Continued Listing Rules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Global Market. Pursuant to Nasdaq Listing Rule 5450(a)(1) (the “</w:t>
      </w:r>
      <w:r>
        <w:rPr>
          <w:rFonts w:ascii="Times New Roman PS Std;serif" w:hAnsi="Times New Roman PS Std;serif"/>
          <w:b/>
          <w:i/>
          <w:caps w:val="false"/>
          <w:smallCaps w:val="false"/>
          <w:sz w:val="20"/>
        </w:rPr>
        <w:t>Bid Price Rule</w:t>
      </w:r>
      <w:r>
        <w:rPr>
          <w:rFonts w:ascii="Times New Roman PS Std;serif" w:hAnsi="Times New Roman PS Std;serif"/>
          <w:b w:val="false"/>
          <w:i w:val="false"/>
          <w:caps w:val="false"/>
          <w:smallCaps w:val="false"/>
          <w:sz w:val="20"/>
        </w:rPr>
        <w:t>”), as a requirement for continued listing, the bid price for our Common Stock may not close below $1.00 per share for thirty (30) consecutive business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reported, on July 21, 2026, the Company received written notice from The Nasdaq Stock Market, LLC (“</w:t>
      </w:r>
      <w:r>
        <w:rPr>
          <w:rFonts w:ascii="Times New Roman PS Std;serif" w:hAnsi="Times New Roman PS Std;serif"/>
          <w:b/>
          <w:i/>
          <w:caps w:val="false"/>
          <w:smallCaps w:val="false"/>
          <w:sz w:val="20"/>
        </w:rPr>
        <w:t>Nasdaq</w:t>
      </w:r>
      <w:r>
        <w:rPr>
          <w:rFonts w:ascii="Times New Roman PS Std;serif" w:hAnsi="Times New Roman PS Std;serif"/>
          <w:b w:val="false"/>
          <w:i w:val="false"/>
          <w:caps w:val="false"/>
          <w:smallCaps w:val="false"/>
          <w:sz w:val="20"/>
        </w:rPr>
        <w:t>”) notifying the Company that it was not in compliance with the Bid Price Rule. In accordance with Nasdaq Listing Rule 5810(c)(3)(A), the Company was provided an initial period of 180 calendar days, or until January 19, 2027, to regain compliance with the Bid Price Rule. If at any time prior to January 19, 2027 the bid price of the Company’s Common Stock closes at $1.00 per share or more for a minimum of ten consecutive business days, the Company will regain compliance with the Bid Price Rule.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Company does not qualify for, or fails to regain compliance prior to, the expiration of the applicable compliance period, then Nasdaq will notify the Company of its determination to delist its Common Stock, at which point the Company would have an option to appeal the delisting determination to a Nasdaq hearings panel; provided, however, if the Common Stock trades at or below $0.10 per share for ten consecutive business days, then the Company would not have an appeal option and the Common Stock would be delisted. There can be no assurance, if the Company does appeal a delisting determination by Nasdaq to a hearings panel, that such appeal would be successful.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do regain compliance with the Bid Price Rule as a result of our Common Stock closing at $1.00 per share or more for a minimum of ten consecutive business days, given the volatility in the equity capital markets and the fact that our Common Stock has at times traded near or under the $1.00 minimum bid price requirement, the Board of Directors believes it is in our stockholders’ best interest for the Company to be able to effect the Reverse Stock Split as one potential mechanism to address any potential future compliance requirements with the Bid Price Rule.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Amendment, our Board of Directors, in its sole discretion, will determine whether to effect the Reverse Stock Split. Our Board of Directors reserves the right to elect not to effect a Reverse Stock Split, including any or all reverse stock split ratios within the proposed range, if it determines, in its sole discretion, that implementing the Reverse Stock Split is not in the best interest of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do not approve the Reverse Stock Split Amendment, the Company may be delisted from Nasdaq due to our failure to maintain a minimum bid price for the Common Stock of $1.00 per share as required by Nasdaq. Reducing the number of our issued and outstanding shares of Common Stock should, absent other factors, increase the per share market price of the Common Stock, although we cannot provide any assurance that, following the Reverse Stock Split, our minimum bid price would remain over the minimum bid price requirement of Nasdaq.</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considered the potential harm to the Company and its stockholders should Nasdaq delist the Common Stock from the Nasdaq Global Market. Delisting could adversely affect the liquidity of the Common Stock because alternatives, such as the OTCQB or the Pink Market maintained by OTC Markets Group Inc., are generally considered to be less liquid and less efficient markets.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the Common Stock is delisted from the Nasdaq Global Market, the delisting would trigger purchase rights under our Convertible Notes, and may also constitute an event of default under our other outstanding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Reverse Stock Split is a potentially effective means for us to maintain compliance with the rules of Nasdaq and to avoid, or at least mitigate, the likely adverse consequences of the Common Stock being delisted from Nasdaq by producing the immediate effect of increasing the bid price of the Common Stock.</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Appeal to a Broader Range of Investors to Generate Greater Investor Interest in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increase in our stock price may make our Common Stock more attractive to investors. Brokerage firms may be reluctant to recommend lower-priced securities to their clients, and trading volatility is often associated with low-priced stocks. Lower-priced stocks have a perception in the investment community as being risky and speculative, which may negatively impact not only the price of our Common Stock, but also our market liquidity. Many institutional investors have internal practices or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typically do not monitor the trading activity or otherwise provide coverage of lower-priced stocks. The Board of Directors believes that the anticipated higher market price resulting from the Reverse Stock Split may enable investors and brokerage firms with policies and practices such as those described above to invest in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whether to effect the Reverse Stock Split, our Board of Directors has taken, and will take, into consideration negative factors associated with reverse stock splits. These factors are delineated under the heading “</w:t>
      </w:r>
      <w:r>
        <w:rPr>
          <w:rFonts w:ascii="Times New Roman PS Std;serif" w:hAnsi="Times New Roman PS Std;serif"/>
          <w:b w:val="false"/>
          <w:i/>
          <w:caps w:val="false"/>
          <w:smallCaps w:val="false"/>
          <w:sz w:val="20"/>
        </w:rPr>
        <w:t>Certain Risks Associated with the Reverse Stock Split</w:t>
      </w:r>
      <w:r>
        <w:rPr>
          <w:rFonts w:ascii="Times New Roman PS Std;serif" w:hAnsi="Times New Roman PS Std;serif"/>
          <w:b w:val="false"/>
          <w:i w:val="false"/>
          <w:caps w:val="false"/>
          <w:smallCaps w:val="false"/>
          <w:sz w:val="20"/>
        </w:rPr>
        <w:t>” below. In approving and recommending the Reverse Stock Split, our Board of Directors determined that these potentially negative factors were significantly outweighed by the potential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expect that the Reverse Stock Split will increase the market price of our Common Stock as a result of having fewer outstanding shares, the Reverse Stock Split may not result in a permanent increase in the market price of our Common Stock, which will continue to be dependent on many factors, including general economic, market, and industry conditions and other factors detailed from time to time in the reports we file with the SEC. In addition, there can be no assurance that our Common Stock will not be delisted due to a failure to meet other continued listing requirements of Nasdaq even if the market price per post-split share of our Common Stock remains in excess of $1.00.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Reverse Stock Split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Proportionate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be effected simultaneously for all outstanding shares of Common Stock. The Reverse Stock Split will affect all of the Company’s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Shares of Common Stock issued pursuant to the Reverse Stock Split will remain fully paid and nonassessable, and the par value per share of the Common Stock will remain $0.0001. The Reverse Stock Split will not affect the Company continuing to be subject to the periodic reporting requirements of the Exchange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Authorized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currently authorizes the issuance of 1,010,000,000 shares, consisting of 1,000,000,000 shares of Common Stock, $0.0001 par value per share, and 10,000,000 shares of preferred stock, $0.0001 par value per share. As of the date of this Proxy Statement, no shares of preferred stock are outstanding. The Reverse Stock Split Amendment will not change the number of shares of capital stock that the Company is authorized to issue or the par value per share of any class of the Company’s capital stock. Accordingly, because the number of issued and outstanding shares of Common Stock will decrease as a result of the Reverse Stock Split while the number of authorized shares of Common Stock will remain unchanged, the number of authorized but unissued shares of Common Stock available for future issuance will increase substantially on a relative basis. See “</w:t>
      </w:r>
      <w:r>
        <w:rPr>
          <w:rFonts w:ascii="Times New Roman PS Std;serif" w:hAnsi="Times New Roman PS Std;serif"/>
          <w:b w:val="false"/>
          <w:i/>
          <w:caps w:val="false"/>
          <w:smallCaps w:val="false"/>
          <w:sz w:val="20"/>
        </w:rPr>
        <w:t>Certain Risks Associated with the Reverse Stock Split</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Potential 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Effect</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Outstanding Convertible Notes, Warrants, Options and Restricted Stock 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Proportionate adjustments will be made to the per share conversion or exercise price and/or the number of shares issuable upon the conversion, exercise or settlement of all outstanding Convertible Notes, warrants, restricted stock units, stock options and other convertible or exchangeable securities entitling the holders thereof to purchase, exchange for, or convert into, shares of Common Stock, in each case in accordance with the terms of the applicable instrument. These adjustments will result in (i) approximately the same aggregate price being required to be paid for such warrants and stock options upon exercise and (ii) approximately the same value of shares of Common Stock being delivered upon such conversion, exercise or settlement under the other Convertible Notes, warrants and restricted stock units, stock options and other convertible or exchangeable securities as was the case immediately preceding the Reverse Stock Split. The number of shares reserved for issuance under the securities or plans described above will be reduced proportionately.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Proxy Statement, our outstanding securities that are convertible into, or exercisable or settleable for, shares of Common Stock include,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12.00% senior convertible notes due 2029 (the “</w:t>
      </w:r>
      <w:r>
        <w:rPr>
          <w:rFonts w:ascii="Times New Roman PS Std;serif" w:hAnsi="Times New Roman PS Std;serif"/>
          <w:b/>
          <w:i/>
          <w:caps w:val="false"/>
          <w:smallCaps w:val="false"/>
          <w:sz w:val="20"/>
        </w:rPr>
        <w:t>12% Notes</w:t>
      </w:r>
      <w:r>
        <w:rPr>
          <w:rFonts w:ascii="Times New Roman PS Std;serif" w:hAnsi="Times New Roman PS Std;serif"/>
          <w:b w:val="false"/>
          <w:i w:val="false"/>
          <w:caps w:val="false"/>
          <w:smallCaps w:val="false"/>
          <w:sz w:val="20"/>
        </w:rPr>
        <w:t>”), including approximately $45.9 million aggregate principal amount issued in July 2024 (initially convertible at a rate of 595.2381 shares of Common Stock per $1,000 principal amount), a $5,000,000 principal amount note issued in July 2025 (initially convertible at a rate of 558.6592 shares per $1,000 principal amount), a $2,000,000 principal amount note issued in November 2025 (initially convertible at a rate of 626.9592 shares per $1,000 principal amount), and a $3,300,000 principal amount note issued in January 2026 (initially convertible at a rate of 540.5405 shares per $1,000 principal amount);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$62.29 million aggregate principal amount of our 7.00% senior convertible notes due 2029 (the “</w:t>
      </w:r>
      <w:r>
        <w:rPr>
          <w:rFonts w:ascii="Times New Roman PS Std;serif" w:hAnsi="Times New Roman PS Std;serif"/>
          <w:b/>
          <w:i/>
          <w:caps w:val="false"/>
          <w:smallCaps w:val="false"/>
          <w:sz w:val="20"/>
        </w:rPr>
        <w:t>7% Notes</w:t>
      </w:r>
      <w:r>
        <w:rPr>
          <w:rFonts w:ascii="Times New Roman PS Std;serif" w:hAnsi="Times New Roman PS Std;serif"/>
          <w:b w:val="false"/>
          <w:i w:val="false"/>
          <w:caps w:val="false"/>
          <w:smallCaps w:val="false"/>
          <w:sz w:val="20"/>
        </w:rPr>
        <w:t>”), which had an initial conversion rate of 467.8363 shares of Common Stock per $1,000 principal amount and are currently convertible at a rate of 584.7953 shares of Common Stock per $1,000 principal amount;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$46.0 million aggregate principal amount of our 10.00% senior secured convertible notes due 2029 (the “</w:t>
      </w:r>
      <w:r>
        <w:rPr>
          <w:rFonts w:ascii="Times New Roman PS Std;serif" w:hAnsi="Times New Roman PS Std;serif"/>
          <w:b/>
          <w:i/>
          <w:caps w:val="false"/>
          <w:smallCaps w:val="false"/>
          <w:sz w:val="20"/>
        </w:rPr>
        <w:t>10% Notes</w:t>
      </w:r>
      <w:r>
        <w:rPr>
          <w:rFonts w:ascii="Times New Roman PS Std;serif" w:hAnsi="Times New Roman PS Std;serif"/>
          <w:b w:val="false"/>
          <w:i w:val="false"/>
          <w:caps w:val="false"/>
          <w:smallCaps w:val="false"/>
          <w:sz w:val="20"/>
        </w:rPr>
        <w:t>” and together with the 12% Notes and the 7% Notes, collectively, the “</w:t>
      </w:r>
      <w:r>
        <w:rPr>
          <w:rFonts w:ascii="Times New Roman PS Std;serif" w:hAnsi="Times New Roman PS Std;serif"/>
          <w:b/>
          <w:i/>
          <w:caps w:val="false"/>
          <w:smallCaps w:val="false"/>
          <w:sz w:val="20"/>
        </w:rPr>
        <w:t>Convertible Notes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of 25,182,242 shares of our common stock issuable upon exercise of our public warrants issued by FACT, certain merger warrants issued by Legacy Complete Solaria, private warrants issued in a private placement at the time of FACT’s IPO, working capital warrants issued to certain equity holders of Legacy Complete Solaria, each exercisable for one share of Common Stock at an exercise price of $11.50 per share and expiring on July 18, 2028, our Series C-1 warrants exercisable for one share of Common Stock at an exercise price of $4.30 per share and expiring in January 2030, warrants issued to Silicon Valley Bank with exercise prices of $0.38 and $0.62 per share and expiring in 2033, our promissory note common stock warrants with an exercise price per share of $0.01 and expiring in October 2031, our common stock warrants issued in July 2023 with an exercise price of $0.01 per share and expiring in July 2028, or other common stock warrants issued in 2023 with an exercise price of $11.50 per share and expiring in July 2033, and certain warrants issued to service providers with an exercise price of $1.68 per share and expiring in June 2029;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 options and restricted stock units outstanding under our equity incentive plans and our outstanding inducement grants, covering an aggregate of 23,949,127 shares of Common Stock as of September 18, 2026.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on Voting Rights and Authorized Share Capital Available for Future Issuance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Proportionate voting rights of the holders of the Company’s Common Stock will not be affected by the Reverse Stock Split, regardless of the reverse stock split ratio selected by the Board of Directors, except to the extent that the Reverse Stock Split would result in an adjustment to a stockholder’s ownership of the Common Stock due to the treatment of fractional shares in the Reverse Stock Split. For example, a holder of 1.0% of the voting power of the outstanding shares of the Company’s Common Stock immediately prior to the split effective time would continue to hold 1.0% of the voting power of the outstanding shares of Common Stock after the Reverse Stock Split, regardless of the reverse stock split ratio selected by the Board of Directors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total number of shares of capital stock that we are authorized to issue will not be affected by the Reverse Stock Split and will remain at 1,010,000,000 shares, consisting of 1,000,000,000 shares of Common Stock and 10,000,000 shares of preferred stock (none of which are issued and outstanding). By reducing the number of shares outstanding without reducing the number of shares of available but unissued Common Stock, the Reverse Stock Split will increase the number of authorized but unissued shares. The Board of Directors believes such increase is appropriate for use to fund the future operations of the Company. Although the Company does not have any pending acquisitions for which shares are expected to be used, the Company may also use authorized shares in connection with the financing of future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of Directors an effective increase in the authorized shares available for issuance, in its discretion. The Board of Directors from time to time may deem it to be in the best interests of the Company to enter into transactions and other ventures that may include the issuance of shares of the Common Stock. If the Board of Directors authorizes the issuance of additional shares subsequent to the Reverse Stock Split, the dilution to the ownership interest of our existing stockholders may be greater than would occur had the Reverse Stock Split not been effected.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Illustrative Effect on Shares Outstanding and Reserved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Reverse Stock Split ratios of 1-for-5, 1-for-20 and 1-for-35, the following table sets forth (a) the number of shares of our Common Stock outstanding as of September 18, 2026 and issuable or reserved for issuance under our equity incentive plans, convertible notes and warrants as of September 18, 2026 and prior to giving effect to the reverse stock split; and (b) (i) the number of shares of our Common Stock that would be issued and outstanding, (ii) the number of shares of our Common Stock that would be issuable for outstanding stock options and restricted stock units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equity incentive plans and inducement grants, (iii) the number of shares of our Common Stock that would be reserved for future issuance under our equity incentive plans, (iv) the number of shares of our Common Stock that would be reserved for issuance under our Public Warrants, Private Warrants, Working Capital Warrants and other outstanding warrants, (v) the number of shares of our Common Stock that would be reserved for issuance under our 12% Notes, 7% Notes and 10% Notes, and (vi) the number of shares of our Common Stock that would be authorized under our Certificate of Incorporation, in each case giving effect to the Reverse Stock Split.</w:t>
      </w:r>
    </w:p>
    <w:tbl>
      <w:tblPr>
        <w:tblW w:w="10205" w:type="dxa"/>
        <w:jc w:val="left"/>
        <w:tblInd w:w="0" w:type="dxa"/>
        <w:tblLayout w:type="fixed"/>
        <w:tblCellMar>
          <w:top w:w="0" w:type="dxa"/>
          <w:left w:w="0" w:type="dxa"/>
          <w:bottom w:w="0" w:type="dxa"/>
          <w:right w:w="0" w:type="dxa"/>
        </w:tblCellMar>
      </w:tblPr>
      <w:tblGrid>
        <w:gridCol w:w="3323"/>
        <w:gridCol w:w="146"/>
        <w:gridCol w:w="1574"/>
        <w:gridCol w:w="146"/>
        <w:gridCol w:w="1558"/>
        <w:gridCol w:w="147"/>
        <w:gridCol w:w="1558"/>
        <w:gridCol w:w="147"/>
        <w:gridCol w:w="1606"/>
      </w:tblGrid>
      <w:tr>
        <w:trPr/>
        <w:tc>
          <w:tcPr>
            <w:tcW w:w="3323" w:type="dxa"/>
            <w:vMerge w:val="restart"/>
            <w:tcBorders/>
            <w:vAlign w:val="center"/>
          </w:tcPr>
          <w:p>
            <w:pPr>
              <w:pStyle w:val="TableContents"/>
              <w:bidi w:val="0"/>
              <w:spacing w:before="0" w:after="283"/>
              <w:jc w:val="left"/>
              <w:rPr>
                <w:sz w:val="4"/>
                <w:szCs w:val="4"/>
              </w:rPr>
            </w:pPr>
            <w:r>
              <w:rPr>
                <w:sz w:val="4"/>
                <w:szCs w:val="4"/>
              </w:rPr>
            </w:r>
          </w:p>
        </w:tc>
        <w:tc>
          <w:tcPr>
            <w:tcW w:w="146" w:type="dxa"/>
            <w:vMerge w:val="restart"/>
            <w:tcBorders/>
            <w:vAlign w:val="center"/>
          </w:tcPr>
          <w:p>
            <w:pPr>
              <w:pStyle w:val="TableContents"/>
              <w:bidi w:val="0"/>
              <w:spacing w:before="0" w:after="283"/>
              <w:jc w:val="left"/>
              <w:rPr/>
            </w:pPr>
            <w:r>
              <w:rPr/>
              <w:t> </w:t>
            </w:r>
          </w:p>
        </w:tc>
        <w:tc>
          <w:tcPr>
            <w:tcW w:w="1574" w:type="dxa"/>
            <w:vMerge w:val="restart"/>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before </w:t>
              <w:br/>
              <w:t xml:space="preserve">Reverse Stock </w:t>
              <w:br/>
              <w:t>Split</w:t>
            </w:r>
          </w:p>
        </w:tc>
        <w:tc>
          <w:tcPr>
            <w:tcW w:w="146" w:type="dxa"/>
            <w:vMerge w:val="restart"/>
            <w:tcBorders/>
            <w:vAlign w:val="center"/>
          </w:tcPr>
          <w:p>
            <w:pPr>
              <w:pStyle w:val="TableContents"/>
              <w:bidi w:val="0"/>
              <w:spacing w:before="0" w:after="283"/>
              <w:jc w:val="left"/>
              <w:rPr/>
            </w:pPr>
            <w:r>
              <w:rPr/>
              <w:t> </w:t>
            </w:r>
          </w:p>
        </w:tc>
        <w:tc>
          <w:tcPr>
            <w:tcW w:w="5016"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Shares following Reverse Stock Split </w:t>
              <w:br/>
              <w:t>Reverse Stock Split Ratio of:</w:t>
            </w:r>
          </w:p>
        </w:tc>
      </w:tr>
      <w:tr>
        <w:trPr/>
        <w:tc>
          <w:tcPr>
            <w:tcW w:w="3323"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74" w:type="dxa"/>
            <w:vMerge w:val="continue"/>
            <w:tcBorders/>
            <w:vAlign w:val="center"/>
          </w:tcPr>
          <w:p>
            <w:pPr>
              <w:pStyle w:val="Normal"/>
              <w:bidi w:val="0"/>
              <w:jc w:val="left"/>
              <w:rPr/>
            </w:pPr>
            <w:r>
              <w:rPr/>
            </w:r>
          </w:p>
        </w:tc>
        <w:tc>
          <w:tcPr>
            <w:tcW w:w="146" w:type="dxa"/>
            <w:vMerge w:val="continue"/>
            <w:tcBorders/>
            <w:vAlign w:val="center"/>
          </w:tcPr>
          <w:p>
            <w:pPr>
              <w:pStyle w:val="Normal"/>
              <w:bidi w:val="0"/>
              <w:jc w:val="left"/>
              <w:rPr/>
            </w:pPr>
            <w:r>
              <w:rPr/>
            </w:r>
          </w:p>
        </w:tc>
        <w:tc>
          <w:tcPr>
            <w:tcW w:w="15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1-for-5</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1-for-20</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1-for-35</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left"/>
              <w:rPr/>
            </w:pPr>
            <w:r>
              <w:rPr/>
              <w:t> </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320,300,345</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64,060,069</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16,015,017</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9,151,438</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Issuable for Outstanding Awards under Equity Incentive Plans and Inducement Grants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23,949,127</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4,789,825</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1,197,456</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684,258</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Equity Incentive Plans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4,997,257</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999,451</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249,862</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142,778</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Warrants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25,182,242</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5,036,448</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1,259,111</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719,494</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12% Notes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33,195,878</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6,639,173</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1,659,793</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948,452</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7% Notes</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36,428,653</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7,285,733</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1,821,434</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1,040,816</w:t>
            </w:r>
          </w:p>
        </w:tc>
      </w:tr>
      <w:tr>
        <w:trPr/>
        <w:tc>
          <w:tcPr>
            <w:tcW w:w="332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Reserved for Future Issuance under 10% Notes</w:t>
            </w:r>
          </w:p>
        </w:tc>
        <w:tc>
          <w:tcPr>
            <w:tcW w:w="146" w:type="dxa"/>
            <w:tcBorders/>
            <w:vAlign w:val="center"/>
          </w:tcPr>
          <w:p>
            <w:pPr>
              <w:pStyle w:val="TableContents"/>
              <w:bidi w:val="0"/>
              <w:spacing w:before="0" w:after="283"/>
              <w:jc w:val="left"/>
              <w:rPr/>
            </w:pPr>
            <w:r>
              <w:rPr/>
              <w:t> </w:t>
            </w:r>
          </w:p>
        </w:tc>
        <w:tc>
          <w:tcPr>
            <w:tcW w:w="1574"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28,074,457</w:t>
            </w:r>
          </w:p>
        </w:tc>
        <w:tc>
          <w:tcPr>
            <w:tcW w:w="146"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5,614,893</w:t>
            </w:r>
          </w:p>
        </w:tc>
        <w:tc>
          <w:tcPr>
            <w:tcW w:w="147" w:type="dxa"/>
            <w:tcBorders/>
            <w:vAlign w:val="center"/>
          </w:tcPr>
          <w:p>
            <w:pPr>
              <w:pStyle w:val="TableContents"/>
              <w:bidi w:val="0"/>
              <w:spacing w:before="0" w:after="283"/>
              <w:jc w:val="left"/>
              <w:rPr/>
            </w:pPr>
            <w:r>
              <w:rPr/>
              <w:t> </w:t>
            </w:r>
          </w:p>
        </w:tc>
        <w:tc>
          <w:tcPr>
            <w:tcW w:w="15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1,403,722</w:t>
            </w:r>
          </w:p>
        </w:tc>
        <w:tc>
          <w:tcPr>
            <w:tcW w:w="147" w:type="dxa"/>
            <w:tcBorders/>
            <w:vAlign w:val="center"/>
          </w:tcPr>
          <w:p>
            <w:pPr>
              <w:pStyle w:val="TableContents"/>
              <w:bidi w:val="0"/>
              <w:spacing w:before="0" w:after="283"/>
              <w:jc w:val="left"/>
              <w:rPr/>
            </w:pPr>
            <w:r>
              <w:rPr/>
              <w:t> </w:t>
            </w:r>
          </w:p>
        </w:tc>
        <w:tc>
          <w:tcPr>
            <w:tcW w:w="16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802,129</w:t>
            </w:r>
          </w:p>
        </w:tc>
      </w:tr>
      <w:tr>
        <w:trPr/>
        <w:tc>
          <w:tcPr>
            <w:tcW w:w="3323"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under our Certificate of Incorporation</w:t>
            </w:r>
          </w:p>
        </w:tc>
        <w:tc>
          <w:tcPr>
            <w:tcW w:w="146"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6"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7"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c>
          <w:tcPr>
            <w:tcW w:w="147"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No. 2 is approved and our Board of Directors elects to effect the Reverse Stock Split, the number of outstanding shares of Common Stock will be reduced in proportion to the ratio of the split chosen by our Board of Directors. Additionally, if this Proposal No. 2 is approved and our Board of Directors elects to effect the Reverse Stock Split, we would communicate to the public, prior to the split effective time, additional details regarding the Reverse Stock Split, including the specific ratio selected by our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split effective time, the Common Stock will have a new CUSIP number, which is a number used to identify the Company’s equity securities, and stock certificates with the older CUSIP number will need to be exchanged for stock certificates with the new CUSIP number by following the procedures described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split effective time, the Company will continue to be subject to the periodic reporting and other requirements of the Exchange Act. The Common Stock will continue to be listed on The Nasdaq Global Market under the symbol “SPWR,” although the Common Stock will trade under a new CUSIP number and will be quoted on a post-split basis. Our publicly traded warrants will continue to be listed under the symbol “SPWRW.”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on the Equity Incentive Plans and Outstanding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SunPower Inc. 2023 Equity Incentive Plan (the “</w:t>
      </w:r>
      <w:r>
        <w:rPr>
          <w:rFonts w:ascii="Times New Roman PS Std;serif" w:hAnsi="Times New Roman PS Std;serif"/>
          <w:b/>
          <w:i/>
          <w:caps w:val="false"/>
          <w:smallCaps w:val="false"/>
          <w:sz w:val="20"/>
        </w:rPr>
        <w:t>2023 Plan</w:t>
      </w:r>
      <w:r>
        <w:rPr>
          <w:rFonts w:ascii="Times New Roman PS Std;serif" w:hAnsi="Times New Roman PS Std;serif"/>
          <w:b w:val="false"/>
          <w:i w:val="false"/>
          <w:caps w:val="false"/>
          <w:smallCaps w:val="false"/>
          <w:sz w:val="20"/>
        </w:rPr>
        <w:t>”), an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certain legacy equity plans assumed or continued by the Company (the “</w:t>
      </w:r>
      <w:r>
        <w:rPr>
          <w:rFonts w:ascii="Times New Roman PS Std;serif" w:hAnsi="Times New Roman PS Std;serif"/>
          <w:b/>
          <w:i/>
          <w:caps w:val="false"/>
          <w:smallCaps w:val="false"/>
          <w:sz w:val="20"/>
        </w:rPr>
        <w:t>Legacy Plans</w:t>
      </w:r>
      <w:r>
        <w:rPr>
          <w:rFonts w:ascii="Times New Roman PS Std;serif" w:hAnsi="Times New Roman PS Std;serif"/>
          <w:b w:val="false"/>
          <w:i w:val="false"/>
          <w:caps w:val="false"/>
          <w:smallCaps w:val="false"/>
          <w:sz w:val="20"/>
        </w:rPr>
        <w:t>”), and certain outstanding inducement awards granted outside of our stockholder-approved plans in reliance on Nasdaq Listing Rule 5635(c)(4).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2023 Plan provides that, in the event of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 Accordingly, if the Reverse Stock Split is effected, the plan administrator will make proportionate adjustments to the share reserve under the 2023 Plan, to the sublimit on shares issuable upon exercise of incentive stock options, and to the number of shares subject to, and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exercise or purchase price of, each outstanding award, in each case in accordance with the terms of the 2023 Plan. Corresponding proportionate adjustments will be made under the ESPP, the Legacy Plans and the outstanding inducement awards, in each case in accordance with their respective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that is automatically added to the share reserve under the 2023 Plan on January 1 of each year, which is calculated by reference to a percentage of the total number of shares of Common Stock outstanding on December 31 of the preceding year, will be calculated based on the post-split number of shares outstanding for periods following the split 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under the equity incentive plans in connection with the Reverse Stock Split. Any fractional share resulting from an adjustment to an outstanding award will be treated in accordance with the terms of the applicable plan and award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Risks Associated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risks associated with effecting the Reverse Stock Split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Reverse Stock Split is effected and the market price of the Common Stock declines, the percentage decline may be greater than would occur in the absence of a Reverse Stock Split. We expect that the market price of the Common Stock will, however, also be based on performance and other factors, which are unrelated to the number of shares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the Reverse Stock Split will result in any particular price for the Common Stock. As a result, the trading liquidity of the Common Stock may not necessarily improve, and may decline. A reduction in the number of shares outstanding may reduce the trading volume of the Common Stock and may make it more difficult for stockholders to sell their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Reducing the number of outstanding shares of our Common Stock through the Reverse Stock Split is intended, absent other factors, to increase the per share trading price of our Common Stock. However, other factors, such as our financial results, market conditions and the market perception of our business, may adversely affect the per share trading price of our Common Stock. As a result, there can be no assurance that the Reverse Stock Split, if completed, would result in the intended benefits described above, that the per share trading price of our Common Stock would result in a sustained increase following the Reverse Stock Split, or that the per share trading price of our Common Stock would not decrease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the market price per share of the Common Stock after the Reverse Stock Split will increase in proportion to the reduction in the number of shares of the Common Stock outstanding before the Reverse Stock Split. Accordingly, the total market capitalization of the Common Stock after the Reverse Stock Split may be lower than the total market capitalization before the Reverse Stock Split. Moreover, in the future, the market price of the Common Stock following the Reverse Stock Split may not exceed or remain higher than the market price prior to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can be no assurance that we will be able to regain or maintain compliance with the Bid Price Rule or satisfy the other continued listing standards of Nasdaq, and the Reverse Stock Split may not prevent a delisting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number of issued and outstanding shares of Common Stock would decrease as a result of the Reverse Stock Split while the number of authorized shares of Common Stock would remain unchanged, the number of authorized but unissued shares of Common Stock will increase substantially on a relative basis. If the Company issues additional shares of Common Stock, then the ownership interest of the Company’s current stockholders would be diluted, possibly substantially. The Company has a number of outstanding arrangements, including Convertible Notes, warrants, equity purchase facilities and acquisition earn-out obligations, under which additional shares of Common Stock may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proportion of unissued authorized shares to issued shares could, under certain circumstances, have an anti-takeover effect. For example, the issuance of a large block of Common Stock could dilute the stock ownership of a person seeking to effect a change in the composition of the Board of Directors or contemplating a tender offer or other transaction for the combination of the Company with another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Reverse Stock Split may result in some stockholders owning “odd lots” of less than one hundred (100) shares of Common Stock. Odd lot shares may be more difficult to sell, and brokerage commissions and other costs of transactions in odd lots are generally somewhat higher than the costs of transactions in “round lots” of even multiples of 100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Reverse Stock Split may increase the number of stockholders who own odd lots and, together with the rounding up of fractional shares, may result in a de minimis change to the relative ownership of individual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intends to effect the Reverse Stock Split only if it believes that a decrease in the number of shares is likely to improve the trading price of the Common Stock and if the implementation of the Reverse Stock Split is determined by the Board of Directors to be in the best interests of the Company and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 for Effecting the Reverse Stock Split and Exchange of Stock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Reverse Stock Split Amendment is attached hereto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If the Company’s stockholders approve the Reverse Stock Split and if our Board of Directors still believes that the Reverse Stock Split is in the best interests of the Company, the Board of Directors will determine and fix the reverse stock split ratio out of the range approved by the Company’s stockholders and the split effective time, and the Company will file the Reverse Stock Split Amendment with the Delaware Secretary of State. The Board of Directors may delay effecting, or choose not to pursue, the Reverse Stock Split in its discretion without resoliciting stockholder approval.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Beneficial Owners of Shares of Common Stock Held in Street Name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implementation of the Reverse Stock Split, we intend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and for the treatment of fractional shares. If a stockholder holds shares of our Common Stock with a bank, broker, custodian or other nominee and has any questions in this regard, stockholders are encouraged to contact their bank, broker, custodian or other nominee.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Registered Holders of Book Entry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registered holders of Common Stock hold some or all of their shares electronically in book-entry form with our transfer agent, Continental Stock Transfer &amp; Trust Company. These stockholders do not hold physical stock certificates evidencing their ownership of our Common Stock. However, they are provided with a statement reflecting the number of shares of our Common Stock registered in their accounts. If a stockholder holds registered shares in book-entry form with our transfer agent, no action needs to be taken to receive post-Reverse Stock Split shares. If a stockholder is entitled to post-Reverse Stock Split shares, a transaction statement will automatically be sent to the stockholder’s address of record indicating the number of shares of our Common Stock held following the Reverse Stock Split.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Registered Holders of Certificated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of record at the time of the Reverse Stock Split who hold shares of Common Stock in certificated form will be sent a transmittal letter by the Company’s transfer agent, Continental Stock Transfer &amp; Trust Company, after the split effective time that will contain the necessary materials and instructions on how stockholders should surrender their certificates, if any, representing shares of our Common Stock to the transfer agent. </w:t>
      </w:r>
      <w:r>
        <w:rPr>
          <w:rFonts w:ascii="Times New Roman PS Std;serif" w:hAnsi="Times New Roman PS Std;serif"/>
          <w:b/>
          <w:i w:val="false"/>
          <w:caps w:val="false"/>
          <w:smallCaps w:val="false"/>
          <w:sz w:val="20"/>
        </w:rPr>
        <w:t>Stockholders should not destroy any stock certificate and should not submit any stock certificate until requested to do so.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the closing price of the Common Stock on the Nasdaq Global Market on the last trading day immediately preceding the split effective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Except for the right to receive the cash payment in lieu of fractional shares, stockholders will not have any voting, dividend or other rights with respect to the fractional shares they otherwise would be entitled to receive as a result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note that the cash payment in lieu of fractional shares is not a voluntary transaction on the part of the stockholder. The receipt of cash in lieu of fractional shares may result in a taxable transaction to the stockholders. See “Certain U.S. Federal Tax Consequences of the Reverse Stock Split” below for a discussion of the U.S. federal income tax consequences of the receipt of cash in lieu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approximately 320,300,345 stockholders of record of the Common Stock. Upon stockholder approval of the Reverse Stock Split Amendment, if the Board elects to implement the Reverse Stock Split Amendment, the Company does not expect that cashing out fractional stockholders would significantly reduce the number of stockholders of record. Reducing the number of post-split stockholders is not the purpose of this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be aware that, under the escheat laws of the various jurisdictions where stockholders may reside, where the Company is domiciled, and where the funds are deposited, sums due for fractional interests that are not timely claimed after the split effective time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awards granted under the Equity Plans, the number of shares of Common Stock issuable thereunder will be rounded down to the nearest whole share of Common Stock, in order to comply with the requirements of the Code (as defined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Dissenters’ or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are not entitled to dissenters’ or appraisal rights with respect to the Reverse Stock Split or the Reverse Stock Split Amendment, and the Company will not independently provide stockholders with any such right.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not affect the par value of a share of the Common Stock, and the par value per share of our Common Stock will remain unchanged at $0.0001. As a result, as of the split effective time, the stated capital attributable to Common Stock on the Company’s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and all share and per share amounts for prior periods presented in our financial statements will be retroactively restated to reflect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increased proportion of unissued authorized shares to issued shares could, under certain circumstances, have an anti-takeover effect — for example, by permitting issuances that would dilute the stock ownership of a person seeking to effect a change in the composition of the Board of Directors or contemplating a tender offer or other transaction for the combination of the Company with another company — the Reverse Stock Split proposal is not being proposed in response to any effort of which the Company is aware to accumulate shares of Common Stock or obtain control of the Company, nor is it part of a plan by management to recommend a series of similar amendments to the Board of Directors and stockholders. Other than the proposals being submitted to the Company’s stockholders for their consideration at the Annual Meeting, the Board of Directors does not currently contemplate recommending the adoption of any other actions that could be construed to affect the ability of third parties to take over or change control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Governing Documents contain other provisions that may have an anti-takeover effect, including the authorization of blank-check preferred stock, provisions specifying that the authorized number of directors may be changed only by resolution of the Board of Directors, provisions specifying that vacancies may be filled only by the affirmative vote of a majority of directors then in office, advance notice requirements for stockholder proposals and director nominations,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limitations on the persons who may call a special meeting of stockholders, the absence of cumulative voting, and provisions in the Certificate of Incorporation restricting business combinations with interested stockholders that are similar to Section 203 of the DGCL (from which the Company has opted out).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Going Private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decrease in the number of outstanding shares following the Reverse Stock Split, the Board of Directors does not intend for this transaction to be the first step in a series of plans or proposals of a “going private transaction” within the meaning of Rule 13e-3 of the Exchange Act. Because fractional shares will be rounded up to whole shares rather than cashed out, the Reverse Stock Split is not expected to reduce the number of holders of record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have no substantial interests, directly or indirectly, in the matters set forth in this Proposal No. 2, except to the extent of their ownership in shares of our Common Stock and securities convertible into or exercisable for Common Stock. See “</w:t>
      </w:r>
      <w:r>
        <w:rPr>
          <w:rFonts w:ascii="Times New Roman PS Std;serif" w:hAnsi="Times New Roman PS Std;serif"/>
          <w:b w:val="false"/>
          <w:i/>
          <w:caps w:val="false"/>
          <w:smallCaps w:val="false"/>
          <w:sz w:val="20"/>
        </w:rPr>
        <w:t>Security Ownership of Certain Beneficial Owners and Management</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U.S. Federal Income Tax Consequences of the Reverse Stock Split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certain U.S. federal income tax consequences of the Reverse Stock Split to U.S. holders (as defined below) of Common Stock. This discussion is based upon the provisions of the U.S. Internal Revenue Code of 1986, as amended (the “</w:t>
      </w:r>
      <w:r>
        <w:rPr>
          <w:rFonts w:ascii="Times New Roman PS Std;serif" w:hAnsi="Times New Roman PS Std;serif"/>
          <w:b/>
          <w:i/>
          <w:caps w:val="false"/>
          <w:smallCaps w:val="false"/>
          <w:sz w:val="20"/>
        </w:rPr>
        <w:t>Code</w:t>
      </w:r>
      <w:r>
        <w:rPr>
          <w:rFonts w:ascii="Times New Roman PS Std;serif" w:hAnsi="Times New Roman PS Std;serif"/>
          <w:b w:val="false"/>
          <w:i w:val="false"/>
          <w:caps w:val="false"/>
          <w:smallCaps w:val="false"/>
          <w:sz w:val="20"/>
        </w:rPr>
        <w:t>”), the U.S. Department of the Treasury regulations promulgated thereunder (the “</w:t>
      </w:r>
      <w:r>
        <w:rPr>
          <w:rFonts w:ascii="Times New Roman PS Std;serif" w:hAnsi="Times New Roman PS Std;serif"/>
          <w:b/>
          <w:i/>
          <w:caps w:val="false"/>
          <w:smallCaps w:val="false"/>
          <w:sz w:val="20"/>
        </w:rPr>
        <w:t>Regulations</w:t>
      </w:r>
      <w:r>
        <w:rPr>
          <w:rFonts w:ascii="Times New Roman PS Std;serif" w:hAnsi="Times New Roman PS Std;serif"/>
          <w:b w:val="false"/>
          <w:i w:val="false"/>
          <w:caps w:val="false"/>
          <w:smallCaps w:val="false"/>
          <w:sz w:val="20"/>
        </w:rPr>
        <w:t>”), and judicial and administrative authorities, rulings, and decisions, all as in effect as of the date of this Proxy Statement. These authorities may change, possibly with retroactive effect, and any such change could affect the accuracy of the statements and conclusions set forth in this discussion. This discussion is not a complete description of all of the tax consequences of the Reverse Stock Split and, in particular, does not address any tax consequences arising under the laws of any U.S. state, local, or non-U.S. jurisdiction, or under any U.S. federal laws other than those pertaining to the income tax. This discussion does not address the Medicare contribution tax on net investment income. We have not sought and will not seek any rulings from the Internal Revenue Service (the “</w:t>
      </w:r>
      <w:r>
        <w:rPr>
          <w:rFonts w:ascii="Times New Roman PS Std;serif" w:hAnsi="Times New Roman PS Std;serif"/>
          <w:b/>
          <w:i/>
          <w:caps w:val="false"/>
          <w:smallCaps w:val="false"/>
          <w:sz w:val="20"/>
        </w:rPr>
        <w:t>IRS</w:t>
      </w:r>
      <w:r>
        <w:rPr>
          <w:rFonts w:ascii="Times New Roman PS Std;serif" w:hAnsi="Times New Roman PS Std;serif"/>
          <w:b w:val="false"/>
          <w:i w:val="false"/>
          <w:caps w:val="false"/>
          <w:smallCaps w:val="false"/>
          <w:sz w:val="20"/>
        </w:rPr>
        <w:t>”) regarding the matters discussed below. No opinion of counsel regarding such matters will be obtained. There can be no assurance that the IRS or a court will agree with the conclusions set forth in this discussion.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the term “</w:t>
      </w:r>
      <w:r>
        <w:rPr>
          <w:rFonts w:ascii="Times New Roman PS Std;serif" w:hAnsi="Times New Roman PS Std;serif"/>
          <w:b/>
          <w:i/>
          <w:caps w:val="false"/>
          <w:smallCaps w:val="false"/>
          <w:sz w:val="20"/>
        </w:rPr>
        <w:t>U.S. holder</w:t>
      </w:r>
      <w:r>
        <w:rPr>
          <w:rFonts w:ascii="Times New Roman PS Std;serif" w:hAnsi="Times New Roman PS Std;serif"/>
          <w:b w:val="false"/>
          <w:i w:val="false"/>
          <w:caps w:val="false"/>
          <w:smallCaps w:val="false"/>
          <w:sz w:val="20"/>
        </w:rPr>
        <w:t>” means a beneficial owner of shares of Common Stock that is, for U.S. federal income tax purposes, (i) an individual who is a citizen or resident of the United States; (ii) a corporation, or other entity treated as a corporation for U.S. federal income tax purposes, created or organized in or under the laws of the United States, any state thereof, or the District of Columbia; (iii) a trust if (a) a court within the United States is able to exercise primary supervision over its administration and one or more “United States persons” as defined in the Code have the authority to control all of its substantial decisions or (b) the trust was in existence on August 20, 1996, and has made a valid election under applicable Regulations to be treated as a U.S. trust; or (iv) an estate whose income is subject to U.S. federal income taxation regardless of its source.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applies only to U.S. holders of the Company’s Common Stock who hold such shares as a capital assets within the meaning of Section 1221 of the Code (generally, property held for investment). Further, this discussion does not purport to consider all aspects of U.S. federal income taxation that might be relevant to U.S. holders in light of their particular circumstances and does not apply to U.S. holders subject to special treatment under the U.S. federal income tax laws (e.g., dealers or brokers in securities, commodities or foreign currencies; traders in securities that elect to apply a mark-to-market method of accounting; banks and certain other financial institutions; insurance companies; mutual funds; tax-exempt organizations; holders subject to special tax accounting rules under Section 451(b) of the Code; holders subject to the alternative minimum tax provisions of the Code; partnerships (including entities or arrangements treated as partnerships for U.S. federal income tax purposes), S corporations or other pass-through entities, regulated investment companies, real estate investment trusts, controlled foreign corporations, passive foreign investment companies, or investors in any of the foregoing; holders whose functional currency is not the U.S. dollar; holders of SunPower equity awards, including SunPower restricted stock units, stock options, and other forms of compensation; holders who hold Common Stock as part of a hedge, straddle, constructive sale or conversion transaction or other integrated investment; holders who acquire Common Stock pursuant to the exercise of employee stock options, through a tax-qualified retirement plan or otherwise as compensation; and holders who actually or constructively own 5% or more of the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or arrangement treated as a partnership for U.S. federal income tax purposes holds Common Stock, the U.S. federal income tax treatment of a partner in such partnership generally will depend on the status of the partner, the activities of the partnership, and certain determinations made at the partnership level. Any such entity or arrangement and its partners are urged to consult their own tax advisors regarding the tax consequences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is intended to be treated as a tax-free “recapitalization” for U.S. federal income tax purposes pursuant to Section 368(a)(1)(E) of the Code. Accordingly, assuming the Reverse Stock Split qualifies as a recapitalization, a U.S. holder generally should not recognize gain or loss upon the Reverse Stock Split, except with respect to cash received in lieu of a fractional share, as discussed below. A U.S. holder’s aggregate adjusted tax basis in the shares of Common Stock received pursuant to the Reverse Stock Split should equal the aggregate adjusted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The Regulations provide detailed rules for allocating the tax basis and holding period of the shares of Common Stock surrendered to the shares of Common Stock received pursuant to the Reverse Stock Split. U.S. holders of shares of Common Stock acquired on different dates and at different prices are urged to consult their tax advisors regarding the allocation of the tax basis and holding period of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receives cash in lieu of a fractional share pursuant to the Reverse Stock Split generally should recognize capital gain or loss in an amount equal to the difference, if any, between the amount of cash received and the portion of the U.S. holder’s aggregate adjusted tax basis in the shares of Common Stock surrendered that is allocated to such fractional share. Such capital gain or loss generally should be long term if such pre-reverse split shares were held for more than one year. Long-term capital gains recognized by non-corporate U.S. holders may be eligible to be taxed at reduced rates. The deductibility of capital losses is subject to limitations.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of Common Stock may be subject to information reporting and backup withholding on cash paid in lieu of a fractional share in connection with the Reverse Stock Split. A U.S. holder of Common Stock generally will be subject to backup withholding if such U.S. holder is not otherwise exempt and such U.S.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a U.S. holder’s U.S. federal income tax liability, if any, provided the required information is timely furnished to the IRS.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Determining the actual tax consequences of the Reverse Stock Split to a U.S. holder may be complex and will depend on such holder’s particular circumstances and on factors that are not within the Company’s control. </w:t>
      </w:r>
      <w:r>
        <w:rPr>
          <w:rFonts w:ascii="Times New Roman PS Std;serif" w:hAnsi="Times New Roman PS Std;serif"/>
          <w:b/>
          <w:i w:val="false"/>
          <w:caps w:val="false"/>
          <w:smallCaps w:val="false"/>
          <w:sz w:val="20"/>
        </w:rPr>
        <w:t>THIS DISCUSSION IS FOR INFORMATIONAL PURPOSES ONLY AND IS NOT TAX ADVICE. EACH U.S. HOLDER IS URGED TO CONSULT ITS OWN TAX ADVISOR REGARDING THE SPECIFIC TAX CONSEQUENCES OF THE REVERSE STOCK SPLIT IN ITS PARTICULAR CIRCUMSTANCES, INCLUDING THE APPLICABILITY AND EFFECT OF THE ALTERNATIVE MINIMUM TAX AND ANY U.S. STATE, LOCAL, NON-U.S., AND OTHER TAX LAWS, AS WELL AS ANY CHANGES IN THOSE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approved by the stockholders, this Proposal No. 2 requires the affirmative vote of a majority of the votes cast on this proposal in accordance with Section 242(d)(2) of the DGCL. You may vote “For,” “Against” or “Abstain” on this proposal. Abstentions are not votes cast on this proposal and will have no effect on this proposal, and broker non-votes, if any, will have no effect on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true"/>
              <w:widowControl/>
              <w:pBdr/>
              <w:bidi w:val="0"/>
              <w:spacing w:before="120" w:after="12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THAT THE STOCKHOLDERS VOTE “FOR” THE APPROVAL OF THE AMENDMENT OF THE CERTIFICATE OF INCORPORATION TO EFFECT A REVERSE STOCK SPLIT OF THE COMPANY’S ISSUED AND OUTSTANDING SHARES OF COMMON STOCK, AT A RATIO RANGING FROM 1-FOR-5 TO 1-FOR-35, WITH THE EXACT RATIO TO BE SET WITHIN THAT RANGE AT THE DISCRETION OF OUR BOARD OF DIRECTORS, PRIOR TO DECEMBER 31, 2026, WITHOUT FURTHER APPROVAL OR AUTHORIZATION OF OUR STOCKHOLDERS.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707"/>
      <w:bookmarkEnd w:id="9"/>
      <w:r>
        <w:rPr>
          <w:rFonts w:ascii="Times New Roman PS Std;serif" w:hAnsi="Times New Roman PS Std;serif"/>
          <w:b/>
          <w:i w:val="false"/>
          <w:caps w:val="false"/>
          <w:smallCaps w:val="false"/>
          <w:sz w:val="20"/>
        </w:rPr>
        <w:t xml:space="preserve">INDEPENDENT REGISTERED PUBLIC ACCOUNTING FIRM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Transition from Deloitte to BDO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2024, we notified Deloitte &amp; Touche LLP (“</w:t>
      </w:r>
      <w:r>
        <w:rPr>
          <w:rFonts w:ascii="Times New Roman PS Std;serif" w:hAnsi="Times New Roman PS Std;serif"/>
          <w:b/>
          <w:i/>
          <w:caps w:val="false"/>
          <w:smallCaps w:val="false"/>
          <w:sz w:val="20"/>
        </w:rPr>
        <w:t>Deloitte</w:t>
      </w:r>
      <w:r>
        <w:rPr>
          <w:rFonts w:ascii="Times New Roman PS Std;serif" w:hAnsi="Times New Roman PS Std;serif"/>
          <w:b w:val="false"/>
          <w:i w:val="false"/>
          <w:caps w:val="false"/>
          <w:smallCaps w:val="false"/>
          <w:sz w:val="20"/>
        </w:rPr>
        <w:t>”) of its dismissal, effective as of the same day, as our independent registered public accounting firm. Deloitte served as our independent registered public accounting firm since the closing of the Business Combination. The decision to change the independent public accounting firm was approved by our 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2022 and 2023 and the subsequent interim period through July 31, 2024, there were no: (1) disagreements with Deloitte within the meaning of Item 304(a)(1)(iv) of Regulation S-K on any matter of accounting principles or practices, financial statement disclosure, or auditing scope or procedures, which disagreements, if not resolved to Deloitte’s satisfaction, would have caused them to make reference in connection with their opinion to the subject matter of the disagreement, or (2) reportable events under Item 304(a)(1)(v) of Regulation S-K and the related instructions thereto, except with respect to the material weaknesses as described below and in Item 9A of our Annual Report on Form 10-K for the fiscal year ended December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in our Annual Report on Form 10-K for fiscal 2023, we determined that material weaknesses in our internal control over financial reporting existed because (a) we did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and (b) with respect to inventory controls related to the completeness, existence, and cut-off of the inventories held at third parties, and controls related to the calculation of adjustments to inventory for items considered excessive and obsolete. Additionally, we did not adequately design and/or implement controls related to conducting a formal risk assessment process.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reports of Deloitte on our consolidated financial statements as of and for the years ended December 31, 2022 and 2023 did not contain an adverse opinion or a disclaimer of opinion, and were not qualified or modified as to uncertainty, audit scope or accounting principles, except that there was an explanatory paragraph describing conditions that raised substantial doubt about our ability to continue as a going concern in Deloitte’s audit opinions dated April 6, 2023 and April 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provided Deloitte with a copy of the auditor change disclosures prior to filing them with the SEC in our Current Report on Form 8-K on August 1, 2024 (the “</w:t>
      </w:r>
      <w:r>
        <w:rPr>
          <w:rFonts w:ascii="Times New Roman PS Std;serif" w:hAnsi="Times New Roman PS Std;serif"/>
          <w:b/>
          <w:i/>
          <w:caps w:val="false"/>
          <w:smallCaps w:val="false"/>
          <w:sz w:val="20"/>
        </w:rPr>
        <w:t>Form 8-K</w:t>
      </w:r>
      <w:r>
        <w:rPr>
          <w:rFonts w:ascii="Times New Roman PS Std;serif" w:hAnsi="Times New Roman PS Std;serif"/>
          <w:b w:val="false"/>
          <w:i w:val="false"/>
          <w:caps w:val="false"/>
          <w:smallCaps w:val="false"/>
          <w:sz w:val="20"/>
        </w:rPr>
        <w:t>”) and requested that Deloitte furnish a letter addressed to the SEC stating whether or not it agreed with the statements made in the Form 8-K, as specified by Item 304(a)(3) of Regulation S-K. A copy of Deloitte’s letter dated August 1, 2024 was filed as Exhibit 16.1 to the Form 8-K.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2024, following the dismissal of Deloitte, the Audit Committee, after a competitive process to review the appointment of the Company’s independent registered public accounting firm, approved the engagement of BDO USA, P.C. (“</w:t>
      </w:r>
      <w:r>
        <w:rPr>
          <w:rFonts w:ascii="Times New Roman PS Std;serif" w:hAnsi="Times New Roman PS Std;serif"/>
          <w:b/>
          <w:i/>
          <w:caps w:val="false"/>
          <w:smallCaps w:val="false"/>
          <w:sz w:val="20"/>
        </w:rPr>
        <w:t>BDO</w:t>
      </w:r>
      <w:r>
        <w:rPr>
          <w:rFonts w:ascii="Times New Roman PS Std;serif" w:hAnsi="Times New Roman PS Std;serif"/>
          <w:b w:val="false"/>
          <w:i w:val="false"/>
          <w:caps w:val="false"/>
          <w:smallCaps w:val="false"/>
          <w:sz w:val="20"/>
        </w:rPr>
        <w:t>”) as the Company’s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our fiscal years ended December 31, 2022 and 2023 and through July 31, 2024, neither the Company, nor anyone on its behalf, consulted BDO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Accountant Fees and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for professional audit services and other services billed by BDO, our independent registered public accounting firm, for fiscal years 2025 and 2024. All of the services described in the following fee table were approved by the Audit Committee.</w:t>
      </w:r>
    </w:p>
    <w:tbl>
      <w:tblPr>
        <w:tblW w:w="5843" w:type="dxa"/>
        <w:jc w:val="left"/>
        <w:tblInd w:w="0" w:type="dxa"/>
        <w:tblLayout w:type="fixed"/>
        <w:tblCellMar>
          <w:top w:w="0" w:type="dxa"/>
          <w:left w:w="0" w:type="dxa"/>
          <w:bottom w:w="0" w:type="dxa"/>
          <w:right w:w="0" w:type="dxa"/>
        </w:tblCellMar>
      </w:tblPr>
      <w:tblGrid>
        <w:gridCol w:w="2236"/>
        <w:gridCol w:w="146"/>
        <w:gridCol w:w="454"/>
        <w:gridCol w:w="1181"/>
        <w:gridCol w:w="146"/>
        <w:gridCol w:w="447"/>
        <w:gridCol w:w="1233"/>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28, </w:t>
              <w:br/>
              <w:t>2025</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29, </w:t>
              <w:br/>
              <w:t>2024</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(in thousands)</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w:t>
            </w:r>
          </w:p>
        </w:tc>
        <w:tc>
          <w:tcPr>
            <w:tcW w:w="146"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r>
      <w:tr>
        <w:trPr/>
        <w:tc>
          <w:tcPr>
            <w:tcW w:w="2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Fees(2)</w:t>
            </w:r>
          </w:p>
        </w:tc>
        <w:tc>
          <w:tcPr>
            <w:tcW w:w="146" w:type="dxa"/>
            <w:tcBorders/>
            <w:vAlign w:val="center"/>
          </w:tcPr>
          <w:p>
            <w:pPr>
              <w:pStyle w:val="TableContents"/>
              <w:bidi w:val="0"/>
              <w:spacing w:before="0" w:after="283"/>
              <w:jc w:val="left"/>
              <w:rPr/>
            </w:pPr>
            <w:r>
              <w:rPr/>
              <w:t> </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4,621</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Fees(3)</w:t>
            </w:r>
          </w:p>
        </w:tc>
        <w:tc>
          <w:tcPr>
            <w:tcW w:w="14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146"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44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shd w:fill="CCEEFF" w:val="clear"/>
            <w:vAlign w:val="center"/>
          </w:tcPr>
          <w:p>
            <w:pPr>
              <w:pStyle w:val="TableContents"/>
              <w:bidi w:val="0"/>
              <w:spacing w:before="0" w:after="283"/>
              <w:jc w:val="left"/>
              <w:rPr/>
            </w:pPr>
            <w:r>
              <w:rPr/>
              <w:t> </w:t>
            </w:r>
          </w:p>
        </w:tc>
        <w:tc>
          <w:tcPr>
            <w:tcW w:w="454"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3,264</w:t>
            </w:r>
          </w:p>
        </w:tc>
        <w:tc>
          <w:tcPr>
            <w:tcW w:w="146" w:type="dxa"/>
            <w:tcBorders/>
            <w:shd w:fill="CCEEFF" w:val="clear"/>
            <w:vAlign w:val="center"/>
          </w:tcPr>
          <w:p>
            <w:pPr>
              <w:pStyle w:val="TableContents"/>
              <w:bidi w:val="0"/>
              <w:spacing w:before="0" w:after="283"/>
              <w:jc w:val="left"/>
              <w:rPr/>
            </w:pPr>
            <w:r>
              <w:rPr/>
              <w:t> </w:t>
            </w:r>
          </w:p>
        </w:tc>
        <w:tc>
          <w:tcPr>
            <w:tcW w:w="44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7,222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caps w:val="false"/>
          <w:smallCaps w:val="false"/>
          <w:sz w:val="18"/>
        </w:rPr>
        <w:t>Audit Fees</w:t>
      </w:r>
      <w:r>
        <w:rPr>
          <w:rFonts w:ascii="Times New Roman PS Std;serif" w:hAnsi="Times New Roman PS Std;serif"/>
          <w:b w:val="false"/>
          <w:i w:val="false"/>
          <w:caps w:val="false"/>
          <w:smallCaps w:val="false"/>
          <w:sz w:val="18"/>
        </w:rPr>
        <w:t> — This category includes the audit of our annual financial statements, the audit of our internal control over financial reporting, if applicable, the review of our financial statements included in our Quarterly Reports on Form 10-Q,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t>
      </w:r>
      <w:r>
        <w:rPr>
          <w:rFonts w:ascii="Times New Roman PS Std;serif" w:hAnsi="Times New Roman PS Std;serif"/>
          <w:b w:val="false"/>
          <w:i/>
          <w:caps w:val="false"/>
          <w:smallCaps w:val="false"/>
          <w:sz w:val="18"/>
        </w:rPr>
        <w:t>Audit-Related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Fees</w:t>
      </w:r>
      <w:r>
        <w:rPr>
          <w:rFonts w:ascii="Times New Roman PS Std;serif" w:hAnsi="Times New Roman PS Std;serif"/>
          <w:b w:val="false"/>
          <w:i w:val="false"/>
          <w:caps w:val="false"/>
          <w:smallCaps w:val="false"/>
          <w:sz w:val="18"/>
        </w:rPr>
        <w:t> — This category generally consists of assurance and related services, such as due diligence related to acquisition, business combination and finance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t>
      </w:r>
      <w:r>
        <w:rPr>
          <w:rFonts w:ascii="Times New Roman PS Std;serif" w:hAnsi="Times New Roman PS Std;serif"/>
          <w:b w:val="false"/>
          <w:i/>
          <w:caps w:val="false"/>
          <w:smallCaps w:val="false"/>
          <w:sz w:val="18"/>
        </w:rPr>
        <w:t>Tax Fees</w:t>
      </w:r>
      <w:r>
        <w:rPr>
          <w:rFonts w:ascii="Times New Roman PS Std;serif" w:hAnsi="Times New Roman PS Std;serif"/>
          <w:b w:val="false"/>
          <w:i w:val="false"/>
          <w:caps w:val="false"/>
          <w:smallCaps w:val="false"/>
          <w:sz w:val="18"/>
        </w:rPr>
        <w:t> — This category consists of services for tax compliance, tax advice, and tax planning.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Pre-Approval Policies and Procedures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has procedures in place for the pre-approval of all audit services, audit-related services, tax services, and other services rendered by our independent registered public accounting firm. Our Audit Committee generally pre-approves specified services in the defined categories of audit services, audit-related services and tax services up to specified amounts. Pre-approval may also be given as part of our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Audit Committee has determined that the rendering of services other than audit services by our independent registered public accounting firm is compatible with maintaining the principal accountant’s independence.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708"/>
      <w:bookmarkEnd w:id="10"/>
      <w:r>
        <w:rPr>
          <w:rFonts w:ascii="Times New Roman PS Std;serif" w:hAnsi="Times New Roman PS Std;serif"/>
          <w:b/>
          <w:i w:val="false"/>
          <w:caps w:val="false"/>
          <w:smallCaps w:val="false"/>
          <w:sz w:val="20"/>
        </w:rPr>
        <w:t>PROPOSAL NO. 3 — RATIFICATION OF SELECTION OF INDEPENDENT REGISTERED PUBLIC ACCOUNTING FIRM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appointed BDO USA, P.C. as our independent registered public accounting firm for the 2026 fiscal year. After consideration of BDO’s qualifications and past performance, the Audit Committee has selected, and the Board of Directors has ratified the selection of, BDO as our independent registered public accounting firm for the fiscal year ending January 3, 2027. The Board of Directors has directed that management submit the selection of BDO for ratification by our stockholders at the Annual Meeting. Representatives of BDO are expected to be present at the Annual Meeting. They will have an opportunity to make a statement if they so desire and will be available to respond to appropriate questions.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our Bylaws nor other governing documents or law requires stockholder ratification of the selection of BDO as our independent registered public accounting firm. However, the Audit Committee is submitting the selection of BDO to our stockholders for ratification as a matter of good corporate practice. If our stockholders fail to ratify the selection, the Audit Committee will reconsider whether or not to retain BDO. Even if the selection is ratified, the Audit Committee or the Board of Directors, in their discretion, may direct the appointment of different independent auditors at any time during our fiscal year if they determine that such a change would be in the best interests of SunPower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the holders of a majority of shares present by virtual attendance or represented by proxy and entitled to vote on the matter at the Annual Meeting will be required to ratify the selection of BDO as our independent registered public accounting firm. If you “Abstain” from voting, it will have the same effect as an “Against” vote. This proposal is considered a “routine” matter on which brokers may exercise discretionary authority in the absence of timely instructions from their customers and, accordingly, we do not expect broker non-votes to exist with respect to this proposal.</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“FOR” THE RATIFICATION OF THE SELECTION OF BDO USA, P.C. AS OUR INDEPENDENT REGISTERED PUBLIC ACCOUNTING FIRM FOR THE FISCAL YEAR ENDING JANUARY 3, 2027.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709"/>
      <w:bookmarkEnd w:id="11"/>
      <w:r>
        <w:rPr>
          <w:rFonts w:ascii="Times New Roman PS Std;serif" w:hAnsi="Times New Roman PS Std;serif"/>
          <w:b/>
          <w:i w:val="false"/>
          <w:caps w:val="false"/>
          <w:smallCaps w:val="false"/>
          <w:sz w:val="20"/>
        </w:rPr>
        <w:t xml:space="preserve">REPORT OF THE AUDIT COMMITTEE OF THE BOARD OF DIRECTORS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a committee of the Board of Directors comprised solely of independent directors as required by the listing standards of The Nasdaq Stock Market LLC and the rules and regulations of the SEC. The composition of the Audit Committee, the attributes of its members and the responsibilities of the Audit Committee, as reflected in its charter, are intended to be in accordance with applicable requirements for corporate audit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SunPower’s financial reporting process, its management is responsible for establishing and maintaining internal controls and preparing its financial statements. SunPower’s independent registered public accounting firm is responsible for performing an independent audit of SunPower’s financial statements. It is the responsibility of the Audit Committee to oversee these activities. It is not the responsibility of the Audit Committee to prepare financial statements. These are the fundamental responsibilities of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performance of its oversight function, the Audit Committee has reviewed and discussed the audited financial statements for the fiscal year ended December 28, 2025 with management and BDO USA, P.C. (“</w:t>
      </w:r>
      <w:r>
        <w:rPr>
          <w:rFonts w:ascii="Times New Roman PS Std;serif" w:hAnsi="Times New Roman PS Std;serif"/>
          <w:b/>
          <w:i/>
          <w:caps w:val="false"/>
          <w:smallCaps w:val="false"/>
          <w:sz w:val="20"/>
        </w:rPr>
        <w:t>BDO</w:t>
      </w:r>
      <w:r>
        <w:rPr>
          <w:rFonts w:ascii="Times New Roman PS Std;serif" w:hAnsi="Times New Roman PS Std;serif"/>
          <w:b w:val="false"/>
          <w:i w:val="false"/>
          <w:caps w:val="false"/>
          <w:smallCaps w:val="false"/>
          <w:sz w:val="20"/>
        </w:rPr>
        <w:t>”). The Audit Committee has discussed with BDO the matters required to be discussed by the applicable requirements of the Public Company Accounting Oversight Board (the “</w:t>
      </w:r>
      <w:r>
        <w:rPr>
          <w:rFonts w:ascii="Times New Roman PS Std;serif" w:hAnsi="Times New Roman PS Std;serif"/>
          <w:b/>
          <w:i/>
          <w:caps w:val="false"/>
          <w:smallCaps w:val="false"/>
          <w:sz w:val="20"/>
        </w:rPr>
        <w:t>PCAOB</w:t>
      </w:r>
      <w:r>
        <w:rPr>
          <w:rFonts w:ascii="Times New Roman PS Std;serif" w:hAnsi="Times New Roman PS Std;serif"/>
          <w:b w:val="false"/>
          <w:i w:val="false"/>
          <w:caps w:val="false"/>
          <w:smallCaps w:val="false"/>
          <w:sz w:val="20"/>
        </w:rPr>
        <w:t>”) and the SEC. The Audit Committee has also received the written disclosures and the letter from BDO required by the applicable requirements of the PCAOB regarding BDO’s communications with the Audit Committee concerning independence and has discussed with BDO its independence. Based on the foregoing, the Audit Committee has recommended to the Board of Directors that the audited financial statements be included in SunPower’s Annual Report on Form 10-K for the fiscal year ended December 28, 2025 for filing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Respectfully submitted by the members of the Audit Committee of the Board of Directors: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Ronald Pasek (Chairperson)</w:t>
        <w:br/>
        <w:t>Adam Gishen</w:t>
        <w:br/>
        <w:t>Lothar Maier</w:t>
        <w:br/>
        <w:t>Bernard Gutmann</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report of the Audit Committee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of 1933 or the Securities Exchange Act of 1934.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710"/>
      <w:bookmarkEnd w:id="12"/>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Authorized for Issuance under Equity Compensation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certain information with respect to our 2023 Plan, outstanding inducement grants, the ESPP and our Legacy Plans as of December 28, 2025.</w:t>
      </w:r>
    </w:p>
    <w:tbl>
      <w:tblPr>
        <w:tblW w:w="10205" w:type="dxa"/>
        <w:jc w:val="left"/>
        <w:tblInd w:w="0" w:type="dxa"/>
        <w:tblLayout w:type="fixed"/>
        <w:tblCellMar>
          <w:top w:w="0" w:type="dxa"/>
          <w:left w:w="0" w:type="dxa"/>
          <w:bottom w:w="0" w:type="dxa"/>
          <w:right w:w="0" w:type="dxa"/>
        </w:tblCellMar>
      </w:tblPr>
      <w:tblGrid>
        <w:gridCol w:w="3504"/>
        <w:gridCol w:w="146"/>
        <w:gridCol w:w="1950"/>
        <w:gridCol w:w="146"/>
        <w:gridCol w:w="557"/>
        <w:gridCol w:w="1699"/>
        <w:gridCol w:w="146"/>
        <w:gridCol w:w="2057"/>
      </w:tblGrid>
      <w:tr>
        <w:trPr/>
        <w:tc>
          <w:tcPr>
            <w:tcW w:w="350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center"/>
          </w:tcPr>
          <w:p>
            <w:pPr>
              <w:pStyle w:val="TableContents"/>
              <w:bidi w:val="0"/>
              <w:spacing w:before="0" w:after="283"/>
              <w:jc w:val="left"/>
              <w:rPr/>
            </w:pPr>
            <w:r>
              <w:rPr/>
              <w:t> </w:t>
            </w:r>
          </w:p>
        </w:tc>
        <w:tc>
          <w:tcPr>
            <w:tcW w:w="1950"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 </w:t>
              <w:br/>
              <w:t xml:space="preserve">Number of Securities </w:t>
              <w:br/>
              <w:t xml:space="preserve">to be Issued </w:t>
              <w:br/>
              <w:t xml:space="preserve">Upon Exercise of </w:t>
              <w:br/>
              <w:t xml:space="preserve">Outstanding Options, </w:t>
              <w:br/>
              <w:t>Warrants and Rights</w:t>
            </w:r>
          </w:p>
        </w:tc>
        <w:tc>
          <w:tcPr>
            <w:tcW w:w="146" w:type="dxa"/>
            <w:tcBorders/>
            <w:vAlign w:val="center"/>
          </w:tcPr>
          <w:p>
            <w:pPr>
              <w:pStyle w:val="TableContents"/>
              <w:bidi w:val="0"/>
              <w:spacing w:before="0" w:after="283"/>
              <w:jc w:val="left"/>
              <w:rPr/>
            </w:pPr>
            <w:r>
              <w:rPr/>
              <w:t> </w:t>
            </w:r>
          </w:p>
        </w:tc>
        <w:tc>
          <w:tcPr>
            <w:tcW w:w="225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 </w:t>
              <w:br/>
              <w:t xml:space="preserve">Weighted-Average </w:t>
              <w:br/>
              <w:t xml:space="preserve">Exercise Price of </w:t>
              <w:br/>
              <w:t xml:space="preserve">Outstanding Options, </w:t>
              <w:br/>
              <w:t>Warrants and Rights</w:t>
            </w:r>
          </w:p>
        </w:tc>
        <w:tc>
          <w:tcPr>
            <w:tcW w:w="146" w:type="dxa"/>
            <w:tcBorders/>
            <w:vAlign w:val="center"/>
          </w:tcPr>
          <w:p>
            <w:pPr>
              <w:pStyle w:val="TableContents"/>
              <w:bidi w:val="0"/>
              <w:spacing w:before="0" w:after="283"/>
              <w:jc w:val="left"/>
              <w:rPr/>
            </w:pPr>
            <w:r>
              <w:rPr/>
              <w:t> </w:t>
            </w:r>
          </w:p>
        </w:tc>
        <w:tc>
          <w:tcPr>
            <w:tcW w:w="2057"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 </w:t>
              <w:br/>
              <w:t xml:space="preserve">Number of Securities </w:t>
              <w:br/>
              <w:t xml:space="preserve">Remaining Available </w:t>
              <w:br/>
              <w:t xml:space="preserve">for Future Issuance </w:t>
              <w:br/>
              <w:t xml:space="preserve">Under Equity </w:t>
              <w:br/>
              <w:t xml:space="preserve">Compensation </w:t>
              <w:br/>
              <w:t xml:space="preserve">Plans (Excluding </w:t>
              <w:br/>
              <w:t xml:space="preserve">Securities Reflected </w:t>
              <w:br/>
              <w:t>in Column (a))</w:t>
            </w:r>
          </w:p>
        </w:tc>
      </w:tr>
      <w:tr>
        <w:trPr/>
        <w:tc>
          <w:tcPr>
            <w:tcW w:w="350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stockholders</w:t>
            </w:r>
          </w:p>
        </w:tc>
        <w:tc>
          <w:tcPr>
            <w:tcW w:w="146" w:type="dxa"/>
            <w:tcBorders/>
            <w:shd w:fill="CCEEFF" w:val="clear"/>
            <w:vAlign w:val="center"/>
          </w:tcPr>
          <w:p>
            <w:pPr>
              <w:pStyle w:val="TableContents"/>
              <w:bidi w:val="0"/>
              <w:spacing w:before="0" w:after="283"/>
              <w:jc w:val="left"/>
              <w:rPr/>
            </w:pPr>
            <w:r>
              <w:rPr/>
              <w:t> </w:t>
            </w:r>
          </w:p>
        </w:tc>
        <w:tc>
          <w:tcPr>
            <w:tcW w:w="195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22,527,967</w:t>
            </w:r>
          </w:p>
        </w:tc>
        <w:tc>
          <w:tcPr>
            <w:tcW w:w="146"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9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2.5375</w:t>
            </w:r>
          </w:p>
        </w:tc>
        <w:tc>
          <w:tcPr>
            <w:tcW w:w="146"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19,818,117</w:t>
            </w:r>
          </w:p>
        </w:tc>
      </w:tr>
      <w:tr>
        <w:trPr/>
        <w:tc>
          <w:tcPr>
            <w:tcW w:w="350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stockholders</w:t>
            </w:r>
          </w:p>
        </w:tc>
        <w:tc>
          <w:tcPr>
            <w:tcW w:w="146" w:type="dxa"/>
            <w:tcBorders/>
            <w:vAlign w:val="center"/>
          </w:tcPr>
          <w:p>
            <w:pPr>
              <w:pStyle w:val="TableContents"/>
              <w:bidi w:val="0"/>
              <w:spacing w:before="0" w:after="283"/>
              <w:jc w:val="left"/>
              <w:rPr/>
            </w:pPr>
            <w:r>
              <w:rPr/>
              <w:t> </w:t>
            </w:r>
          </w:p>
        </w:tc>
        <w:tc>
          <w:tcPr>
            <w:tcW w:w="195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5,500,000</w:t>
            </w:r>
          </w:p>
        </w:tc>
        <w:tc>
          <w:tcPr>
            <w:tcW w:w="146" w:type="dxa"/>
            <w:tcBorders/>
            <w:vAlign w:val="center"/>
          </w:tcPr>
          <w:p>
            <w:pPr>
              <w:pStyle w:val="TableContents"/>
              <w:bidi w:val="0"/>
              <w:spacing w:before="0" w:after="283"/>
              <w:jc w:val="left"/>
              <w:rPr/>
            </w:pPr>
            <w:r>
              <w:rPr/>
              <w:t> </w:t>
            </w:r>
          </w:p>
        </w:tc>
        <w:tc>
          <w:tcPr>
            <w:tcW w:w="55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9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05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0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center"/>
          </w:tcPr>
          <w:p>
            <w:pPr>
              <w:pStyle w:val="TableContents"/>
              <w:bidi w:val="0"/>
              <w:spacing w:before="0" w:after="283"/>
              <w:jc w:val="left"/>
              <w:rPr/>
            </w:pPr>
            <w:r>
              <w:rPr/>
              <w:t> </w:t>
            </w:r>
          </w:p>
        </w:tc>
        <w:tc>
          <w:tcPr>
            <w:tcW w:w="1950"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28,027,967</w:t>
            </w:r>
          </w:p>
        </w:tc>
        <w:tc>
          <w:tcPr>
            <w:tcW w:w="146" w:type="dxa"/>
            <w:tcBorders/>
            <w:shd w:fill="CCEEFF" w:val="clear"/>
            <w:vAlign w:val="center"/>
          </w:tcPr>
          <w:p>
            <w:pPr>
              <w:pStyle w:val="TableContents"/>
              <w:bidi w:val="0"/>
              <w:spacing w:before="0" w:after="283"/>
              <w:jc w:val="left"/>
              <w:rPr/>
            </w:pPr>
            <w:r>
              <w:rPr/>
              <w:t> </w:t>
            </w:r>
          </w:p>
        </w:tc>
        <w:tc>
          <w:tcPr>
            <w:tcW w:w="55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69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2.5375</w:t>
            </w:r>
          </w:p>
        </w:tc>
        <w:tc>
          <w:tcPr>
            <w:tcW w:w="146" w:type="dxa"/>
            <w:tcBorders/>
            <w:shd w:fill="CCEEFF" w:val="clear"/>
            <w:vAlign w:val="center"/>
          </w:tcPr>
          <w:p>
            <w:pPr>
              <w:pStyle w:val="TableContents"/>
              <w:bidi w:val="0"/>
              <w:spacing w:before="0" w:after="283"/>
              <w:jc w:val="left"/>
              <w:rPr/>
            </w:pPr>
            <w:r>
              <w:rPr/>
              <w:t> </w:t>
            </w:r>
          </w:p>
        </w:tc>
        <w:tc>
          <w:tcPr>
            <w:tcW w:w="205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19,818,117</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Security Ownership of Certain Beneficial Owners and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beneficial ownership of shares of our Common Stock as of September 18,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be the beneficial owner of more than 5% of the outstanding shares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director nominees;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320,300,345 shares of Common Stock outstanding as of September 18, 2026, adjusted as required by rules promulgated by the SEC.</w:t>
      </w:r>
    </w:p>
    <w:tbl>
      <w:tblPr>
        <w:tblW w:w="10164" w:type="dxa"/>
        <w:jc w:val="left"/>
        <w:tblInd w:w="0" w:type="dxa"/>
        <w:tblLayout w:type="fixed"/>
        <w:tblCellMar>
          <w:top w:w="0" w:type="dxa"/>
          <w:left w:w="0" w:type="dxa"/>
          <w:bottom w:w="0" w:type="dxa"/>
          <w:right w:w="0" w:type="dxa"/>
        </w:tblCellMar>
      </w:tblPr>
      <w:tblGrid>
        <w:gridCol w:w="6676"/>
        <w:gridCol w:w="146"/>
        <w:gridCol w:w="1396"/>
        <w:gridCol w:w="146"/>
        <w:gridCol w:w="1079"/>
        <w:gridCol w:w="721"/>
      </w:tblGrid>
      <w:tr>
        <w:trPr/>
        <w:tc>
          <w:tcPr>
            <w:tcW w:w="667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Owner(1)</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center"/>
          </w:tcPr>
          <w:p>
            <w:pPr>
              <w:pStyle w:val="TableContents"/>
              <w:bidi w:val="0"/>
              <w:spacing w:before="0" w:after="283"/>
              <w:jc w:val="left"/>
              <w:rPr/>
            </w:pPr>
            <w:r>
              <w:rPr/>
              <w:t> </w:t>
            </w:r>
          </w:p>
        </w:tc>
        <w:tc>
          <w:tcPr>
            <w:tcW w:w="180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Common Stock </w:t>
              <w:br/>
              <w:t>Outstanding</w:t>
            </w:r>
          </w:p>
        </w:tc>
      </w:tr>
      <w:tr>
        <w:trPr/>
        <w:tc>
          <w:tcPr>
            <w:tcW w:w="66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 or Greater Stockholders:</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(T.J.) Rodgers(2)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66,307,206</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Foris Ventures, LLC(3)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43,196,259</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Crosslink Capital, Inc.(4)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19,677,291</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Chicken Parm Pizza LLC(5)</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19,195,754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Executive Officers, Incumbent Directors and Director Nominees: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(T.J.) Rodgers(2)</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66,307,206</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Whatley(6)</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8,985,147</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72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Anderson(7)</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4,853,754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721"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Alvarez(8)</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201,029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Foley(9)</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77,441</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Thiam(10)</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292,825</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Gishen(11)</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719,686</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Pasek(12)</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225,459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Lundell(13)</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396,714</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Maier(14)</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243,169</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McCranie(15)</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2,759,279</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Jamie Haenggi</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Jeanne Nguyen</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114,012</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center"/>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Kowalczuk(16)</w:t>
            </w:r>
          </w:p>
        </w:tc>
        <w:tc>
          <w:tcPr>
            <w:tcW w:w="146"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14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cente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as a group (15 persons)</w:t>
            </w:r>
          </w:p>
        </w:tc>
        <w:tc>
          <w:tcPr>
            <w:tcW w:w="146" w:type="dxa"/>
            <w:tcBorders/>
            <w:vAlign w:val="center"/>
          </w:tcPr>
          <w:p>
            <w:pPr>
              <w:pStyle w:val="TableContents"/>
              <w:bidi w:val="0"/>
              <w:spacing w:before="0" w:after="283"/>
              <w:jc w:val="left"/>
              <w:rPr/>
            </w:pPr>
            <w:r>
              <w:rPr/>
              <w:t> </w:t>
            </w:r>
          </w:p>
        </w:tc>
        <w:tc>
          <w:tcPr>
            <w:tcW w:w="139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86,175,721</w:t>
            </w:r>
          </w:p>
        </w:tc>
        <w:tc>
          <w:tcPr>
            <w:tcW w:w="146" w:type="dxa"/>
            <w:tcBorders/>
            <w:vAlign w:val="center"/>
          </w:tcPr>
          <w:p>
            <w:pPr>
              <w:pStyle w:val="TableContents"/>
              <w:bidi w:val="0"/>
              <w:spacing w:before="0" w:after="283"/>
              <w:jc w:val="left"/>
              <w:rPr/>
            </w:pPr>
            <w:r>
              <w:rPr/>
              <w:t> </w:t>
            </w:r>
          </w:p>
        </w:tc>
        <w:tc>
          <w:tcPr>
            <w:tcW w:w="1079" w:type="dxa"/>
            <w:tcBorders/>
            <w:vAlign w:val="center"/>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w:t>
            </w:r>
          </w:p>
        </w:tc>
        <w:tc>
          <w:tcPr>
            <w:tcW w:w="721" w:type="dxa"/>
            <w:tcBorders/>
            <w:vAlign w:val="center"/>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of the directors and executive officers of the Company listed in the table is c/o SunPower Inc., 1403 North 630 East, Orem, UT 84097.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(i) 485,562 shares held by Rodgers Capital, LLC, (ii) 8,842 shares held by Thurman J. Rodgers, (iii) 36,687,593 shares held by the Rodgers Massey Revocable Living Trust, (iv) 2,471,485 shares held by the Rodgers Massey Freedom and Free Markets Charitable Trust, (v) 724,416 shares issuable pursuant to warrants exercisable within 60 days of September 18, 2026, (vi) 116,601 shares issuable pursuant to stock options and restricted stock units exercisable or settleable within 60 days of September 18, 2026, (vii) 463,589 shares of Common Stock issued to the TJ Rodgers 2012 Irrevocable Trust dtd 12/26/12, for which Mr. Rodgers serves as trustee, and (viii) 463,589 shares of Common Stock issued to the Valeta Massey 2012 Irrevocable Trust dtd 12/26/12, for which Mr. Rodger’s spouse serves as trustee.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Revocable Living Trust holds $5,000,000 principal amount of 10% Notes convertible into 3,051,571 shares of Common Stock, and (g) the Rodgers Massey Freedom and Free Markets Charitable Trust hold an aggregate of $1,000,000 principal amount of 10% Notes convertible into a total of 610,314 shares of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(i) 40,023,511 shares of Common Stock currently outstanding and held by Foris Ventures, LLC (“</w:t>
      </w:r>
      <w:r>
        <w:rPr>
          <w:rFonts w:ascii="Times New Roman PS Std;serif" w:hAnsi="Times New Roman PS Std;serif"/>
          <w:b/>
          <w:i/>
          <w:caps w:val="false"/>
          <w:smallCaps w:val="false"/>
          <w:sz w:val="18"/>
        </w:rPr>
        <w:t>FV</w:t>
      </w:r>
      <w:r>
        <w:rPr>
          <w:rFonts w:ascii="Times New Roman PS Std;serif" w:hAnsi="Times New Roman PS Std;serif"/>
          <w:b w:val="false"/>
          <w:i w:val="false"/>
          <w:caps w:val="false"/>
          <w:smallCaps w:val="false"/>
          <w:sz w:val="18"/>
        </w:rPr>
        <w:t>”) (ii) 3,051,572 shares of Common Stock issuable to FV upon conversion of the indebtedness outstanding under that the 10% Notes issued by the Company to FV as of September 18, 2026, and (iii) 121,176 shares of Common Stock issuable to FV upon exercise of a warrant issued to FV on July 18, 2023. Barbara Hager, the manager of FV, may be deemed to have sole power to vote and dispose of these securities. The Vallejo Ventures Trust U/T/A 2/12/96 (“</w:t>
      </w:r>
      <w:r>
        <w:rPr>
          <w:rFonts w:ascii="Times New Roman PS Std;serif" w:hAnsi="Times New Roman PS Std;serif"/>
          <w:b/>
          <w:i/>
          <w:caps w:val="false"/>
          <w:smallCaps w:val="false"/>
          <w:sz w:val="18"/>
        </w:rPr>
        <w:t>VVT</w:t>
      </w:r>
      <w:r>
        <w:rPr>
          <w:rFonts w:ascii="Times New Roman PS Std;serif" w:hAnsi="Times New Roman PS Std;serif"/>
          <w:b w:val="false"/>
          <w:i w:val="false"/>
          <w:caps w:val="false"/>
          <w:smallCaps w:val="false"/>
          <w:sz w:val="18"/>
        </w:rPr>
        <w:t>”), the member of FV, may be deemed to have sole power to vote and dispose of these securities, and L. John Doerr and Ann Doerr, the trustees of VVT, and Barbara Hager, the special trustee of VVT, may be deemed to have shared power to vote and dispose of these securities. The address of the principal business office of the foregoing is 1180 San Carlos Avenue, #717 San Carlos, CA 94070.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19,667,291 shares of Common Stock currently outstanding and held by funds advised by Crosslink Capital, Inc. Michael Stark is a control person of Crosslink Capital, Inc. The address of the principal business office of the foregoing is 2180 Sand Hill Road, Suite 200, Menlo Park, CA 94025.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10,346,197 shares of common stock and (ii) 8,849,557 shares of common stock issuable upon conversion of 10% Notes held by Chicken Parm Pizza LLC. The business address of Chicken Parm Pizza LLC is 1750 West 11400 South, Suite 110, South Jordan, Utah 84095.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(i) 5,832,054 shares held by Ecosystem Integrity Fund II, L.P., of which Mr. Devin Whatley is the managing member of the general partner, (ii) 198,346 shares held by EIF CS SPV LLC, and (iii) 2,369,253 shares issuable pursuant to warrants exercisable within 60 days of September 18, 2026. Mr. Whatley serves as a director of the Company. The business address of each of Ecosystem Integrity Fund II, L.P., EIF CS SPV LLC and Mr. Whatley is 20 Richelle Court, Lafayette, California 94549. Also includes (i) 393,545 shares of Common Stock purchased by a living trust for which Mr. Whatley and his spouse are trustees, (ii) 103,825 shares of Common Stock issuable upon settlement of restricted stock units, and (iii) 88,124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(i) 2,305,761 shares of Common Stock, (ii) 671,738 shares of Common Stock issued or issuable upon settlement of restricted stock units, (iii) 1,735,068 shares issuable pursuant to stock options exercisable within 60 days of September 18, 2026, and (iv) 141,187 shares issuable pursuant to warrants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(i) 106,577 shares of Common Stock issued or issuable upon settlement of restricted stock units and (ii) 94,452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77,441 shares of Common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(i) 80,245 shares of Common Stock and 106,011 shares of Common Stock issued or issuable upon settlement of restricted stock units, (ii) 12,117 shares issuable pursuant to warrants exercisable within 60 days of September 18, 2026, and (iii) 94,452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(i) 29,515 shares of Common Stock and 110,656 shares of Common Stock issued or issuable upon settlement of restricted stock units, (ii) 480,000 shares issuable pursuant to warrants exercisable within 60 days of September 18, 2026, and (iii) 99,515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Includes (i) 112,022 shares of Common Stock issued or issuable upon settlement of restricted stock units and (ii) 113,437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Includes (i) 103,825 shares of Common Stock issued or issuable upon settlement of restricted stock units and (ii) 292,889 shares issuable pursuant to stock options exercisable within 60 days of September 18,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Includes 243,169 shares of Common Stock issued or issuable upon settlement of restricted stock units.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Includes 1,000,000 shares of Common Stock issued or issuable upon settlement of restricted stock units.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711"/>
      <w:bookmarkEnd w:id="13"/>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has opted to comply with the executive compensation disclosure rules applicable to emerging growth companies. The scaled disclosure rules are those applicable to “smaller reporting companies,” as such term is defined in the rules promulgated under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w:t>
      </w:r>
      <w:r>
        <w:rPr>
          <w:rFonts w:ascii="Times New Roman PS Std;serif" w:hAnsi="Times New Roman PS Std;serif"/>
          <w:b/>
          <w:i/>
          <w:caps w:val="false"/>
          <w:smallCaps w:val="false"/>
          <w:sz w:val="20"/>
        </w:rPr>
        <w:t>named executive officers</w:t>
      </w:r>
      <w:r>
        <w:rPr>
          <w:rFonts w:ascii="Times New Roman PS Std;serif" w:hAnsi="Times New Roman PS Std;serif"/>
          <w:b w:val="false"/>
          <w:i w:val="false"/>
          <w:caps w:val="false"/>
          <w:smallCaps w:val="false"/>
          <w:sz w:val="20"/>
        </w:rPr>
        <w:t>.” For fiscal 2025, the Company’s named executive officers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Thurman J. (T.J.) Rodgers, our Chief Executive Officer and Executive Chairman;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Jeanne Nguyen, our former Chief Accounting Officer and former Interim Chief Financial Officer;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Daniel Foley, our former Chief Financial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our startup origins in that they consist primarily of salary and equity-based awards. As SunPower’s needs evolve, we intend to continue to evaluate our philosophy and compensation programs as circumstances require.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and 2024, Mr. Rodgers did not receive any separate compensation in his role as our Chief Executive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tbl>
      <w:tblPr>
        <w:tblW w:w="10771" w:type="dxa"/>
        <w:jc w:val="left"/>
        <w:tblInd w:w="0" w:type="dxa"/>
        <w:tblLayout w:type="fixed"/>
        <w:tblCellMar>
          <w:top w:w="0" w:type="dxa"/>
          <w:left w:w="0" w:type="dxa"/>
          <w:bottom w:w="0" w:type="dxa"/>
          <w:right w:w="0" w:type="dxa"/>
        </w:tblCellMar>
      </w:tblPr>
      <w:tblGrid>
        <w:gridCol w:w="1081"/>
        <w:gridCol w:w="146"/>
        <w:gridCol w:w="631"/>
        <w:gridCol w:w="146"/>
        <w:gridCol w:w="286"/>
        <w:gridCol w:w="946"/>
        <w:gridCol w:w="146"/>
        <w:gridCol w:w="286"/>
        <w:gridCol w:w="706"/>
        <w:gridCol w:w="146"/>
        <w:gridCol w:w="286"/>
        <w:gridCol w:w="1021"/>
        <w:gridCol w:w="146"/>
        <w:gridCol w:w="286"/>
        <w:gridCol w:w="946"/>
        <w:gridCol w:w="361"/>
        <w:gridCol w:w="146"/>
        <w:gridCol w:w="286"/>
        <w:gridCol w:w="946"/>
        <w:gridCol w:w="404"/>
        <w:gridCol w:w="146"/>
        <w:gridCol w:w="286"/>
        <w:gridCol w:w="991"/>
      </w:tblGrid>
      <w:tr>
        <w:trPr/>
        <w:tc>
          <w:tcPr>
            <w:tcW w:w="10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Bonus</w:t>
              <w:br/>
              <w:t>($)</w:t>
            </w:r>
          </w:p>
        </w:tc>
        <w:tc>
          <w:tcPr>
            <w:tcW w:w="146" w:type="dxa"/>
            <w:tcBorders/>
            <w:vAlign w:val="center"/>
          </w:tcPr>
          <w:p>
            <w:pPr>
              <w:pStyle w:val="TableContents"/>
              <w:bidi w:val="0"/>
              <w:spacing w:before="0" w:after="283"/>
              <w:jc w:val="left"/>
              <w:rPr/>
            </w:pPr>
            <w:r>
              <w:rPr/>
              <w:t> </w:t>
            </w:r>
          </w:p>
        </w:tc>
        <w:tc>
          <w:tcPr>
            <w:tcW w:w="130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($)(1)</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1636"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Thurman J. (T.J.) Rodgers</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Jeanne Nguyen(2)</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353,034</w:t>
            </w:r>
          </w:p>
        </w:tc>
      </w:tr>
      <w:tr>
        <w:trPr/>
        <w:tc>
          <w:tcPr>
            <w:tcW w:w="10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Accounting Officer and former and Former Interim Chief Financial Officer</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237,046</w:t>
            </w:r>
          </w:p>
        </w:tc>
        <w:tc>
          <w:tcPr>
            <w:tcW w:w="36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295,346</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Daniel Foley(3)</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233,333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455,000</w:t>
            </w:r>
          </w:p>
        </w:tc>
        <w:tc>
          <w:tcPr>
            <w:tcW w:w="361"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04"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789,833</w:t>
            </w:r>
          </w:p>
        </w:tc>
      </w:tr>
      <w:tr>
        <w:trPr/>
        <w:tc>
          <w:tcPr>
            <w:tcW w:w="10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Former Chief Financial Officer</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161,947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941,947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Amounts reported in this column do not reflect the amounts actually received by SunPower’s named executive officers. Instead, these amounts reflect the aggregate grant-date fair value of awards granted to each named executive officer, computed in accordance with FASB ASC Topic 718, </w:t>
      </w:r>
      <w:r>
        <w:rPr>
          <w:rFonts w:ascii="Times New Roman PS Std;serif" w:hAnsi="Times New Roman PS Std;serif"/>
          <w:b w:val="false"/>
          <w:i/>
          <w:caps w:val="false"/>
          <w:smallCaps w:val="false"/>
          <w:sz w:val="18"/>
        </w:rPr>
        <w:t>Stock-based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w:t>
      </w:r>
      <w:r>
        <w:rPr>
          <w:rFonts w:ascii="Times New Roman PS Std;serif" w:hAnsi="Times New Roman PS Std;serif"/>
          <w:b w:val="false"/>
          <w:i w:val="false"/>
          <w:caps w:val="false"/>
          <w:smallCaps w:val="false"/>
          <w:sz w:val="18"/>
        </w:rPr>
        <w:t>. See “Item 8. Financial Statements and Supplementary Data — Notes to Consolidated Financial Statements — Note 15 — Stock-Based Compensation” in our Annual Report on Form 10-K for the fiscal year ended December 28, 2025.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Ms. Nguyen joined the Company in September 2024 and was appointed as our Interim Chief Financial Officer in July 2025. Ms. Nguyen’s base salary amount was pro-rated for 2024. On February 2, 2026, Ms. Nguyen resigned as the Interim Chief Financial Officer, and served as our Chief Accounting Officer. Ms. Nguyen departed from the Company effective July 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Foley resigned as our Chief Financial Officer in July 2025. Mr. Foley’s base salary amount is pro-rated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250,000 restricted stock units issued in April 2025, of which 19,970 of the RSUs were vested at the time of Mr. Foley’s separation from the Company. Upon Mr. Foley’s separation, the remaining unvested restricted stock units were canceled.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20% of the total shares underlying this option award vested on July 1, 2025. Upon Mr. Foley’s separation from the Company, the remaining unvested shares underlying this option were forfeited.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December 28,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regarding the outstanding option awards and restricted stock units held by each of the named executive officers as of December 28, 2025:</w:t>
      </w:r>
    </w:p>
    <w:tbl>
      <w:tblPr>
        <w:tblW w:w="11358" w:type="dxa"/>
        <w:jc w:val="left"/>
        <w:tblInd w:w="0" w:type="dxa"/>
        <w:tblLayout w:type="fixed"/>
        <w:tblCellMar>
          <w:top w:w="0" w:type="dxa"/>
          <w:left w:w="0" w:type="dxa"/>
          <w:bottom w:w="0" w:type="dxa"/>
          <w:right w:w="0" w:type="dxa"/>
        </w:tblCellMar>
      </w:tblPr>
      <w:tblGrid>
        <w:gridCol w:w="806"/>
        <w:gridCol w:w="146"/>
        <w:gridCol w:w="676"/>
        <w:gridCol w:w="146"/>
        <w:gridCol w:w="1636"/>
        <w:gridCol w:w="146"/>
        <w:gridCol w:w="970"/>
        <w:gridCol w:w="336"/>
        <w:gridCol w:w="146"/>
        <w:gridCol w:w="1471"/>
        <w:gridCol w:w="146"/>
        <w:gridCol w:w="310"/>
        <w:gridCol w:w="636"/>
        <w:gridCol w:w="146"/>
        <w:gridCol w:w="1126"/>
        <w:gridCol w:w="146"/>
        <w:gridCol w:w="946"/>
        <w:gridCol w:w="146"/>
        <w:gridCol w:w="286"/>
        <w:gridCol w:w="991"/>
      </w:tblGrid>
      <w:tr>
        <w:trPr/>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05" w:type="dxa"/>
            <w:gridSpan w:val="6"/>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 Awards</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1" w:type="dxa"/>
            <w:gridSpan w:val="6"/>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 Awards</w:t>
            </w:r>
            <w:r>
              <w:rPr>
                <w:rFonts w:ascii="Times New Roman PS Std;serif" w:hAnsi="Times New Roman PS Std;serif"/>
                <w:b/>
                <w:i w:val="false"/>
                <w:caps w:val="false"/>
                <w:smallCaps w:val="false"/>
                <w:sz w:val="12"/>
              </w:rPr>
              <w:t>(1)</w:t>
            </w:r>
          </w:p>
        </w:tc>
      </w:tr>
      <w:tr>
        <w:trPr/>
        <w:tc>
          <w:tcPr>
            <w:tcW w:w="8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Grant</w:t>
              <w:br/>
              <w:t>Date</w:t>
            </w:r>
            <w:r>
              <w:rPr>
                <w:rFonts w:ascii="Times New Roman PS Std;serif" w:hAnsi="Times New Roman PS Std;serif"/>
                <w:b/>
                <w:i w:val="false"/>
                <w:caps w:val="false"/>
                <w:smallCaps w:val="false"/>
                <w:sz w:val="12"/>
              </w:rPr>
              <w:t>(1)</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 xml:space="preserve">Commencement </w:t>
              <w:br/>
              <w:t>Date</w:t>
            </w:r>
          </w:p>
        </w:tc>
        <w:tc>
          <w:tcPr>
            <w:tcW w:w="146"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 </w:t>
              <w:br/>
              <w:t>Exercisable</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Securities </w:t>
              <w:br/>
              <w:t xml:space="preserve">Underlying </w:t>
              <w:br/>
              <w:t xml:space="preserve">Unexercised </w:t>
              <w:br/>
              <w:t xml:space="preserve">Options (#) </w:t>
              <w:br/>
              <w:t>Unexercisable</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Exercise </w:t>
              <w:br/>
              <w:t>Price</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Expiration </w:t>
              <w:br/>
              <w:t>Date</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shares </w:t>
              <w:br/>
              <w:t xml:space="preserve">or units </w:t>
              <w:br/>
              <w:t xml:space="preserve">of stock </w:t>
              <w:br/>
              <w:t xml:space="preserve">that have </w:t>
              <w:br/>
              <w:t xml:space="preserve">not vested </w:t>
              <w:br/>
              <w: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Market </w:t>
              <w:br/>
              <w:t xml:space="preserve">value of </w:t>
              <w:br/>
              <w:t xml:space="preserve">shares or </w:t>
              <w:br/>
              <w:t xml:space="preserve">units of </w:t>
              <w:br/>
              <w:t xml:space="preserve">stock that </w:t>
              <w:br/>
              <w:t xml:space="preserve">have not </w:t>
              <w:br/>
              <w:t>vested ($)</w:t>
            </w:r>
          </w:p>
        </w:tc>
      </w:tr>
      <w:tr>
        <w:trPr/>
        <w:tc>
          <w:tcPr>
            <w:tcW w:w="8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Thurman J. (T.J.) Rodgers</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12/3/2023</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12/3/2024</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37,500</w:t>
            </w:r>
          </w:p>
        </w:tc>
        <w:tc>
          <w:tcPr>
            <w:tcW w:w="3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12/2/2033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0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12/3/2023</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12/3/2024</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79,101</w:t>
            </w:r>
          </w:p>
        </w:tc>
        <w:tc>
          <w:tcPr>
            <w:tcW w:w="3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12/2/2033</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80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Jeanne Nguyen</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10/14/2024</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10/14/2024</w:t>
            </w:r>
          </w:p>
        </w:tc>
        <w:tc>
          <w:tcPr>
            <w:tcW w:w="146" w:type="dxa"/>
            <w:tcBorders/>
            <w:vAlign w:val="center"/>
          </w:tcPr>
          <w:p>
            <w:pPr>
              <w:pStyle w:val="TableContents"/>
              <w:bidi w:val="0"/>
              <w:spacing w:before="0" w:after="283"/>
              <w:jc w:val="left"/>
              <w:rPr/>
            </w:pPr>
            <w:r>
              <w:rPr/>
              <w:t> </w:t>
            </w:r>
          </w:p>
        </w:tc>
        <w:tc>
          <w:tcPr>
            <w:tcW w:w="97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14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1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121,968</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197,588</w:t>
            </w:r>
          </w:p>
        </w:tc>
      </w:tr>
      <w:tr>
        <w:trPr/>
        <w:tc>
          <w:tcPr>
            <w:tcW w:w="8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Daniel Foley</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6/11/2024</w:t>
            </w:r>
          </w:p>
        </w:tc>
        <w:tc>
          <w:tcPr>
            <w:tcW w:w="146" w:type="dxa"/>
            <w:tcBorders/>
            <w:shd w:fill="CCEEFF" w:val="clear"/>
            <w:vAlign w:val="center"/>
          </w:tcPr>
          <w:p>
            <w:pPr>
              <w:pStyle w:val="TableContents"/>
              <w:bidi w:val="0"/>
              <w:spacing w:before="0" w:after="283"/>
              <w:jc w:val="left"/>
              <w:rPr/>
            </w:pPr>
            <w:r>
              <w:rPr/>
              <w:t> </w:t>
            </w:r>
          </w:p>
        </w:tc>
        <w:tc>
          <w:tcPr>
            <w:tcW w:w="163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7/1/2025</w:t>
            </w:r>
          </w:p>
        </w:tc>
        <w:tc>
          <w:tcPr>
            <w:tcW w:w="146"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r>
              <w:rPr>
                <w:rFonts w:ascii="Times New Roman PS Std;serif" w:hAnsi="Times New Roman PS Std;serif"/>
                <w:b w:val="false"/>
                <w:i w:val="false"/>
                <w:caps w:val="false"/>
                <w:smallCaps w:val="false"/>
                <w:sz w:val="12"/>
              </w:rPr>
              <w:t>(4)</w:t>
            </w:r>
          </w:p>
        </w:tc>
        <w:tc>
          <w:tcPr>
            <w:tcW w:w="146"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63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14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option awards were granted pursuant to the 2023 Plan. Market value is based on a share price of $1.62 at the close of business on December 26,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100% of the total shares underlying the option award vested on the one-year anniversary of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Ms. Nguyn departed from the Company effective July 8, 2026, and no further equity awards vested after that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20% of the total shares underlying the option award vested on July 1, 2025. As a result of Mr. Foley’s separation from the Company, no further portion of the options are exercisable and the unvested portions of the options expired.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Arrangements with Named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SunPower’s named executive officers is or was an at-will employee.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Thurman J. Rodgers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Jeanne Nguyen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2024, we entered into an employment agreement with Jeanne Nguyen in connection with her appointment as Chief Accounting Officer. Pursuant to the agreement, Ms. Nguyen was entitled to an annual base salary of $350,000 and is eligible to receive an annual bonus with a target of 50% of her base salary, subject to the achievement of performance objectives and the financial condition of the Company. Her employment was at-will and did not provide for any severance benefits. Ms. Nguyen departed from the Company effective July 8,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Daniel Foley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7, 2024, we entered into an executive employment agreement with Mr. Foley, which became effective on July 1, 2024 (the “</w:t>
      </w:r>
      <w:r>
        <w:rPr>
          <w:rFonts w:ascii="Times New Roman PS Std;serif" w:hAnsi="Times New Roman PS Std;serif"/>
          <w:b/>
          <w:i/>
          <w:caps w:val="false"/>
          <w:smallCaps w:val="false"/>
          <w:sz w:val="20"/>
        </w:rPr>
        <w:t>Foley Agreement</w:t>
      </w:r>
      <w:r>
        <w:rPr>
          <w:rFonts w:ascii="Times New Roman PS Std;serif" w:hAnsi="Times New Roman PS Std;serif"/>
          <w:b w:val="false"/>
          <w:i w:val="false"/>
          <w:caps w:val="false"/>
          <w:smallCaps w:val="false"/>
          <w:sz w:val="20"/>
        </w:rPr>
        <w:t xml:space="preserve">”).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payment of Mr. Foley’s earned but unpaid base salary; (b) payment of any unpaid bonus with respect to the fiscal year immediately preceding the fiscal year in which such termination or such resignation occurs; (c) payment of any vested benefits to which he was entitled under any applicable plans and programs of the Company; and (d) a severance payment equal to six months of Mr. Foley’s then base salary plus a pro rata portion of Mr. Foley’s bonus with respect to the fiscal year in which such termination or such resignation occurs.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Tom Kowalczuk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30, 2026, the Company appointed Tom Kowalczuk as its Chief Financial Officer. In connection with such appointment, on June 26, 2026, the Company entered into an offer letter (the “</w:t>
      </w:r>
      <w:r>
        <w:rPr>
          <w:rFonts w:ascii="Times New Roman PS Std;serif" w:hAnsi="Times New Roman PS Std;serif"/>
          <w:b/>
          <w:i/>
          <w:caps w:val="false"/>
          <w:smallCaps w:val="false"/>
          <w:sz w:val="20"/>
        </w:rPr>
        <w:t>Offer Letter</w:t>
      </w:r>
      <w:r>
        <w:rPr>
          <w:rFonts w:ascii="Times New Roman PS Std;serif" w:hAnsi="Times New Roman PS Std;serif"/>
          <w:b w:val="false"/>
          <w:i w:val="false"/>
          <w:caps w:val="false"/>
          <w:smallCaps w:val="false"/>
          <w:sz w:val="20"/>
        </w:rPr>
        <w:t>”) with Mr. Kowalczuk in connection with his employment as Chief Financial Officer. Pursuant to the Offer Letter, Mr. Kowalczuk will have an annual base salary of $400,000 and an annual target bonus opportunity of 50% of his base salary. Mr. Kowalczuk will be granted 1,000,000 RSUs as an employment inducement award under applicable Nasdaq rules, of which the first 20% of the RSUs will be subject to a 12-month “cliff” vesting provision and with the remainder vesting ratably on an annual basis over the course of the following four years.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Bonuses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 Governance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Nonqualified Deferred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Pension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Benefit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 PS Std;serif" w:hAnsi="Times New Roman PS Std;serif"/>
          <w:b/>
          <w:i/>
          <w:caps w:val="false"/>
          <w:smallCaps w:val="false"/>
          <w:sz w:val="20"/>
        </w:rPr>
        <w:t>2023 Plan</w:t>
      </w:r>
      <w:r>
        <w:rPr>
          <w:rFonts w:ascii="Times New Roman PS Std;serif" w:hAnsi="Times New Roman PS Std;serif"/>
          <w:b w:val="false"/>
          <w:i w:val="false"/>
          <w:caps w:val="false"/>
          <w:smallCaps w:val="false"/>
          <w:sz w:val="20"/>
        </w:rPr>
        <w:t>”) and the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The 2023 Plan and the ESPP became effective immediately upon the Closing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description of the 2023 Plan, the ESPP, Complete Solaria’s 2022 Stock Plan (the “</w:t>
      </w:r>
      <w:r>
        <w:rPr>
          <w:rFonts w:ascii="Times New Roman PS Std;serif" w:hAnsi="Times New Roman PS Std;serif"/>
          <w:b/>
          <w:i/>
          <w:caps w:val="false"/>
          <w:smallCaps w:val="false"/>
          <w:sz w:val="20"/>
        </w:rPr>
        <w:t>2022 Plan</w:t>
      </w:r>
      <w:r>
        <w:rPr>
          <w:rFonts w:ascii="Times New Roman PS Std;serif" w:hAnsi="Times New Roman PS Std;serif"/>
          <w:b w:val="false"/>
          <w:i w:val="false"/>
          <w:caps w:val="false"/>
          <w:smallCaps w:val="false"/>
          <w:sz w:val="20"/>
        </w:rPr>
        <w:t>”), Complete Solaria’s 2011 Stock Plan (the “</w:t>
      </w:r>
      <w:r>
        <w:rPr>
          <w:rFonts w:ascii="Times New Roman PS Std;serif" w:hAnsi="Times New Roman PS Std;serif"/>
          <w:b/>
          <w:i/>
          <w:caps w:val="false"/>
          <w:smallCaps w:val="false"/>
          <w:sz w:val="20"/>
        </w:rPr>
        <w:t>2011 Plan</w:t>
      </w:r>
      <w:r>
        <w:rPr>
          <w:rFonts w:ascii="Times New Roman PS Std;serif" w:hAnsi="Times New Roman PS Std;serif"/>
          <w:b w:val="false"/>
          <w:i w:val="false"/>
          <w:caps w:val="false"/>
          <w:smallCaps w:val="false"/>
          <w:sz w:val="20"/>
        </w:rPr>
        <w:t>”), Complete Solaria’s 2016 Stock Plan (the “</w:t>
      </w:r>
      <w:r>
        <w:rPr>
          <w:rFonts w:ascii="Times New Roman PS Std;serif" w:hAnsi="Times New Roman PS Std;serif"/>
          <w:b/>
          <w:i/>
          <w:caps w:val="false"/>
          <w:smallCaps w:val="false"/>
          <w:sz w:val="20"/>
        </w:rPr>
        <w:t>2016 Plan</w:t>
      </w:r>
      <w:r>
        <w:rPr>
          <w:rFonts w:ascii="Times New Roman PS Std;serif" w:hAnsi="Times New Roman PS Std;serif"/>
          <w:b w:val="false"/>
          <w:i w:val="false"/>
          <w:caps w:val="false"/>
          <w:smallCaps w:val="false"/>
          <w:sz w:val="20"/>
        </w:rPr>
        <w:t>”) and Complete Solaria’s 2006 Stock Plan (the “</w:t>
      </w:r>
      <w:r>
        <w:rPr>
          <w:rFonts w:ascii="Times New Roman PS Std;serif" w:hAnsi="Times New Roman PS Std;serif"/>
          <w:b/>
          <w:i/>
          <w:caps w:val="false"/>
          <w:smallCaps w:val="false"/>
          <w:sz w:val="20"/>
        </w:rPr>
        <w:t>2006 Plan</w:t>
      </w:r>
      <w:r>
        <w:rPr>
          <w:rFonts w:ascii="Times New Roman PS Std;serif" w:hAnsi="Times New Roman PS Std;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 PS Std;serif" w:hAnsi="Times New Roman PS Std;serif"/>
          <w:b/>
          <w:i/>
          <w:caps w:val="false"/>
          <w:smallCaps w:val="false"/>
          <w:sz w:val="20"/>
        </w:rPr>
        <w:t>Prior Transaction</w:t>
      </w:r>
      <w:r>
        <w:rPr>
          <w:rFonts w:ascii="Times New Roman PS Std;serif" w:hAnsi="Times New Roman PS Std;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 PS Std;serif" w:hAnsi="Times New Roman PS Std;serif"/>
          <w:b/>
          <w:i/>
          <w:caps w:val="false"/>
          <w:smallCaps w:val="false"/>
          <w:sz w:val="20"/>
        </w:rPr>
        <w:t>Legacy Plans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and the 2006 Plan are the stock plans of Solaria that were assumed by Complete Solaria (n/k/a SunPower) in the Prior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Eligibility.    </w:t>
      </w:r>
      <w:r>
        <w:rPr>
          <w:rFonts w:ascii="Times New Roman PS Std;serif" w:hAnsi="Times New Roman PS Std;serif"/>
          <w:b w:val="false"/>
          <w:i w:val="false"/>
          <w:caps w:val="false"/>
          <w:smallCaps w:val="false"/>
          <w:sz w:val="20"/>
        </w:rPr>
        <w:t>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Awards.    </w:t>
      </w:r>
      <w:r>
        <w:rPr>
          <w:rFonts w:ascii="Times New Roman PS Std;serif" w:hAnsi="Times New Roman PS Std;serif"/>
          <w:b w:val="false"/>
          <w:i w:val="false"/>
          <w:caps w:val="false"/>
          <w:smallCaps w:val="false"/>
          <w:sz w:val="20"/>
        </w:rPr>
        <w:t>The 2023 Plan provides for the grant of incentive stock options (“</w:t>
      </w:r>
      <w:r>
        <w:rPr>
          <w:rFonts w:ascii="Times New Roman PS Std;serif" w:hAnsi="Times New Roman PS Std;serif"/>
          <w:b/>
          <w:i/>
          <w:caps w:val="false"/>
          <w:smallCaps w:val="false"/>
          <w:sz w:val="20"/>
        </w:rPr>
        <w:t>ISOs</w:t>
      </w:r>
      <w:r>
        <w:rPr>
          <w:rFonts w:ascii="Times New Roman PS Std;serif" w:hAnsi="Times New Roman PS Std;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 PS Std;serif" w:hAnsi="Times New Roman PS Std;serif"/>
          <w:b/>
          <w:i/>
          <w:caps w:val="false"/>
          <w:smallCaps w:val="false"/>
          <w:sz w:val="20"/>
        </w:rPr>
        <w:t>NSOs</w:t>
      </w:r>
      <w:r>
        <w:rPr>
          <w:rFonts w:ascii="Times New Roman PS Std;serif" w:hAnsi="Times New Roman PS Std;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Authorized Shares.    </w:t>
      </w:r>
      <w:r>
        <w:rPr>
          <w:rFonts w:ascii="Times New Roman PS Std;serif" w:hAnsi="Times New Roman PS Std;serif"/>
          <w:b w:val="false"/>
          <w:i w:val="false"/>
          <w:caps w:val="false"/>
          <w:smallCaps w:val="false"/>
          <w:sz w:val="20"/>
        </w:rPr>
        <w:t>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Non-Employee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Director Compensation Limit.    </w:t>
      </w:r>
      <w:r>
        <w:rPr>
          <w:rFonts w:ascii="Times New Roman PS Std;serif" w:hAnsi="Times New Roman PS Std;serif"/>
          <w:b w:val="false"/>
          <w:i w:val="false"/>
          <w:caps w:val="false"/>
          <w:smallCaps w:val="false"/>
          <w:sz w:val="20"/>
        </w:rPr>
        <w:t>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Limitations on ISOs.    </w:t>
      </w:r>
      <w:r>
        <w:rPr>
          <w:rFonts w:ascii="Times New Roman PS Std;serif" w:hAnsi="Times New Roman PS Std;serif"/>
          <w:b w:val="false"/>
          <w:i w:val="false"/>
          <w:caps w:val="false"/>
          <w:smallCaps w:val="false"/>
          <w:sz w:val="20"/>
        </w:rPr>
        <w:t>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 Awards.    </w:t>
      </w:r>
      <w:r>
        <w:rPr>
          <w:rFonts w:ascii="Times New Roman PS Std;serif" w:hAnsi="Times New Roman PS Std;serif"/>
          <w:b w:val="false"/>
          <w:i w:val="false"/>
          <w:caps w:val="false"/>
          <w:smallCaps w:val="false"/>
          <w:sz w:val="20"/>
        </w:rPr>
        <w:t>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Awards.    </w:t>
      </w:r>
      <w:r>
        <w:rPr>
          <w:rFonts w:ascii="Times New Roman PS Std;serif" w:hAnsi="Times New Roman PS Std;serif"/>
          <w:b w:val="false"/>
          <w:i w:val="false"/>
          <w:caps w:val="false"/>
          <w:smallCaps w:val="false"/>
          <w:sz w:val="20"/>
        </w:rPr>
        <w:t>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Appreciation Rights.    </w:t>
      </w:r>
      <w:r>
        <w:rPr>
          <w:rFonts w:ascii="Times New Roman PS Std;serif" w:hAnsi="Times New Roman PS Std;serif"/>
          <w:b w:val="false"/>
          <w:i w:val="false"/>
          <w:caps w:val="false"/>
          <w:smallCaps w:val="false"/>
          <w:sz w:val="20"/>
        </w:rPr>
        <w:t>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Performance Awards.    </w:t>
      </w:r>
      <w:r>
        <w:rPr>
          <w:rFonts w:ascii="Times New Roman PS Std;serif" w:hAnsi="Times New Roman PS Std;serif"/>
          <w:b w:val="false"/>
          <w:i w:val="false"/>
          <w:caps w:val="false"/>
          <w:smallCaps w:val="false"/>
          <w:sz w:val="20"/>
        </w:rPr>
        <w:t>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 Stock Awards.    </w:t>
      </w:r>
      <w:r>
        <w:rPr>
          <w:rFonts w:ascii="Times New Roman PS Std;serif" w:hAnsi="Times New Roman PS Std;serif"/>
          <w:b w:val="false"/>
          <w:i w:val="false"/>
          <w:caps w:val="false"/>
          <w:smallCaps w:val="false"/>
          <w:sz w:val="20"/>
        </w:rPr>
        <w:t>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w:t>
      </w:r>
      <w:r>
        <w:rPr>
          <w:rFonts w:ascii="Times New Roman PS Std;serif" w:hAnsi="Times New Roman PS Std;serif"/>
          <w:b w:val="false"/>
          <w:i w:val="false"/>
          <w:caps w:val="false"/>
          <w:smallCaps w:val="false"/>
          <w:sz w:val="20"/>
        </w:rPr>
        <w:t>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Amendment or Termination.    </w:t>
      </w:r>
      <w:r>
        <w:rPr>
          <w:rFonts w:ascii="Times New Roman PS Std;serif" w:hAnsi="Times New Roman PS Std;serif"/>
          <w:b w:val="false"/>
          <w:i w:val="false"/>
          <w:caps w:val="false"/>
          <w:smallCaps w:val="false"/>
          <w:sz w:val="20"/>
        </w:rPr>
        <w:t>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Complete Solaria 2023 Employee Stock Purchase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2023, our Board of Directors adopted and our stockholders approved the 2023 Employee Stock Purchase Plan (the “</w:t>
      </w:r>
      <w:r>
        <w:rPr>
          <w:rFonts w:ascii="Times New Roman PS Std;serif" w:hAnsi="Times New Roman PS Std;serif"/>
          <w:b/>
          <w:i/>
          <w:caps w:val="false"/>
          <w:smallCaps w:val="false"/>
          <w:sz w:val="20"/>
        </w:rPr>
        <w:t>ESPP</w:t>
      </w:r>
      <w:r>
        <w:rPr>
          <w:rFonts w:ascii="Times New Roman PS Std;serif" w:hAnsi="Times New Roman PS Std;serif"/>
          <w:b w:val="false"/>
          <w:i w:val="false"/>
          <w:caps w:val="false"/>
          <w:smallCaps w:val="false"/>
          <w:sz w:val="20"/>
        </w:rPr>
        <w:t>”). The ESPP became effective immediately upon the Closing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Board of Directors, or a duly authorized committee thereof, administers the ESPP.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Limitations.    </w:t>
      </w:r>
      <w:r>
        <w:rPr>
          <w:rFonts w:ascii="Times New Roman PS Std;serif" w:hAnsi="Times New Roman PS Std;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Payroll Deductions.    </w:t>
      </w:r>
      <w:r>
        <w:rPr>
          <w:rFonts w:ascii="Times New Roman PS Std;serif" w:hAnsi="Times New Roman PS Std;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Withdrawal.    </w:t>
      </w:r>
      <w:r>
        <w:rPr>
          <w:rFonts w:ascii="Times New Roman PS Std;serif" w:hAnsi="Times New Roman PS Std;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Termination of Employment.    </w:t>
      </w:r>
      <w:r>
        <w:rPr>
          <w:rFonts w:ascii="Times New Roman PS Std;serif" w:hAnsi="Times New Roman PS Std;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2022 Stock Plan.    </w:t>
      </w:r>
      <w:r>
        <w:rPr>
          <w:rFonts w:ascii="Times New Roman PS Std;serif" w:hAnsi="Times New Roman PS Std;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Awards.    </w:t>
      </w:r>
      <w:r>
        <w:rPr>
          <w:rFonts w:ascii="Times New Roman PS Std;serif" w:hAnsi="Times New Roman PS Std;serif"/>
          <w:b w:val="false"/>
          <w:i w:val="false"/>
          <w:caps w:val="false"/>
          <w:smallCaps w:val="false"/>
          <w:sz w:val="20"/>
        </w:rPr>
        <w:t>The 2022 Plan provides for the grant of incentive stock options (“</w:t>
      </w:r>
      <w:r>
        <w:rPr>
          <w:rFonts w:ascii="Times New Roman PS Std;serif" w:hAnsi="Times New Roman PS Std;serif"/>
          <w:b/>
          <w:i/>
          <w:caps w:val="false"/>
          <w:smallCaps w:val="false"/>
          <w:sz w:val="20"/>
        </w:rPr>
        <w:t>ISOs</w:t>
      </w:r>
      <w:r>
        <w:rPr>
          <w:rFonts w:ascii="Times New Roman PS Std;serif" w:hAnsi="Times New Roman PS Std;serif"/>
          <w:b w:val="false"/>
          <w:i w:val="false"/>
          <w:caps w:val="false"/>
          <w:smallCaps w:val="false"/>
          <w:sz w:val="20"/>
        </w:rPr>
        <w:t>”) and nonstatutory stock options to purchase shares of the Company’s common stock and restricted stock awards (collectively, “</w:t>
      </w:r>
      <w:r>
        <w:rPr>
          <w:rFonts w:ascii="Times New Roman PS Std;serif" w:hAnsi="Times New Roman PS Std;serif"/>
          <w:b/>
          <w:i/>
          <w:caps w:val="false"/>
          <w:smallCaps w:val="false"/>
          <w:sz w:val="20"/>
        </w:rPr>
        <w:t>stock awards</w:t>
      </w:r>
      <w:r>
        <w:rPr>
          <w:rFonts w:ascii="Times New Roman PS Std;serif" w:hAnsi="Times New Roman PS Std;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Administration.    </w:t>
      </w:r>
      <w:r>
        <w:rPr>
          <w:rFonts w:ascii="Times New Roman PS Std;serif" w:hAnsi="Times New Roman PS Std;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Limitations on Incentive Stock Options.    </w:t>
      </w:r>
      <w:r>
        <w:rPr>
          <w:rFonts w:ascii="Times New Roman PS Std;serif" w:hAnsi="Times New Roman PS Std;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Incentive Stock Option Limit.    </w:t>
      </w:r>
      <w:r>
        <w:rPr>
          <w:rFonts w:ascii="Times New Roman PS Std;serif" w:hAnsi="Times New Roman PS Std;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Awards.    </w:t>
      </w:r>
      <w:r>
        <w:rPr>
          <w:rFonts w:ascii="Times New Roman PS Std;serif" w:hAnsi="Times New Roman PS Std;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Changes to Capital Structure.    </w:t>
      </w:r>
      <w:r>
        <w:rPr>
          <w:rFonts w:ascii="Times New Roman PS Std;serif" w:hAnsi="Times New Roman PS Std;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Transferability.    </w:t>
      </w:r>
      <w:r>
        <w:rPr>
          <w:rFonts w:ascii="Times New Roman PS Std;serif" w:hAnsi="Times New Roman PS Std;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and Termination.    </w:t>
      </w:r>
      <w:r>
        <w:rPr>
          <w:rFonts w:ascii="Times New Roman PS Std;serif" w:hAnsi="Times New Roman PS Std;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2011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2011 Stock Plan.    </w:t>
      </w:r>
      <w:r>
        <w:rPr>
          <w:rFonts w:ascii="Times New Roman PS Std;serif" w:hAnsi="Times New Roman PS Std;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of the Board of Directors administers the 2011 Plan and the awards granted under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Corporate Transactions.    </w:t>
      </w:r>
      <w:r>
        <w:rPr>
          <w:rFonts w:ascii="Times New Roman PS Std;serif" w:hAnsi="Times New Roman PS Std;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2016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2016 Plan.    </w:t>
      </w:r>
      <w:r>
        <w:rPr>
          <w:rFonts w:ascii="Times New Roman PS Std;serif" w:hAnsi="Times New Roman PS Std;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administers the 2016 Plan and the awards granted under 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2006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Background; Termination and No Further Grants Under 2006 Plan.    </w:t>
      </w:r>
      <w:r>
        <w:rPr>
          <w:rFonts w:ascii="Times New Roman PS Std;serif" w:hAnsi="Times New Roman PS Std;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Plan Administration.    </w:t>
      </w:r>
      <w:r>
        <w:rPr>
          <w:rFonts w:ascii="Times New Roman PS Std;serif" w:hAnsi="Times New Roman PS Std;serif"/>
          <w:b w:val="false"/>
          <w:i w:val="false"/>
          <w:caps w:val="false"/>
          <w:smallCaps w:val="false"/>
          <w:sz w:val="20"/>
        </w:rPr>
        <w:t>The Board of Directors or a duly authorized committee administers the 2006 Plan and the awards granted under 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Capitalization Adjustments.    </w:t>
      </w:r>
      <w:r>
        <w:rPr>
          <w:rFonts w:ascii="Times New Roman PS Std;serif" w:hAnsi="Times New Roman PS Std;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Change in Control.    </w:t>
      </w:r>
      <w:r>
        <w:rPr>
          <w:rFonts w:ascii="Times New Roman PS Std;serif" w:hAnsi="Times New Roman PS Std;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Awards.    </w:t>
      </w:r>
      <w:r>
        <w:rPr>
          <w:rFonts w:ascii="Times New Roman PS Std;serif" w:hAnsi="Times New Roman PS Std;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Inducement Grants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Lastly, in connection with our hiring of Tom Kowalczuk as our Chief Financing Officer, we made an inducement grant to Mr. Kowalczuk as a material inducement to employment with SunPower. The inducement grant consists of time-based RSUs for a total of 1,000,000 shares of SunPower common stock, with 20% of the RSUs vesting one year after grant and the remainder vesting ratably on an annual basis over the course of the following four years, subject to the Mr. Kowalczuk’s continuous service through each vesting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Health and Welfare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10b5-1 Sales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Director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tbl>
      <w:tblPr>
        <w:tblW w:w="9080" w:type="dxa"/>
        <w:jc w:val="left"/>
        <w:tblInd w:w="0" w:type="dxa"/>
        <w:tblLayout w:type="fixed"/>
        <w:tblCellMar>
          <w:top w:w="0" w:type="dxa"/>
          <w:left w:w="0" w:type="dxa"/>
          <w:bottom w:w="0" w:type="dxa"/>
          <w:right w:w="0" w:type="dxa"/>
        </w:tblCellMar>
      </w:tblPr>
      <w:tblGrid>
        <w:gridCol w:w="2026"/>
        <w:gridCol w:w="146"/>
        <w:gridCol w:w="607"/>
        <w:gridCol w:w="863"/>
        <w:gridCol w:w="146"/>
        <w:gridCol w:w="286"/>
        <w:gridCol w:w="1126"/>
        <w:gridCol w:w="436"/>
        <w:gridCol w:w="146"/>
        <w:gridCol w:w="700"/>
        <w:gridCol w:w="995"/>
        <w:gridCol w:w="146"/>
        <w:gridCol w:w="286"/>
        <w:gridCol w:w="1171"/>
      </w:tblGrid>
      <w:tr>
        <w:trPr/>
        <w:tc>
          <w:tcPr>
            <w:tcW w:w="20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47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w:t>
              <w:br/>
              <w:t xml:space="preserve">or Paid </w:t>
              <w:br/>
              <w:t>in Cash</w:t>
              <w:br/>
              <w:t>($)</w:t>
            </w:r>
          </w:p>
        </w:tc>
        <w:tc>
          <w:tcPr>
            <w:tcW w:w="146" w:type="dxa"/>
            <w:tcBorders/>
            <w:vAlign w:val="center"/>
          </w:tcPr>
          <w:p>
            <w:pPr>
              <w:pStyle w:val="TableContents"/>
              <w:bidi w:val="0"/>
              <w:spacing w:before="0" w:after="283"/>
              <w:jc w:val="left"/>
              <w:rPr/>
            </w:pPr>
            <w:r>
              <w:rPr/>
              <w:t> </w:t>
            </w:r>
          </w:p>
        </w:tc>
        <w:tc>
          <w:tcPr>
            <w:tcW w:w="1848" w:type="dxa"/>
            <w:gridSpan w:val="3"/>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169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Adam Gishen</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167,091</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167,091</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Antonio R. Alvarez</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160,901</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160,901</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 Lundell</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Devin Whatley</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156,776</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Pasek</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169,153</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169,153</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Tidjane Thiam</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160,077</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160,077</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J. Anderson</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214,536</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214,536</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Lothar Maier</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367,185</w:t>
            </w:r>
          </w:p>
        </w:tc>
        <w:tc>
          <w:tcPr>
            <w:tcW w:w="436" w:type="dxa"/>
            <w:tcBorders/>
            <w:shd w:fill="CCEEFF" w:val="clear"/>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367,185</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Daniel McCranie</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2,217,185</w:t>
            </w:r>
          </w:p>
        </w:tc>
        <w:tc>
          <w:tcPr>
            <w:tcW w:w="436" w:type="dxa"/>
            <w:tcBorders/>
            <w:vAlign w:val="cente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2,217,185</w:t>
            </w:r>
          </w:p>
        </w:tc>
      </w:tr>
      <w:tr>
        <w:trPr/>
        <w:tc>
          <w:tcPr>
            <w:tcW w:w="2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Bernard Gutmann</w:t>
            </w:r>
          </w:p>
        </w:tc>
        <w:tc>
          <w:tcPr>
            <w:tcW w:w="14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Jamie Haenggi</w:t>
            </w:r>
          </w:p>
        </w:tc>
        <w:tc>
          <w:tcPr>
            <w:tcW w:w="146" w:type="dxa"/>
            <w:tcBorders/>
            <w:vAlign w:val="center"/>
          </w:tcPr>
          <w:p>
            <w:pPr>
              <w:pStyle w:val="TableContents"/>
              <w:bidi w:val="0"/>
              <w:spacing w:before="0" w:after="283"/>
              <w:jc w:val="left"/>
              <w:rPr/>
            </w:pPr>
            <w:r>
              <w:rPr/>
              <w:t> </w:t>
            </w:r>
          </w:p>
        </w:tc>
        <w:tc>
          <w:tcPr>
            <w:tcW w:w="60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center"/>
          </w:tcPr>
          <w:p>
            <w:pPr>
              <w:pStyle w:val="TableContents"/>
              <w:bidi w:val="0"/>
              <w:spacing w:before="0" w:after="283"/>
              <w:jc w:val="left"/>
              <w:rPr/>
            </w:pPr>
            <w:r>
              <w:rPr/>
              <w:t> </w:t>
            </w:r>
          </w:p>
        </w:tc>
        <w:tc>
          <w:tcPr>
            <w:tcW w:w="70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total shares underlying the restricted stock unit award were fully vested on the grant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243,169 shares under Mr. McCranie’s restricted stock unit awards were fully vested on the grant date. Mr. McCranie received a one-time grant of 1,000,000 restricted stock units in 2025 that vest in equal monthly installments over five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712"/>
      <w:bookmarkEnd w:id="14"/>
      <w:r>
        <w:rPr>
          <w:rFonts w:ascii="Times New Roman PS Std;serif" w:hAnsi="Times New Roman PS Std;serif"/>
          <w:b/>
          <w:i w:val="false"/>
          <w:caps w:val="false"/>
          <w:smallCaps w:val="false"/>
          <w:sz w:val="20"/>
        </w:rPr>
        <w:t xml:space="preserve">CERTAIN RELATIONSHIPS AND RELATED PARTY TRANSACTIONS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arrangements for our executive officers and directors are described under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Director Compensation</w:t>
      </w:r>
      <w:r>
        <w:rPr>
          <w:rFonts w:ascii="Times New Roman PS Std;serif" w:hAnsi="Times New Roman PS Std;serif"/>
          <w:b w:val="false"/>
          <w:i w:val="false"/>
          <w:caps w:val="false"/>
          <w:smallCaps w:val="false"/>
          <w:sz w:val="20"/>
        </w:rPr>
        <w:t>” above, and the descriptions of such compensation arrangements are incorporated by reference into this section. Additionally, below is a description of transactions since December 30, 2024, the beginning of fiscal year 2025, to which we were a party, in which: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involved exceeded or will exceed $120,000;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Indebtedness Payable to the Rodgers Massey Revocable Living Trust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portion of indebtedness of the Company previously owed to Structural Capital Investments and assigned to, and now owing to, the Rodgers Massey Revocable Living Trust of $1.5 million (plus accrued interest) remained outstanding as of December 28, 2025 and is outstanding as of the date of this Proxy Statement.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 Notes Issued to Affiliates of Thurman J. Rodgers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29, 2026, SunPower issued a convertible promissory note in the original principal amount of $3,300,000 (the “</w:t>
      </w:r>
      <w:r>
        <w:rPr>
          <w:rFonts w:ascii="Times New Roman PS Std;serif" w:hAnsi="Times New Roman PS Std;serif"/>
          <w:b/>
          <w:i/>
          <w:caps w:val="false"/>
          <w:smallCaps w:val="false"/>
          <w:sz w:val="20"/>
        </w:rPr>
        <w:t>January 2026 Note</w:t>
      </w:r>
      <w:r>
        <w:rPr>
          <w:rFonts w:ascii="Times New Roman PS Std;serif" w:hAnsi="Times New Roman PS Std;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the note, subject to adjustment from time to time pursuant to the terms of the January 2026 Note. We may not redeem the January 2026 Note prior to July 5, 2026. We may redeem for cash all (but not less than all) of the January 2026 Note,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2025, SunPower issued a convertible promissory note in the original principal amount of $2,000,000 (the “</w:t>
      </w:r>
      <w:r>
        <w:rPr>
          <w:rFonts w:ascii="Times New Roman PS Std;serif" w:hAnsi="Times New Roman PS Std;serif"/>
          <w:b/>
          <w:i/>
          <w:caps w:val="false"/>
          <w:smallCaps w:val="false"/>
          <w:sz w:val="20"/>
        </w:rPr>
        <w:t>November 2025 Note</w:t>
      </w:r>
      <w:r>
        <w:rPr>
          <w:rFonts w:ascii="Times New Roman PS Std;serif" w:hAnsi="Times New Roman PS Std;serif"/>
          <w:b w:val="false"/>
          <w:i w:val="false"/>
          <w:caps w:val="false"/>
          <w:smallCaps w:val="false"/>
          <w:sz w:val="20"/>
        </w:rPr>
        <w:t xml:space="preserve">”) to a trust controlled by Thurman J. Rodgers. The November 2025 Note bears a 12.0% interest rate, matures on July 1, 2029 unless earlier converted, redeemed or repurchased, and is a general unsecured obligation of the Company. Interest on the November 2025 Note is payable semiannually in arrears on January 1 and July 1 of each year, beginning on January 1, 2026. The November 2025 Note is convertible at the option of the holder at any time prior to the payment of the principal amount of the note in full, at an initial conversion rate equal to 626.9592 shares of Common Stock per $1,000 principal amount due under the note, subject to adjustment from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to time pursuant to the terms of the November 2025 Note. The redemption, change of control and event of default provisions of the November 2025 Note are substantially the same as those described above with respect to the January 2026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2025, we issued a convertible promissory note in the original principal amount of $5,000,000 (the “</w:t>
      </w:r>
      <w:r>
        <w:rPr>
          <w:rFonts w:ascii="Times New Roman PS Std;serif" w:hAnsi="Times New Roman PS Std;serif"/>
          <w:b/>
          <w:i/>
          <w:caps w:val="false"/>
          <w:smallCaps w:val="false"/>
          <w:sz w:val="20"/>
        </w:rPr>
        <w:t>July 2025 Note</w:t>
      </w:r>
      <w:r>
        <w:rPr>
          <w:rFonts w:ascii="Times New Roman PS Std;serif" w:hAnsi="Times New Roman PS Std;serif"/>
          <w:b w:val="false"/>
          <w:i w:val="false"/>
          <w:caps w:val="false"/>
          <w:smallCaps w:val="false"/>
          <w:sz w:val="20"/>
        </w:rPr>
        <w:t>”) to a trust controlled by Thurman J. Rodgers. The July 2025 Note bears a 12.0% interest rate, matures on July 1, 2029 unless earlier converted, redeemed or repurchased, and is a general unsecured obligation of the Company. Interest on the July 2025 Note accrues at a rate of 12.00% per year and is payable semiannually in arrears on January 1 and July 1 of each year, beginning on January 1, 2026. The July 2025 Note is convertible at the option of the holder at any time prior to the payment of the principal amount of the July 2025 Note in full, at an initial conversion rate equal to 558.6592 shares of Common Stock per $1,000 principal amount due under the July 2025 Note, subject to adjustment from time to time pursuant to the terms of the July 2025 Note. The redemption, change of control and event of default provisions of the July 2025 Note are substantially the same as those described above with respect to the January 2026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2024, we entered into Note Purchase Agreements and the Exchange Agreement, pursuant to which we issued to certain accredited investors and qualified institutional buyers approximately $50.0 million in aggregate principal amount of 12% Notes (the “</w:t>
      </w:r>
      <w:r>
        <w:rPr>
          <w:rFonts w:ascii="Times New Roman PS Std;serif" w:hAnsi="Times New Roman PS Std;serif"/>
          <w:b/>
          <w:i/>
          <w:caps w:val="false"/>
          <w:smallCaps w:val="false"/>
          <w:sz w:val="20"/>
        </w:rPr>
        <w:t>July 2024 Notes</w:t>
      </w:r>
      <w:r>
        <w:rPr>
          <w:rFonts w:ascii="Times New Roman PS Std;serif" w:hAnsi="Times New Roman PS Std;serif"/>
          <w:b w:val="false"/>
          <w:i w:val="false"/>
          <w:caps w:val="false"/>
          <w:smallCaps w:val="false"/>
          <w:sz w:val="20"/>
        </w:rPr>
        <w:t>”). A trust controlled by Thurman J. Rodgers holds $18,000,000 principal amount of the July 2024 Notes. The July 2024 Notes accrue interest at the rate of 12.0% annually, which is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such Convertible Note, we will satisfy our conversion obligation by delivering shares of Common Stock and paying cash in respect of any fractional shares. The conversion rate for the July 2024 Notes is initially equal to 595.2381 shares of Common Stock per $1,000 principal amount due under the Convertible Notes, subject to adjustment from time to time pursuant to the terms of the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applicable trusts holding the July 2024 Notes, the July 2025 Note, the November 2025 Note and the January 2026 Note entered into an Equity for Interest Exchange and Consent Agreement pursuant to which the Company issued to such trusts an aggregate of 6,057,795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 Senior Unsecured Convertible Notes Issued to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and 2025, we entered into note purchase agreements with certain accredited investors and qualified institutional buyers relating to the sale and issuance of our 7% Notes. In September 2024, the Company issued $4.0 million principal amount of the 7% Notes to the Rodgers Family and Free Markets Charitable Trust, and the Company issued $4.0 million principal amount of the 7.0%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 and he currently serves as a director and as an officer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the 7% Notes accrues at a rate of 7.00% per year from September 16, 2024 and is payable semiannually in arrears on January 1 and July 1 of each year, beginning on January 1, 2025. The trusts affiliated with Mr. Rodgers and Mr. McCranie received such interest payments during 2025 and will be entitled to such interest payments during 2026. Holders of the 7%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rate for the 7% Notes was initially 467.8363 shares of Common Stock per $1,000 principal amount of 7% Notes. The conversion rate for the 7% Notes is subject to adjustment from time to time in accordance with the terms of the Indenture, and currently the 7.0%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in connection with such a corporate event or notice of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Rodgers Family and Free Markets Charitable Trust and the Rodgers Massey Revocable Living Trust entered into Equity for Interest Exchange and Consent Agreements relating to such 7% Notes and pursuant to which the Company issued to such trusts an aggregate of 998,930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Dan and Kathy McCranie 2000 Revocable Trust entered into an Equity for Interest Exchange and Consent Agreements relating to such 7% Notes and pursuant to which the Company issued to such trust an aggregate of 93,650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 Senior Secured Convertible Notes Issued to Affiliates and Related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 PS Std;serif" w:hAnsi="Times New Roman PS Std;serif"/>
          <w:b/>
          <w:i/>
          <w:caps w:val="false"/>
          <w:smallCaps w:val="false"/>
          <w:sz w:val="20"/>
        </w:rPr>
        <w:t>10% Notes</w:t>
      </w:r>
      <w:r>
        <w:rPr>
          <w:rFonts w:ascii="Times New Roman PS Std;serif" w:hAnsi="Times New Roman PS Std;serif"/>
          <w:b w:val="false"/>
          <w:i w:val="false"/>
          <w:caps w:val="false"/>
          <w:smallCaps w:val="false"/>
          <w:sz w:val="20"/>
        </w:rPr>
        <w:t>”), including $6,000,000 principal amount of 10% Notes issued to trusts affiliated with Thurman J. Rodgers. Additionally, the Company issued $10,000,000 principal amount of 10% Notes to Chicken Parm Pizza LLC (“</w:t>
      </w:r>
      <w:r>
        <w:rPr>
          <w:rFonts w:ascii="Times New Roman PS Std;serif" w:hAnsi="Times New Roman PS Std;serif"/>
          <w:b/>
          <w:i/>
          <w:caps w:val="false"/>
          <w:smallCaps w:val="false"/>
          <w:sz w:val="20"/>
        </w:rPr>
        <w:t>CPP</w:t>
      </w:r>
      <w:r>
        <w:rPr>
          <w:rFonts w:ascii="Times New Roman PS Std;serif" w:hAnsi="Times New Roman PS Std;serif"/>
          <w:b w:val="false"/>
          <w:i w:val="false"/>
          <w:caps w:val="false"/>
          <w:smallCaps w:val="false"/>
          <w:sz w:val="20"/>
        </w:rPr>
        <w:t>”), a greater than 5% stockholder, in exchange for the promissory note originally issued by the Company to CPP on September 24, 2025 in connection with the Company’s acquisition of Sunder Energy (the “</w:t>
      </w:r>
      <w:r>
        <w:rPr>
          <w:rFonts w:ascii="Times New Roman PS Std;serif" w:hAnsi="Times New Roman PS Std;serif"/>
          <w:b/>
          <w:i/>
          <w:caps w:val="false"/>
          <w:smallCaps w:val="false"/>
          <w:sz w:val="20"/>
        </w:rPr>
        <w:t>CPP Seller Note</w:t>
      </w:r>
      <w:r>
        <w:rPr>
          <w:rFonts w:ascii="Times New Roman PS Std;serif" w:hAnsi="Times New Roman PS Std;serif"/>
          <w:b w:val="false"/>
          <w:i w:val="false"/>
          <w:caps w:val="false"/>
          <w:smallCaps w:val="false"/>
          <w:sz w:val="20"/>
        </w:rPr>
        <w:t>”). The 10% Notes are senior, secured obligations of the Company and mature on May 1, 2029, unless earlier converted, redeemed, or repurchased. Interest on the 10% Notes accrues at a rate of 10.00% per year from the first issuance date of the 10% Notes and is payable quarterly in arrears on April 1, July 1, October 1, and January 1 of each year, beginning on July 1, 2026. Holders of the 10% Notes may convert all or any portion of their Notes at any time, in integral multiples of $1,000 principal amount, for shares of the Company’s common stock, at the option of the holder. The conversion rate for the 10% Notes is initially 610.3143 shares of common stock per $1,000 principal amount of 10% Notes. The conversion rate for the 10% Notes is subject to adjustment from time to time in accordance with the terms of the applicable indenture. In addition, following certain corporate events that occur prior to the maturity date of the 10% Notes, the Company will, under certain circumstances, increase the conversion rate of the 10% Notes for a holder who elects to convert its 10% Notes in connection with such a corporate event, subject to a maximum conversion rate of 884.9557 shares of Common Stock per $1,000 principal amount of Notes. The 10% Notes are not redeemable by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on April 21, 2026, the Company entered into a Note Purchase Agreement with CPP (the “</w:t>
      </w:r>
      <w:r>
        <w:rPr>
          <w:rFonts w:ascii="Times New Roman PS Std;serif" w:hAnsi="Times New Roman PS Std;serif"/>
          <w:b/>
          <w:i/>
          <w:caps w:val="false"/>
          <w:smallCaps w:val="false"/>
          <w:sz w:val="20"/>
        </w:rPr>
        <w:t>CPP Note Purchase Agreement</w:t>
      </w:r>
      <w:r>
        <w:rPr>
          <w:rFonts w:ascii="Times New Roman PS Std;serif" w:hAnsi="Times New Roman PS Std;serif"/>
          <w:b w:val="false"/>
          <w:i w:val="false"/>
          <w:caps w:val="false"/>
          <w:smallCaps w:val="false"/>
          <w:sz w:val="20"/>
        </w:rPr>
        <w:t>”) that provides for the following in exchange for the outstanding CPP Seller Note (in addition to the issuance of $10,000,000 principal amount of 10% Notes to CPP as summarized above): (i) the Company’s payment of $4,000,000 in cash to CPP at the closing under the CPP Note Purchase Agreement and (ii) the amendment and restatement of the outstanding CPP Seller Note as further summarized below (the “</w:t>
      </w:r>
      <w:r>
        <w:rPr>
          <w:rFonts w:ascii="Times New Roman PS Std;serif" w:hAnsi="Times New Roman PS Std;serif"/>
          <w:b/>
          <w:i/>
          <w:caps w:val="false"/>
          <w:smallCaps w:val="false"/>
          <w:sz w:val="20"/>
        </w:rPr>
        <w:t>A&amp;R Seller Note</w:t>
      </w:r>
      <w:r>
        <w:rPr>
          <w:rFonts w:ascii="Times New Roman PS Std;serif" w:hAnsi="Times New Roman PS Std;serif"/>
          <w:b w:val="false"/>
          <w:i w:val="false"/>
          <w:caps w:val="false"/>
          <w:smallCaps w:val="false"/>
          <w:sz w:val="20"/>
        </w:rPr>
        <w:t>”). The A&amp;R Seller Note has a principal amount of $7,000,000 and bears interest at 7.0% per annum, compounded quarterly; provided, however, the interest rate increased to 10.0% per annum on May 15, 2026. The outstanding principal and accrued interest under the A&amp;R Seller Note will be paid in four payments in October 15, 2026, November 15, 2026, December 15, 2026 and January 15, 2027, as set forth in the repayment schedule attached to the A&amp;R Seller Note. The A&amp;R Seller Note will mature on the earlier of January 31, 2027 and the date on which all amounts under the A&amp;R Seller Note otherwise become due and payable. The A&amp;R Seller Note must also be repaid in the event of a change of control of the Company or the sale of all or substantially all of the consolidated assets of the Company and its subsidiaries. The A&amp;R Seller Note includes customary events of default, including: (i) the Company’s failure to pay the A&amp;R Seller Note when due; (ii) the Company’s voluntary or involuntary bankruptcy; (iii) the Company’s liquidation or dissolution; (iv) a change of control of the Company; (v) the Company’s material breach of the covenants applicable to the Company under the A&amp;R Seller Note, subject to applicable cure periods; and (vi) if any of the Company’s representations or warranties made in the A&amp;R Seller Note were untrue in any material respect when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19, 2026, the Company issued an additional $5.0 million principal amount of the 10% Notes to Foris Ventures, LLC (“</w:t>
      </w:r>
      <w:r>
        <w:rPr>
          <w:rFonts w:ascii="Times New Roman PS Std;serif" w:hAnsi="Times New Roman PS Std;serif"/>
          <w:b/>
          <w:i/>
          <w:caps w:val="false"/>
          <w:smallCaps w:val="false"/>
          <w:sz w:val="20"/>
        </w:rPr>
        <w:t>Foris</w:t>
      </w:r>
      <w:r>
        <w:rPr>
          <w:rFonts w:ascii="Times New Roman PS Std;serif" w:hAnsi="Times New Roman PS Std;serif"/>
          <w:b w:val="false"/>
          <w:i w:val="false"/>
          <w:caps w:val="false"/>
          <w:smallCaps w:val="false"/>
          <w:sz w:val="20"/>
        </w:rPr>
        <w:t>”), a holder of more than 5% of our capital stock. Additionally, on June 29, 2026, the Company entered into an Equity for Interest Exchange and Consent Agreement with Foris relating to such 10% Notes and pursuant to which the Company issued to Foris 668,926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trusts affiliated with Mr. Rodgers entered into Equity for Interest Exchange and Consent Agreements relating to such 10% Notes and pursuant to which the Company issued to such trusts an aggregate of 802,711 shares of common stock in exchange for the cash interest otherwise payable under such notes on July 1, 2026 and January 1, 2027.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2026, the Company entered into an Equity for Interest Exchange and Consent Agreement with CPP relating to such 10% Notes and pursuant to which the Company issued to CPP 1,337,852 shares of common stock in exchange for the cash interest otherwise payable under such notes on July 1, 2026 and January 1,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SAFE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13, 2024, the Company entered into a Simple Agreement for Future Equity (the “</w:t>
      </w:r>
      <w:r>
        <w:rPr>
          <w:rFonts w:ascii="Times New Roman PS Std;serif" w:hAnsi="Times New Roman PS Std;serif"/>
          <w:b/>
          <w:i/>
          <w:caps w:val="false"/>
          <w:smallCaps w:val="false"/>
          <w:sz w:val="20"/>
        </w:rPr>
        <w:t>Third SAFE</w:t>
      </w:r>
      <w:r>
        <w:rPr>
          <w:rFonts w:ascii="Times New Roman PS Std;serif" w:hAnsi="Times New Roman PS Std;serif"/>
          <w:b w:val="false"/>
          <w:i w:val="false"/>
          <w:caps w:val="false"/>
          <w:smallCaps w:val="false"/>
          <w:sz w:val="20"/>
        </w:rPr>
        <w:t>”) with a trust affiliated with Thurman J. Rodgers (the “</w:t>
      </w:r>
      <w:r>
        <w:rPr>
          <w:rFonts w:ascii="Times New Roman PS Std;serif" w:hAnsi="Times New Roman PS Std;serif"/>
          <w:b/>
          <w:i/>
          <w:caps w:val="false"/>
          <w:smallCaps w:val="false"/>
          <w:sz w:val="20"/>
        </w:rPr>
        <w:t>Purchaser</w:t>
      </w:r>
      <w:r>
        <w:rPr>
          <w:rFonts w:ascii="Times New Roman PS Std;serif" w:hAnsi="Times New Roman PS Std;serif"/>
          <w:b w:val="false"/>
          <w:i w:val="false"/>
          <w:caps w:val="false"/>
          <w:smallCaps w:val="false"/>
          <w:sz w:val="20"/>
        </w:rPr>
        <w:t>”)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as defined in the Third SAFE,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could be settled in cash or a variable number of shares, the Company has accounted for the instrument as a liability at its fair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8, 2026, we entered into a Simple Agreement for Future Equity (the “</w:t>
      </w:r>
      <w:r>
        <w:rPr>
          <w:rFonts w:ascii="Times New Roman PS Std;serif" w:hAnsi="Times New Roman PS Std;serif"/>
          <w:b/>
          <w:i/>
          <w:caps w:val="false"/>
          <w:smallCaps w:val="false"/>
          <w:sz w:val="20"/>
        </w:rPr>
        <w:t>April 2026 SAFE</w:t>
      </w:r>
      <w:r>
        <w:rPr>
          <w:rFonts w:ascii="Times New Roman PS Std;serif" w:hAnsi="Times New Roman PS Std;serif"/>
          <w:b w:val="false"/>
          <w:i w:val="false"/>
          <w:caps w:val="false"/>
          <w:smallCaps w:val="false"/>
          <w:sz w:val="20"/>
        </w:rPr>
        <w:t>”) with the Purchaser in connection with the Purchaser investing $5.0 million in the Company. The April 2026 SAFE was converted and exchanged into $5.0 million principal amount of our 10%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4, 2026, we entered into a Simple Agreement for Future Equity (the “</w:t>
      </w:r>
      <w:r>
        <w:rPr>
          <w:rFonts w:ascii="Times New Roman PS Std;serif" w:hAnsi="Times New Roman PS Std;serif"/>
          <w:b/>
          <w:i/>
          <w:caps w:val="false"/>
          <w:smallCaps w:val="false"/>
          <w:sz w:val="20"/>
        </w:rPr>
        <w:t>August 2026 Foris SAFE</w:t>
      </w:r>
      <w:r>
        <w:rPr>
          <w:rFonts w:ascii="Times New Roman PS Std;serif" w:hAnsi="Times New Roman PS Std;serif"/>
          <w:b w:val="false"/>
          <w:i w:val="false"/>
          <w:caps w:val="false"/>
          <w:smallCaps w:val="false"/>
          <w:sz w:val="20"/>
        </w:rPr>
        <w:t>”) with Foris in connection with Foris investing $3,500,000 in the Company. The August 2026 Foris SAFE was exchanged into shares of our common stock in the September 2026 Common Stock Financing (as defined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we entered into a Simple Agreement for Future Equity (the “</w:t>
      </w:r>
      <w:r>
        <w:rPr>
          <w:rFonts w:ascii="Times New Roman PS Std;serif" w:hAnsi="Times New Roman PS Std;serif"/>
          <w:b/>
          <w:i/>
          <w:caps w:val="false"/>
          <w:smallCaps w:val="false"/>
          <w:sz w:val="20"/>
        </w:rPr>
        <w:t>August 2026 Purchaser SAFE</w:t>
      </w:r>
      <w:r>
        <w:rPr>
          <w:rFonts w:ascii="Times New Roman PS Std;serif" w:hAnsi="Times New Roman PS Std;serif"/>
          <w:b w:val="false"/>
          <w:i w:val="false"/>
          <w:caps w:val="false"/>
          <w:smallCaps w:val="false"/>
          <w:sz w:val="20"/>
        </w:rPr>
        <w:t>”) with the Purchaser in connection with the Purchaser investing $2.0 million in the Company. The August 2026 Purchaser SAFE was exchanged into shares of our common stock in the September 2026 Common Stock Financing (as defined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2026 Common Stock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 2026, we entered into securities purchase agreements with various accredited investors, including entities affiliated with Thurman J. Rodgers, William Anderson, J. Daniel McCranie and Devin Whatley, as well as Foris (the “</w:t>
      </w:r>
      <w:r>
        <w:rPr>
          <w:rFonts w:ascii="Times New Roman PS Std;serif" w:hAnsi="Times New Roman PS Std;serif"/>
          <w:b w:val="false"/>
          <w:i/>
          <w:caps w:val="false"/>
          <w:smallCaps w:val="false"/>
          <w:sz w:val="20"/>
        </w:rPr>
        <w:t>Affiliate Investors</w:t>
      </w:r>
      <w:r>
        <w:rPr>
          <w:rFonts w:ascii="Times New Roman PS Std;serif" w:hAnsi="Times New Roman PS Std;serif"/>
          <w:b w:val="false"/>
          <w:i w:val="false"/>
          <w:caps w:val="false"/>
          <w:smallCaps w:val="false"/>
          <w:sz w:val="20"/>
        </w:rPr>
        <w:t>”), pursuant to which the Company issued and sold 103,109,005 shares of Common Stock in separately negotiated private placement transactions for gross proceeds of approximately $26.2 million (the “</w:t>
      </w:r>
      <w:r>
        <w:rPr>
          <w:rFonts w:ascii="Times New Roman PS Std;serif" w:hAnsi="Times New Roman PS Std;serif"/>
          <w:b/>
          <w:i/>
          <w:caps w:val="false"/>
          <w:smallCaps w:val="false"/>
          <w:sz w:val="20"/>
        </w:rPr>
        <w:t>September 2026 Common Stock Financing</w:t>
      </w:r>
      <w:r>
        <w:rPr>
          <w:rFonts w:ascii="Times New Roman PS Std;serif" w:hAnsi="Times New Roman PS Std;serif"/>
          <w:b w:val="false"/>
          <w:i w:val="false"/>
          <w:caps w:val="false"/>
          <w:smallCaps w:val="false"/>
          <w:sz w:val="20"/>
        </w:rPr>
        <w:t>”), including amounts funded under the August 2026 Foris SAFE and the August 2026 Purchaser SAFE. The ownership of such shares of common stock are reflected in the beneficial ownership table included under “— Security Ownership of Certain Beneficial Owners and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SameDay Solar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that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December 30, 2024, we have paid SameDay Solar a total of approximately $1,901,473 during fiscal 2025 and $2,438,258 year to date during fiscal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 PS Std;serif" w:hAnsi="Times New Roman PS Std;serif"/>
          <w:b w:val="false"/>
          <w:i/>
          <w:caps w:val="false"/>
          <w:smallCaps w:val="false"/>
          <w:sz w:val="20"/>
        </w:rPr>
        <w:t>Executive Compensation — Employment Arrangements with Named Executive Officers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 Grants to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indemnification agreements with its Directors and officers. 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Person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policy, the related person in question or, in the case of transactions with a holder of more than 5% of any class of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relies on information supplied by its executive officers, Directors and certain significant stockholders. In considering a related person transaction, the Company’s Audit Committee takes into account the relevant available facts and circumstances, which may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costs, and benefits to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on a Director’s independence in the event the related person is a director, immediate family member of a director or an entity with which a director is affiliated;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of the related person’s interest in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purpose and terms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management’s recommendation with respect to the proposed related person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other sources for comparable services or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transaction is on terms comparable to those that could be obtained in an arm’s length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Audit Committee will approve only those transactions that it determines are fair to us and in the Company’s best interests.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713"/>
      <w:bookmarkEnd w:id="15"/>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year, a number of brokers with account holders who are our stockholders will be “householding” our proxy materials. A single set of our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notify us by sending a written request to: Attn: Secretary, SunPower Inc., 1403 N. Research Way, Orem, Utah 84097. You will be removed from the householding program, after which you will receive an individual copy of the proxy materials promptly.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currently receive multiple copies of the proxy materials at their addresses and would like to request “householding” of their communications should contact their brokers.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714"/>
      <w:bookmarkEnd w:id="16"/>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tbl>
      <w:tblPr>
        <w:tblW w:w="5138" w:type="dxa"/>
        <w:jc w:val="left"/>
        <w:tblInd w:w="0" w:type="dxa"/>
        <w:tblLayout w:type="fixed"/>
        <w:tblCellMar>
          <w:top w:w="0" w:type="dxa"/>
          <w:left w:w="0" w:type="dxa"/>
          <w:bottom w:w="0" w:type="dxa"/>
          <w:right w:w="0" w:type="dxa"/>
        </w:tblCellMar>
      </w:tblPr>
      <w:tblGrid>
        <w:gridCol w:w="161"/>
        <w:gridCol w:w="146"/>
        <w:gridCol w:w="48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Executive 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28, 2026</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keepNext w:val="false"/>
              <w:widowControl/>
              <w:pBdr/>
              <w:bidi w:val="0"/>
              <w:spacing w:before="120" w:after="120"/>
              <w:ind w:left="540" w:right="60" w:hanging="540"/>
              <w:jc w:val="both"/>
              <w:rPr/>
            </w:pPr>
            <w:r>
              <w:rPr>
                <w:rFonts w:ascii="Times New Roman PS Std;serif" w:hAnsi="Times New Roman PS Std;serif"/>
                <w:b w:val="false"/>
                <w:i w:val="false"/>
                <w:caps w:val="false"/>
                <w:smallCaps w:val="false"/>
                <w:sz w:val="18"/>
              </w:rPr>
              <w:t>*         </w:t>
            </w:r>
            <w:r>
              <w:rPr>
                <w:rFonts w:ascii="Times New Roman PS Std;serif" w:hAnsi="Times New Roman PS Std;serif"/>
                <w:b w:val="false"/>
                <w:i w:val="false"/>
                <w:caps w:val="false"/>
                <w:smallCaps w:val="false"/>
                <w:sz w:val="20"/>
              </w:rPr>
              <w:t xml:space="preserve">A copy of our Annual Report on </w:t>
            </w:r>
            <w:hyperlink r:id="rId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 xml:space="preserve">for the fiscal year ended December 28, 2025 is available free of charge at the SEC’s web 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Stockholders can also access this Proxy Statement and our Annual Report on </w:t>
            </w:r>
            <w:hyperlink r:id="rId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 xml:space="preserve">for the fiscal year ended December 28, 2025 at the investors section of our website at </w:t>
            </w:r>
            <w:r>
              <w:rPr>
                <w:rFonts w:ascii="Times New Roman PS Std;serif" w:hAnsi="Times New Roman PS Std;serif"/>
                <w:b w:val="false"/>
                <w:i/>
                <w:caps w:val="false"/>
                <w:smallCaps w:val="false"/>
                <w:sz w:val="20"/>
              </w:rPr>
              <w:t>https://investors.sunpower.com/financial-information/sec-filings</w:t>
            </w:r>
            <w:r>
              <w:rPr>
                <w:rFonts w:ascii="Times New Roman PS Std;serif" w:hAnsi="Times New Roman PS Std;serif"/>
                <w:b w:val="false"/>
                <w:i w:val="false"/>
                <w:caps w:val="false"/>
                <w:smallCaps w:val="false"/>
                <w:sz w:val="20"/>
              </w:rPr>
              <w:t xml:space="preserve">. A copy of our Annual Report on </w:t>
            </w:r>
            <w:hyperlink r:id="rId5">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val="false"/>
                <w:caps w:val="false"/>
                <w:smallCaps w:val="false"/>
                <w:sz w:val="20"/>
              </w:rPr>
              <w:t>for the fiscal year ended December 28, 2025 is available without charge upon written request to: Secretary, SunPower Inc., 1403 N. Research Way, Orem, UT 84097.*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715"/>
      <w:bookmarkEnd w:id="17"/>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statements in this Proxy Statement may constitute “forward-looking statements” for purposes of the federal securities laws. Our forward-looking statements include, but are not limited to, statements regarding our expectations, hopes, beliefs, intentions or strategies regarding the future, the expectations, hopes, beliefs, intentions or strategies regarding the future of our Board of Directors and its committees,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in this Proxy Statement may include, for example and without limitation, statements about the anticipated effects of the Reverse Stock Split, including our expectations regarding the effect of the Reverse Stock Split on the per share market price and trading liquidity of our Common Stock, our ability to regain or maintain compliance with the continued listing standards of Nasdaq, the ability of the Reverse Stock Split to broaden the range of investors in our Common Stock, the anticipated timing of the split effective time and the ratio expected to be selected by our Board of Directors, our expectations regarding further business growth and profitability, our ability to achieve positive cash flows, our ability to integrate acquired businesses, our ability to attract and retain talent and the use of equity-based compensation to attract and retain talent, and the dilution that may be incurred by existing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results could differ materially from these forward-looking statements as a result of certain risks and uncertainties, including, without limitation, the risks described under “</w:t>
      </w:r>
      <w:r>
        <w:rPr>
          <w:rFonts w:ascii="Times New Roman PS Std;serif" w:hAnsi="Times New Roman PS Std;serif"/>
          <w:b w:val="false"/>
          <w:i/>
          <w:caps w:val="false"/>
          <w:smallCaps w:val="false"/>
          <w:sz w:val="20"/>
        </w:rPr>
        <w:t>Proposal No. 2 — Certain Risks Associated with the Reverse Stock Split</w:t>
      </w:r>
      <w:r>
        <w:rPr>
          <w:rFonts w:ascii="Times New Roman PS Std;serif" w:hAnsi="Times New Roman PS Std;serif"/>
          <w:b w:val="false"/>
          <w:i w:val="false"/>
          <w:caps w:val="false"/>
          <w:smallCaps w:val="false"/>
          <w:sz w:val="20"/>
        </w:rPr>
        <w:t>,” our ability to grow our business, our ability to achieve profitability and positive cash flows, our ability to integrate acquired businesses and to achieve the anticipated benefits of our acquisitions, our ability to attract and retain employees, our ability to effectively implement our equity-based compensation programs, and the other risks and uncertainties applicable to our business. For additional information on these risks and uncertainties and other potential factors that could affect our business and financial results or cause actual results to differ from the results predicted, readers should carefully consider the foregoing factors and the other risks and uncertainties described in the “Risk Factors” section of our Annual Report on Form 10-K for the fiscal year ended December 28, 2025 filed with the SEC on April 14, 2026, our quarterly reports on Form 10-Q that we file with the SEC, and other documents that we have filed and that we will file with the SEC. Such filings identify and address other important risks and uncertainties that could cause actual events and results to differ materially from those contained in the forward-looking statements. Forward-looking statements in this Proxy Statement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widowControl/>
        <w:pBdr/>
        <w:bidi w:val="0"/>
        <w:spacing w:before="160" w:after="283"/>
        <w:jc w:val="right"/>
        <w:rPr>
          <w:rFonts w:ascii="Times New Roman PS Std;serif" w:hAnsi="Times New Roman PS Std;serif"/>
          <w:b/>
          <w:i w:val="false"/>
          <w:caps w:val="false"/>
          <w:smallCaps w:val="false"/>
          <w:sz w:val="20"/>
        </w:rPr>
      </w:pPr>
      <w:bookmarkStart w:id="18" w:name="T99716"/>
      <w:bookmarkEnd w:id="18"/>
      <w:r>
        <w:rPr>
          <w:rFonts w:ascii="Times New Roman PS Std;serif" w:hAnsi="Times New Roman PS Std;serif"/>
          <w:b/>
          <w:i w:val="false"/>
          <w:caps w:val="false"/>
          <w:smallCaps w:val="false"/>
          <w:sz w:val="20"/>
        </w:rPr>
        <w:t xml:space="preserve">APPENDIX A </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 CERTIFICATE OF AMENDMENT OF CERTIFICATE OF INCORPORATION</w:t>
      </w:r>
    </w:p>
    <w:p>
      <w:pPr>
        <w:pStyle w:val="TextBody"/>
        <w:keepNext w:val="tru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w:t>
        <w:br/>
        <w:t>OF</w:t>
        <w:br/>
        <w:t>CERTIFICATE OF INCORPORATION</w:t>
        <w:br/>
        <w:t>OF</w:t>
        <w:br/>
        <w:t>SUNPOWER INC.</w:t>
      </w:r>
    </w:p>
    <w:p>
      <w:pPr>
        <w:pStyle w:val="TextBody"/>
        <w:widowControl/>
        <w:pBdr/>
        <w:bidi w:val="0"/>
        <w:spacing w:before="160" w:after="283"/>
        <w:jc w:val="both"/>
        <w:rPr/>
      </w:pPr>
      <w:r>
        <w:rPr>
          <w:rFonts w:ascii="Times New Roman PS Std;serif" w:hAnsi="Times New Roman PS Std;serif"/>
          <w:b w:val="false"/>
          <w:i w:val="false"/>
          <w:caps w:val="false"/>
          <w:smallCaps w:val="false"/>
          <w:sz w:val="20"/>
        </w:rPr>
        <w:t>SunPower Inc. (the “</w:t>
      </w:r>
      <w:r>
        <w:rPr>
          <w:rFonts w:ascii="Times New Roman PS Std;serif" w:hAnsi="Times New Roman PS Std;serif"/>
          <w:b/>
          <w:i w:val="false"/>
          <w:caps w:val="false"/>
          <w:smallCaps w:val="false"/>
          <w:sz w:val="20"/>
        </w:rPr>
        <w:t>Company</w:t>
      </w:r>
      <w:r>
        <w:rPr>
          <w:caps w:val="false"/>
          <w:smallCaps w:val="false"/>
        </w:rPr>
        <w:t>”</w:t>
      </w:r>
      <w:r>
        <w:rPr>
          <w:rFonts w:ascii="Times New Roman PS Std;serif" w:hAnsi="Times New Roman PS Std;serif"/>
          <w:b w:val="false"/>
          <w:i w:val="false"/>
          <w:caps w:val="false"/>
          <w:smallCaps w:val="false"/>
          <w:sz w:val="20"/>
        </w:rPr>
        <w:t>), a corporation organized and existing under the General Corporation Law of the State of Delaware (the “</w:t>
      </w:r>
      <w:r>
        <w:rPr>
          <w:rFonts w:ascii="Times New Roman PS Std;serif" w:hAnsi="Times New Roman PS Std;serif"/>
          <w:b/>
          <w:i w:val="false"/>
          <w:caps w:val="false"/>
          <w:smallCaps w:val="false"/>
          <w:sz w:val="20"/>
        </w:rPr>
        <w:t>DGCL</w:t>
      </w:r>
      <w:r>
        <w:rPr>
          <w:caps w:val="false"/>
          <w:smallCaps w:val="false"/>
        </w:rPr>
        <w:t>”</w:t>
      </w:r>
      <w:r>
        <w:rPr>
          <w:rFonts w:ascii="Times New Roman PS Std;serif" w:hAnsi="Times New Roman PS Std;serif"/>
          <w:b w:val="false"/>
          <w:i w:val="false"/>
          <w:caps w:val="false"/>
          <w:smallCaps w:val="false"/>
          <w:sz w:val="20"/>
        </w:rPr>
        <w:t>), hereby certifies as follows:</w:t>
      </w:r>
    </w:p>
    <w:p>
      <w:pPr>
        <w:pStyle w:val="TextBody"/>
        <w:widowControl/>
        <w:pBdr/>
        <w:bidi w:val="0"/>
        <w:spacing w:before="160" w:after="283"/>
        <w:ind w:left="0" w:right="0" w:firstLine="720"/>
        <w:jc w:val="both"/>
        <w:rPr/>
      </w:pPr>
      <w:r>
        <w:rPr>
          <w:rFonts w:ascii="Times New Roman PS Std;serif" w:hAnsi="Times New Roman PS Std;serif"/>
          <w:b w:val="false"/>
          <w:i w:val="false"/>
          <w:caps w:val="false"/>
          <w:smallCaps w:val="false"/>
          <w:sz w:val="20"/>
        </w:rPr>
        <w:t>FIRST: The name of the corporation is SunPower Inc. The Company’s original Certificate of Incorporation was filed with the Delaware Secretary of State on July 17, 2023, and such original Certificate of Incorporation was amended effective on October 17, 2025 (as amended, the “</w:t>
      </w:r>
      <w:r>
        <w:rPr>
          <w:rFonts w:ascii="Times New Roman PS Std;serif" w:hAnsi="Times New Roman PS Std;serif"/>
          <w:b/>
          <w:i w:val="false"/>
          <w:caps w:val="false"/>
          <w:smallCaps w:val="false"/>
          <w:sz w:val="20"/>
        </w:rPr>
        <w:t>Certificate of Incorporation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Section A of Article IV of the Certificate of Incorporation is hereby amended by adding the following new paragraphs at the end of such Section A of Article IV:</w:t>
      </w:r>
    </w:p>
    <w:p>
      <w:pPr>
        <w:pStyle w:val="TextBody"/>
        <w:widowControl/>
        <w:pBdr/>
        <w:bidi w:val="0"/>
        <w:spacing w:before="160" w:after="283"/>
        <w:ind w:left="720" w:right="0" w:hanging="0"/>
        <w:jc w:val="both"/>
        <w:rPr/>
      </w:pPr>
      <w:r>
        <w:rPr>
          <w:caps w:val="false"/>
          <w:smallCaps w:val="false"/>
        </w:rPr>
        <w:t>“</w:t>
      </w:r>
      <w:r>
        <w:rPr>
          <w:rFonts w:ascii="Times New Roman PS Std;serif" w:hAnsi="Times New Roman PS Std;serif"/>
          <w:b w:val="false"/>
          <w:i w:val="false"/>
          <w:caps w:val="false"/>
          <w:smallCaps w:val="false"/>
          <w:sz w:val="20"/>
        </w:rPr>
        <w:t>Effective at 4:01 p.m. Eastern Time on [    ], 2026 (the “</w:t>
      </w:r>
      <w:r>
        <w:rPr>
          <w:rFonts w:ascii="Times New Roman PS Std;serif" w:hAnsi="Times New Roman PS Std;serif"/>
          <w:b/>
          <w:i w:val="false"/>
          <w:caps w:val="false"/>
          <w:smallCaps w:val="false"/>
          <w:sz w:val="20"/>
        </w:rPr>
        <w:t>Effective Time</w:t>
      </w:r>
      <w:r>
        <w:rPr>
          <w:caps w:val="false"/>
          <w:smallCaps w:val="false"/>
        </w:rPr>
        <w:t>”</w:t>
      </w:r>
      <w:r>
        <w:rPr>
          <w:rFonts w:ascii="Times New Roman PS Std;serif" w:hAnsi="Times New Roman PS Std;serif"/>
          <w:b w:val="false"/>
          <w:i w:val="false"/>
          <w:caps w:val="false"/>
          <w:smallCaps w:val="false"/>
          <w:sz w:val="20"/>
        </w:rPr>
        <w:t>), every [    ] shares of Common Stock (as defined herein) then issued and outstanding or held in the treasury of the Company immediately prior to the Effective Time shall automatically be combined into one (1) share of Common Stock, without any further action by the holders of such shares (the “</w:t>
      </w:r>
      <w:r>
        <w:rPr>
          <w:rFonts w:ascii="Times New Roman PS Std;serif" w:hAnsi="Times New Roman PS Std;serif"/>
          <w:b/>
          <w:i w:val="false"/>
          <w:caps w:val="false"/>
          <w:smallCaps w:val="false"/>
          <w:sz w:val="20"/>
        </w:rPr>
        <w:t>Reverse Stock Split</w:t>
      </w:r>
      <w:r>
        <w:rPr>
          <w:caps w:val="false"/>
          <w:smallCaps w:val="false"/>
        </w:rPr>
        <w:t>”</w:t>
      </w:r>
      <w:r>
        <w:rPr>
          <w:rFonts w:ascii="Times New Roman PS Std;serif" w:hAnsi="Times New Roman PS Std;serif"/>
          <w:b w:val="false"/>
          <w:i w:val="false"/>
          <w:caps w:val="false"/>
          <w:smallCaps w:val="false"/>
          <w:sz w:val="20"/>
        </w:rPr>
        <w:t>). The Reverse Stock Split will be effected on a holder-by-holder basis, and any fractional shares resulting from such combination shall be rounded down to the nearest whole share on a holder-by-holder basis. No fractional shares shall be issued in connection with the Reverse Stock Split. In lieu of any fractional shares to which a holder would otherwise be entitled, the Company shall take such actions as permitted by and in accordance with Section 155 of the DGCL. The Reverse Stock Split shall occur automatically without any further action by the holders of the shares of Common Stock and Preferred Stock affected thereby. All rights, preferences and privileges of the Common Stock and the Preferred Stock shall be appropriately adjusted to reflect the Reverse Stock Split in accordance with this Certificate of Incorporation.</w:t>
      </w:r>
    </w:p>
    <w:p>
      <w:pPr>
        <w:pStyle w:val="TextBody"/>
        <w:widowControl/>
        <w:pBdr/>
        <w:bidi w:val="0"/>
        <w:spacing w:before="160" w:after="283"/>
        <w:ind w:left="72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 value per share of the Company’s capital stock and the total number of shares of all classes of capital stock that the Company is authorized to issue pursuant to this Section A of Article IV shall, in each case, not be affected by the Reverse Stock Split.”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All other provisions of the Company’s Certificate of Incorporation will remain in full force and effect.</w:t>
      </w:r>
    </w:p>
    <w:p>
      <w:pPr>
        <w:pStyle w:val="TextBody"/>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FOURTH: This amendment was duly adopted in accordance with the provisions of Section 242 of the DGCL.</w:t>
      </w:r>
    </w:p>
    <w:p>
      <w:pPr>
        <w:pStyle w:val="TextBody"/>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Company has caused this Certificate of Amendment to be signed by [    ], its [    ], this [    ] day of [    ], 2026.</w:t>
      </w:r>
    </w:p>
    <w:tbl>
      <w:tblPr>
        <w:tblW w:w="5015" w:type="dxa"/>
        <w:jc w:val="left"/>
        <w:tblInd w:w="0" w:type="dxa"/>
        <w:tblLayout w:type="fixed"/>
        <w:tblCellMar>
          <w:top w:w="0" w:type="dxa"/>
          <w:left w:w="0" w:type="dxa"/>
          <w:bottom w:w="0" w:type="dxa"/>
          <w:right w:w="0" w:type="dxa"/>
        </w:tblCellMar>
      </w:tblPr>
      <w:tblGrid>
        <w:gridCol w:w="161"/>
        <w:gridCol w:w="146"/>
        <w:gridCol w:w="751"/>
        <w:gridCol w:w="146"/>
        <w:gridCol w:w="38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708" w:type="dxa"/>
            <w:gridSpan w:val="3"/>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SUNPOWER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Thurman J. Rodgers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center"/>
          </w:tcPr>
          <w:p>
            <w:pPr>
              <w:pStyle w:val="TableContents"/>
              <w:bidi w:val="0"/>
              <w:spacing w:before="0" w:after="283"/>
              <w:jc w:val="left"/>
              <w:rPr/>
            </w:pPr>
            <w:r>
              <w:rPr/>
              <w:t> </w:t>
            </w:r>
          </w:p>
        </w:tc>
        <w:tc>
          <w:tcPr>
            <w:tcW w:w="381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C/O TABULATOR, P.O. BOX 8016, CARY, NC 27512-9903 Have your ballot ready and please use one of the methods below for easy voting: Your control number Have the 12 digit control number located in the box above available when you access the website and follow the instructions. SunPower Inc. Annual Meeting of Stockholders For Stockholders of record as of September 18, 2026 Monday, November 2, 2026 11:00 AM, Pacific Time Annual Meeting to be held live via the Internet - please visit www.proxydocs.com/SPWR for more details. Internet: www.proxydocs.com/SPWR • Cast your vote online • Have your Proxy Card ready • Follow the simple instructions to record your vote Phone: 1-866-994-3906 • Use any touch-tone telephone • Have your Proxy Card ready • Follow the simple recorded instructions Mail: • Mark, sign and date your Proxy Card • Fold and return your Proxy Card in the postage-paid envelope provided Virtual: You must register to attend the meeting online and/or participate at www.proxydocs.com/SPWR YOUR VOTE IS IMPORTANT! PLEASE VOTE BY: 11:00 AM, Pacific Time, November 2, 2026. This proxy is being solicited on behalf of the Board of Directors The undersigned hereby appoints Thurman J. Rodgers and Tom Kowalczuk (the “Named Proxies”), and each or either of them, as the true and lawful attorneys of the undersigned, with full power of substitution and revocation, and authorizes them, and each of them, to vote all the shares of capital stock of SunPower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This proxy is being solicited on behalf of the Board of Directors PLEASE BE SURE TO SIGN AND DATE THIS PROXY CARD AND MARK ON THE REVERSE SIDE Copyright © 2026 BetaNXT, Inc. or its affiliates. All Rights Reserved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SunPower Inc. Annual Meeting of Stockholders Please make your marks like this: THE BOARD OF DIRECTORS RECOMMENDS A VOTE: FOR ON PROPOSALS 1, 2 AND 3 PROPOSAL 1. To elect each of the Board of Directors’ 11 nominees for director to serve until the 2027 annual meeting of stockholders; YOUR VOTE 1.01 Thurman J, Rodgers FOR 1.02 Antonio R. Alvarez 1.03 William J. Anderson 1.04 Adam Gishen 1.05 Chris Lundell 1.06 Lothar Maier 1.07 J. Daniel McCranie 1.08 Ronald Pasek 1.09 Tidjane Thiam 1.10 Bernard Gutmann 1.11 Devin Whatley FOR FOR WITHHOLD 2. To approve an amendment to our Certificate of Incorporation, as previously amended, to effect a reverse stock split of our issued and outstanding shares of common stock, par value $0.0001 per share (the “Common Stock”), at a ratio ranging from 1-for-5 to 1-for-35, with the exact ratio to be set within that range at the discretion of our Board of Directors without further approval or authorization of our stockholders, and with our Board of Directors retaining the authority to abandon the amendment at any time prior to the filing thereof; AGAINST ABSTAIN 3. To ratify the selection of BDO USA, P.C. as our independent registered public accounting firm for the fiscal year ending January 3, 2027; and To transact such other business as may properly come before the Annual Meeting or any adjournment or postponement thereof. You must register to attend the meeting online and/or participate at www.proxydocs.com/SPWR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8987/000121390026043623/ea0283920-10k_sunpower.htm" TargetMode="External"/><Relationship Id="rId4" Type="http://schemas.openxmlformats.org/officeDocument/2006/relationships/hyperlink" Target="http://www.sec.gov/Archives/edgar/data/1838987/000121390026043623/ea0283920-10k_sunpower.htm" TargetMode="External"/><Relationship Id="rId5" Type="http://schemas.openxmlformats.org/officeDocument/2006/relationships/hyperlink" Target="http://www.sec.gov/Archives/edgar/data/1838987/000121390026043623/ea0283920-10k_sunpower.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39630</Words>
  <Characters>208462</Characters>
  <CharactersWithSpaces>248509</CharactersWithSpaces>
  <Paragraphs>1745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