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9722601-424b3_sunpower.htm"/>
      <w:bookmarkStart w:id="1" w:name="ksea029722601424b3_sunpower"/>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333-292713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2</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June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48,521,163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June 1, 2026 (as amended or supplemented,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S-1 (No. 333-292713). This prospectus supplement is being filed to update and supplement the information in the prospectus with the information contained in (the “</w:t>
      </w:r>
      <w:r>
        <w:rPr>
          <w:rFonts w:ascii="Times New Roman;Times;Serif" w:hAnsi="Times New Roman;Times;Serif"/>
          <w:b/>
          <w:i w:val="false"/>
          <w:caps w:val="false"/>
          <w:smallCaps w:val="false"/>
          <w:sz w:val="20"/>
        </w:rPr>
        <w:t>Supplemental Information</w:t>
      </w:r>
      <w:r>
        <w:rPr>
          <w:rFonts w:ascii="Times New Roman;Times;Serif" w:hAnsi="Times New Roman;Times;Serif"/>
          <w:b w:val="false"/>
          <w:i w:val="false"/>
          <w:caps w:val="false"/>
          <w:smallCaps w:val="false"/>
          <w:sz w:val="20"/>
        </w:rPr>
        <w:t>”) our Current Report on Form 8-K filed with the Securities and Exchange Commission on July 7, 2026 (the “</w:t>
      </w: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Accordingly, we have attached the Current Report to this prospectus supplement with respect to the Supplemental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 to the potential offer and sale of up to 48,521,163 shares of our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by White Lion Capital, LLC (“</w:t>
      </w:r>
      <w:r>
        <w:rPr>
          <w:rFonts w:ascii="Times New Roman;Times;Serif" w:hAnsi="Times New Roman;Times;Serif"/>
          <w:b/>
          <w:i w:val="false"/>
          <w:caps w:val="false"/>
          <w:smallCaps w:val="false"/>
          <w:sz w:val="20"/>
        </w:rPr>
        <w:t>White Lion</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Selling Securityholder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to which the prospectus and this prospectus supplement relate may be issued to White Lion pursuant to the Common Stock Purchase Agreement dated July 16, 2024 between us and White Lion, as amended by Amendment No. 1 to the Common Stock Purchase Agreement dated July 24, 2024, Amendment No. 2 to the Common Stock Purchase Agreement dated August 14, 2024, and Amendment No. 3 to the Common Stock Purchase Agreement dated January 11, 2026 (as amended, the “</w:t>
      </w:r>
      <w:r>
        <w:rPr>
          <w:rFonts w:ascii="Times New Roman;Times;Serif" w:hAnsi="Times New Roman;Times;Serif"/>
          <w:b/>
          <w:i w:val="false"/>
          <w:caps w:val="false"/>
          <w:smallCaps w:val="false"/>
          <w:sz w:val="20"/>
        </w:rPr>
        <w:t>White Lion Purchase Agreement</w:t>
      </w:r>
      <w:r>
        <w:rPr>
          <w:rFonts w:ascii="Times New Roman;Times;Serif" w:hAnsi="Times New Roman;Times;Serif"/>
          <w:b w:val="false"/>
          <w:i w:val="false"/>
          <w:caps w:val="false"/>
          <w:smallCaps w:val="false"/>
          <w:sz w:val="20"/>
        </w:rPr>
        <w:t>”), establishing an equity line of credit. Such shares of our common stock include up to 48,521,163 shares of common stock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 that we may elect, in our sole discretion, to issue and sell to White Lion from time to time during the White Lion Commitment Period (as defined below) subject to and pursuant to the terms and conditions of the White Lion Purchase Agreement (assuming the shares to be issued are sold at a price of $1.00 per share). See “</w:t>
      </w:r>
      <w:r>
        <w:rPr>
          <w:rFonts w:ascii="Times New Roman;Times;Serif" w:hAnsi="Times New Roman;Times;Serif"/>
          <w:b w:val="false"/>
          <w:i/>
          <w:caps w:val="false"/>
          <w:smallCaps w:val="false"/>
          <w:sz w:val="20"/>
        </w:rPr>
        <w:t>The White Lion Transaction</w:t>
      </w:r>
      <w:r>
        <w:rPr>
          <w:rFonts w:ascii="Times New Roman;Times;Serif" w:hAnsi="Times New Roman;Times;Serif"/>
          <w:b w:val="false"/>
          <w:i w:val="false"/>
          <w:caps w:val="false"/>
          <w:smallCaps w:val="false"/>
          <w:sz w:val="20"/>
        </w:rPr>
        <w:t>” below for a description of the White Lion Purchase Agreement and “</w:t>
      </w:r>
      <w:r>
        <w:rPr>
          <w:rFonts w:ascii="Times New Roman;Times;Serif" w:hAnsi="Times New Roman;Times;Serif"/>
          <w:b w:val="false"/>
          <w:i/>
          <w:caps w:val="false"/>
          <w:smallCaps w:val="false"/>
          <w:sz w:val="20"/>
        </w:rPr>
        <w:t>Selling Securityholder</w:t>
      </w:r>
      <w:r>
        <w:rPr>
          <w:rFonts w:ascii="Times New Roman;Times;Serif" w:hAnsi="Times New Roman;Times;Serif"/>
          <w:b w:val="false"/>
          <w:i w:val="false"/>
          <w:caps w:val="false"/>
          <w:smallCaps w:val="false"/>
          <w:sz w:val="20"/>
        </w:rPr>
        <w:t>” for additional information regarding White 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Offered Securities issuable to White Lion will vary depending on the then-current market price of shares of our common stock sold to the Selling Securityholder under the White Lion Purchase Agreement and are subject to the further limitations set forth in the White Lion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the prospectus or this prospectus supplement and will not receive any of the proceeds from the sale of shares of common stock by the Selling Securityholder. However, we may receive proceeds of up to $48.5 million from the sale of the Offered Securities to the Selling Securityholder pursuant to the White Lion Purchase Agreement after the date of this prospectus (assuming the shares are sold at a price of $1.00 per share). The actual proceeds from White Lion under the White Lion Purchase Agreement may be less than this amount depending on the number of shares of our common stock sold and the price at which the shares of our common stock are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 may sell or otherwise dispose of the shares of common stock described in the prospectus and this prospectus supplement in a number of different ways and at varying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more information about how the Selling Securityholder may sell or otherwise dispose of the shares of common stock being registered pursuant to the prospectus and this prospectus supplement. The Selling Securityholder is an “underwriter” within the meaning of Section 2(a)(11) of the Securities Act of 1933, as amended.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 will pay all brokerage fees and commissions and similar expenses attributable to the sales of its common stock. We will pay the expenses (except brokerage fees and commissions and similar expenses) incurred in registering the shares of common stock offered hereby, including legal and accounting fees.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(“Nasdaq”) under the symbol “SPWR”. On July 6, 2026, the closing price of our common stock was $0.6002.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delivered or utilized except in connection with, the prospectus, including any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10 of the prospectus, and under similar headings in any amendments or supplements to the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prospectus or this prospectus supplement.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July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28" w:type="dxa"/>
          <w:right w:w="0" w:type="dxa"/>
        </w:tblCellMar>
      </w:tblPr>
      <w:tblGrid>
        <w:gridCol w:w="4340"/>
        <w:gridCol w:w="60"/>
        <w:gridCol w:w="1085"/>
      </w:tblGrid>
      <w:tr>
        <w:trPr/>
        <w:tc>
          <w:tcPr>
            <w:tcW w:w="4340" w:type="dxa"/>
            <w:tcBorders>
              <w:bottom w:val="single" w:sz="12" w:space="0" w:color="000000"/>
            </w:tcBorders>
            <w:vAlign w:val="center"/>
          </w:tcPr>
          <w:p>
            <w:pPr>
              <w:pStyle w:val="TableContents"/>
              <w:bidi w:val="0"/>
              <w:spacing w:before="0" w:after="283"/>
              <w:jc w:val="center"/>
              <w:rPr>
                <w:b/>
              </w:rPr>
            </w:pPr>
            <w:r>
              <w:rPr>
                <w:b/>
              </w:rPr>
              <w:t>45700 Northport Loop East, Fremont, CA</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94538</w:t>
            </w:r>
          </w:p>
        </w:tc>
      </w:tr>
      <w:tr>
        <w:trPr/>
        <w:tc>
          <w:tcPr>
            <w:tcW w:w="4340"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(510) 270-2507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of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Chief Financial Officer and Principal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(the “Company”) has appointed Tom Kowalczuk as the Company’s Chief Financial Officer and Principal Financial Officer, effective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Kowalczuk, age 43, has more than 20 years of finance and accounting experience. Before joining the Company, Mr. Kowalczuk served as Chief Financial Officer of Bespoken Spirits from February 2025 until June 2026, and prior to that as Vice President of Finance of Bespoken Spirits from March 2024 until February 2025. Prior to Bespoken Spirits, Mr. Kowalczuk served as Director of Supply Chain FP&amp;A for the USA and Canada at Campari February 2023 until March 2024, overseeing FP&amp;A and operational finance support across U.S. and Canadian manufacturing and supply chain operations. Prior to Campari, Mr. Kowalczuk held roles of increasing responsibility at Beam Suntory from 2008 to 2023, most recently serving as Finance Business Partner Manufacturing Excellence, supporting multi-site manufacturing operations representing more than $2 billion in annual revenue. Mr. Kowalczuk holds a Master of Business Administration from the University of Chicago Booth School of Business and a double major in Accounting and Finance from Northeastern Illinois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entered into an offer letter (the “Offer Letter”) with Mr. Kowalczuk in connection with his employment as Chief Financial Officer. Pursuant to the Offer Letter, Mr. Kowalczuk will have an annual base salary of $400,000 and an annual target bonus opportunity of 50% of his base salary. Mr. Kowalczuk will be granted 1,000,000 restricted stock units (“RSUs”) as an employment inducement award under applicable Nasdaq rules, of which the first 20% of the RSUs will be subject to a 12-month "cliff" vesting provision and with the remainder vesting ratably on an annual basis over the course of the following four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arrangement or understanding exists between Mr. Kowalczuk and any other person pursuant to which Mr. Kowalczuk was selected to serve as the Company’s Chief Financial Officer and its Principal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Mr. Kowalczuk and any director or executive officer of the Company that would be required to be disclosed pursuant to Item 401(d) of Regulation S-K, and there are no transactions involving Mr. Kowalczuk that would be required to be disclosed pursuant to Item 404(a) of Regulation 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560" w:type="dxa"/>
        <w:jc w:val="left"/>
        <w:tblInd w:w="0" w:type="dxa"/>
        <w:tblLayout w:type="fixed"/>
        <w:tblCellMar>
          <w:top w:w="0" w:type="dxa"/>
          <w:left w:w="0" w:type="dxa"/>
          <w:bottom w:w="0" w:type="dxa"/>
          <w:right w:w="0" w:type="dxa"/>
        </w:tblCellMar>
      </w:tblPr>
      <w:tblGrid>
        <w:gridCol w:w="1895"/>
        <w:gridCol w:w="365"/>
        <w:gridCol w:w="2300"/>
      </w:tblGrid>
      <w:tr>
        <w:trPr/>
        <w:tc>
          <w:tcPr>
            <w:tcW w:w="189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b/>
                <w:smallCaps/>
              </w:rPr>
            </w:pPr>
            <w:r>
              <w:rPr>
                <w:b/>
                <w:smallCaps/>
              </w:rPr>
              <w:t>SunPower Inc.</w:t>
            </w:r>
          </w:p>
        </w:tc>
      </w:tr>
      <w:tr>
        <w:trPr/>
        <w:tc>
          <w:tcPr>
            <w:tcW w:w="1895" w:type="dxa"/>
            <w:tcBorders/>
            <w:vAlign w:val="center"/>
          </w:tcPr>
          <w:p>
            <w:pPr>
              <w:pStyle w:val="TableContents"/>
              <w:bidi w:val="0"/>
              <w:spacing w:before="0" w:after="283"/>
              <w:jc w:val="left"/>
              <w:rPr/>
            </w:pPr>
            <w:r>
              <w:rPr/>
              <w:t>Dated: July 7, 2026</w:t>
            </w:r>
          </w:p>
        </w:tc>
        <w:tc>
          <w:tcPr>
            <w:tcW w:w="2665"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Thurman J. Rodgers</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1689</Words>
  <Characters>9166</Characters>
  <CharactersWithSpaces>10859</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