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30,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4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001-40117</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93-2279786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3"/>
          </w:tcPr>
          <w:p>
            <w:pPr>
              <w:jc w:val="center"/>
              <w:ind w:right="66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50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45700 Northport Loop East, Fremont, CA</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94538</w:t>
            </w:r>
          </w:p>
        </w:tc>
      </w:tr>
      <w:tr>
        <w:trPr>
          <w:trHeight w:val="234"/>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270-2507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CSLR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4"/>
        </w:trPr>
        <w:tc>
          <w:tcPr>
            <w:tcW w:w="3840" w:type="dxa"/>
            <w:vAlign w:val="bottom"/>
            <w:gridSpan w:val="2"/>
            <w:shd w:val="clear" w:color="auto" w:fill="CCEEFF"/>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800" w:type="dxa"/>
            <w:vAlign w:val="bottom"/>
            <w:gridSpan w:val="2"/>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6"/>
              </w:rPr>
              <w:t>CSLRW</w:t>
            </w:r>
          </w:p>
        </w:tc>
        <w:tc>
          <w:tcPr>
            <w:tcW w:w="3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one share of Common Stock at an exercise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of $11.50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1, 2024, Complete Solaria,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filed a Current Report on Form 8-K (the “</w:t>
      </w:r>
      <w:r>
        <w:rPr>
          <w:rFonts w:ascii="Times New Roman" w:cs="Times New Roman" w:eastAsia="Times New Roman" w:hAnsi="Times New Roman"/>
          <w:sz w:val="18"/>
          <w:szCs w:val="18"/>
          <w:u w:val="single" w:color="auto"/>
          <w:color w:val="auto"/>
        </w:rPr>
        <w:t>Original Report</w:t>
      </w:r>
      <w:r>
        <w:rPr>
          <w:rFonts w:ascii="Times New Roman" w:cs="Times New Roman" w:eastAsia="Times New Roman" w:hAnsi="Times New Roman"/>
          <w:sz w:val="18"/>
          <w:szCs w:val="18"/>
          <w:color w:val="auto"/>
        </w:rPr>
        <w:t>”) with the U.S. Securities and Exchange Commission that disclosed the closing of the acquisition contemplated by the Asset Purchase Agreement (the “</w:t>
      </w:r>
      <w:r>
        <w:rPr>
          <w:rFonts w:ascii="Times New Roman" w:cs="Times New Roman" w:eastAsia="Times New Roman" w:hAnsi="Times New Roman"/>
          <w:sz w:val="18"/>
          <w:szCs w:val="18"/>
          <w:u w:val="single" w:color="auto"/>
          <w:color w:val="auto"/>
        </w:rPr>
        <w:t>APA</w:t>
      </w:r>
      <w:r>
        <w:rPr>
          <w:rFonts w:ascii="Times New Roman" w:cs="Times New Roman" w:eastAsia="Times New Roman" w:hAnsi="Times New Roman"/>
          <w:sz w:val="18"/>
          <w:szCs w:val="18"/>
          <w:color w:val="auto"/>
        </w:rPr>
        <w:t>”) dated August 5, 2024 among the Company, SunPower Corporation (“</w:t>
      </w:r>
      <w:r>
        <w:rPr>
          <w:rFonts w:ascii="Times New Roman" w:cs="Times New Roman" w:eastAsia="Times New Roman" w:hAnsi="Times New Roman"/>
          <w:sz w:val="18"/>
          <w:szCs w:val="18"/>
          <w:u w:val="single" w:color="auto"/>
          <w:color w:val="auto"/>
        </w:rPr>
        <w:t>SunPower</w:t>
      </w:r>
      <w:r>
        <w:rPr>
          <w:rFonts w:ascii="Times New Roman" w:cs="Times New Roman" w:eastAsia="Times New Roman" w:hAnsi="Times New Roman"/>
          <w:sz w:val="18"/>
          <w:szCs w:val="18"/>
          <w:color w:val="auto"/>
        </w:rPr>
        <w:t>”), and the direct and indirect subsidiaries of SunPower (the “</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The APA provided for the sale and purchase of certain assets relating to the Debtors’ Blue Raven Solar business and certain assets relating to the new homes business and non-installing dealer network business previously operated by SunPower and the other Debtors (the “</w:t>
      </w:r>
      <w:r>
        <w:rPr>
          <w:rFonts w:ascii="Times New Roman" w:cs="Times New Roman" w:eastAsia="Times New Roman" w:hAnsi="Times New Roman"/>
          <w:sz w:val="18"/>
          <w:szCs w:val="18"/>
          <w:u w:val="single" w:color="auto"/>
          <w:color w:val="auto"/>
        </w:rPr>
        <w:t>Acquired Assets</w:t>
      </w:r>
      <w:r>
        <w:rPr>
          <w:rFonts w:ascii="Times New Roman" w:cs="Times New Roman" w:eastAsia="Times New Roman" w:hAnsi="Times New Roman"/>
          <w:sz w:val="18"/>
          <w:szCs w:val="18"/>
          <w:color w:val="auto"/>
        </w:rPr>
        <w:t>” and the related businesses acquired from SunPower, the “</w:t>
      </w:r>
      <w:r>
        <w:rPr>
          <w:rFonts w:ascii="Times New Roman" w:cs="Times New Roman" w:eastAsia="Times New Roman" w:hAnsi="Times New Roman"/>
          <w:sz w:val="18"/>
          <w:szCs w:val="18"/>
          <w:u w:val="single" w:color="auto"/>
          <w:color w:val="auto"/>
        </w:rPr>
        <w:t>SunPower Businesses</w:t>
      </w:r>
      <w:r>
        <w:rPr>
          <w:rFonts w:ascii="Times New Roman" w:cs="Times New Roman" w:eastAsia="Times New Roman" w:hAnsi="Times New Roman"/>
          <w:sz w:val="18"/>
          <w:szCs w:val="18"/>
          <w:color w:val="auto"/>
        </w:rPr>
        <w:t>”). The purchase and sale of the Acquired Assets and other transactions under the APA closed on September 30, 2024.</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Current Report on Form 8-K/A amends the Original Report to include the financial statements required to be filed under Item 9.01(a) of Current Report on Form 8-K and the pro forma financial information required to be filed under Item 9.01(b) of Current Report on Form 8-K. Except as provided herein, the disclosures made in the Original Report remain unchanged.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Businesses Acquired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historical financial statements of the businesses acquired pursuant to the APA are attached as Exhibit 99.1 hereto.</w:t>
      </w:r>
    </w:p>
    <w:p>
      <w:pPr>
        <w:spacing w:after="0" w:line="225" w:lineRule="exact"/>
        <w:rPr>
          <w:sz w:val="20"/>
          <w:szCs w:val="20"/>
          <w:color w:val="auto"/>
        </w:rPr>
      </w:pPr>
    </w:p>
    <w:p>
      <w:pPr>
        <w:jc w:val="both"/>
        <w:ind w:left="660" w:right="20" w:hanging="328"/>
        <w:spacing w:after="0" w:line="266"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combined financial statements of the SunPower Businesses for the thirty-nine weeks ended September 29, 2024 and for the year ended December 31, 2023, and the related notes to the combined financial statements, attached as Exhibit 99.1 hereto and incorporated herein by reference.</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unaudited pro forma combined financial information of the Company, giving effect to the closing of the APA and the acquisition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Assets and the SunPower Businesses, is attached as Exhibit 99.2 hereto:</w:t>
      </w:r>
    </w:p>
    <w:p>
      <w:pPr>
        <w:spacing w:after="0" w:line="207" w:lineRule="exact"/>
        <w:rPr>
          <w:sz w:val="20"/>
          <w:szCs w:val="20"/>
          <w:color w:val="auto"/>
        </w:rPr>
      </w:pPr>
    </w:p>
    <w:p>
      <w:pPr>
        <w:jc w:val="both"/>
        <w:ind w:left="660" w:hanging="328"/>
        <w:spacing w:after="0" w:line="26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combined financial statements of the Company for the thirty-nine weeks ended September 29, 2024 and for the year ended December 31, 2023, and the related notes to the unaudited pro forma combined financial statements, attached as Exhibit 99.2 hereto and incorporated herein by reference.</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Consent of BDO USA, P.C.</w:t>
            </w:r>
          </w:p>
        </w:tc>
        <w:tc>
          <w:tcPr>
            <w:tcW w:w="8100" w:type="dxa"/>
            <w:vAlign w:val="bottom"/>
            <w:tcBorders>
              <w:top w:val="single" w:sz="8" w:color="auto"/>
              <w:bottom w:val="single" w:sz="8" w:color="CCEEFF"/>
            </w:tcBorders>
            <w:gridSpan w:val="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Audited combined financial statements of the SunPower Businesses for the thirty-nine weeks ended September 29, 2024 and for the year</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2023.</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combined financial statements of Complete Solaria, Inc. for the thirty-nine weeks ended September 29, 2024 and for</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year ended December 31, 2023.</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7540" w:type="dxa"/>
            <w:vAlign w:val="bottom"/>
            <w:tcBorders>
              <w:top w:val="single" w:sz="8" w:color="CCEEFF"/>
            </w:tcBorders>
            <w:shd w:val="clear" w:color="auto" w:fill="CCEEFF"/>
          </w:tcPr>
          <w:p>
            <w:pPr>
              <w:spacing w:after="0" w:line="20" w:lineRule="exact"/>
              <w:rPr>
                <w:sz w:val="1"/>
                <w:szCs w:val="1"/>
                <w:color w:val="auto"/>
              </w:rPr>
            </w:pPr>
          </w:p>
        </w:tc>
      </w:tr>
    </w:tbl>
    <w:p>
      <w:pPr>
        <w:ind w:left="5580" w:right="4540" w:hanging="5572"/>
        <w:spacing w:after="0" w:line="636" w:lineRule="auto"/>
        <w:tabs>
          <w:tab w:leader="none" w:pos="1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omplete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olaria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Dated: December 16, 2024</w:t>
      </w:r>
      <w:r>
        <w:rPr>
          <w:sz w:val="20"/>
          <w:szCs w:val="20"/>
          <w:color w:val="auto"/>
        </w:rPr>
        <w:tab/>
      </w:r>
      <w:r>
        <w:rPr>
          <w:rFonts w:ascii="Times New Roman" w:cs="Times New Roman" w:eastAsia="Times New Roman" w:hAnsi="Times New Roman"/>
          <w:sz w:val="18"/>
          <w:szCs w:val="18"/>
          <w:color w:val="auto"/>
        </w:rPr>
        <w:t>By:</w:t>
        <w:tab/>
        <w:t>/s/ Daniel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Daniel Foley</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Auditor</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333-276376) of Complete Solaria, Inc. of our report dated December 16, 2024, relating to the combined financial statements of the SunPower Businesses (the Company), which appears in this Form 8-K/A. Our report contains an explanatory paragraph regarding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2024</w:t>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SUNPOWER BUSINESSES</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COMBINED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Thirty-Nine Weeks ended September 29, 2024</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160" w:type="dxa"/>
            <w:vAlign w:val="bottom"/>
            <w:gridSpan w:val="5"/>
          </w:tcPr>
          <w:p>
            <w:pPr>
              <w:ind w:left="1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w:t>
            </w:r>
          </w:p>
        </w:tc>
        <w:tc>
          <w:tcPr>
            <w:tcW w:w="1120" w:type="dxa"/>
            <w:vAlign w:val="bottom"/>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Combined Balance Sheet as of September 29, 2024 and December 31, 2023</w:t>
            </w:r>
          </w:p>
        </w:tc>
        <w:tc>
          <w:tcPr>
            <w:tcW w:w="1120" w:type="dxa"/>
            <w:vAlign w:val="bottom"/>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Combined Statement of Operations for the Thirty-Nine Weeks ended September 29, 2024 and Fiscal Year ended December 31, 2023</w:t>
            </w:r>
          </w:p>
        </w:tc>
        <w:tc>
          <w:tcPr>
            <w:tcW w:w="1120" w:type="dxa"/>
            <w:vAlign w:val="bottom"/>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Combined Statement of Net Parent Investment as of September 29, 2024 and December 31, 2023</w:t>
            </w:r>
          </w:p>
        </w:tc>
        <w:tc>
          <w:tcPr>
            <w:tcW w:w="1120" w:type="dxa"/>
            <w:vAlign w:val="bottom"/>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Combined Statement of Cash Flows for the Thirty-Nine Weeks ended September 29, 2024 and Fiscal Year ended December 31, 2023</w:t>
            </w:r>
          </w:p>
        </w:tc>
        <w:tc>
          <w:tcPr>
            <w:tcW w:w="1120" w:type="dxa"/>
            <w:vAlign w:val="bottom"/>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29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Combined Financial Statements</w:t>
            </w:r>
          </w:p>
        </w:tc>
        <w:tc>
          <w:tcPr>
            <w:tcW w:w="716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9"/>
              </w:rPr>
              <w:t>9 - 26</w:t>
            </w:r>
          </w:p>
        </w:tc>
      </w:tr>
      <w:tr>
        <w:trPr>
          <w:trHeight w:val="655"/>
        </w:trPr>
        <w:tc>
          <w:tcPr>
            <w:tcW w:w="7020" w:type="dxa"/>
            <w:vAlign w:val="bottom"/>
            <w:tcBorders>
              <w:bottom w:val="single" w:sz="8" w:color="auto"/>
            </w:tcBorders>
            <w:gridSpan w:val="4"/>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2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Solaria,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45700 Northport Loop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Freemont, California, 94538, USA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combined financial statements of the SunPower Businesses (the Company), which comprise the combined balance sheets as of September 29, 2024 and December 31, 2023, and the related combined statements of operations, net parent investment, and cash flows for the 39 weeks ended September 29, 2024 and the year ended December 31, 2023, and the related notes to the combined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accompanying combined financial statements present fairly, in all material respects, the financial position of the Company as of September 29, 2024 and December 31, 2023, and the results of its operations and its cash flows for the 39 weeks ended September 29, 2024 and the year ended December 31, 2023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the Company’s Ability to Continue as a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combined financial statements have been prepared assuming that the Company will continue as a going concern. As described in Note 1 to the combined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1. The combined financial statements do not include any adjustments that might result from the outcome of this uncertainty. Our opinion is not modified with respect to this matter.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for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combined financial statements in accordance with accounting principles generally accepted in the United States of America, and for the design, implementation, and maintenance of internal control relevant to the preparation and fair presentation of combined financial statements that are free from material misstatement, whether due to fraud or error.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combined financial statements, management is required to evaluate whether there are conditions or events, considered in the aggregate, that raise substantial doubt about the Company’s ability to continue as a going concern within one year after the date that the combined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combined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combined financial statements, whether due to fraud or error, and design and perform audit procedures responsive to those risks. Such procedures include examining, on a test basis, evidence regarding the amounts and disclosures in the combined financial statements.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combined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SUNPOWER BUSINESSES COMBINED BALANCE-SHEET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8680" w:type="dxa"/>
            <w:vAlign w:val="bottom"/>
          </w:tcPr>
          <w:p>
            <w:pPr>
              <w:spacing w:after="0"/>
              <w:rPr>
                <w:sz w:val="16"/>
                <w:szCs w:val="16"/>
                <w:color w:val="auto"/>
              </w:rPr>
            </w:pPr>
          </w:p>
        </w:tc>
        <w:tc>
          <w:tcPr>
            <w:tcW w:w="1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3,830</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$4,203 and $4,346 as of September 29, 2024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42,294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32,078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27,945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7,623</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59,244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76,906</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150,592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148,382</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w:t>
      </w:r>
    </w:p>
    <w:p>
      <w:pPr>
        <w:spacing w:after="0" w:line="20" w:lineRule="exact"/>
        <w:rPr>
          <w:sz w:val="20"/>
          <w:szCs w:val="20"/>
          <w:color w:val="auto"/>
        </w:rPr>
      </w:pPr>
      <w:r>
        <w:rPr>
          <w:sz w:val="20"/>
          <w:szCs w:val="20"/>
          <w:color w:val="auto"/>
        </w:rPr>
        <w:br w:type="column"/>
      </w:r>
    </w:p>
    <w:p>
      <w:pPr>
        <w:ind w:left="720"/>
        <w:spacing w:after="0"/>
        <w:tabs>
          <w:tab w:leader="none" w:pos="1940" w:val="left"/>
        </w:tabs>
        <w:rPr>
          <w:sz w:val="20"/>
          <w:szCs w:val="20"/>
          <w:color w:val="auto"/>
        </w:rPr>
      </w:pPr>
      <w:r>
        <w:rPr>
          <w:rFonts w:ascii="Times New Roman" w:cs="Times New Roman" w:eastAsia="Times New Roman" w:hAnsi="Times New Roman"/>
          <w:sz w:val="18"/>
          <w:szCs w:val="18"/>
          <w:color w:val="auto"/>
        </w:rPr>
        <w:t>9,557</w:t>
      </w:r>
      <w:r>
        <w:rPr>
          <w:sz w:val="20"/>
          <w:szCs w:val="20"/>
          <w:color w:val="auto"/>
        </w:rPr>
        <w:tab/>
      </w:r>
      <w:r>
        <w:rPr>
          <w:rFonts w:ascii="Times New Roman" w:cs="Times New Roman" w:eastAsia="Times New Roman" w:hAnsi="Times New Roman"/>
          <w:sz w:val="18"/>
          <w:szCs w:val="18"/>
          <w:color w:val="auto"/>
        </w:rPr>
        <w:t>11,757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2,507</w:t>
      </w:r>
      <w:r>
        <w:rPr>
          <w:sz w:val="20"/>
          <w:szCs w:val="20"/>
          <w:color w:val="auto"/>
        </w:rPr>
        <w:tab/>
      </w:r>
      <w:r>
        <w:rPr>
          <w:rFonts w:ascii="Times New Roman" w:cs="Times New Roman" w:eastAsia="Times New Roman" w:hAnsi="Times New Roman"/>
          <w:sz w:val="18"/>
          <w:szCs w:val="18"/>
          <w:color w:val="auto"/>
        </w:rPr>
        <w:t>3,055</w:t>
      </w:r>
    </w:p>
    <w:p>
      <w:pPr>
        <w:spacing w:after="0" w:line="9"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18"/>
          <w:szCs w:val="18"/>
          <w:color w:val="auto"/>
        </w:rPr>
        <w:t>22,070</w:t>
      </w:r>
      <w:r>
        <w:rPr>
          <w:sz w:val="20"/>
          <w:szCs w:val="20"/>
          <w:color w:val="auto"/>
        </w:rPr>
        <w:tab/>
      </w:r>
      <w:r>
        <w:rPr>
          <w:rFonts w:ascii="Times New Roman" w:cs="Times New Roman" w:eastAsia="Times New Roman" w:hAnsi="Times New Roman"/>
          <w:sz w:val="18"/>
          <w:szCs w:val="18"/>
          <w:color w:val="auto"/>
        </w:rPr>
        <w:t>125,998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40" w:hanging="971"/>
        <w:spacing w:after="0"/>
        <w:tabs>
          <w:tab w:leader="none" w:pos="2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8,687</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14605</wp:posOffset>
            </wp:positionV>
            <wp:extent cx="7132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8" w:lineRule="exact"/>
        <w:rPr>
          <w:sz w:val="20"/>
          <w:szCs w:val="20"/>
          <w:color w:val="auto"/>
        </w:rPr>
      </w:pPr>
    </w:p>
    <w:p>
      <w:pPr>
        <w:spacing w:after="0"/>
        <w:tabs>
          <w:tab w:leader="none" w:pos="520" w:val="left"/>
          <w:tab w:leader="none" w:pos="1320" w:val="left"/>
          <w:tab w:leader="none" w:pos="1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185,366</w:t>
        <w:tab/>
        <w:t>$</w:t>
      </w:r>
      <w:r>
        <w:rPr>
          <w:sz w:val="20"/>
          <w:szCs w:val="20"/>
          <w:color w:val="auto"/>
        </w:rPr>
        <w:tab/>
      </w:r>
      <w:r>
        <w:rPr>
          <w:rFonts w:ascii="Times New Roman" w:cs="Times New Roman" w:eastAsia="Times New Roman" w:hAnsi="Times New Roman"/>
          <w:sz w:val="18"/>
          <w:szCs w:val="18"/>
          <w:color w:val="auto"/>
        </w:rPr>
        <w:t>298,409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NET PARENT INVESTMENT</w:t>
            </w:r>
          </w:p>
        </w:tc>
        <w:tc>
          <w:tcPr>
            <w:tcW w:w="3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69,047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64,492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32,584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32,674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19,058</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19,117</w:t>
            </w:r>
          </w:p>
        </w:tc>
        <w:tc>
          <w:tcPr>
            <w:tcW w:w="0" w:type="dxa"/>
            <w:vAlign w:val="bottom"/>
          </w:tcPr>
          <w:p>
            <w:pPr>
              <w:spacing w:after="0"/>
              <w:rPr>
                <w:sz w:val="1"/>
                <w:szCs w:val="1"/>
                <w:color w:val="auto"/>
              </w:rPr>
            </w:pP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9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11,208</w:t>
            </w:r>
          </w:p>
        </w:tc>
        <w:tc>
          <w:tcPr>
            <w:tcW w:w="0" w:type="dxa"/>
            <w:vAlign w:val="bottom"/>
          </w:tcPr>
          <w:p>
            <w:pPr>
              <w:spacing w:after="0"/>
              <w:rPr>
                <w:sz w:val="1"/>
                <w:szCs w:val="1"/>
                <w:color w:val="auto"/>
              </w:rPr>
            </w:pPr>
          </w:p>
        </w:tc>
      </w:tr>
      <w:tr>
        <w:trPr>
          <w:trHeight w:val="27"/>
        </w:trPr>
        <w:tc>
          <w:tcPr>
            <w:tcW w:w="4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9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vMerge w:val="continue"/>
            <w:shd w:val="clear" w:color="auto" w:fill="CCEEFF"/>
          </w:tcPr>
          <w:p>
            <w:pPr>
              <w:spacing w:after="0"/>
              <w:rPr>
                <w:sz w:val="21"/>
                <w:szCs w:val="21"/>
                <w:color w:val="auto"/>
              </w:rPr>
            </w:pPr>
          </w:p>
        </w:tc>
        <w:tc>
          <w:tcPr>
            <w:tcW w:w="3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132,632</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131,075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parent investment</w:t>
            </w:r>
          </w:p>
        </w:tc>
        <w:tc>
          <w:tcPr>
            <w:tcW w:w="3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52,734</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167,334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liabilities and net parent investment</w:t>
            </w:r>
          </w:p>
        </w:tc>
        <w:tc>
          <w:tcPr>
            <w:tcW w:w="3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4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185,366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298,409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9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SUNPOWER BUSINESSES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Thirty-Nine</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0" w:type="dxa"/>
            <w:vAlign w:val="bottom"/>
          </w:tcPr>
          <w:p>
            <w:pPr>
              <w:spacing w:after="0"/>
              <w:rPr>
                <w:sz w:val="1"/>
                <w:szCs w:val="1"/>
                <w:color w:val="auto"/>
              </w:rPr>
            </w:pPr>
          </w:p>
        </w:tc>
      </w:tr>
      <w:tr>
        <w:trPr>
          <w:trHeight w:val="238"/>
        </w:trPr>
        <w:tc>
          <w:tcPr>
            <w:tcW w:w="43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c>
          <w:tcPr>
            <w:tcW w:w="120" w:type="dxa"/>
            <w:vAlign w:val="bottom"/>
          </w:tcPr>
          <w:p>
            <w:pPr>
              <w:spacing w:after="0"/>
              <w:rPr>
                <w:sz w:val="20"/>
                <w:szCs w:val="20"/>
                <w:color w:val="auto"/>
              </w:rPr>
            </w:pPr>
          </w:p>
        </w:tc>
        <w:tc>
          <w:tcPr>
            <w:tcW w:w="11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410"/>
        </w:trPr>
        <w:tc>
          <w:tcPr>
            <w:tcW w:w="43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300" w:type="dxa"/>
            <w:vAlign w:val="bottom"/>
            <w:tcBorders>
              <w:bottom w:val="single" w:sz="8" w:color="CCEEFF"/>
            </w:tcBorders>
          </w:tcPr>
          <w:p>
            <w:pPr>
              <w:spacing w:after="0"/>
              <w:rPr>
                <w:sz w:val="21"/>
                <w:szCs w:val="21"/>
                <w:color w:val="auto"/>
              </w:rPr>
            </w:pPr>
          </w:p>
        </w:tc>
        <w:tc>
          <w:tcPr>
            <w:tcW w:w="43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173,062</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345,217</w:t>
            </w:r>
          </w:p>
        </w:tc>
        <w:tc>
          <w:tcPr>
            <w:tcW w:w="0" w:type="dxa"/>
            <w:vAlign w:val="bottom"/>
          </w:tcPr>
          <w:p>
            <w:pPr>
              <w:spacing w:after="0"/>
              <w:rPr>
                <w:sz w:val="1"/>
                <w:szCs w:val="1"/>
                <w:color w:val="auto"/>
              </w:rPr>
            </w:pPr>
          </w:p>
        </w:tc>
      </w:tr>
      <w:tr>
        <w:trPr>
          <w:trHeight w:val="216"/>
        </w:trPr>
        <w:tc>
          <w:tcPr>
            <w:tcW w:w="43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4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219,932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290,693</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goodwill impairment</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103,926</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3,961</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8,830</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43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327,819</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299,523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4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taxes</w:t>
            </w:r>
          </w:p>
        </w:tc>
        <w:tc>
          <w:tcPr>
            <w:tcW w:w="43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(228,060)</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(35,169)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300" w:type="dxa"/>
            <w:vAlign w:val="bottom"/>
            <w:vMerge w:val="continue"/>
          </w:tcPr>
          <w:p>
            <w:pPr>
              <w:spacing w:after="0"/>
              <w:rPr>
                <w:sz w:val="20"/>
                <w:szCs w:val="20"/>
                <w:color w:val="auto"/>
              </w:rPr>
            </w:pP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(227,488</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(35,436</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438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SUNPOWER BUSINESSES COMBINED STATEMENT OF NET PARENT INVESTMENT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Net Parent</w:t>
            </w: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(35,436)</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7,093</w:t>
            </w:r>
          </w:p>
        </w:tc>
        <w:tc>
          <w:tcPr>
            <w:tcW w:w="0" w:type="dxa"/>
            <w:vAlign w:val="bottom"/>
          </w:tcPr>
          <w:p>
            <w:pPr>
              <w:spacing w:after="0"/>
              <w:rPr>
                <w:sz w:val="1"/>
                <w:szCs w:val="1"/>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parent investment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60,317</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(227,488)</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net parent investment</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110,111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September 29,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52,734</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jc w:val="center"/>
              <w:ind w:left="1130"/>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0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SUNPOWER BUSINESSES COMBINED 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Thirty-Nine</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c>
          <w:tcPr>
            <w:tcW w:w="120" w:type="dxa"/>
            <w:vAlign w:val="bottom"/>
          </w:tcPr>
          <w:p>
            <w:pPr>
              <w:spacing w:after="0"/>
              <w:rPr>
                <w:sz w:val="18"/>
                <w:szCs w:val="18"/>
                <w:color w:val="auto"/>
              </w:rPr>
            </w:pPr>
          </w:p>
        </w:tc>
        <w:tc>
          <w:tcPr>
            <w:tcW w:w="11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(227,488)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8,646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10,944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goodwill impairment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103,926</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intangible asset impairment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7,093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(10,216)</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14,416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(3,809)</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5,219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17,662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4,555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(12,247)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by operating activities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for 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Investment from parent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Reconciliation of cash, and cash equivalents, cash to the combined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 current portion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(1,935)</w:t>
            </w: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(2,787)</w:t>
            </w:r>
          </w:p>
        </w:tc>
      </w:tr>
      <w:tr>
        <w:trPr>
          <w:trHeight w:val="409"/>
        </w:trPr>
        <w:tc>
          <w:tcPr>
            <w:tcW w:w="3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(1,733)</w:t>
            </w:r>
          </w:p>
        </w:tc>
        <w:tc>
          <w:tcPr>
            <w:tcW w:w="3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41"/>
        </w:trPr>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110,111</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60,317</w:t>
            </w:r>
          </w:p>
        </w:tc>
        <w:tc>
          <w:tcPr>
            <w:tcW w:w="60" w:type="dxa"/>
            <w:vAlign w:val="bottom"/>
          </w:tcPr>
          <w:p>
            <w:pPr>
              <w:spacing w:after="0"/>
              <w:rPr>
                <w:sz w:val="20"/>
                <w:szCs w:val="20"/>
                <w:color w:val="auto"/>
              </w:rPr>
            </w:pPr>
          </w:p>
        </w:tc>
      </w:tr>
      <w:tr>
        <w:trPr>
          <w:trHeight w:val="198"/>
        </w:trPr>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108,378</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58,006</w:t>
            </w:r>
          </w:p>
        </w:tc>
        <w:tc>
          <w:tcPr>
            <w:tcW w:w="60" w:type="dxa"/>
            <w:vAlign w:val="bottom"/>
          </w:tcPr>
          <w:p>
            <w:pPr>
              <w:spacing w:after="0"/>
              <w:rPr>
                <w:sz w:val="17"/>
                <w:szCs w:val="17"/>
                <w:color w:val="auto"/>
              </w:rPr>
            </w:pPr>
          </w:p>
        </w:tc>
      </w:tr>
      <w:tr>
        <w:trPr>
          <w:trHeight w:val="230"/>
        </w:trPr>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(1,967)</w:t>
            </w:r>
          </w:p>
        </w:tc>
        <w:tc>
          <w:tcPr>
            <w:tcW w:w="3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(6,087)</w:t>
            </w:r>
          </w:p>
        </w:tc>
      </w:tr>
      <w:tr>
        <w:trPr>
          <w:trHeight w:val="234"/>
        </w:trPr>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3,830</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60" w:type="dxa"/>
            <w:vAlign w:val="bottom"/>
          </w:tcPr>
          <w:p>
            <w:pPr>
              <w:spacing w:after="0"/>
              <w:rPr>
                <w:sz w:val="20"/>
                <w:szCs w:val="20"/>
                <w:color w:val="auto"/>
              </w:rPr>
            </w:pPr>
          </w:p>
        </w:tc>
      </w:tr>
      <w:tr>
        <w:trPr>
          <w:trHeight w:val="27"/>
        </w:trPr>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60" w:type="dxa"/>
            <w:vAlign w:val="bottom"/>
          </w:tcPr>
          <w:p>
            <w:pPr>
              <w:spacing w:after="0"/>
              <w:rPr>
                <w:sz w:val="21"/>
                <w:szCs w:val="2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6"/>
        </w:trPr>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1,863</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60" w:type="dxa"/>
            <w:vAlign w:val="bottom"/>
          </w:tcPr>
          <w:p>
            <w:pPr>
              <w:spacing w:after="0"/>
              <w:rPr>
                <w:sz w:val="24"/>
                <w:szCs w:val="24"/>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net of current portion</w:t>
            </w:r>
          </w:p>
        </w:tc>
        <w:tc>
          <w:tcPr>
            <w:tcW w:w="4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4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40" w:type="dxa"/>
            <w:vAlign w:val="bottom"/>
            <w:vMerge w:val="continue"/>
          </w:tcPr>
          <w:p>
            <w:pPr>
              <w:spacing w:after="0"/>
              <w:rPr>
                <w:sz w:val="24"/>
                <w:szCs w:val="24"/>
                <w:color w:val="auto"/>
              </w:rPr>
            </w:pPr>
          </w:p>
        </w:tc>
        <w:tc>
          <w:tcPr>
            <w:tcW w:w="4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1,863</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3,830</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40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 expenses</w:t>
            </w:r>
          </w:p>
        </w:tc>
        <w:tc>
          <w:tcPr>
            <w:tcW w:w="4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40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vehicle financing leases</w:t>
            </w:r>
          </w:p>
        </w:tc>
        <w:tc>
          <w:tcPr>
            <w:tcW w:w="4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655"/>
        </w:trPr>
        <w:tc>
          <w:tcPr>
            <w:tcW w:w="46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SUNPOWER BUSINESSES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where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b w:val="1"/>
          <w:bCs w:val="1"/>
          <w:i w:val="1"/>
          <w:iCs w:val="1"/>
          <w:color w:val="auto"/>
        </w:rPr>
        <w:t>BUSINESS AND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 and Organization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SunPower Corporation (“SunPower” or the “Parent”) sold its Blue Raven Solar business, certain assets from its New Homes business, and its Non-Installing Dealer network (“SunPower Business” or the “Company”, “we,” “us,” or “our”) on September 30, 2024 to Complete Solaria, Inc. (“CSLR”) for cash consideration of $52.7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SunPower Businesses, a carve-out business of SunPower Corporation, is a solar technology and energy services provider that offers fully integrated solar, storage, and home energy solutions to customers in the United States through an array of hardware, software, and “Smart Energy” solutions.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 Raven Solar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Blue Raven Solar (“BRS”) was a wholly owned subsidiary of SunPower Corporation. It is a fully-integrated originator and installer of homeowner-owned residential solar systems in America. Blue Raven’s product strategy is to focus exclusively on homeowner owned solar instead of Power Purchase Agreements or leased products which avoids reliance on federal incentives such as incentive tax credits. Blue Raven relies on a network of third-party financiers that extend loans to homeowners who wish to finance their solar system.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Home Business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SunPower’s New Homes (“NH”) business sales channel executes agreements between SunPower and new home construction companies whereby SunPower supplies solar solutions to the home construction company so that buyers of new homes built by the home construction company include solar panels, charging stations and other solar-related power generation solutions.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Non-Installing Dealer Network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Non-Installing Dealer (“ND”) business sales channel involves the sale of SunPower’s Solar Solutions to third-party dealers and resellers that markets and sells the SunPower Solar Solutions to end customers, with SunPower undertaking the actual installation and maintenance of the installed Solar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Preparation of Combination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historically operated as consolidated business of SunPower Corporation (together with its subsidiaries). As such, separate financial statements have not historically been prepared for the Company. The combined financial statements have been derived from the consolidated financial statements and accounting records of SunPower Corporation and include Blue Raven Solar, LLC and its subsidiaries. These combined financial statements as of the thirty-nine weeks ended September 29, 2024 and fiscal year December 31, 2023 and for the thirty-nine weeks ended September 29, 2024 and fiscal year ended December 31, 2023 and the combined notes to the financial statements are presented as carve-out financial statements and reflect the combined historical results of operations, balance sheet and cash flows of the Company in conformity with U.S. generally accepted accounting principles in the United States (“United States” or “U.S.,” and such accounting principles, “U.S. GAAP”).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combined financial statements may not be indicative of the Company’s future performance and do not necessarily reflect the results of operations, financial position and cash flow would have been had it operated as a separate, stand-alone SunPower businesses during the periods presented. Intercompany balances and transactions within the Company have been eliminated in these combined financial statements, refer to Note 4.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for additional details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transactions between the Company and SunPower Corporation have been included in these combined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These transactions do not traditionally settle on a regular basis and are reflected as net parent investment within the statement of net parent investment in the combined financial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balance sheet reflects among other things, all of the assets and liabilities that are specifically identifiable as being directly attributable to the Company, including net parent investment. Net parent investment represents SunPower’s historical investment in the Company and includes the accumulated deficit and the net effect of transactions with SunPower.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combined statement of operations include revenues and cost of revenues directly attributable and allocated to the Company including shared overhead costs such as facilities, support functions and services used by the Company. The Company relied on SunPower’s corporate, shared services, financing and supply chain functions for its business. Therefore, certain corporate and shared costs have been allocated to the Company including: (i) certain costs related to support functions that are provided on a centralized basis within SunPower, including expenses for executive oversight, treasury, tax, finance, legal, human resources, compliance, information technology, selling, research and development and other corporate functions and (ii) certain supply chain costs incurred by SunPower, including operation &amp; maintenance, quality, product sourcing, engineering, and other supply chain support functions. These expenses have been allocated to the Company based on a specific identification basis or, when specific identification is not practicable, a proportional cost allocation method primarily based on revenue or other allocation methods depending on the nature of the services.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allocations of SunPower Corporate overhead amounts were necessary, management believes the allocation of these amounts were determined on a reasonable basis, reflecting all of the costs of the Company and consistently applied in the periods presented. These allocated amounts, however, are not necessarily indicative of the actual amounts that might have been incurred had the Company operated as a separate stand-alone entity during the periods presented.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SunPower utilized a centralized approach to treasury, cash management, operation and maintenance of solar systems and financing its operations. The cash and cash equivalents held by SunPower at the corporate level are not specifically identifiable to the Company and therefore have not been reflected in the Company’s combined balance sheet. Cash in the combined balance sheet represents cash held by legal entities of the Company that are specifically attributable to the Company. SunPower’s external debt and related expense have not been attributed to the Company for the periods presented because SunPower’s borrowings are neither directly attributable to the Company nor is the Company the legal obligor of such borrowings. Customer warranty obligations arising from the New Homes and Non-Installing Dealer businesses are legally the responsibility of SunPower Corporation and deemed not enforceable to the Company and as such are not presented within the combined financial statements. Any warranty represented on the combined balance sheet represents warranty obligation held by Blue Raven Solar.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52-to-53-week fiscal year that ends on the Sunday closest to December 31. Accordingly, every fifth or sixth year will be a 53-week fiscal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fiscal period, September 29, 2024, is a 39-week reporting period. The prior fiscal year, fiscal 2023, is a 52-week fiscal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combined financial statements in conformity with U.S. GAAP requires our management to make estimates and assumptions that affect the amounts of assets and liabilities and disclosures of contingent assets and liabilities reported in these combined financial statements and accompanying notes. We base our estimates on historical experience and various other assumptions believed to be reasonable. Our actual financial results could materially differ from those estimates. Significant estimates in these combined financial statements include revenue recognition, specifically nature and timing of satisfaction of performance obligations, standalone selling price of performance obligations, and variable consideration; credit losses, including estimating macroeconomic factors affecting historical recovery rate of receivables; inventory and project asset write-downs, valuation of contingencies such as litigation; the incremental borrowing rate used in discounting of lease liabilities; the fair value of indemnities provided to customers and other parties; and income taxes and tax valuation allowances.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combined financial statements are prepared on a going concern basis, which contemplates the realization of assets and the satisfaction of obligations in the normal course of business.  However, the Company has reoccurring losses and cash used in operations in the past two years.  This condition, among others, raises substantial doubt about the ability of the Company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Highly liquid investments with original or remaining maturities of ninety days or less at the date of purchase are considered cash equivalents. As of September 29, 2024 and December 31, 2023, the Company maintained cash balances of $3.6 million and $3.8 million, respectively, in excess of federally insured limits. There were no cash equivalents as of September 29,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credit losses in the event of nonperformance by the counterparties to our financial. Financial and derivative instruments that potentially subject us to concentrations of credit risk are primarily cash and cash equivalents, accounts receivable, and advances to suppliers. We regularly evaluate the credit standing of our counterparty financial institutions.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recognize an allowance for credit loss at the time a receivable is recorded based on our estimate of expected credit losses, historical write-off experience, and current account knowledge, and adjust this estimate over the life of the receivable as needed. We evaluate the aggregation and risk characteristics of a receivable pool and develop loss rates that reflect historical collections, current forecasts of future economic conditions over the time horizon we are exposed to credit risk, and payment terms or conditions that may materially affect future forecasts.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We perform ongoing credit evaluations of our customers’ financial condition whenever deemed necessary. We maintain an allowance for doubtful accounts based on the expected collectability of all accounts receivable, which takes into consideration an analysis of historical bad debts, specific customer creditworthiness and current economic trends. We believe that our concentration of credit risk is limited because of our large number of customers, credit quality of the customer base, small account balances for most of these customers, and customer geographic diversification.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and for the thirty-nine weeks ended September 29, 2024 and fiscal year ended December 31, 2023, we had no customers that accounted for at least 10% of our accounts receivable balance and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advertising costs are expensed as incurred, included in the combined income statement within Sales, general, and administrative expenses. Advertising costs incurred total $0.2 million and $0.7 million for the thirty-nine week period ended September 29, 2024 and the fiscal year ended December 31,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assets represent accounts receivable unbilled for transactions where revenue has been recognized in advance of billing the customer. Revenue may be recognized in advance of billing the customer, resulting in an amount recorded to “contract assets” or “accounts receivable, net” depending on the expected timing of payment for such unbilled accounts receivable. Once we have an unconditional right to consideration, we typically bill our customer and reclassify the “contract assets” to “accounts receivable, net.” Contract liabilities consist of deferred revenue and customer advances, which represent consideration received from a customer prior to transferring control of goods or services to the customer under the terms of a sales contract.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accounted for on a first-in-first-out basis and are valued at the lower of cost or net realizable value. We evaluate the realizability of our inventories, based on assumptions about expected demand and market conditions. Our assumption of expected demand is developed based on our analysis of bookings, sales backlog, sales pipeline, market forecast, and competitive intelligence. Our assumption of expected demand is compared to available inventory, production capacity, available third-party inventory, and growth plans. In addition, expected demand by geography has changed historically due to changes in the availability and size of government mandates and economic incentives.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Prepaid expenses consist of prepaid commissions by the Company to its sales representatives on solar panel system sales and installation for which cash has been paid, but the expenses has not yet been incurred. Deferred costs represent costs to fulfill a contract which are associated with the installation of solar panel systems that are not yet complete. These costs include the costs of acquiring needed system components and the cost of labor to install the related systems. These costs are recognized in cost of revenue when the related performance obligations are met.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net are stated at cost, less accumulated depreciation. Depreciation is computed using the straight-line method over the estimated useful lives of the assets as presented below. Leasehold improvements are amortized over the shorter of the estimated useful lives of the assets or the remaining term of the lease. Repairs and maintenance costs are expensed as incurred.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40" w:type="dxa"/>
            <w:vAlign w:val="bottom"/>
            <w:tcBorders>
              <w:bottom w:val="single" w:sz="8" w:color="CCEEFF"/>
            </w:tcBorders>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 in Years</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to 20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to 7</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 to 7</w:t>
            </w: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Accounting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Our operating lease agreements are primarily for real estate and are included within operating lease right-of-use (“ROU”) assets and operating lease liabilities on the combined balance sheets. Our finance lease agreements are for vehicle finance leases and are included within property and equipment, net, accrued liabilities, and other long-term liabilities on the combined balance sheets. We elected the practical expedient to combine our lease and related non-lease components for all our leases.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ROU assets and lease liabilities are recognized at the commencement date based on the present value of lease payments over the lease term. Variable lease payments that do not depend on an index or rate are excluded from the ROU assets and lease liabilities and are recognized in the period in which the obligation for those payments is incurred. We use our incremental borrowing rate based on the information available at commencement date in determining the present value of lease payments. ROU assets also include any lease prepayments made and exclude lease incentives. Many of our lessee agreements include options to extend the lease, which we do not include in our minimum lease terms unless they are reasonably certain to be exercised. Rental expense for lease payments related to our operating and finance leases is recognized on a straight-line basis over the lease term. In addition, for our finance leases, we recognize the interest on the financing component related to the leases.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events or changes in circumstances indicate that the carrying value of the right-of-use assets may not be recoverable, we compare its future undiscounted cash flow to the carrying value. If the carrying value exceeds the future undiscounted cash flow, an impairment loss is recognized to record the assets at fair value. Right-of-use assets, along with any other related long-lived assets, are periodically evaluated for impairment whenever events or circumstances indicate that their carrying values may not be fully recoverable. No impairment loss was recognized for either of the thirty-nine weeks ended September 29, 2024, and fiscal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Receivables,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are carried at original invoice amount less an allowance for doubtful accounts. Receivables consist of amounts due from third-party financing companies or from homeowners for solar panel systems installed and for which the Company has fulfilled its performance obligations under its contract. The allowance for doubtful accounts is the Company’s best estimate of the amount of probable credit losses in the Company’s existing accounts receivable and is determined based on our historical collection experience, age of the receivable, knowledge of the customer and the condition of the general industry and economy.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We record changes in our estimate in the allowance for doubtful accounts through bad debt expense and relieve the allowance when the accounts are ultimately determined to be uncollectible. Bad debt expense is included in Sales, general, and administrative expenses within the Combined Statement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Recoveries of accounts receivable previously written off are recorded when cash is received.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29,</w:t>
            </w:r>
          </w:p>
        </w:tc>
        <w:tc>
          <w:tcPr>
            <w:tcW w:w="220" w:type="dxa"/>
            <w:vAlign w:val="bottom"/>
          </w:tcPr>
          <w:p>
            <w:pPr>
              <w:spacing w:after="0"/>
              <w:rPr>
                <w:sz w:val="16"/>
                <w:szCs w:val="16"/>
                <w:color w:val="auto"/>
              </w:rPr>
            </w:pP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220" w:type="dxa"/>
            <w:vAlign w:val="bottom"/>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8680" w:type="dxa"/>
            <w:vAlign w:val="bottom"/>
            <w:tcBorders>
              <w:bottom w:val="single" w:sz="8" w:color="CCEEFF"/>
            </w:tcBorders>
            <w:gridSpan w:val="2"/>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(810</w:t>
            </w:r>
          </w:p>
        </w:tc>
        <w:tc>
          <w:tcPr>
            <w:tcW w:w="100" w:type="dxa"/>
            <w:vAlign w:val="bottom"/>
            <w:tcBorders>
              <w:bottom w:val="single" w:sz="8" w:color="CCEEFF"/>
            </w:tcBorders>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recognized for temporary differences between financial statement and income tax bases of assets and liabilities and are measured using the enacted tax rates expected to be in effect during the year in which the basis difference reverses. Valuation allowances are provided against deferred tax assets when management cannot conclude that it is more likely than not that some portion or all deferred tax assets will be realized.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to be sustained. Recognized income tax positions are measured at the largest amount that is greater than 50% likely of being realized. Changes in recognition or measurement are reflected in the period in which the change in judgment occurs.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applicable, interest and penalties on tax contingencies are included in “Benefit from (provision for) income taxes” in the combined statements of operations and such amounts were not material for any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recognition policy follows guidance from Accounting Standards Codification 606, Revenue from Contracts with Customers (Topic 606)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following five-step framework:</w:t>
      </w:r>
    </w:p>
    <w:p>
      <w:pPr>
        <w:spacing w:after="0" w:line="20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 is composed of solar power system and government or utility rebates and incentives. We recognize revenue from contracts with customers when we have completed our performance obligations under an identified contract. The revenue is recognized in an amount that reflects the consideration for the corresponding performance obligations for the goods and services transferred.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 revenue recognition standard requires the capitalization of certain incremental costs of obtaining a contract. These incremental costs are deferred until installation is completed.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Power Systems Sales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majority of our revenue is generated by sales of fully functioning solar power systems to our customers. We sell our products through a network of installing and non-installing dealers and resellers. Usually, our performance obligation is to design and install a fully functioning solar energy system. We recognize revenue when the solar power system is fully installed and the final permit is received from the authority having jurisdiction, as we deem our performance obligation under the contract to be complete at such time, and the customer retains all of the significant risks and rewards of ownership of the solar power system. Our costs to obtain and fulfill contracts, when recognized, associated with systems sales are expensed as sales, general, and administrative expense and cost of revenue, respectively. In addition, incentives we provide to our customers, such as discounts and rebates, are recorded net to the revenue we have recognized on the solar power system.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generally recognized at transaction price, net of costs of financing, or other consideration paid to the customers that is not in exchange for a distinct good or service. Variable consideration is estimated at each measurement date at its most likely amount to the extent that it is probable that a significant reversal of cumulative revenue recognized will not occur and true-ups are applied prospectively as such estimates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or Utility Rebates and Incentives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applies for and receives state, local, and utility rebates and solar renewable energy credits (SRECs) in certain jurisdictions for power generated by solar energy systems it has sold to customers. The Company retains control of the rights to future SRECs and sells the SRECs generated from qualifying solar energy systems to a public utility pursuant to a Renewable Energy Credit Agreement. The terms of the agreement allow for the Company to bill the public utility in advance for the total amount of SRECs anticipated to be generated from each qualifying solar energy system over a 15-year period, commencing from the date such solar energy systems have been interconnected to the local power grid and granted permission to operate. The total contract prices is based on an agreed upon price per credit. The Company is required to make a collateral deposit with the public utility equal to 5% of the total contract price. As part of the agreement, the Company guarantees that the total number of SRECs generated by all of the identified solar energy systems will equal or exceed a total estimated amount. A guarantee liability related to the minimum SREC guarantee is recognized as a reduction to the transaction price, with subsequent changes in the guarantee liability recognized as operating income or expense, rather than a change in the transaction price. The Company recognizes revenue related to the sale of SRECs upon delivery to the public utility. During the thirty-nine weeks ended September 29, 2024 and December 31, 2023, revenue recognized related to rebates and SRECs was $1.7 million and $2.6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include the following in cost of revenues: product-related costs, warranty costs, installer and engineering personnel and logistics costs, solar energy system operations, monitoring, and maintenance costs, freight costs, inventory write-downs, lead acquisition costs, quality control, design and proposal services and customer support, and employee-related expenses associated with proposal and permitting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stock-based awards to our employees, executive officers, and directors through various equity compensation plans including our employee stock option and restricted stock plans. We measure and record compensation expense for all stock-based payment awards based on estimated fair values. The fair value of restricted stock awards and units is based on the market price of our common stock on the date of grant. The vesting period for the stock-based awards is typically five years. Under current accounting guidance, we have made a policy election to estimate forfeitures at the date of grant, and we update such estimate on an annual basis. Our estimate of forfeitures is based on our historical activity, which we believe is indicative of expected forfeitures. In subsequent periods if the actual rate of forfeitures differs from our estimate, the forfeiture rates are required to be revised, as necessary. Changes in the estimated forfeiture rates can have a significant effect on stock-based compensation expense since the effect of adjusting the rate is recognized in the period the forfeiture estimate is changed.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grant performance share units to executive officers and certain employees that require us to estimate expected achievement of performance targets over the performance period. This estimate involves judgment regarding future expectations of various financial performance measures. If there are changes in our estimate of the level of financial performance measures expected to be achieved, the related stock-based compensation expense may be significantly increased or reduced in the period that our estimate changes.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R&amp;D expense consists primarily of salaries and related personnel costs, depreciation, and the cost of solar cell and solar panel materials and services used for the development of products, including experiments and testing. R&amp;D costs are expensed as incurred, except for software development costs which qualify for capitalization.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test goodwill impairment at least annually during the last day of the third fiscal quarter, or when events or changes in circumstances indicate that goodwill might be impaired. The evaluation of impairment is performed at the reporting unit level. We have the option to perform a qualitative assessment of goodwill prior to completing a quantitative assessment to determine whether it is more likely than not that the fair value of a reporting unit is less than its carrying amount, including existing goodwill.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goodwill is determined more likely than not to be impaired upon an initial assessment of qualitative factors, the next step is to compare the fair value of each reporting unit to its carrying value, including existing goodwill. Goodwill is considered impaired if the carrying value of a reporting unit exceeds its fair value. The amount of impairment is limited to the amount of goodwill allocated to the reporting unit.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measuring the fair value of the reporting units, we make estimates and judgments about our future cash flows using a discounted cash flow or a transaction approach defined as Level 3 input under fair value measurement standards. The income approach, specifically a discounted cash flow analysis, includes assumptions for, among others, forecasted revenue, gross margin, operating income, working capital cash flow, perpetual growth rates and long-term discount rates, all of which require significant judgment by management. These assumptions also consider the current industry environment and the resulting impact on our expectations for the performance of our business. The transaction approach, utilizes consummated transactions from a market participant to support the fair value of the net assets of the reporting unit. In the event that management determines that the value of goodwill has become impaired, we will incur an accounting charge for the amount of the impairment during the fiscal year in which the determination is made. Refer to Note</w:t>
      </w:r>
    </w:p>
    <w:p>
      <w:pPr>
        <w:spacing w:after="0" w:line="3" w:lineRule="exact"/>
        <w:rPr>
          <w:sz w:val="20"/>
          <w:szCs w:val="20"/>
          <w:color w:val="auto"/>
        </w:rPr>
      </w:pPr>
    </w:p>
    <w:p>
      <w:pPr>
        <w:ind w:firstLine="8"/>
        <w:spacing w:after="0" w:line="260"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for additional details on our goodwill impairment test performed during thirty-nine weeks ended September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is currently evaluating ASU 2023-09 to assess the impact to the Company’s income tax disclosures within the Company’s combined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for the thirty-nine weeks and the year ended September 29, 2024 and December 31, 2023 were $273.1 million and $610.0 million, respectively and consists mainly of solar power systems sales.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recognize revenue from contracts with customers when we have completed our performance obligations under an identified contract. The revenue is recognized in an amount that reflects the consideration for the corresponding performance obligations for the goods and services transferred.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Disaggregation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Thirty-Nine</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Weeks Ended</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7,836</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273,118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610,035</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consist of unbilled receivables which represent revenue that has been recognized in advance of billing the customer, which is common for our residential cash and loan customers. Contract liabilities consist of deferred revenue and customer advances, which represent consideration received from a customer prior to transferring control of goods or services to the customer under the terms of a sales contract. Total contract assets and contract liabilities balances as of the respective dates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4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1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35,759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100" w:type="dxa"/>
            <w:vAlign w:val="bottom"/>
            <w:shd w:val="clear" w:color="auto" w:fill="CCEEFF"/>
          </w:tcPr>
          <w:p>
            <w:pPr>
              <w:spacing w:after="0"/>
              <w:rPr>
                <w:sz w:val="18"/>
                <w:szCs w:val="18"/>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5480" w:type="dxa"/>
            <w:vAlign w:val="bottom"/>
            <w:gridSpan w:val="3"/>
          </w:tcPr>
          <w:p>
            <w:pPr>
              <w:ind w:left="5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19,058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19,117</w:t>
            </w:r>
          </w:p>
        </w:tc>
      </w:tr>
      <w:tr>
        <w:trPr>
          <w:trHeight w:val="637"/>
        </w:trPr>
        <w:tc>
          <w:tcPr>
            <w:tcW w:w="34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jc w:val="right"/>
              <w:ind w:right="275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thirty-nine weeks ended September 29, 2024, we recognized revenue of $14.1 million that was included in contract liabilities as of December 31, 2023. During the year ended December 31, 2023, we recognized revenue of $27.6 million that was included in contract liabilities as of January 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b w:val="1"/>
                <w:bCs w:val="1"/>
                <w:i w:val="1"/>
                <w:iCs w:val="1"/>
                <w:color w:val="auto"/>
              </w:rPr>
              <w:t>BALANCE SHEET COMPONENTS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allowance for doubtful accounts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(4,346)</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32,078</w:t>
            </w: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components of inventories. The Company identifies inventory which is considered obsolete or in excess of anticipated demand based on a consideration of marketability and product life cycle stage, component cost trends, demand forecasts, historical revenues, and assumptions about future demand and market conditions to state inventory at the lower of cost or net realizable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2,934</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7,623</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reserve for excess and obsolete inventory for the thirty-nine weeks ended September 29, 2024 and fiscal year ended December 31, 2023, was approximately $3.8 million and $0.01 million,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4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costs</w:t>
            </w: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4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Pr>
          <w:p>
            <w:pPr>
              <w:spacing w:after="0"/>
              <w:rPr>
                <w:sz w:val="21"/>
                <w:szCs w:val="21"/>
                <w:color w:val="auto"/>
              </w:rPr>
            </w:pPr>
          </w:p>
        </w:tc>
        <w:tc>
          <w:tcPr>
            <w:tcW w:w="446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59,244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76,906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10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as of thirty-nine weeks ended September 29, 2024 and fiscal year ended December 31, 2023,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1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1,563</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Vehicles</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11,833</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Property and equipment, gross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22,110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20,406</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impairment</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9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68"/>
        </w:trPr>
        <w:tc>
          <w:tcPr>
            <w:tcW w:w="8680" w:type="dxa"/>
            <w:vAlign w:val="bottom"/>
            <w:gridSpan w:val="2"/>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gridSpan w:val="2"/>
            <w:shd w:val="clear" w:color="auto" w:fill="CCEEFF"/>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(12,553</w:t>
            </w:r>
          </w:p>
        </w:tc>
        <w:tc>
          <w:tcPr>
            <w:tcW w:w="240" w:type="dxa"/>
            <w:vAlign w:val="bottom"/>
            <w:shd w:val="clear" w:color="auto" w:fill="CCEEFF"/>
          </w:tcPr>
          <w:p>
            <w:pPr>
              <w:spacing w:after="0"/>
              <w:rPr>
                <w:sz w:val="5"/>
                <w:szCs w:val="5"/>
                <w:color w:val="auto"/>
              </w:rPr>
            </w:pPr>
          </w:p>
        </w:tc>
        <w:tc>
          <w:tcPr>
            <w:tcW w:w="90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 million and $9.0 million of vehicles acquired via a financing lease as of September 29, 2024 and December 31, 2023, respectively.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expense for the thirty-nine weeks ended September 29, 2024 and fiscal year ended December 31, 2023, was approximately $3.9 million and $4.6 million,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9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4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shd w:val="clear" w:color="auto" w:fill="CCEEFF"/>
          </w:tcPr>
          <w:p>
            <w:pPr>
              <w:spacing w:after="0"/>
              <w:rPr>
                <w:sz w:val="21"/>
                <w:szCs w:val="21"/>
                <w:color w:val="auto"/>
              </w:rPr>
            </w:pPr>
          </w:p>
        </w:tc>
        <w:tc>
          <w:tcPr>
            <w:tcW w:w="5020" w:type="dxa"/>
            <w:vAlign w:val="bottom"/>
            <w:gridSpan w:val="3"/>
            <w:shd w:val="clear" w:color="auto" w:fill="CCEEFF"/>
          </w:tcPr>
          <w:p>
            <w:pPr>
              <w:ind w:left="4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3900" w:type="dxa"/>
            <w:vAlign w:val="bottom"/>
            <w:vMerge w:val="continue"/>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9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4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Legal fees</w:t>
            </w: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liability - current</w:t>
            </w:r>
          </w:p>
        </w:tc>
        <w:tc>
          <w:tcPr>
            <w:tcW w:w="4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Customer rebates</w:t>
            </w: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13,553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14,487</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4780" w:type="dxa"/>
            <w:vAlign w:val="bottom"/>
            <w:gridSpan w:val="2"/>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Pr>
          <w:p>
            <w:pPr>
              <w:spacing w:after="0"/>
              <w:rPr>
                <w:sz w:val="21"/>
                <w:szCs w:val="21"/>
                <w:color w:val="auto"/>
              </w:rPr>
            </w:pPr>
          </w:p>
        </w:tc>
        <w:tc>
          <w:tcPr>
            <w:tcW w:w="5020" w:type="dxa"/>
            <w:vAlign w:val="bottom"/>
            <w:gridSpan w:val="3"/>
          </w:tcPr>
          <w:p>
            <w:pPr>
              <w:ind w:left="4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32,584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32,674</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66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liability – noncurrent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retirement obligation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6,366</w:t>
            </w: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Combined Financial Statements are prepared on a stand-alone basis and are derived from SunPower Corporation’s consolidated financial statements and accounting records.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between the Company and the Parent have been classified as related-party transactions. All related party transactions between the Company and Parent have been included in these combined financial statements. On the combined balance sheet, all related party balances are presented in net parent investment in the combined balance sheet as there is not a history of settling these transactions using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 Allocations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SunPower performed certain corporate functions, including executive oversight, treasury, tax, finance, legal, human resources, compliance, information technology, selling, research and development and other corporate functions on behalf of the Company. The expenses associated with these functions have been allocated based on direct usage or benefit where specifically identifiable, with the remainder allocated on a proportional cost allocation method based primarily on revenue, as applicable. The Company considers the expense methodology and resulting allocation to be reasonable for the period presented; however, the allocations may not be indicative of actual expenses that would have been incurred had the Company operated as an independent company for the period presented. Actual costs incurred had the Company been a stand-alone company would depend on several factors, including the chosen organizational structure and functions outsourced or performed by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net effect of the settlement of these intercompany transactions is reflected in the combined statement of cash flows as a financing activity and in the combined balance sheet as net parent investment. The Company historically has not regularly settled balances with SunPower Corporation and the Company has not funded its own operating and investing activities as this was done at the Parent.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operational sales to or from SunPower for any of the periods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Net Parent Investment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Parent Investment for the thirty-nine weeks ended September 29, 2024 was $52,734.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combined statement of net parent investment and combined statement of cash flows are prepared in accordance with U.S. GAAP. As a result of carveout methodology as described in the Basis of Presentation, differences exist related to noncash items between the combined statements of net parent investment and the combined statements of cash flows with regard to transfers to and from Parent.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the net transfers to and from Parent as of thirty-nine weeks ended September 29, 2024 and twelve months ended December 31,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Thirty-nine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weeks ended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allocations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332,084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 from subsidiary to parent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(221,973)</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(167,823)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transfers from Parent per Statement of Changes in Net Parent Investment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110,111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60,317</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b w:val="1"/>
          <w:bCs w:val="1"/>
          <w:i w:val="1"/>
          <w:i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is involved in various claims and legal actions arising in the ordinary course of business.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accrues reserves for outstanding lawsuits, claims and proceedings when a loss contingency is probable and can be reasonably estimated. There are no losses that are probable, estimable or reasonably possible as of September 29, 2024 and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lease certain facilities under non-cancellable operating leases from third parties. Our operating leases are subject to renewal options for periods ranging from one year to ten years. We also lease certain vehicle finance leases which are cancellable with a fee and subject to renewal options of month-to-month after the initial term, and recorded and presented within “property and equipment, net” on our combined balance sheets refer to Note 3. </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Components </w:t>
      </w:r>
      <w:r>
        <w:rPr>
          <w:rFonts w:ascii="Times New Roman" w:cs="Times New Roman" w:eastAsia="Times New Roman" w:hAnsi="Times New Roman"/>
          <w:sz w:val="18"/>
          <w:szCs w:val="18"/>
          <w:color w:val="auto"/>
        </w:rPr>
        <w:t>for additional details.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right="20"/>
        <w:spacing w:after="0" w:line="282" w:lineRule="auto"/>
        <w:rPr>
          <w:sz w:val="20"/>
          <w:szCs w:val="20"/>
          <w:color w:val="auto"/>
        </w:rPr>
      </w:pPr>
      <w:r>
        <w:rPr>
          <w:rFonts w:ascii="Times New Roman" w:cs="Times New Roman" w:eastAsia="Times New Roman" w:hAnsi="Times New Roman"/>
          <w:sz w:val="18"/>
          <w:szCs w:val="18"/>
          <w:color w:val="auto"/>
        </w:rPr>
        <w:t>We have disclosed quantitative information related to the lease contracts we have entered into as a lessee by aggregating the information based on the nature of asset such that the assets of similar characteristics and lease terms are shown within one single financial statement line item.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Thirty-nine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Fiscal year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weeks ended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leased assets in property and equipment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on lease obligation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summarized quantitative information with regard to facility and equipment lease contracts we have entered into: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minimum lease payments to be paid under non-cancellable leases in effect as of September 29,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0" w:type="dxa"/>
            <w:vAlign w:val="bottom"/>
          </w:tcPr>
          <w:p>
            <w:pPr>
              <w:spacing w:after="0"/>
              <w:rPr>
                <w:sz w:val="1"/>
                <w:szCs w:val="1"/>
                <w:color w:val="auto"/>
              </w:rPr>
            </w:pPr>
          </w:p>
        </w:tc>
      </w:tr>
      <w:tr>
        <w:trPr>
          <w:trHeight w:val="245"/>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September 29, 2024</w:t>
            </w:r>
          </w:p>
        </w:tc>
        <w:tc>
          <w:tcPr>
            <w:tcW w:w="4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16"/>
        </w:trPr>
        <w:tc>
          <w:tcPr>
            <w:tcW w:w="3740" w:type="dxa"/>
            <w:vAlign w:val="bottom"/>
            <w:tcBorders>
              <w:top w:val="single" w:sz="8" w:color="auto"/>
            </w:tcBorders>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 December 2024</w:t>
            </w:r>
          </w:p>
        </w:tc>
        <w:tc>
          <w:tcPr>
            <w:tcW w:w="5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jc w:val="right"/>
              <w:ind w:right="74"/>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4"/>
                <w:szCs w:val="14"/>
                <w:color w:val="auto"/>
              </w:rPr>
            </w:pPr>
          </w:p>
        </w:tc>
        <w:tc>
          <w:tcPr>
            <w:tcW w:w="10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3740" w:type="dxa"/>
            <w:vAlign w:val="bottom"/>
            <w:tcBorders>
              <w:bottom w:val="single" w:sz="8" w:color="CCEEFF"/>
            </w:tcBorders>
            <w:vMerge w:val="continue"/>
          </w:tcPr>
          <w:p>
            <w:pPr>
              <w:spacing w:after="0"/>
              <w:rPr>
                <w:sz w:val="6"/>
                <w:szCs w:val="6"/>
                <w:color w:val="auto"/>
              </w:rPr>
            </w:pPr>
          </w:p>
        </w:tc>
        <w:tc>
          <w:tcPr>
            <w:tcW w:w="48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jc w:val="right"/>
              <w:spacing w:after="0" w:line="68" w:lineRule="exact"/>
              <w:rPr>
                <w:sz w:val="20"/>
                <w:szCs w:val="20"/>
                <w:color w:val="auto"/>
              </w:rPr>
            </w:pPr>
            <w:r>
              <w:rPr>
                <w:rFonts w:ascii="Times New Roman" w:cs="Times New Roman" w:eastAsia="Times New Roman" w:hAnsi="Times New Roman"/>
                <w:sz w:val="7"/>
                <w:szCs w:val="7"/>
                <w:color w:val="auto"/>
              </w:rPr>
              <w:t>(352</w:t>
            </w:r>
          </w:p>
        </w:tc>
        <w:tc>
          <w:tcPr>
            <w:tcW w:w="1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Other information related to leases (Supplemental Cash Flows Information) as of thirty-nine weeks ended September 29, 2024, and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Thirty-nine</w:t>
            </w: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Fiscal year</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weeks ended</w:t>
            </w: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1"/>
                <w:szCs w:val="21"/>
                <w:color w:val="auto"/>
              </w:rPr>
            </w:pPr>
          </w:p>
        </w:tc>
      </w:tr>
      <w:tr>
        <w:trPr>
          <w:trHeight w:val="216"/>
        </w:trPr>
        <w:tc>
          <w:tcPr>
            <w:tcW w:w="8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–cash flows from 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7,356</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obligations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finance leases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2,311</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obligations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2,531</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4, 2021, we entered into a Securities Purchase Agreement to acquire all of the issued and outstanding membership interests of Blue Raven Solar Holdings, LLC (“Blue Raven”) and 35% of the issued and outstanding membership interests in Albatross Software, LLC, an affiliate of Blue Raven. Goodwill presented on our combined financial statements of $126.0 million as of December 31, 2023 represents Goodwill resulting from the acquisition of Blue Raven.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test goodwill impairment at least annually during the last day of the third fiscal quarter, or when events or changes in circumstances indicate that goodwill might be impaired. The evaluation of impairment involves comparing the current fair value of our reporting unit to the book value (including goodwill). We have performed a quantitative assessment of goodwill to determine whether it is more likely than not that the fair value of a reporting unit is less than its carrying amount, including goodwill. After assessing the totality of events and circumstances, specifically, the distressed sale of SunPower Businesses as further discussed in Note 10.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we concluded that as of September 29, 2024, it is more likely than the fair value of our single reporting unit with goodwill is less than the book value. As such, we performed a quantitative assessment utilizing the transaction method and recognized a $103.9 million goodwill impairment for the thirty-nine weeks ended September 29, 2024. The impairment is recognized in loss on goodwill impairment.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represents our other intangible assets with finite useful lives as of December 31, 2023. The intangible assets were written off during the thirty-nine weeks ended September 29, 2024 and we recognized a $3.9 million impairment loss. The impairment is recognized in sales, general, and administrative expenses. Amortization expense was $4.7 million for the thirty-nine weeks ended September 29, 2024, prior to the recognition of the impairment charge, and $6.3 million for the twelve months ended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15,800</w:t>
            </w:r>
          </w:p>
        </w:tc>
        <w:tc>
          <w:tcPr>
            <w:tcW w:w="3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(8,888)</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6,912</w:t>
            </w:r>
          </w:p>
        </w:tc>
        <w:tc>
          <w:tcPr>
            <w:tcW w:w="80" w:type="dxa"/>
            <w:vAlign w:val="bottom"/>
          </w:tcPr>
          <w:p>
            <w:pPr>
              <w:spacing w:after="0"/>
              <w:rPr>
                <w:sz w:val="18"/>
                <w:szCs w:val="18"/>
                <w:color w:val="auto"/>
              </w:rPr>
            </w:pPr>
          </w:p>
        </w:tc>
      </w:tr>
      <w:tr>
        <w:trPr>
          <w:trHeight w:val="24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(2,550)</w:t>
            </w:r>
          </w:p>
        </w:tc>
        <w:tc>
          <w:tcPr>
            <w:tcW w:w="1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r>
      <w:tr>
        <w:trPr>
          <w:trHeight w:val="237"/>
        </w:trPr>
        <w:tc>
          <w:tcPr>
            <w:tcW w:w="7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24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income tax (benefit) expense has been calculated using the separate return method, which is meant to reflect how taxes would have been recorded had the Company filed its own return. The Company is not subject to examination by the U.S. federal and local income tax authorities due to the legal form of the sale of SunPower Businesses as described in Note 10.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thirty-nine weeks ended September 29, 2024, and the fiscal year ended December 31, 2023, we recorded a net income tax (benefit) of $(572) thousand and expense of $267 thousand,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(benefit) expense for income taxes, net are as follows: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Thirty-nine</w:t>
            </w:r>
          </w:p>
        </w:tc>
        <w:tc>
          <w:tcPr>
            <w:tcW w:w="12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weeks ended</w:t>
            </w: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20" w:type="dxa"/>
            <w:vAlign w:val="bottom"/>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8680" w:type="dxa"/>
            <w:vAlign w:val="bottom"/>
            <w:tcBorders>
              <w:top w:val="single" w:sz="8" w:color="CCEEFF"/>
            </w:tcBorders>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81"/>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Borders>
              <w:top w:val="single" w:sz="8" w:color="CCEEFF"/>
            </w:tcBorders>
            <w:vMerge w:val="restart"/>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(572</w:t>
            </w:r>
          </w:p>
        </w:tc>
        <w:tc>
          <w:tcPr>
            <w:tcW w:w="120" w:type="dxa"/>
            <w:vAlign w:val="bottom"/>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(benefit) expense differed from the amount computed by applying the federal statutory income tax rate of 21% to pretax income for the thirty-nine weeks ended September 29, 2024 and fiscal year ended December 31, 2023 as a result of the impact of state income taxes, add backs for allocated stock based compensation, and the related valuation allowance.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or liabilities for financial reporting purposes and the amounts used for income tax purposes.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are as follows: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Thirty-nine</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weeks ended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20" w:type="dxa"/>
            <w:vAlign w:val="bottom"/>
          </w:tcPr>
          <w:p>
            <w:pPr>
              <w:jc w:val="center"/>
              <w:ind w:right="14"/>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13,448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Intangibles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lease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8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(77,964</w:t>
            </w:r>
          </w:p>
        </w:tc>
        <w:tc>
          <w:tcPr>
            <w:tcW w:w="120" w:type="dxa"/>
            <w:vAlign w:val="bottom"/>
          </w:tcPr>
          <w:p>
            <w:pPr>
              <w:spacing w:after="0"/>
              <w:rPr>
                <w:sz w:val="6"/>
                <w:szCs w:val="6"/>
                <w:color w:val="auto"/>
              </w:rPr>
            </w:pPr>
          </w:p>
        </w:tc>
        <w:tc>
          <w:tcPr>
            <w:tcW w:w="110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(20,185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use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assets (liabilities):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120" w:hanging="1321"/>
        <w:spacing w:after="0"/>
        <w:tabs>
          <w:tab w:leader="none" w:pos="2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-256540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17145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120" w:hanging="1051"/>
        <w:spacing w:after="0"/>
        <w:tabs>
          <w:tab w:leader="none" w:pos="2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(857)(556)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14605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jc w:val="right"/>
        <w:ind w:right="40"/>
        <w:spacing w:after="0"/>
        <w:tabs>
          <w:tab w:leader="none" w:pos="520" w:val="left"/>
        </w:tabs>
        <w:rPr>
          <w:sz w:val="20"/>
          <w:szCs w:val="20"/>
          <w:color w:val="auto"/>
        </w:rPr>
      </w:pPr>
      <w:r>
        <w:rPr>
          <w:rFonts w:ascii="Times New Roman" w:cs="Times New Roman" w:eastAsia="Times New Roman" w:hAnsi="Times New Roman"/>
          <w:sz w:val="18"/>
          <w:szCs w:val="18"/>
          <w:color w:val="auto"/>
        </w:rPr>
        <w:t>(1,508)</w:t>
      </w:r>
      <w:r>
        <w:rPr>
          <w:sz w:val="20"/>
          <w:szCs w:val="20"/>
          <w:color w:val="auto"/>
        </w:rPr>
        <w:tab/>
      </w:r>
      <w:r>
        <w:rPr>
          <w:rFonts w:ascii="Times New Roman" w:cs="Times New Roman" w:eastAsia="Times New Roman" w:hAnsi="Times New Roman"/>
          <w:sz w:val="18"/>
          <w:szCs w:val="18"/>
          <w:color w:val="auto"/>
        </w:rPr>
        <w:t>(1,517)</w:t>
      </w:r>
    </w:p>
    <w:p>
      <w:pPr>
        <w:spacing w:after="0" w:line="58" w:lineRule="exact"/>
        <w:rPr>
          <w:sz w:val="20"/>
          <w:szCs w:val="20"/>
          <w:color w:val="auto"/>
        </w:rPr>
      </w:pPr>
    </w:p>
    <w:p>
      <w:pPr>
        <w:spacing w:after="0"/>
        <w:tabs>
          <w:tab w:leader="none" w:pos="1040" w:val="left"/>
          <w:tab w:leader="none" w:pos="1320" w:val="left"/>
          <w:tab w:leader="none" w:pos="2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560195"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assessed our ability to realize its deferred tax assets and has recorded a valuation allowance against such assets to the extent that, based on the weight of all available evidence, it is more likely than not that all or a portion of the deferred tax assets will not be realized. In assessing the likelihood of future realization of its deferred tax assets, we placed a significant amount of weight on the Company’s history of generating U.S. tax losses, including in the current year. The net change in the valuation allowance for the thirty-nine weeks ended September 29, 2024, was an increase of $57.8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net operating losses disclosed above were allocated within the carve-out financial statements based on historical losses and business operations of the SunPower Businesses, and are not available to Complete Solaria Inc. following the sale of SunPower Businesses to Complete Solaria, Inc. further described in Note 10.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income tax (benefit) expense provision. We account for income tax uncertainties using a threshold of more-likely than-not. There were no unrecognized tax benefits as of September 29, 2024 and December 31, 2023 that if recognized, would effect the effective tax rate.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Note 9. STOCK-BASED COMPENSEATION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stock-based compensation expense by line item in our combined statements of operations: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Thirty-Nine</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Weeks Ended</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5,814</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7,093</w:t>
            </w: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preparing these combined financial statements, the Company has evaluated events and transactions for potential recognition or disclosure through December 16, 2024, the date the combined financial statements were available to be issued.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5, 2024, SunPower Corporation entered into an Asset Purchase Agreement (the “APA”) with Complete Solaria, Inc. (“CSLR”) providing for the sale and purchase of certain assets relating to SunPower’s Blue Raven Solar business and certain assets relating to the new homes and non-installing dealer network activities previously operated by SunPower (the “Acquired Assets”). The APA was entered into in connection with a voluntary petition filed by SunPower under Chapter 11 of the United States Code, 11 U.S.C.§§ 101-1532 (“Bankruptcy Code”). The sale by SunPower was approved on September 23, 2024, by the United States Bankruptcy Court for the District of Delaware. The Company completed the acquisition of the Acquired Assets effective September 30, 2024, in consideration for a cash purchase price of $52.7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FINANCIAL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are derived from the historical consolidated Complete Solaria, Inc. (the “Company”, “Complete Solaria”, or “CSLR”) the historical combined financial statements of SunPower Businesses, respectively and reflects (1) the acquisition of certain businesses from SunPower Corporation which closed on September 30, 2024 (the “Acquisition”), and (2) the financing of the Acquisition (the “Financing”).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combined financial information related to the Acquisition has been prepared by the Company using the acquisition method of accounting in accordance with GAAP. The Company has been treated as the acquirer for accounting purposes and thus accounts for the Acquisition as a business combination in accordance with Accounting Standards Codification (“ASC”) Topic 805, Business Combinations (“ASC 805”). The estimated fair value of the assets acquired and liabilities assumed and the related purchase price allocation is preliminary and have been made solely for the purpose of providing unaudited pro forma combined financial information. As a result of the foregoing, the pro forma adjustments are preliminary and have been made solely for the purpose of providing unaudited pro forma combined financial information.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combined balance sheet as of September 29, 2024 combines the historical balance sheet of the Company and the historical balance sheet of SunPower Businesses, on a pro forma basis as if the Acquisition had been consummated on September 29, 2024 (the Financing is included in the Company’s historical balance sheet as of September 29, 2024). The unaudited pro forma combined statements of operations for the year ended December 31, 2023 and the thirty nine weeks ended September 29, 2024, combine the historical statements of operations of the Company and SunPower Businesses on a pro forma basis as if the Acquisition and the Financing, summarized below, had been consummated on January 1, 2023, the beginning of the earliest period presented.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does not give effect to any cost savings, operating synergies or revenue synergies that may result from the Acquisition.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combined financial statements have been developed from and should be read in conjunction with:</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Combined Financial Statements;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the Company for the year ended December 31, 2023 and the related notes in its Annual Report on Form 10-K for such fiscal year;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of the Company as of and for the thirty-nine weeks ended September 29, 2024 and the related notes in its Quarterly Report on Form 10-Q for such period;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carveout financial statements of the SunPower Businesses as of and for the year ended December 31, 2023, and the audited carveout financial statements of the SunPower Businesses as of and for the thirty-nine weeks ended September 29, 2024, which are attached as Exhibit 99.1 of this Current Report on Form 8-K.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Assumptions and estimates underlying the unaudited pro forma adjustments set forth in the unaudited pro forma combined financial statements are described in the accompanying notes. The unaudited pro forma combined financial statements have been presented for illustrative purposes only and are not necessarily indicative of the operating results and financial position that would have been achieved had the Acquisition and Financing occurred on the dates indicated. Further, the unaudited pro forma combined financial statements do not purport to project the future operating results or financial position of CSLR following the completion of the Acquisition.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29,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par values)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SunPower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w w:val="96"/>
              </w:rPr>
              <w:t>Transaction</w:t>
            </w:r>
          </w:p>
        </w:tc>
        <w:tc>
          <w:tcPr>
            <w:tcW w:w="12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45"/>
        </w:trPr>
        <w:tc>
          <w:tcPr>
            <w:tcW w:w="5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CSLR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Businesses</w:t>
            </w:r>
          </w:p>
        </w:tc>
        <w:tc>
          <w:tcPr>
            <w:tcW w:w="100" w:type="dxa"/>
            <w:vAlign w:val="bottom"/>
          </w:tcPr>
          <w:p>
            <w:pPr>
              <w:spacing w:after="0"/>
              <w:rPr>
                <w:sz w:val="21"/>
                <w:szCs w:val="21"/>
                <w:color w:val="auto"/>
              </w:rPr>
            </w:pPr>
          </w:p>
        </w:tc>
        <w:tc>
          <w:tcPr>
            <w:tcW w:w="1520" w:type="dxa"/>
            <w:vAlign w:val="bottom"/>
            <w:gridSpan w:val="3"/>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Balance-Sheet</w:t>
            </w:r>
          </w:p>
        </w:tc>
        <w:tc>
          <w:tcPr>
            <w:tcW w:w="0" w:type="dxa"/>
            <w:vAlign w:val="bottom"/>
          </w:tcPr>
          <w:p>
            <w:pPr>
              <w:spacing w:after="0"/>
              <w:rPr>
                <w:sz w:val="1"/>
                <w:szCs w:val="1"/>
                <w:color w:val="auto"/>
              </w:rPr>
            </w:pPr>
          </w:p>
        </w:tc>
      </w:tr>
      <w:tr>
        <w:trPr>
          <w:trHeight w:val="198"/>
        </w:trPr>
        <w:tc>
          <w:tcPr>
            <w:tcW w:w="57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79,502</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(52,733)(A)</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28,632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8,482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(35,737)(A)</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15,039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(25,826)(A)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9,933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12,039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purchase agreement assets with related parties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4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12,816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59,244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(56,047)(A)</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16,013</w:t>
            </w: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102,483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150,592</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(170,343)</w:t>
            </w:r>
          </w:p>
        </w:tc>
        <w:tc>
          <w:tcPr>
            <w:tcW w:w="4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82,732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10,147</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13,089(A)</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35,159</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asset</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vMerge w:val="restart"/>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780" w:type="dxa"/>
            <w:vAlign w:val="bottom"/>
            <w:vMerge w:val="continue"/>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107,936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185,366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(157,254</w:t>
            </w:r>
          </w:p>
        </w:tc>
        <w:tc>
          <w:tcPr>
            <w:tcW w:w="420" w:type="dxa"/>
            <w:vAlign w:val="bottom"/>
            <w:vMerge w:val="continue"/>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136,048</w:t>
            </w:r>
          </w:p>
        </w:tc>
        <w:tc>
          <w:tcPr>
            <w:tcW w:w="0" w:type="dxa"/>
            <w:vAlign w:val="bottom"/>
          </w:tcPr>
          <w:p>
            <w:pPr>
              <w:spacing w:after="0"/>
              <w:rPr>
                <w:sz w:val="1"/>
                <w:szCs w:val="1"/>
                <w:color w:val="auto"/>
              </w:rPr>
            </w:pPr>
          </w:p>
        </w:tc>
      </w:tr>
      <w:tr>
        <w:trPr>
          <w:trHeight w:val="216"/>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4,627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(62,817)(A)</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10,857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29,825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(41,703)(A)</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19,058(B)</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39,764</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to related parties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4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19,058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(19,058)(B)</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41,714</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121,597</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(104,520)</w:t>
            </w:r>
          </w:p>
        </w:tc>
        <w:tc>
          <w:tcPr>
            <w:tcW w:w="4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58,791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3,322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6,597</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and derivative liabilities, net of current portion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154,215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154,215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to related parties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43,458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43,458</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4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8,980</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250,640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132,632</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(104,520</w:t>
            </w:r>
          </w:p>
        </w:tc>
        <w:tc>
          <w:tcPr>
            <w:tcW w:w="420" w:type="dxa"/>
            <w:vAlign w:val="bottom"/>
            <w:tcBorders>
              <w:top w:val="single" w:sz="8" w:color="CCEEFF"/>
              <w:bottom w:val="single" w:sz="8" w:color="CCEEFF"/>
            </w:tcBorders>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278,752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Authorized 1,000,000,000 and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1,000,000,000 shares as of September 29, 2024 and December 31, 2023,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issued and outstanding 72,977,921, and 49,065,361 shares as of</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29, 2024 and December 31, 2023, respectively</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315,485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315,485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(458,368)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(458,368)</w:t>
            </w:r>
          </w:p>
        </w:tc>
        <w:tc>
          <w:tcPr>
            <w:tcW w:w="0" w:type="dxa"/>
            <w:vAlign w:val="bottom"/>
          </w:tcPr>
          <w:p>
            <w:pPr>
              <w:spacing w:after="0"/>
              <w:rPr>
                <w:sz w:val="1"/>
                <w:szCs w:val="1"/>
                <w:color w:val="auto"/>
              </w:rPr>
            </w:pPr>
          </w:p>
        </w:tc>
      </w:tr>
      <w:tr>
        <w:trPr>
          <w:trHeight w:val="23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parent investment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52,734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(52,734)(C)</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(52,734</w:t>
            </w:r>
          </w:p>
        </w:tc>
        <w:tc>
          <w:tcPr>
            <w:tcW w:w="420" w:type="dxa"/>
            <w:vAlign w:val="bottom"/>
            <w:tcBorders>
              <w:top w:val="single" w:sz="8" w:color="CCEEFF"/>
              <w:bottom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107,936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185,366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(157,254</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136,048</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7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32" w:name="page33"/>
    <w:bookmarkEnd w:id="3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UNAUDITED PRO FORMA COMBINED STATEMENT OF OPERATIONS FOR THE THIRTY-NINE WEEKS ENDED SEPTEMBER 29, 2024 </w:t>
      </w:r>
      <w:r>
        <w:rPr>
          <w:rFonts w:ascii="Times New Roman" w:cs="Times New Roman" w:eastAsia="Times New Roman" w:hAnsi="Times New Roman"/>
          <w:sz w:val="18"/>
          <w:szCs w:val="18"/>
          <w:color w:val="auto"/>
        </w:rPr>
        <w:t>(In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SunPower</w:t>
            </w: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140" w:type="dxa"/>
            <w:vAlign w:val="bottom"/>
          </w:tcPr>
          <w:p>
            <w:pPr>
              <w:spacing w:after="0"/>
              <w:rPr>
                <w:sz w:val="18"/>
                <w:szCs w:val="18"/>
                <w:color w:val="auto"/>
              </w:rPr>
            </w:pPr>
          </w:p>
        </w:tc>
        <w:tc>
          <w:tcPr>
            <w:tcW w:w="136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CSLR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Businesses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500" w:type="dxa"/>
            <w:vAlign w:val="bottom"/>
            <w:gridSpan w:val="3"/>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21"/>
                <w:szCs w:val="21"/>
                <w:color w:val="auto"/>
              </w:rPr>
            </w:pPr>
          </w:p>
        </w:tc>
        <w:tc>
          <w:tcPr>
            <w:tcW w:w="11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Statement</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273,118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21,834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173,062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194,896</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(loss) profit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33,398(D)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45,089</w:t>
            </w: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13,257(D)</w:t>
            </w:r>
          </w:p>
        </w:tc>
        <w:tc>
          <w:tcPr>
            <w:tcW w:w="140" w:type="dxa"/>
            <w:vAlign w:val="bottom"/>
          </w:tcPr>
          <w:p>
            <w:pPr>
              <w:spacing w:after="0"/>
              <w:rPr>
                <w:sz w:val="18"/>
                <w:szCs w:val="18"/>
                <w:color w:val="auto"/>
              </w:rPr>
            </w:pPr>
          </w:p>
        </w:tc>
        <w:tc>
          <w:tcPr>
            <w:tcW w:w="13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17,019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29,789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177,238(D)</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207,027</w:t>
            </w: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219,932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(219,932)(D)</w:t>
            </w:r>
          </w:p>
        </w:tc>
        <w:tc>
          <w:tcPr>
            <w:tcW w:w="140" w:type="dxa"/>
            <w:vAlign w:val="bottom"/>
          </w:tcPr>
          <w:p>
            <w:pPr>
              <w:spacing w:after="0"/>
              <w:rPr>
                <w:sz w:val="18"/>
                <w:szCs w:val="18"/>
                <w:color w:val="auto"/>
              </w:rPr>
            </w:pPr>
          </w:p>
        </w:tc>
        <w:tc>
          <w:tcPr>
            <w:tcW w:w="13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goodwill impairment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103,926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103,926</w:t>
            </w:r>
          </w:p>
        </w:tc>
        <w:tc>
          <w:tcPr>
            <w:tcW w:w="0" w:type="dxa"/>
            <w:vAlign w:val="bottom"/>
          </w:tcPr>
          <w:p>
            <w:pPr>
              <w:spacing w:after="0"/>
              <w:rPr>
                <w:sz w:val="1"/>
                <w:szCs w:val="1"/>
                <w:color w:val="auto"/>
              </w:rPr>
            </w:pPr>
          </w:p>
        </w:tc>
      </w:tr>
      <w:tr>
        <w:trPr>
          <w:trHeight w:val="237"/>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3,961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(3,961)(D)</w:t>
            </w:r>
          </w:p>
        </w:tc>
        <w:tc>
          <w:tcPr>
            <w:tcW w:w="140" w:type="dxa"/>
            <w:vAlign w:val="bottom"/>
          </w:tcPr>
          <w:p>
            <w:pPr>
              <w:spacing w:after="0"/>
              <w:rPr>
                <w:sz w:val="20"/>
                <w:szCs w:val="20"/>
                <w:color w:val="auto"/>
              </w:rPr>
            </w:pPr>
          </w:p>
        </w:tc>
        <w:tc>
          <w:tcPr>
            <w:tcW w:w="13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0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(47,008)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(227,763)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(274,771)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(8,230)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(3,507)(E)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(66,234)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(66,246)</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19,948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19,948</w:t>
            </w:r>
          </w:p>
        </w:tc>
        <w:tc>
          <w:tcPr>
            <w:tcW w:w="0" w:type="dxa"/>
            <w:vAlign w:val="bottom"/>
          </w:tcPr>
          <w:p>
            <w:pPr>
              <w:spacing w:after="0"/>
              <w:rPr>
                <w:sz w:val="1"/>
                <w:szCs w:val="1"/>
                <w:color w:val="auto"/>
              </w:rPr>
            </w:pPr>
          </w:p>
        </w:tc>
      </w:tr>
      <w:tr>
        <w:trPr>
          <w:trHeight w:val="236"/>
        </w:trPr>
        <w:tc>
          <w:tcPr>
            <w:tcW w:w="4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400" w:type="dxa"/>
            <w:vAlign w:val="bottom"/>
            <w:tcBorders>
              <w:top w:val="single" w:sz="8" w:color="CCEEFF"/>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1"/>
        </w:trPr>
        <w:tc>
          <w:tcPr>
            <w:tcW w:w="408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Loss from continuing operations before income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(101,422)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(228,060)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(3,507)</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(332,989)</w:t>
            </w: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loss from continuing operations</w:t>
            </w: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(101,433)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(227,488)</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(3,507)</w:t>
            </w:r>
          </w:p>
        </w:tc>
        <w:tc>
          <w:tcPr>
            <w:tcW w:w="4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(332,428)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(227,488)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8"/>
        </w:trPr>
        <w:tc>
          <w:tcPr>
            <w:tcW w:w="40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180" w:type="dxa"/>
            <w:vAlign w:val="bottom"/>
            <w:tcBorders>
              <w:top w:val="single" w:sz="8" w:color="CCEEFF"/>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(103,418</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(227,488</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400" w:type="dxa"/>
            <w:vAlign w:val="bottom"/>
            <w:tcBorders>
              <w:top w:val="single" w:sz="8" w:color="CCEEFF"/>
              <w:bottom w:val="single" w:sz="8" w:color="CCEEFF"/>
            </w:tcBorders>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(334,413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loss from continuing operations per share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attributable to common stockholders, basic and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157"/>
        </w:trPr>
        <w:tc>
          <w:tcPr>
            <w:tcW w:w="4080" w:type="dxa"/>
            <w:vAlign w:val="bottom"/>
            <w:tcBorders>
              <w:top w:val="single" w:sz="8" w:color="CCEEFF"/>
            </w:tcBorders>
            <w:shd w:val="clear" w:color="auto" w:fill="CCEEFF"/>
          </w:tcPr>
          <w:p>
            <w:pPr>
              <w:ind w:left="340"/>
              <w:spacing w:after="0" w:line="157" w:lineRule="exact"/>
              <w:rPr>
                <w:sz w:val="20"/>
                <w:szCs w:val="20"/>
                <w:color w:val="auto"/>
              </w:rPr>
            </w:pPr>
            <w:r>
              <w:rPr>
                <w:rFonts w:ascii="Times New Roman" w:cs="Times New Roman" w:eastAsia="Times New Roman" w:hAnsi="Times New Roman"/>
                <w:sz w:val="18"/>
                <w:szCs w:val="18"/>
                <w:color w:val="auto"/>
              </w:rPr>
              <w:t>Net loss from discontinued operations per share</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attributable to common stockholders, basic and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0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4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157"/>
        </w:trPr>
        <w:tc>
          <w:tcPr>
            <w:tcW w:w="40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Weighted-average shares used to compute net loss per</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basic and diluted</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61,868,747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61,868,747</w:t>
            </w:r>
          </w:p>
        </w:tc>
        <w:tc>
          <w:tcPr>
            <w:tcW w:w="0" w:type="dxa"/>
            <w:vAlign w:val="bottom"/>
          </w:tcPr>
          <w:p>
            <w:pPr>
              <w:spacing w:after="0"/>
              <w:rPr>
                <w:sz w:val="1"/>
                <w:szCs w:val="1"/>
                <w:color w:val="auto"/>
              </w:rPr>
            </w:pPr>
          </w:p>
        </w:tc>
      </w:tr>
      <w:tr>
        <w:trPr>
          <w:trHeight w:val="547"/>
        </w:trPr>
        <w:tc>
          <w:tcPr>
            <w:tcW w:w="4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33" w:name="page34"/>
    <w:bookmarkEnd w:id="3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UNAUDITED PRO FORMA COMBINED STATEMENT OF OPERATIONS FOR THE YEAR ENDED DECEMBER 31, 2023 </w:t>
      </w:r>
      <w:r>
        <w:rPr>
          <w:rFonts w:ascii="Times New Roman" w:cs="Times New Roman" w:eastAsia="Times New Roman" w:hAnsi="Times New Roman"/>
          <w:sz w:val="18"/>
          <w:szCs w:val="18"/>
          <w:color w:val="auto"/>
        </w:rPr>
        <w:t>(In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SunPower</w:t>
            </w: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CSLR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Businesses</w:t>
            </w:r>
          </w:p>
        </w:tc>
        <w:tc>
          <w:tcPr>
            <w:tcW w:w="100" w:type="dxa"/>
            <w:vAlign w:val="bottom"/>
          </w:tcPr>
          <w:p>
            <w:pPr>
              <w:spacing w:after="0"/>
              <w:rPr>
                <w:sz w:val="21"/>
                <w:szCs w:val="21"/>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60" w:type="dxa"/>
            <w:vAlign w:val="bottom"/>
          </w:tcPr>
          <w:p>
            <w:pPr>
              <w:spacing w:after="0"/>
              <w:rPr>
                <w:sz w:val="21"/>
                <w:szCs w:val="21"/>
                <w:color w:val="auto"/>
              </w:rPr>
            </w:pPr>
          </w:p>
        </w:tc>
        <w:tc>
          <w:tcPr>
            <w:tcW w:w="1520" w:type="dxa"/>
            <w:vAlign w:val="bottom"/>
            <w:gridSpan w:val="3"/>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21"/>
                <w:szCs w:val="21"/>
                <w:color w:val="auto"/>
              </w:rPr>
            </w:pPr>
          </w:p>
        </w:tc>
        <w:tc>
          <w:tcPr>
            <w:tcW w:w="11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Statement</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610,035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69,828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345,217</w:t>
            </w:r>
          </w:p>
        </w:tc>
        <w:tc>
          <w:tcPr>
            <w:tcW w:w="10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415,045</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69,382(F)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100,509</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6,920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25,020(F)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31,940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32,099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205,121(F)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237,220</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8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290,693</w:t>
            </w:r>
          </w:p>
        </w:tc>
        <w:tc>
          <w:tcPr>
            <w:tcW w:w="1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(290,693)(F)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(8,830)(F)</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70,146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299,523</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369,669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(14,033)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(4,676)(G)</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(19,145)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(29,862)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(29,890)</w:t>
            </w:r>
          </w:p>
        </w:tc>
        <w:tc>
          <w:tcPr>
            <w:tcW w:w="0" w:type="dxa"/>
            <w:vAlign w:val="bottom"/>
          </w:tcPr>
          <w:p>
            <w:pPr>
              <w:spacing w:after="0"/>
              <w:rPr>
                <w:sz w:val="1"/>
                <w:szCs w:val="1"/>
                <w:color w:val="auto"/>
              </w:rPr>
            </w:pPr>
          </w:p>
        </w:tc>
      </w:tr>
      <w:tr>
        <w:trPr>
          <w:trHeight w:val="236"/>
        </w:trPr>
        <w:tc>
          <w:tcPr>
            <w:tcW w:w="4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420" w:type="dxa"/>
            <w:vAlign w:val="bottom"/>
            <w:tcBorders>
              <w:top w:val="single" w:sz="8" w:color="CCEEFF"/>
              <w:bottom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1"/>
        </w:trPr>
        <w:tc>
          <w:tcPr>
            <w:tcW w:w="428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Loss from continuing operations before income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(96,217)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(35,169)</w:t>
            </w:r>
          </w:p>
        </w:tc>
        <w:tc>
          <w:tcPr>
            <w:tcW w:w="10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(4,676)</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(136,062)</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loss from continuing operations</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(96,197)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(35,436)</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(4,676)</w:t>
            </w:r>
          </w:p>
        </w:tc>
        <w:tc>
          <w:tcPr>
            <w:tcW w:w="4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(136,309)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8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(25,853)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0" w:type="dxa"/>
            <w:vAlign w:val="bottom"/>
          </w:tcPr>
          <w:p>
            <w:pPr>
              <w:spacing w:after="0"/>
              <w:rPr>
                <w:sz w:val="1"/>
                <w:szCs w:val="1"/>
                <w:color w:val="auto"/>
              </w:rPr>
            </w:pPr>
          </w:p>
        </w:tc>
      </w:tr>
      <w:tr>
        <w:trPr>
          <w:trHeight w:val="236"/>
        </w:trPr>
        <w:tc>
          <w:tcPr>
            <w:tcW w:w="42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Impairment loss from discontinued operations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loss from discontinued operations, net of taxes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(173,358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(173,358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vMerge w:val="restart"/>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4280" w:type="dxa"/>
            <w:vAlign w:val="bottom"/>
            <w:vMerge w:val="continue"/>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(269,439</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(35,436</w:t>
            </w:r>
          </w:p>
        </w:tc>
        <w:tc>
          <w:tcPr>
            <w:tcW w:w="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42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(309,551</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loss from continuing operations per share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attributable to common stockholders, basic and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157"/>
        </w:trPr>
        <w:tc>
          <w:tcPr>
            <w:tcW w:w="4280" w:type="dxa"/>
            <w:vAlign w:val="bottom"/>
            <w:tcBorders>
              <w:top w:val="single" w:sz="8" w:color="CCEEFF"/>
            </w:tcBorders>
            <w:shd w:val="clear" w:color="auto" w:fill="CCEEFF"/>
          </w:tcPr>
          <w:p>
            <w:pPr>
              <w:ind w:left="340"/>
              <w:spacing w:after="0" w:line="157" w:lineRule="exact"/>
              <w:rPr>
                <w:sz w:val="20"/>
                <w:szCs w:val="20"/>
                <w:color w:val="auto"/>
              </w:rPr>
            </w:pPr>
            <w:r>
              <w:rPr>
                <w:rFonts w:ascii="Times New Roman" w:cs="Times New Roman" w:eastAsia="Times New Roman" w:hAnsi="Times New Roman"/>
                <w:sz w:val="18"/>
                <w:szCs w:val="18"/>
                <w:color w:val="auto"/>
              </w:rPr>
              <w:t>Net loss from discontinued operations per share</w:t>
            </w: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attributable to common stockholders, basic and</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
        </w:trPr>
        <w:tc>
          <w:tcPr>
            <w:tcW w:w="4280" w:type="dxa"/>
            <w:vAlign w:val="bottom"/>
            <w:tcBorders>
              <w:top w:val="single" w:sz="8" w:color="CCEEFF"/>
              <w:bottom w:val="single" w:sz="8" w:color="CCEEFF"/>
            </w:tcBorders>
            <w:vMerge w:val="restart"/>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157"/>
        </w:trPr>
        <w:tc>
          <w:tcPr>
            <w:tcW w:w="42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Weighted-average shares used to compute net loss per</w:t>
            </w: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basic and diluted</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24,723,370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24,723,370</w:t>
            </w:r>
          </w:p>
        </w:tc>
        <w:tc>
          <w:tcPr>
            <w:tcW w:w="0" w:type="dxa"/>
            <w:vAlign w:val="bottom"/>
          </w:tcPr>
          <w:p>
            <w:pPr>
              <w:spacing w:after="0"/>
              <w:rPr>
                <w:sz w:val="1"/>
                <w:szCs w:val="1"/>
                <w:color w:val="auto"/>
              </w:rPr>
            </w:pPr>
          </w:p>
        </w:tc>
      </w:tr>
      <w:tr>
        <w:trPr>
          <w:trHeight w:val="547"/>
        </w:trPr>
        <w:tc>
          <w:tcPr>
            <w:tcW w:w="4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Unaudited Pro Forma Combined Financial Statements</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information was prepared in accordance with Article 11 of Regulation S-X, and presents the pro forma financial condition and results of operations of the Company based on the historical financial information of the Company and SunPower Businesses after giving effect to the Acquisition and Financing as set forth in the notes to the unaudited pro forma combined financial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combined financial information does not reflect any management adjustments for expected effects of the Acquisition.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Balance Sheet as of September 29, 2024 gives pro forma effect to the Acquisition as if it had been consummated on September 29, 2024. No adjustments related to the Financing as described in the section entitled “Financing of the Acquisition” have been applied to the unaudited pro forma combined balance sheet as of September 29, 2024, as these impacts are already reflected in the Company’s historical consolidated balance sheet as of September 29,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Statement of Operations for the year ended December 31, 2023 and the thirty nine weeks ended September 29, 2024, give pro forma effect to the Acquisition and Financing as if it had been consummated on January 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Asset Purchase Transaction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5, 2024, Complete Solaria entered into an Asset Purchase Agreement (the “APA”) among Complete Solaria, SunPower and SunPower’s direct and indirect subsidiaries (collectively, the “SunPower Debtors”) providing for the sale and purchase of certain assets relating to the Blue Raven Solar business, New Homes Business and Non-Installing Dealer network previously operated by the SunPower Debtors. The APA was entered into in connection with a voluntary petition filed by SunPower under Chapter 11 of the United States Code, 11 U.S.C.§§ 101-1532. The sale by SunPower was approved on September 23, 2024, by the United States Bankruptcy Court for the District of Delaware. The Company completed the acquisition of the Acquired Assets (as defined in the APA) effective September 30, 2024, in consideration for a cash purchase price of $52.7 million. The acquisition transactions under the APA are referred to herein as the “Acquisition,” and the assets and businesses acquired by the Company under the APA are referred to as the “SunPower Businesses.” The acquisition was closed on September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of the Acquisition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Solaria financed the acquisition by issuing 7% convertible senior notes (“the Convertible Notes”) in September 2024, which are due in 2029. The Convertible Notes matures on July 1, 2029 and are convertible into the Company’s common stock at the option of the holder at a conversion rate of $2.14 per share. The Convertible Notes will become immediately due and payable at the option of the holder in the event of default and upon a qualifying change of control event.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ind w:left="100"/>
        <w:spacing w:after="0"/>
        <w:rPr>
          <w:sz w:val="20"/>
          <w:szCs w:val="20"/>
          <w:color w:val="auto"/>
        </w:rPr>
      </w:pPr>
      <w:r>
        <w:rPr>
          <w:rFonts w:ascii="Times New Roman" w:cs="Times New Roman" w:eastAsia="Times New Roman" w:hAnsi="Times New Roman"/>
          <w:sz w:val="18"/>
          <w:szCs w:val="18"/>
          <w:b w:val="1"/>
          <w:bCs w:val="1"/>
          <w:color w:val="auto"/>
        </w:rPr>
        <w:t>2. Notes to the Unaudited Pro Forma Combined Balance Sheet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adjustments were made related to the unaudited pro forma combined balance sheet as of September 29, 2024:</w:t>
      </w:r>
    </w:p>
    <w:p>
      <w:pPr>
        <w:spacing w:after="0" w:line="225" w:lineRule="exact"/>
        <w:rPr>
          <w:sz w:val="20"/>
          <w:szCs w:val="20"/>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$52.7 million of cash consideration transferred to consummate the Acquisition and recognize the assets acquired and liabilities assumed as detailed below.</w:t>
      </w:r>
    </w:p>
    <w:p>
      <w:pPr>
        <w:spacing w:after="0" w:line="16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transferred was allocated amongst the assets acquired and liabilities assumed. As the consideration transferred exceeded the fair value of the net assets acquired, the Company has estimated goodwill totaling $35.2 million. The goodwill recognized represents premium paid for the net assets acquired in the transaction. The Company continues to evaluate whether intangible assets were acquired in connection with the acquisition, and the estimates of fair value are based upon preliminary valuation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7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1,863</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6,557</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9,933</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11,432</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3,197</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9,557</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2,507</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(6,230)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(9,939)</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(2,963)</w:t>
            </w:r>
          </w:p>
        </w:tc>
      </w:tr>
      <w:tr>
        <w:trPr>
          <w:trHeight w:val="237"/>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(8,980)</w:t>
            </w:r>
          </w:p>
        </w:tc>
      </w:tr>
      <w:tr>
        <w:trPr>
          <w:trHeight w:val="236"/>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33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33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52,733</w:t>
            </w:r>
          </w:p>
        </w:tc>
        <w:tc>
          <w:tcPr>
            <w:tcW w:w="100" w:type="dxa"/>
            <w:vAlign w:val="bottom"/>
            <w:tcBorders>
              <w:bottom w:val="single" w:sz="8" w:color="CCEEFF"/>
            </w:tcBorders>
          </w:tcPr>
          <w:p>
            <w:pPr>
              <w:spacing w:after="0"/>
              <w:rPr>
                <w:sz w:val="24"/>
                <w:szCs w:val="24"/>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recognized</w:t>
            </w:r>
          </w:p>
        </w:tc>
        <w:tc>
          <w:tcPr>
            <w:tcW w:w="3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35,159</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financial statement presentation for SunPower Businesses to the Company within the Balance Sheet as of September 29,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parent investment is eliminated upon the consummation of the business combination and has been eliminated herein.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3. Notes to the Unaudited Pro Forma Combined Statements of Operations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combined statements of operations for the thirty-nine weeks ended September 29, 2024 and for the are as follows:</w:t>
      </w:r>
    </w:p>
    <w:p>
      <w:pPr>
        <w:spacing w:after="0" w:line="162"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financial statement presentation for SunPower Businesses to the Company within the Statement of Operations for the 39 weeks ended September 29,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interest expense on the 7% Convertible Senior Notes for the thirty-nine weeks ended September 29, 2024 assuming the Convertible Notes were issued on January 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included in the unaudited pro forma combined statements of operations for the year ended December 31, 2023 are as follows:</w:t>
      </w:r>
    </w:p>
    <w:p>
      <w:pPr>
        <w:spacing w:after="0" w:line="225"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financial statement presentation for SunPower Businesses to the Company within the Statement of Operations for the fiscal year ended December 31, 2023.</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interest expense on the 7% Convertible Senior Notes for the fiscal year ended December 31, 2023 assuming the Convertible Notes were issued on January 1, 2023.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lvl w:ilvl="1">
      <w:lvlJc w:val="left"/>
      <w:lvlText w:val="●"/>
      <w:numFmt w:val="bullet"/>
      <w:start w:val="1"/>
    </w:lvl>
  </w:abstractNum>
  <w:abstractNum w:abstractNumId="2">
    <w:nsid w:val="4DB127F8"/>
    <w:multiLevelType w:val="hybridMultilevel"/>
    <w:lvl w:ilvl="0">
      <w:lvlJc w:val="left"/>
      <w:lvlText w:val="(%1)"/>
      <w:numFmt w:val="lowerLetter"/>
      <w:start w:val="3"/>
    </w:lvl>
    <w:lvl w:ilvl="1">
      <w:lvlJc w:val="left"/>
      <w:lvlText w:val="●"/>
      <w:numFmt w:val="bullet"/>
      <w:start w:val="1"/>
    </w:lvl>
  </w:abstractNum>
  <w:abstractNum w:abstractNumId="3">
    <w:nsid w:val="216231B"/>
    <w:multiLevelType w:val="hybridMultilevel"/>
    <w:lvl w:ilvl="0">
      <w:lvlJc w:val="left"/>
      <w:lvlText w:val="%1"/>
      <w:numFmt w:val="decimal"/>
      <w:start w:val="104"/>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7"/>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65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upperLetter"/>
      <w:start w:val="1"/>
    </w:lvl>
  </w:abstractNum>
  <w:abstractNum w:abstractNumId="14">
    <w:nsid w:val="6B68079A"/>
    <w:multiLevelType w:val="hybridMultilevel"/>
    <w:lvl w:ilvl="0">
      <w:lvlJc w:val="left"/>
      <w:lvlText w:val="%1."/>
      <w:numFmt w:val="upperLetter"/>
      <w:start w:val="2"/>
    </w:lvl>
  </w:abstractNum>
  <w:abstractNum w:abstractNumId="15">
    <w:nsid w:val="4E6AFB66"/>
    <w:multiLevelType w:val="hybridMultilevel"/>
    <w:lvl w:ilvl="0">
      <w:lvlJc w:val="left"/>
      <w:lvlText w:val="%1."/>
      <w:numFmt w:val="upperLetter"/>
      <w:start w:val="4"/>
    </w:lvl>
  </w:abstractNum>
  <w:abstractNum w:abstractNumId="16">
    <w:nsid w:val="25E45D32"/>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2024-12-16T16:36:31Z</dcterms:created>
  <dcterms:modified xsi:type="dcterms:W3CDTF">2024-12-16T16:36:31Z</dcterms:modified>
</cp:coreProperties>
</file>