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142101-424b3_sunpower.htm"/>
      <w:bookmarkStart w:id="1" w:name="ksea030142101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333-296205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4</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18,805,310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36,283,183 Shares of Common Stock Issuable Upon Conversion of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333-296205). This prospectus supplement is being filed to update and supplement the information in the prospectus with the information contained in our Current Report on Form 8-K filed with the Securities and Exchange Commission on August 10,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offer and sale from time to time by the selling securityholders named in the prospectus and this prospectus supplement or their permitted transferees, donees, pledgees and other successors-in-interest (collectively,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55,088,493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up to 36,283,183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conversion of our 10.0% convertible senior secured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(ii) 18,805,310 shares of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and, together with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issued by us to certain Selling Securityholders pursuant to the Exchange Agreements, each dated April 21, 2026, by and between the Company and such Selling Securityholders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for a description of the 10.0% Notes and the Exchange Agreements and “SELLING SECURITYHOLDERS” on page 100 of the prospectus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and this prospectus supplement and will not receive any of the proceeds from the sale of our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the prospectus and this prospectus supplement.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August 7, 2026, the closing price of our common stock was $0.2675.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8 of the prospectus, and under similar headings in any amendments or supplements to the prospectus and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1403 N. Research Way, Orem UT</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 </w:t>
            </w: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 </w:t>
            </w: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SunPower Inc. (the “Company”) entered into a simple agreement for future equity (the “SAFE”) with an institutional investor in connection with its investment of $3,500,000 (the “Purchase Amount”) in the Company. The SAFE is convertible into equity securities of the Company in an amount equal to the Purchase Amount divided by the applicable price per share, unit or other increment of the securities issued by the Company in its next equity financing transaction, and without any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relating to the issuance of the SAFE is incorporated by reference herein in its entirety. The offer and sale of the SAFE was made in reliance upon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315"/>
        <w:gridCol w:w="365"/>
        <w:gridCol w:w="2300"/>
      </w:tblGrid>
      <w:tr>
        <w:trPr/>
        <w:tc>
          <w:tcPr>
            <w:tcW w:w="2315" w:type="dxa"/>
            <w:tcBorders/>
            <w:vAlign w:val="center"/>
          </w:tcPr>
          <w:p>
            <w:pPr>
              <w:pStyle w:val="TableContents"/>
              <w:bidi w:val="0"/>
              <w:spacing w:before="0" w:after="283"/>
              <w:ind w:left="0" w:right="0" w:hanging="200"/>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315" w:type="dxa"/>
            <w:tcBorders/>
            <w:vAlign w:val="center"/>
          </w:tcPr>
          <w:p>
            <w:pPr>
              <w:pStyle w:val="TableContents"/>
              <w:bidi w:val="0"/>
              <w:spacing w:before="0" w:after="283"/>
              <w:jc w:val="left"/>
              <w:rPr/>
            </w:pPr>
            <w:r>
              <w:rPr/>
              <w:t>Dated: August 10, 2026</w:t>
            </w:r>
          </w:p>
        </w:tc>
        <w:tc>
          <w:tcPr>
            <w:tcW w:w="266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1266</Words>
  <Characters>7051</Characters>
  <CharactersWithSpaces>8326</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