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29722602-424b3_sunpower.htm"/>
      <w:bookmarkStart w:id="1" w:name="ksea029722602424b3_sunpower"/>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333-293093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2</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June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22,381,878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supplements the prospectus dated June 1, 2026 (as amended or supplemented,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which forms a part of our registration statement on Form S-1 (No. 333-293093). This prospectus supplement is being filed to update and supplement the information in the prospectus with the information contained in (the “</w:t>
      </w:r>
      <w:r>
        <w:rPr>
          <w:rFonts w:ascii="Times New Roman;Times;Serif" w:hAnsi="Times New Roman;Times;Serif"/>
          <w:b/>
          <w:i w:val="false"/>
          <w:caps w:val="false"/>
          <w:smallCaps w:val="false"/>
          <w:sz w:val="20"/>
        </w:rPr>
        <w:t>Supplemental Information</w:t>
      </w:r>
      <w:r>
        <w:rPr>
          <w:rFonts w:ascii="Times New Roman;Times;Serif" w:hAnsi="Times New Roman;Times;Serif"/>
          <w:b w:val="false"/>
          <w:i w:val="false"/>
          <w:caps w:val="false"/>
          <w:smallCaps w:val="false"/>
          <w:sz w:val="20"/>
        </w:rPr>
        <w:t>”) our Current Report on Form 8-K filed with the Securities and Exchange Commission on July 7, 2026 (the “</w:t>
      </w: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Accordingly, we have attached the Current Report to this prospectus supplement with respect to the Supplemental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 to the registration of the resale or other disposition of up to 22,381,878 shares of our common stock by YA II PN, LTD (“</w:t>
      </w:r>
      <w:r>
        <w:rPr>
          <w:rFonts w:ascii="Times New Roman;Times;Serif" w:hAnsi="Times New Roman;Times;Serif"/>
          <w:b/>
          <w:i w:val="false"/>
          <w:caps w:val="false"/>
          <w:smallCaps w:val="false"/>
          <w:sz w:val="20"/>
        </w:rPr>
        <w:t>Yorkville</w:t>
      </w:r>
      <w:r>
        <w:rPr>
          <w:rFonts w:ascii="Times New Roman;Times;Serif" w:hAnsi="Times New Roman;Times;Serif"/>
          <w:b w:val="false"/>
          <w:i w:val="false"/>
          <w:caps w:val="false"/>
          <w:smallCaps w:val="false"/>
          <w:sz w:val="20"/>
        </w:rPr>
        <w:t>”). Yorkville is also referred to in the prospectus and this prospectus supplement as the Selling Securityholder. The shares of our common stock to which the prospectus and this prospectus supplement relate have been or may be issued by us to Yorkville pursuant to a standby equity purchase agreement, dated as of January 27, 2026, by and between us and Yorkville (the “</w:t>
      </w:r>
      <w:r>
        <w:rPr>
          <w:rFonts w:ascii="Times New Roman;Times;Serif" w:hAnsi="Times New Roman;Times;Serif"/>
          <w:b/>
          <w:i w:val="false"/>
          <w:caps w:val="false"/>
          <w:smallCaps w:val="false"/>
          <w:sz w:val="20"/>
        </w:rPr>
        <w:t>SEPA</w:t>
      </w:r>
      <w:r>
        <w:rPr>
          <w:rFonts w:ascii="Times New Roman;Times;Serif" w:hAnsi="Times New Roman;Times;Serif"/>
          <w:b w:val="false"/>
          <w:i w:val="false"/>
          <w:caps w:val="false"/>
          <w:smallCaps w:val="false"/>
          <w:sz w:val="20"/>
        </w:rPr>
        <w:t>”). Such shares of common stock include (i) up to 22,206,878 shares of common stock that may be issued to Yorkville pursuant to a convertible promissory note issued by us to Yorkville pursuant to the SEPA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and (ii) 175,000 shares of common stock we issued to Yorkville as consideration for its commitment to purchase shares of our common stock pursuant to the SEPA (the “</w:t>
      </w:r>
      <w:r>
        <w:rPr>
          <w:rFonts w:ascii="Times New Roman;Times;Serif" w:hAnsi="Times New Roman;Times;Serif"/>
          <w:b/>
          <w:i w:val="false"/>
          <w:caps w:val="false"/>
          <w:smallCaps w:val="false"/>
          <w:sz w:val="20"/>
        </w:rPr>
        <w:t>Commitment Shares</w:t>
      </w:r>
      <w:r>
        <w:rPr>
          <w:rFonts w:ascii="Times New Roman;Times;Serif" w:hAnsi="Times New Roman;Times;Serif"/>
          <w:b w:val="false"/>
          <w:i w:val="false"/>
          <w:caps w:val="false"/>
          <w:smallCaps w:val="false"/>
          <w:sz w:val="20"/>
        </w:rPr>
        <w:t>” and, collectively with the Conversion Shares,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the prospectus and this prospectus supplement and will not receive any of the proceeds from the sale of our common stock by the Selling Securityholder. Prior to the date of the prospectus and this prospectus supplement, we received (i) proceeds of $1,710,000 in connection with our sale and issuance to Yorkville on January 27, 2026 of a convertible promissory note in the aggregate principal amount of $1,900,000 as a pre-paid advance under the SEPA and (ii) proceeds of $9,000,000 from the issuance and sale by us to Yorkville of the YA Debenture; and we may receive proceeds from sales of common stock that we may elect to make to Yorkville pursuant to the SEPA, if any, from time to time after the date of the prospectus and this prospectus supplement. The net proceeds from sales, if any, under the SEPA, will depend on the frequency and prices at which we sell shares of common stock to Yorkville after the date of the prospectus and this prospectus supplement. See “PROSPECTUS SUMMARY - The Standby Equity Purchase Agreement” on page 4 of the prospectus for a description of the SEPA and “SELLING SECURITYHOLDER” on page 99 of the prospectus for additional information regarding the Selling Securityholder.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 may sell or otherwise dispose of the common stock described in the prospectus and this prospectus supplement in a number of different ways and at varying prices. Yorkville is an “underwriter” within the meaning of Section 2(a)(11)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only with respect to advances under the SEPA (“</w:t>
      </w:r>
      <w:r>
        <w:rPr>
          <w:rFonts w:ascii="Times New Roman;Times;Serif" w:hAnsi="Times New Roman;Times;Serif"/>
          <w:b/>
          <w:i w:val="false"/>
          <w:caps w:val="false"/>
          <w:smallCaps w:val="false"/>
          <w:sz w:val="20"/>
        </w:rPr>
        <w:t>Advances</w:t>
      </w:r>
      <w:r>
        <w:rPr>
          <w:rFonts w:ascii="Times New Roman;Times;Serif" w:hAnsi="Times New Roman;Times;Serif"/>
          <w:b w:val="false"/>
          <w:i w:val="false"/>
          <w:caps w:val="false"/>
          <w:smallCaps w:val="false"/>
          <w:sz w:val="20"/>
        </w:rPr>
        <w:t>”) and any profits on the sales of shares of our common stock by Yorkville acquired under the SEPA and any discounts, commissions, or concessions received by Yorkville are deemed to be underwriting discounts and commissions under the Securities Act. If any underwriters, dealers, or agents are involved in the sale of any of the securities, their names and any applicable purchase price, fee, commission, or discount arrangement between or among them will be set forth, or will be calculable from the information set forth, in any applicable prospectus supplement. Yorkville is not an “underwriter” within the meaning of Section 2(a)(11) of the Securities Act with respect to the shares of our common stock issuable upon conversion by Yorkville of the convertible promissory notes issued to Yorkville pursuant to the SEPA. We will pay the expenses incurred in registering under the Securities Act the offer and sale of the shares of the common stock to which the prospectus and this prospectus supplement relate by the Selling Securityholder, including our legal and accounting fees. See “Plan of Distribution” on page 114 of the prospectus for more information. No securities may be sold without delivery of the prospectus and this prospectus supplement and any applicable prospectus supplement describing the method and terms of the offering of such securities. You should carefully read the prospectus and any applicable prospectus supplement before you invest in our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engaged Northland Capital Markets (“</w:t>
      </w:r>
      <w:r>
        <w:rPr>
          <w:rFonts w:ascii="Times New Roman;Times;Serif" w:hAnsi="Times New Roman;Times;Serif"/>
          <w:b/>
          <w:i w:val="false"/>
          <w:caps w:val="false"/>
          <w:smallCaps w:val="false"/>
          <w:sz w:val="20"/>
        </w:rPr>
        <w:t>Northland</w:t>
      </w:r>
      <w:r>
        <w:rPr>
          <w:rFonts w:ascii="Times New Roman;Times;Serif" w:hAnsi="Times New Roman;Times;Serif"/>
          <w:b w:val="false"/>
          <w:i w:val="false"/>
          <w:caps w:val="false"/>
          <w:smallCaps w:val="false"/>
          <w:sz w:val="20"/>
        </w:rPr>
        <w:t>”) as our placement agent in connection with the SEPA. We have agreed to pay Northland a cash fee of 5.0% based upon the aggregate gross proceeds received from the sales of convertible promissory notes and common stock that we elect to make to Yorkville pursuant to the SEPA. See “Plan of Distribution” on page 114 of the prospectus for additional information regarding this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are listed on the Nasdaq Global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symbol “SPWR”. On July 6, 2026, the closing price of our common stock was $0.6002.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and may not be delivered or utilized except in connection with, the prospectus, including any amendments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The prospectus and this prospectus supplement comply with the requirements that apply to an issuer that is an emerging growth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11 of the prospectus, and under similar headings in any amendments or supplements to the prospectus or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the prospectus or this prospectus supplement.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dated July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r>
              <w:rPr>
                <w:b/>
              </w:rPr>
              <w:t>001-40117</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r>
              <w:rPr>
                <w:b/>
              </w:rPr>
              <w:t>93-2279786</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28" w:type="dxa"/>
          <w:right w:w="0" w:type="dxa"/>
        </w:tblCellMar>
      </w:tblPr>
      <w:tblGrid>
        <w:gridCol w:w="4340"/>
        <w:gridCol w:w="60"/>
        <w:gridCol w:w="1085"/>
      </w:tblGrid>
      <w:tr>
        <w:trPr/>
        <w:tc>
          <w:tcPr>
            <w:tcW w:w="4340" w:type="dxa"/>
            <w:tcBorders>
              <w:bottom w:val="single" w:sz="12" w:space="0" w:color="000000"/>
            </w:tcBorders>
            <w:vAlign w:val="center"/>
          </w:tcPr>
          <w:p>
            <w:pPr>
              <w:pStyle w:val="TableContents"/>
              <w:bidi w:val="0"/>
              <w:spacing w:before="0" w:after="283"/>
              <w:jc w:val="center"/>
              <w:rPr>
                <w:b/>
              </w:rPr>
            </w:pPr>
            <w:r>
              <w:rPr>
                <w:b/>
              </w:rPr>
              <w:t>45700 Northport Loop East, Fremont, CA</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r>
              <w:rPr>
                <w:b/>
              </w:rPr>
              <w:t>94538</w:t>
            </w:r>
          </w:p>
        </w:tc>
      </w:tr>
      <w:tr>
        <w:trPr/>
        <w:tc>
          <w:tcPr>
            <w:tcW w:w="4340"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(510) 270-2507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9"/>
        <w:gridCol w:w="60"/>
        <w:gridCol w:w="1412"/>
        <w:gridCol w:w="60"/>
        <w:gridCol w:w="2644"/>
      </w:tblGrid>
      <w:tr>
        <w:trPr/>
        <w:tc>
          <w:tcPr>
            <w:tcW w:w="6029"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2"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44"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Global Market</w:t>
            </w:r>
          </w:p>
        </w:tc>
      </w:tr>
      <w:tr>
        <w:trPr/>
        <w:tc>
          <w:tcPr>
            <w:tcW w:w="602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44" w:type="dxa"/>
            <w:tcBorders/>
            <w:shd w:fill="FFFFFF" w:val="clear"/>
            <w:tcMar>
              <w:bottom w:w="0" w:type="dxa"/>
            </w:tcMar>
            <w:vAlign w:val="center"/>
          </w:tcPr>
          <w:p>
            <w:pPr>
              <w:pStyle w:val="TableContents"/>
              <w:bidi w:val="0"/>
              <w:spacing w:before="0" w:after="283"/>
              <w:jc w:val="center"/>
              <w:rPr/>
            </w:pPr>
            <w:r>
              <w:rPr/>
              <w:t> </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Warrants, each whole warrant exercisable for one share of Common Stock at an exercise price of $11.50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of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Chief Financial Officer and Principal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SunPower Inc (the “Company”) has appointed Tom Kowalczuk as the Company’s Chief Financial Officer and Principal Financial Officer, effective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Kowalczuk, age 43, has more than 20 years of finance and accounting experience. Before joining the Company, Mr. Kowalczuk served as Chief Financial Officer of Bespoken Spirits from February 2025 until June 2026, and prior to that as Vice President of Finance of Bespoken Spirits from March 2024 until February 2025. Prior to Bespoken Spirits, Mr. Kowalczuk served as Director of Supply Chain FP&amp;A for the USA and Canada at Campari February 2023 until March 2024, overseeing FP&amp;A and operational finance support across U.S. and Canadian manufacturing and supply chain operations. Prior to Campari, Mr. Kowalczuk held roles of increasing responsibility at Beam Suntory from 2008 to 2023, most recently serving as Finance Business Partner Manufacturing Excellence, supporting multi-site manufacturing operations representing more than $2 billion in annual revenue. Mr. Kowalczuk holds a Master of Business Administration from the University of Chicago Booth School of Business and a double major in Accounting and Finance from Northeastern Illinois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entered into an offer letter (the “Offer Letter”) with Mr. Kowalczuk in connection with his employment as Chief Financial Officer. Pursuant to the Offer Letter, Mr. Kowalczuk will have an annual base salary of $400,000 and an annual target bonus opportunity of 50% of his base salary. Mr. Kowalczuk will be granted 1,000,000 restricted stock units (“RSUs”) as an employment inducement award under applicable Nasdaq rules, of which the first 20% of the RSUs will be subject to a 12-month "cliff" vesting provision and with the remainder vesting ratably on an annual basis over the course of the following four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arrangement or understanding exists between Mr. Kowalczuk and any other person pursuant to which Mr. Kowalczuk was selected to serve as the Company’s Chief Financial Officer and its Principal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Mr. Kowalczuk and any director or executive officer of the Company that would be required to be disclosed pursuant to Item 401(d) of Regulation S-K, and there are no transactions involving Mr. Kowalczuk that would be required to be disclosed pursuant to Item 404(a) of Regulation 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560" w:type="dxa"/>
        <w:jc w:val="left"/>
        <w:tblInd w:w="0" w:type="dxa"/>
        <w:tblLayout w:type="fixed"/>
        <w:tblCellMar>
          <w:top w:w="0" w:type="dxa"/>
          <w:left w:w="0" w:type="dxa"/>
          <w:bottom w:w="0" w:type="dxa"/>
          <w:right w:w="0" w:type="dxa"/>
        </w:tblCellMar>
      </w:tblPr>
      <w:tblGrid>
        <w:gridCol w:w="1895"/>
        <w:gridCol w:w="365"/>
        <w:gridCol w:w="2300"/>
      </w:tblGrid>
      <w:tr>
        <w:trPr/>
        <w:tc>
          <w:tcPr>
            <w:tcW w:w="189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b/>
                <w:smallCaps/>
              </w:rPr>
            </w:pPr>
            <w:r>
              <w:rPr>
                <w:b/>
                <w:smallCaps/>
              </w:rPr>
              <w:t>SunPower Inc.</w:t>
            </w:r>
          </w:p>
        </w:tc>
      </w:tr>
      <w:tr>
        <w:trPr/>
        <w:tc>
          <w:tcPr>
            <w:tcW w:w="1895" w:type="dxa"/>
            <w:tcBorders/>
            <w:vAlign w:val="center"/>
          </w:tcPr>
          <w:p>
            <w:pPr>
              <w:pStyle w:val="TableContents"/>
              <w:bidi w:val="0"/>
              <w:spacing w:before="0" w:after="283"/>
              <w:jc w:val="left"/>
              <w:rPr/>
            </w:pPr>
            <w:r>
              <w:rPr/>
              <w:t>Dated: July 7, 2026</w:t>
            </w:r>
          </w:p>
        </w:tc>
        <w:tc>
          <w:tcPr>
            <w:tcW w:w="2665"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Thurman J. Rodgers</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Thurman J. Rodgers</w:t>
            </w:r>
          </w:p>
        </w:tc>
      </w:tr>
      <w:tr>
        <w:trPr/>
        <w:tc>
          <w:tcPr>
            <w:tcW w:w="18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1895</Words>
  <Characters>10271</Characters>
  <CharactersWithSpaces>12171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