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8773903-10qa1_sunpower.htm"/>
      <w:bookmarkStart w:id="1" w:name="ksea02877390310qa1_sunpower"/>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September 28,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001-40117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28" w:type="dxa"/>
          <w:right w:w="0" w:type="dxa"/>
        </w:tblCellMar>
      </w:tblPr>
      <w:tblGrid>
        <w:gridCol w:w="2555"/>
        <w:gridCol w:w="90"/>
        <w:gridCol w:w="1955"/>
      </w:tblGrid>
      <w:tr>
        <w:trPr/>
        <w:tc>
          <w:tcPr>
            <w:tcW w:w="25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19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93-2279786</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955"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1403 N. Research Way, Orem UT 84097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 299-4943</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13"/>
        <w:gridCol w:w="90"/>
        <w:gridCol w:w="1412"/>
        <w:gridCol w:w="90"/>
        <w:gridCol w:w="3200"/>
      </w:tblGrid>
      <w:tr>
        <w:trPr/>
        <w:tc>
          <w:tcPr>
            <w:tcW w:w="541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2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41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SPWR</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2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w:t>
            </w:r>
          </w:p>
        </w:tc>
      </w:tr>
      <w:tr>
        <w:trPr/>
        <w:tc>
          <w:tcPr>
            <w:tcW w:w="541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12"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3200" w:type="dxa"/>
            <w:tcBorders/>
            <w:tcMar>
              <w:bottom w:w="0" w:type="dxa"/>
            </w:tcMar>
            <w:vAlign w:val="center"/>
          </w:tcPr>
          <w:p>
            <w:pPr>
              <w:pStyle w:val="TableContents"/>
              <w:bidi w:val="0"/>
              <w:spacing w:before="0" w:after="283"/>
              <w:jc w:val="center"/>
              <w:rPr/>
            </w:pPr>
            <w:r>
              <w:rPr/>
              <w:t> </w:t>
            </w:r>
          </w:p>
        </w:tc>
      </w:tr>
      <w:tr>
        <w:trPr/>
        <w:tc>
          <w:tcPr>
            <w:tcW w:w="541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Redeemable warrants, each whole warrant exercisable for one share of common stock</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SPWRW</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2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910"/>
        <w:gridCol w:w="260"/>
        <w:gridCol w:w="2300"/>
        <w:gridCol w:w="365"/>
      </w:tblGrid>
      <w:tr>
        <w:trPr/>
        <w:tc>
          <w:tcPr>
            <w:tcW w:w="1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Large accelerated filer </w:t>
            </w:r>
          </w:p>
        </w:tc>
        <w:tc>
          <w:tcPr>
            <w:tcW w:w="260" w:type="dxa"/>
            <w:tcBorders/>
            <w:vAlign w:val="center"/>
          </w:tcPr>
          <w:p>
            <w:pPr>
              <w:pStyle w:val="TableContents"/>
              <w:bidi w:val="0"/>
              <w:spacing w:before="0" w:after="283"/>
              <w:jc w:val="both"/>
              <w:rPr/>
            </w:pPr>
            <w:r>
              <w:rPr/>
              <w:t>☐</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365" w:type="dxa"/>
            <w:tcBorders/>
            <w:vAlign w:val="center"/>
          </w:tcPr>
          <w:p>
            <w:pPr>
              <w:pStyle w:val="TableContents"/>
              <w:bidi w:val="0"/>
              <w:spacing w:before="0" w:after="283"/>
              <w:jc w:val="both"/>
              <w:rPr/>
            </w:pPr>
            <w:r>
              <w:rPr/>
              <w:t>☐</w:t>
            </w:r>
          </w:p>
        </w:tc>
      </w:tr>
      <w:tr>
        <w:trPr/>
        <w:tc>
          <w:tcPr>
            <w:tcW w:w="1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 </w:t>
            </w:r>
          </w:p>
        </w:tc>
        <w:tc>
          <w:tcPr>
            <w:tcW w:w="260" w:type="dxa"/>
            <w:tcBorders/>
            <w:vAlign w:val="center"/>
          </w:tcPr>
          <w:p>
            <w:pPr>
              <w:pStyle w:val="TableContents"/>
              <w:bidi w:val="0"/>
              <w:spacing w:before="0" w:after="283"/>
              <w:jc w:val="both"/>
              <w:rPr/>
            </w:pPr>
            <w:r>
              <w:rPr/>
              <w:t>☒</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Smaller reporting company </w:t>
            </w:r>
          </w:p>
        </w:tc>
        <w:tc>
          <w:tcPr>
            <w:tcW w:w="365" w:type="dxa"/>
            <w:tcBorders/>
            <w:vAlign w:val="center"/>
          </w:tcPr>
          <w:p>
            <w:pPr>
              <w:pStyle w:val="TableContents"/>
              <w:bidi w:val="0"/>
              <w:spacing w:before="0" w:after="283"/>
              <w:jc w:val="both"/>
              <w:rPr/>
            </w:pPr>
            <w:r>
              <w:rPr/>
              <w:t>☒ </w:t>
            </w:r>
          </w:p>
        </w:tc>
      </w:tr>
      <w:tr>
        <w:trPr/>
        <w:tc>
          <w:tcPr>
            <w:tcW w:w="1910"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Emerging growth company </w:t>
            </w:r>
          </w:p>
        </w:tc>
        <w:tc>
          <w:tcPr>
            <w:tcW w:w="36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18, 2025, 107,621,272 shares of common stock, par value $0.0001 per share, were issued and outstanding.</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filing this Amendment No. 1 on Form 10Q/A (the “Amended Report”) to amend and restate certain items in its Quarterly Report on Form 10-Q for the quarterly period ended September 28, 2025 originally filed with the U.S. Securities and Exchange Commission (the “SEC”) on December 19, 2025, (the “Original Report”), in order to reflect the effects of the restatement of the financial statements included in the Original Report (the “Restatement”). This Amended Report includes the Company’s restated unaudited condensed consolidated financial statements as of and for the thirteen and thirty-nine week period ended September 28, 2025 to correct errors related to the recognition of revenues, cost of revenues, stock-based compensation expense and interest and amortization of debt discount expense, and the related balance sheet accounts including accounts receivable, net, inventories, accrued expenses and other current liabilities, notes payable, current, notes payable and derivative liabilities, net of current portion, notes payable and derivative liabilities with related parties, net of current portion and additional paid-in capital. The Company also identified payroll and amortization expense classification errors within cost of revenues and operating expenses, which did not have any impact on the Company’s net operating results but misstated the expense categories within the unaudited condensed consolidated statements of operations. In addition: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May 18, 2026, the Company filed Amendment No. 1 to its Quarterly Report on Form 10Q/A for the quarterly period ended March 30, 2025, originally filed with the SEC on May 19, 2025,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May 19, 2026, the Company filed Amendment No. 1 to its Quarterly Report on Form 10Q/A for the quarterly period ended June 29, 2025 originally filed with the SEC on August 13, 2025 (collectively with this Amended Report, the “Amended Filings”).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Filings correct errors related to the recognition of revenues, cost of revenues, stock-based compensation expense and interest and amortization of debt discount expense, and the related balance sheet accounts including accounts receivable, net, inventories, accrued expenses and other current liabilities, current portion of notes payable, notes payable and derivative liabilities, net of current portion, notes payable and derivative liabilities with related parties, net of current portion and additional paid-in capital for the applicable periods of fiscal 2025 covered by such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Restatement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the Company in its Current Report on Form 8-K filed with the SEC on April 14, 2026, the Company identified material errors related to the recognition of revenue (and related cost of revenues, sales commissions, sales and marketing, and general and administrative expenses), and interest expense (collectively “Misstatements”). The Company has determined that these material errors were the result of its previously reported material weaknesses in its internal control over financial reporting related to the Company’s control activities, information and communication, and monitoring activities. These errors were not caused by any override of controls, misconduct, or fraud. The correction of the Misstatements impact the previously reported amounts of revenues, cost of revenues, interest expense and amortization of debt discount and issuance costs, inventory, net income per common share, and all related financial statement subtotals and totals. In addition to correcting the Misstatements, the Amended Filings also reflect adjustments to correct unrelated errors to other financial statement line items identified by the Company in prior periods which include, but are not limited to, adjustments to the reclassification of current and non-current debt obligations, reclassification of payroll expenses between cost of revenues and operating expenses, and the vesting of restricted stock units and related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2 - Restatement of Previously Issued Unaudited Condensed Financial Statements in the Notes to Unaudited Condensed Consolidated Financial Statements - for more information related to the Restatement, including the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preparing this Amended Report, management has updated its evaluation of the effectiveness of its internal control over financial reporting as of September 28, 2025, as further described in Part I, Item 4. “Controls and Procedures” of this Amended Report. Consistent with the conclusion in Part II, Item 9A. “Controls and Procedures” of the Annual Report filed on April 14, 2026 on Form 10-K for the fiscal year ended December 28, 2025, management continued to conclude that its internal control over financial reporting and disclosure controls and procedures were not effective as of September 28, 2025 due to the previously identified material weaknesses in its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Amended in this Amended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Report amends and restates the sections of the Original Report listed below, with modifications as necessary to reflect the restatement.</w:t>
      </w:r>
    </w:p>
    <w:p>
      <w:pPr>
        <w:pStyle w:val="TextBody"/>
        <w:bidi w:val="0"/>
        <w:spacing w:before="0" w:after="0"/>
        <w:ind w:left="0" w:right="0" w:hanging="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68"/>
        <w:gridCol w:w="200"/>
        <w:gridCol w:w="4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both"/>
              <w:rPr/>
            </w:pPr>
            <w:r>
              <w:rPr/>
              <w:t>Part I, Item 1. Financial Statements (Unaudited)</w:t>
            </w:r>
          </w:p>
        </w:tc>
      </w:tr>
    </w:tbl>
    <w:p>
      <w:pPr>
        <w:pStyle w:val="TextBody"/>
        <w:bidi w:val="0"/>
        <w:spacing w:before="0" w:after="0"/>
        <w:ind w:left="0" w:right="0" w:hanging="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68"/>
        <w:gridCol w:w="200"/>
        <w:gridCol w:w="9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pPr>
            <w:r>
              <w:rPr/>
              <w:t>Part I, Item 2. Management’s Discussion and Analysis of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68"/>
        <w:gridCol w:w="200"/>
        <w:gridCol w:w="37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pPr>
            <w:r>
              <w:rPr/>
              <w:t>Part I, Item 4. Controls and Procedures</w:t>
            </w:r>
          </w:p>
        </w:tc>
      </w:tr>
    </w:tbl>
    <w:p>
      <w:pPr>
        <w:pStyle w:val="TextBody"/>
        <w:bidi w:val="0"/>
        <w:spacing w:before="0" w:after="0"/>
        <w:ind w:left="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68"/>
        <w:gridCol w:w="200"/>
        <w:gridCol w:w="23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pPr>
            <w:r>
              <w:rPr/>
              <w:t>Part II, Item 6.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this Amended Report does not amend, update, or change any other disclosures in the Original Report. Among other things, except as related to the Restatement, forward looking statements made in the Original Report have not been revised to reflect events that occurred or facts that became known to the Company after the filing of the Original Report, and such forward looking statements should be read in their historical context. As such, this Amended Report speaks only as of the date the Original Report was filed, and the Company has not undertaken herein to amend, supplement, or update any information contained in the Original Report to give effect to any subsequent events. Accordingly, this Amended Report should be read in conjunction with the Original Report, and the Company’s other filings with the SEC subsequent to the Original Report (including, without limitation, in conjunction with the risk factors included in such subsequent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required by Rule 12b-15 under the Securities Exchange Act of 1934, as amended (the “Exchange Act”), new certifications by the Company’s principal executive officer and principal financial officer are filed as exhibits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firstLine="720"/>
        <w:jc w:val="both"/>
        <w:rPr>
          <w:caps w:val="false"/>
          <w:smallCaps w:val="false"/>
        </w:rPr>
      </w:pPr>
      <w:r>
        <w:rPr>
          <w:caps w:val="false"/>
          <w:smallCaps w:val="false"/>
        </w:rPr>
        <w:t> </w:t>
      </w:r>
    </w:p>
    <w:tbl>
      <w:tblPr>
        <w:tblW w:w="9930" w:type="dxa"/>
        <w:jc w:val="left"/>
        <w:tblInd w:w="0" w:type="dxa"/>
        <w:tblLayout w:type="fixed"/>
        <w:tblCellMar>
          <w:top w:w="0" w:type="dxa"/>
          <w:left w:w="0" w:type="dxa"/>
          <w:bottom w:w="0" w:type="dxa"/>
          <w:right w:w="0" w:type="dxa"/>
        </w:tblCellMar>
      </w:tblPr>
      <w:tblGrid>
        <w:gridCol w:w="755"/>
        <w:gridCol w:w="8435"/>
        <w:gridCol w:w="740"/>
      </w:tblGrid>
      <w:tr>
        <w:trPr/>
        <w:tc>
          <w:tcPr>
            <w:tcW w:w="755" w:type="dxa"/>
            <w:tcBorders/>
            <w:vAlign w:val="center"/>
          </w:tcPr>
          <w:p>
            <w:pPr>
              <w:pStyle w:val="TableContents"/>
              <w:bidi w:val="0"/>
              <w:spacing w:before="0" w:after="283"/>
              <w:jc w:val="both"/>
              <w:rPr/>
            </w:pPr>
            <w:r>
              <w:rPr/>
              <w:t> </w:t>
            </w:r>
          </w:p>
        </w:tc>
        <w:tc>
          <w:tcPr>
            <w:tcW w:w="8435" w:type="dxa"/>
            <w:tcBorders/>
            <w:vAlign w:val="center"/>
          </w:tcPr>
          <w:p>
            <w:pPr>
              <w:pStyle w:val="TableContents"/>
              <w:bidi w:val="0"/>
              <w:spacing w:before="0" w:after="283"/>
              <w:jc w:val="left"/>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PAGES</w:t>
            </w:r>
          </w:p>
        </w:tc>
      </w:tr>
      <w:tr>
        <w:trPr/>
        <w:tc>
          <w:tcPr>
            <w:tcW w:w="755" w:type="dxa"/>
            <w:tcBorders/>
            <w:shd w:fill="CCEEFF" w:val="clear"/>
            <w:vAlign w:val="center"/>
          </w:tcPr>
          <w:p>
            <w:pPr>
              <w:pStyle w:val="TableContents"/>
              <w:bidi w:val="0"/>
              <w:spacing w:before="0" w:after="283"/>
              <w:jc w:val="both"/>
              <w:rPr/>
            </w:pPr>
            <w:r>
              <w:rPr/>
              <w:t> </w:t>
            </w:r>
          </w:p>
        </w:tc>
        <w:tc>
          <w:tcPr>
            <w:tcW w:w="843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Special Note Regarding Forward-Looking Statements</w:t>
              </w:r>
            </w:hyperlink>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755" w:type="dxa"/>
            <w:tcBorders/>
            <w:vAlign w:val="center"/>
          </w:tcPr>
          <w:p>
            <w:pPr>
              <w:pStyle w:val="TableContents"/>
              <w:bidi w:val="0"/>
              <w:spacing w:before="0" w:after="283"/>
              <w:jc w:val="both"/>
              <w:rPr/>
            </w:pPr>
            <w:r>
              <w:rPr/>
              <w:t> </w:t>
            </w:r>
          </w:p>
        </w:tc>
        <w:tc>
          <w:tcPr>
            <w:tcW w:w="843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r>
      <w:tr>
        <w:trPr/>
        <w:tc>
          <w:tcPr>
            <w:tcW w:w="9190" w:type="dxa"/>
            <w:gridSpan w:val="2"/>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sz w:val="20"/>
                </w:rPr>
                <w:t>PART I. FINANCIAL INFORMATION</w:t>
              </w:r>
            </w:hyperlink>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w:t>
            </w:r>
          </w:p>
        </w:tc>
        <w:tc>
          <w:tcPr>
            <w:tcW w:w="8435"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Financial Statements</w:t>
              </w:r>
            </w:hyperlink>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shd w:fill="CCEEFF" w:val="clear"/>
            <w:vAlign w:val="center"/>
          </w:tcPr>
          <w:p>
            <w:pPr>
              <w:pStyle w:val="TableContents"/>
              <w:bidi w:val="0"/>
              <w:spacing w:before="0" w:after="283"/>
              <w:jc w:val="both"/>
              <w:rPr/>
            </w:pPr>
            <w:r>
              <w:rPr/>
              <w:t> </w:t>
            </w:r>
          </w:p>
        </w:tc>
        <w:tc>
          <w:tcPr>
            <w:tcW w:w="843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Unaudited Condensed Consolidated Balance Sheets (As Restated)</w:t>
              </w:r>
            </w:hyperlink>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vAlign w:val="center"/>
          </w:tcPr>
          <w:p>
            <w:pPr>
              <w:pStyle w:val="TableContents"/>
              <w:bidi w:val="0"/>
              <w:spacing w:before="0" w:after="283"/>
              <w:jc w:val="both"/>
              <w:rPr/>
            </w:pPr>
            <w:r>
              <w:rPr/>
              <w:t> </w:t>
            </w:r>
          </w:p>
        </w:tc>
        <w:tc>
          <w:tcPr>
            <w:tcW w:w="8435"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 xml:space="preserve">Unaudited Condensed Consolidated Statements of Operations and Comprehensive Loss </w:t>
              </w:r>
            </w:hyperlink>
            <w:hyperlink w:anchor="a_005">
              <w:r>
                <w:rPr>
                  <w:rStyle w:val="InternetLink"/>
                  <w:rFonts w:ascii="Times New Roman;Times;Serif" w:hAnsi="Times New Roman;Times;Serif"/>
                  <w:sz w:val="20"/>
                  <w:u w:val="single"/>
                </w:rPr>
                <w:t>(As Restated)</w:t>
              </w:r>
            </w:hyperlink>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755" w:type="dxa"/>
            <w:tcBorders/>
            <w:shd w:fill="CCEEFF" w:val="clear"/>
            <w:vAlign w:val="center"/>
          </w:tcPr>
          <w:p>
            <w:pPr>
              <w:pStyle w:val="TableContents"/>
              <w:bidi w:val="0"/>
              <w:spacing w:before="0" w:after="283"/>
              <w:jc w:val="both"/>
              <w:rPr/>
            </w:pPr>
            <w:r>
              <w:rPr/>
              <w:t> </w:t>
            </w:r>
          </w:p>
        </w:tc>
        <w:tc>
          <w:tcPr>
            <w:tcW w:w="843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Unaudited Condensed Consolidated Statements Stockholders’ Deficit (As Restated)</w:t>
              </w:r>
            </w:hyperlink>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55" w:type="dxa"/>
            <w:tcBorders/>
            <w:vAlign w:val="center"/>
          </w:tcPr>
          <w:p>
            <w:pPr>
              <w:pStyle w:val="TableContents"/>
              <w:bidi w:val="0"/>
              <w:spacing w:before="0" w:after="283"/>
              <w:jc w:val="both"/>
              <w:rPr/>
            </w:pPr>
            <w:r>
              <w:rPr/>
              <w:t> </w:t>
            </w:r>
          </w:p>
        </w:tc>
        <w:tc>
          <w:tcPr>
            <w:tcW w:w="8435" w:type="dxa"/>
            <w:tcBorders/>
            <w:vAlign w:val="center"/>
          </w:tcPr>
          <w:p>
            <w:pPr>
              <w:pStyle w:val="TableContents"/>
              <w:bidi w:val="0"/>
              <w:spacing w:before="0" w:after="283"/>
              <w:jc w:val="left"/>
              <w:rPr/>
            </w:pPr>
            <w:hyperlink w:anchor="a_007">
              <w:r>
                <w:rPr>
                  <w:rStyle w:val="InternetLink"/>
                  <w:rFonts w:ascii="Times New Roman;Times;Serif" w:hAnsi="Times New Roman;Times;Serif"/>
                  <w:sz w:val="20"/>
                </w:rPr>
                <w:t>Unaudited Condensed Consolidated Statements of Cash Flows (As Restated)</w:t>
              </w:r>
            </w:hyperlink>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55" w:type="dxa"/>
            <w:tcBorders/>
            <w:shd w:fill="CCEEFF" w:val="clear"/>
            <w:vAlign w:val="center"/>
          </w:tcPr>
          <w:p>
            <w:pPr>
              <w:pStyle w:val="TableContents"/>
              <w:bidi w:val="0"/>
              <w:spacing w:before="0" w:after="283"/>
              <w:jc w:val="both"/>
              <w:rPr/>
            </w:pPr>
            <w:r>
              <w:rPr/>
              <w:t> </w:t>
            </w:r>
          </w:p>
        </w:tc>
        <w:tc>
          <w:tcPr>
            <w:tcW w:w="843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Notes to Unaudited Condensed Consolidated Financial Statements (As Restated)</w:t>
              </w:r>
            </w:hyperlink>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2.</w:t>
            </w:r>
          </w:p>
        </w:tc>
        <w:tc>
          <w:tcPr>
            <w:tcW w:w="8435"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Management’s Discussion and Analysis of Financial Condition and Results of Operations (As Restated)</w:t>
              </w:r>
            </w:hyperlink>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7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3.</w:t>
            </w:r>
          </w:p>
        </w:tc>
        <w:tc>
          <w:tcPr>
            <w:tcW w:w="843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Quantitative and Qualitative Disclosures about Market Risk</w:t>
              </w:r>
            </w:hyperlink>
          </w:p>
        </w:tc>
        <w:tc>
          <w:tcPr>
            <w:tcW w:w="7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4.</w:t>
            </w:r>
          </w:p>
        </w:tc>
        <w:tc>
          <w:tcPr>
            <w:tcW w:w="8435" w:type="dxa"/>
            <w:tcBorders/>
            <w:vAlign w:val="center"/>
          </w:tcPr>
          <w:p>
            <w:pPr>
              <w:pStyle w:val="TableContents"/>
              <w:bidi w:val="0"/>
              <w:spacing w:before="0" w:after="283"/>
              <w:jc w:val="left"/>
              <w:rPr/>
            </w:pPr>
            <w:hyperlink w:anchor="a_011">
              <w:r>
                <w:rPr>
                  <w:rStyle w:val="InternetLink"/>
                  <w:rFonts w:ascii="Times New Roman;Times;Serif" w:hAnsi="Times New Roman;Times;Serif"/>
                  <w:sz w:val="20"/>
                </w:rPr>
                <w:t>Controls and Procedures</w:t>
              </w:r>
            </w:hyperlink>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755" w:type="dxa"/>
            <w:tcBorders/>
            <w:shd w:fill="CCEEFF" w:val="clear"/>
            <w:vAlign w:val="center"/>
          </w:tcPr>
          <w:p>
            <w:pPr>
              <w:pStyle w:val="TableContents"/>
              <w:bidi w:val="0"/>
              <w:spacing w:before="0" w:after="283"/>
              <w:jc w:val="both"/>
              <w:rPr/>
            </w:pPr>
            <w:r>
              <w:rPr/>
              <w:t> </w:t>
            </w:r>
          </w:p>
        </w:tc>
        <w:tc>
          <w:tcPr>
            <w:tcW w:w="843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 </w:t>
            </w:r>
          </w:p>
        </w:tc>
      </w:tr>
      <w:tr>
        <w:trPr/>
        <w:tc>
          <w:tcPr>
            <w:tcW w:w="9190" w:type="dxa"/>
            <w:gridSpan w:val="2"/>
            <w:tcBorders/>
            <w:vAlign w:val="center"/>
          </w:tcPr>
          <w:p>
            <w:pPr>
              <w:pStyle w:val="TableContents"/>
              <w:bidi w:val="0"/>
              <w:spacing w:before="0" w:after="283"/>
              <w:jc w:val="both"/>
              <w:rPr/>
            </w:pPr>
            <w:hyperlink w:anchor="a_012">
              <w:r>
                <w:rPr>
                  <w:rStyle w:val="InternetLink"/>
                  <w:rFonts w:ascii="Times New Roman;Times;Serif" w:hAnsi="Times New Roman;Times;Serif"/>
                  <w:b/>
                  <w:sz w:val="20"/>
                </w:rPr>
                <w:t>PART II. OTHER INFORMATION</w:t>
              </w:r>
            </w:hyperlink>
          </w:p>
        </w:tc>
        <w:tc>
          <w:tcPr>
            <w:tcW w:w="740" w:type="dxa"/>
            <w:tcBorders/>
            <w:vAlign w:val="center"/>
          </w:tcPr>
          <w:p>
            <w:pPr>
              <w:pStyle w:val="TableContents"/>
              <w:bidi w:val="0"/>
              <w:spacing w:before="0" w:after="283"/>
              <w:jc w:val="center"/>
              <w:rPr/>
            </w:pPr>
            <w:r>
              <w:rPr/>
              <w:t>67</w:t>
            </w:r>
          </w:p>
        </w:tc>
      </w:tr>
      <w:tr>
        <w:trPr/>
        <w:tc>
          <w:tcPr>
            <w:tcW w:w="7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w:t>
            </w:r>
          </w:p>
        </w:tc>
        <w:tc>
          <w:tcPr>
            <w:tcW w:w="843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Legal Proceedings</w:t>
              </w:r>
            </w:hyperlink>
          </w:p>
        </w:tc>
        <w:tc>
          <w:tcPr>
            <w:tcW w:w="740" w:type="dxa"/>
            <w:tcBorders/>
            <w:shd w:fill="CCEEFF" w:val="clear"/>
            <w:vAlign w:val="center"/>
          </w:tcPr>
          <w:p>
            <w:pPr>
              <w:pStyle w:val="TableContents"/>
              <w:bidi w:val="0"/>
              <w:spacing w:before="0" w:after="283"/>
              <w:jc w:val="center"/>
              <w:rPr/>
            </w:pPr>
            <w:r>
              <w:rPr/>
              <w:t>67</w:t>
            </w:r>
          </w:p>
        </w:tc>
      </w:tr>
      <w:tr>
        <w:trPr/>
        <w:tc>
          <w:tcPr>
            <w:tcW w:w="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1A.</w:t>
            </w:r>
          </w:p>
        </w:tc>
        <w:tc>
          <w:tcPr>
            <w:tcW w:w="843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Risk Factors</w:t>
              </w:r>
            </w:hyperlink>
          </w:p>
        </w:tc>
        <w:tc>
          <w:tcPr>
            <w:tcW w:w="740" w:type="dxa"/>
            <w:tcBorders/>
            <w:vAlign w:val="center"/>
          </w:tcPr>
          <w:p>
            <w:pPr>
              <w:pStyle w:val="TableContents"/>
              <w:bidi w:val="0"/>
              <w:spacing w:before="0" w:after="283"/>
              <w:jc w:val="center"/>
              <w:rPr/>
            </w:pPr>
            <w:r>
              <w:rPr/>
              <w:t>67</w:t>
            </w:r>
          </w:p>
        </w:tc>
      </w:tr>
      <w:tr>
        <w:trPr/>
        <w:tc>
          <w:tcPr>
            <w:tcW w:w="7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2.</w:t>
            </w:r>
          </w:p>
        </w:tc>
        <w:tc>
          <w:tcPr>
            <w:tcW w:w="843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Unregistered Sales of Equity Securities and Use of Proceeds</w:t>
              </w:r>
            </w:hyperlink>
          </w:p>
        </w:tc>
        <w:tc>
          <w:tcPr>
            <w:tcW w:w="740" w:type="dxa"/>
            <w:tcBorders/>
            <w:shd w:fill="CCEEFF" w:val="clear"/>
            <w:vAlign w:val="center"/>
          </w:tcPr>
          <w:p>
            <w:pPr>
              <w:pStyle w:val="TableContents"/>
              <w:bidi w:val="0"/>
              <w:spacing w:before="0" w:after="283"/>
              <w:jc w:val="center"/>
              <w:rPr/>
            </w:pPr>
            <w:r>
              <w:rPr/>
              <w:t>67</w:t>
            </w:r>
          </w:p>
        </w:tc>
      </w:tr>
      <w:tr>
        <w:trPr/>
        <w:tc>
          <w:tcPr>
            <w:tcW w:w="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3.</w:t>
            </w:r>
          </w:p>
        </w:tc>
        <w:tc>
          <w:tcPr>
            <w:tcW w:w="843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Defaults Upon Senior Securities</w:t>
              </w:r>
            </w:hyperlink>
          </w:p>
        </w:tc>
        <w:tc>
          <w:tcPr>
            <w:tcW w:w="740" w:type="dxa"/>
            <w:tcBorders/>
            <w:vAlign w:val="center"/>
          </w:tcPr>
          <w:p>
            <w:pPr>
              <w:pStyle w:val="TableContents"/>
              <w:bidi w:val="0"/>
              <w:spacing w:before="0" w:after="283"/>
              <w:jc w:val="center"/>
              <w:rPr/>
            </w:pPr>
            <w:r>
              <w:rPr/>
              <w:t>67</w:t>
            </w:r>
          </w:p>
        </w:tc>
      </w:tr>
      <w:tr>
        <w:trPr/>
        <w:tc>
          <w:tcPr>
            <w:tcW w:w="7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4.</w:t>
            </w:r>
          </w:p>
        </w:tc>
        <w:tc>
          <w:tcPr>
            <w:tcW w:w="843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Mine Safety Disclosures</w:t>
              </w:r>
            </w:hyperlink>
          </w:p>
        </w:tc>
        <w:tc>
          <w:tcPr>
            <w:tcW w:w="740" w:type="dxa"/>
            <w:tcBorders/>
            <w:shd w:fill="CCEEFF" w:val="clear"/>
            <w:vAlign w:val="center"/>
          </w:tcPr>
          <w:p>
            <w:pPr>
              <w:pStyle w:val="TableContents"/>
              <w:bidi w:val="0"/>
              <w:spacing w:before="0" w:after="283"/>
              <w:jc w:val="center"/>
              <w:rPr/>
            </w:pPr>
            <w:r>
              <w:rPr/>
              <w:t>67</w:t>
            </w:r>
          </w:p>
        </w:tc>
      </w:tr>
      <w:tr>
        <w:trPr/>
        <w:tc>
          <w:tcPr>
            <w:tcW w:w="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5.</w:t>
            </w:r>
          </w:p>
        </w:tc>
        <w:tc>
          <w:tcPr>
            <w:tcW w:w="8435"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Other Information</w:t>
              </w:r>
            </w:hyperlink>
          </w:p>
        </w:tc>
        <w:tc>
          <w:tcPr>
            <w:tcW w:w="740" w:type="dxa"/>
            <w:tcBorders/>
            <w:vAlign w:val="center"/>
          </w:tcPr>
          <w:p>
            <w:pPr>
              <w:pStyle w:val="TableContents"/>
              <w:bidi w:val="0"/>
              <w:spacing w:before="0" w:after="283"/>
              <w:jc w:val="center"/>
              <w:rPr/>
            </w:pPr>
            <w:r>
              <w:rPr/>
              <w:t>67</w:t>
            </w:r>
          </w:p>
        </w:tc>
      </w:tr>
      <w:tr>
        <w:trPr/>
        <w:tc>
          <w:tcPr>
            <w:tcW w:w="7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6.</w:t>
            </w:r>
          </w:p>
        </w:tc>
        <w:tc>
          <w:tcPr>
            <w:tcW w:w="843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Exhibits</w:t>
              </w:r>
            </w:hyperlink>
          </w:p>
        </w:tc>
        <w:tc>
          <w:tcPr>
            <w:tcW w:w="740" w:type="dxa"/>
            <w:tcBorders/>
            <w:shd w:fill="CCEEFF" w:val="clear"/>
            <w:vAlign w:val="center"/>
          </w:tcPr>
          <w:p>
            <w:pPr>
              <w:pStyle w:val="TableContents"/>
              <w:bidi w:val="0"/>
              <w:spacing w:before="0" w:after="283"/>
              <w:jc w:val="center"/>
              <w:rPr/>
            </w:pPr>
            <w:r>
              <w:rPr/>
              <w:t>68</w:t>
            </w:r>
          </w:p>
        </w:tc>
      </w:tr>
      <w:tr>
        <w:trPr/>
        <w:tc>
          <w:tcPr>
            <w:tcW w:w="9190" w:type="dxa"/>
            <w:gridSpan w:val="2"/>
            <w:tcBorders/>
            <w:vAlign w:val="center"/>
          </w:tcPr>
          <w:p>
            <w:pPr>
              <w:pStyle w:val="TableContents"/>
              <w:bidi w:val="0"/>
              <w:spacing w:before="0" w:after="283"/>
              <w:jc w:val="left"/>
              <w:rPr/>
            </w:pPr>
            <w:hyperlink w:anchor="a_019">
              <w:r>
                <w:rPr>
                  <w:rStyle w:val="InternetLink"/>
                  <w:rFonts w:ascii="Times New Roman;Times;Serif" w:hAnsi="Times New Roman;Times;Serif"/>
                  <w:sz w:val="20"/>
                </w:rPr>
                <w:t>Signatures</w:t>
              </w:r>
            </w:hyperlink>
          </w:p>
        </w:tc>
        <w:tc>
          <w:tcPr>
            <w:tcW w:w="74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Quarterly Report on Form 10-Q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and without limitation, statements about: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 and indirect exposure to companies in the solar and renewable energy industries that are facing financial difficulties and potential bankruptcies;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grow and manage growth profitably following the closing of the Business Combination and the acquisition of the SunPower Businesses;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in our supply chains and distribution channels, tariffs and trade barriers, export regulations, bank failures, geopolitical conflicts and other macroeconomic conditions on our business and operations, results of operations and financial position;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leverage our acquisition under the asset purchase agreement with SunPower and other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impact of changes to and developments relating to the regulations and policies applicable to our business, customers and the industry;</w:t>
            </w:r>
          </w:p>
        </w:tc>
      </w:tr>
    </w:tbl>
    <w:p>
      <w:pPr>
        <w:pStyle w:val="TextBody"/>
        <w:bidi w:val="0"/>
        <w:spacing w:before="0" w:after="0"/>
        <w:ind w:left="0" w:right="0" w:firstLine="72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105"/>
        <w:gridCol w:w="200"/>
        <w:gridCol w:w="57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availability of rebates, tax credits and other incentives;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tc>
      </w:tr>
    </w:tbl>
    <w:p>
      <w:pPr>
        <w:pStyle w:val="TextBody"/>
        <w:bidi w:val="0"/>
        <w:spacing w:before="0" w:after="0"/>
        <w:ind w:left="0" w:right="0" w:firstLine="72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05"/>
        <w:gridCol w:w="200"/>
        <w:gridCol w:w="3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and the volatility of interest rates;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following the Business Combination and the acquisition of the SunPower Businesses, including financial projections and business metrics, and our ability to manage our costs;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projected costs, prospects and plans;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the sufficiency of our cash, and sources and uses of cash, including cash required to service our current and future borrowings;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ability to obtain funding for our operations and future growth, including in connection with the integration of our acquisitions, and our ability to raise capital and refinance our existing debt;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expectations of new and current customers, and our ability to achieve market acceptance for our products and services, especially in light of the intense competition faced in our industry;</w:t>
            </w:r>
          </w:p>
        </w:tc>
      </w:tr>
    </w:tbl>
    <w:p>
      <w:pPr>
        <w:pStyle w:val="TextBody"/>
        <w:bidi w:val="0"/>
        <w:spacing w:before="0" w:after="0"/>
        <w:ind w:left="0" w:right="0" w:firstLine="72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105"/>
        <w:gridCol w:w="200"/>
        <w:gridCol w:w="70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forecasts with respect to market opportunity and market growth;</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plans relating to cost control efforts (including headcount management and potential reductions) and expectations with respect to when we achieve breakeven operating income;</w:t>
            </w:r>
          </w:p>
        </w:tc>
      </w:tr>
    </w:tbl>
    <w:p>
      <w:pPr>
        <w:pStyle w:val="TextBody"/>
        <w:bidi w:val="0"/>
        <w:spacing w:before="0" w:after="0"/>
        <w:ind w:left="0" w:right="0" w:firstLine="72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products and services to meet customers’ compliance and regulatory needs;</w:t>
            </w:r>
          </w:p>
        </w:tc>
      </w:tr>
    </w:tbl>
    <w:p>
      <w:pPr>
        <w:pStyle w:val="TextBody"/>
        <w:bidi w:val="0"/>
        <w:spacing w:before="0" w:after="0"/>
        <w:ind w:left="0" w:right="0" w:firstLine="72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qualified employees and management;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maintain our brand and reputation, and our ability to maintain our relationships with key suppliers, installers and build partners;</w:t>
            </w:r>
          </w:p>
        </w:tc>
      </w:tr>
    </w:tbl>
    <w:p>
      <w:pPr>
        <w:pStyle w:val="TextBody"/>
        <w:bidi w:val="0"/>
        <w:spacing w:before="0" w:after="0"/>
        <w:ind w:left="0" w:right="0" w:firstLine="72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05"/>
        <w:gridCol w:w="200"/>
        <w:gridCol w:w="5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industry;</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economic and financial conditions, inflationary pressures and the resulting impact demand, and our ability to plan for and respond to the impact of those changes;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and not infringe on the rights of others; and</w:t>
            </w:r>
          </w:p>
        </w:tc>
      </w:tr>
    </w:tbl>
    <w:p>
      <w:pPr>
        <w:pStyle w:val="TextBody"/>
        <w:bidi w:val="0"/>
        <w:spacing w:before="0" w:after="0"/>
        <w:ind w:left="0" w:right="0" w:firstLine="72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05"/>
        <w:gridCol w:w="200"/>
        <w:gridCol w:w="40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expansion plans and opportunities.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events or results may differ from those expressed in forward-looking statements. You should not rely on forward-looking statements as predictions of future events. We have based the forward-looking statements in this Quarterly Report on Form 10-Q primarily on our current expectations and projections about future events and trends that may affect our business, financial condition and operating results. The outcome of the events described in these forward-looking statements is subject to risks, uncertainties and other factors referenced in section Item 1.A “Risk Factors” in this Quarterly Report on Form 10-Q. Moreover, we operate in a very competitive and rapidly changing environment. New risks and uncertainties emerge from time to time, and we cannot predict all risks and uncertainties that could impact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Quarterly Report on Form 10-Q relate only to events as of the date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achieve the plans, intentions or expectations disclosed in our forward-looking statements, and you should not place undue reliance on our forward-looking statements. Our forward-looking statements do not reflect the potential impact of future acquisitions, mergers, dispositions, joint ventures or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81"/>
        <w:gridCol w:w="90"/>
        <w:gridCol w:w="200"/>
        <w:gridCol w:w="1018"/>
        <w:gridCol w:w="110"/>
        <w:gridCol w:w="90"/>
        <w:gridCol w:w="193"/>
        <w:gridCol w:w="980"/>
        <w:gridCol w:w="143"/>
      </w:tblGrid>
      <w:tr>
        <w:trPr/>
        <w:tc>
          <w:tcPr>
            <w:tcW w:w="7381"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218" w:type="dxa"/>
            <w:gridSpan w:val="2"/>
            <w:tcBorders/>
            <w:vAlign w:val="center"/>
          </w:tcPr>
          <w:p>
            <w:pPr>
              <w:pStyle w:val="TableContents"/>
              <w:bidi w:val="0"/>
              <w:spacing w:before="0" w:after="283"/>
              <w:jc w:val="center"/>
              <w:rPr>
                <w:b/>
                <w:sz w:val="20"/>
              </w:rPr>
            </w:pPr>
            <w:r>
              <w:rPr>
                <w:b/>
                <w:sz w:val="20"/>
              </w:rPr>
              <w:t>September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center"/>
              <w:rPr>
                <w:b/>
                <w:sz w:val="20"/>
              </w:rPr>
            </w:pPr>
            <w:r>
              <w:rPr>
                <w:b/>
                <w:sz w:val="20"/>
              </w:rPr>
              <w:t>December 29,</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8" w:type="dxa"/>
            <w:gridSpan w:val="2"/>
            <w:tcBorders/>
            <w:vAlign w:val="center"/>
          </w:tcPr>
          <w:p>
            <w:pPr>
              <w:pStyle w:val="TableContents"/>
              <w:bidi w:val="0"/>
              <w:spacing w:before="0" w:after="283"/>
              <w:jc w:val="right"/>
              <w:rPr>
                <w:sz w:val="20"/>
              </w:rPr>
            </w:pPr>
            <w:r>
              <w:rPr>
                <w:sz w:val="20"/>
              </w:rPr>
              <w:t>(As Restated)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left"/>
              <w:rPr>
                <w:b/>
                <w:sz w:val="20"/>
              </w:rPr>
            </w:pPr>
            <w:r>
              <w:rPr>
                <w:b/>
                <w:sz w:val="20"/>
              </w:rPr>
              <w:t>ASSETS</w:t>
            </w:r>
          </w:p>
        </w:tc>
        <w:tc>
          <w:tcPr>
            <w:tcW w:w="90" w:type="dxa"/>
            <w:tcBorders/>
            <w:vAlign w:val="center"/>
          </w:tcPr>
          <w:p>
            <w:pPr>
              <w:pStyle w:val="TableContents"/>
              <w:bidi w:val="0"/>
              <w:spacing w:before="0" w:after="283"/>
              <w:jc w:val="left"/>
              <w:rPr/>
            </w:pPr>
            <w:r>
              <w:rPr/>
              <w:t> </w:t>
            </w:r>
          </w:p>
        </w:tc>
        <w:tc>
          <w:tcPr>
            <w:tcW w:w="1218"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Current assets:</w:t>
            </w:r>
          </w:p>
        </w:tc>
        <w:tc>
          <w:tcPr>
            <w:tcW w:w="90" w:type="dxa"/>
            <w:tcBorders/>
            <w:vAlign w:val="center"/>
          </w:tcPr>
          <w:p>
            <w:pPr>
              <w:pStyle w:val="TableContents"/>
              <w:bidi w:val="0"/>
              <w:spacing w:before="0" w:after="283"/>
              <w:jc w:val="left"/>
              <w:rPr/>
            </w:pPr>
            <w:r>
              <w:rPr/>
              <w:t> </w:t>
            </w:r>
          </w:p>
        </w:tc>
        <w:tc>
          <w:tcPr>
            <w:tcW w:w="1218"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Cash and cash equivalents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20"/>
              </w:rPr>
            </w:pPr>
            <w:r>
              <w:rPr>
                <w:sz w:val="20"/>
              </w:rPr>
              <w:t>$</w:t>
            </w:r>
          </w:p>
        </w:tc>
        <w:tc>
          <w:tcPr>
            <w:tcW w:w="1018" w:type="dxa"/>
            <w:tcBorders/>
            <w:shd w:fill="CCEEFF" w:val="clear"/>
            <w:vAlign w:val="center"/>
          </w:tcPr>
          <w:p>
            <w:pPr>
              <w:pStyle w:val="TableContents"/>
              <w:bidi w:val="0"/>
              <w:spacing w:before="0" w:after="283"/>
              <w:jc w:val="right"/>
              <w:rPr>
                <w:sz w:val="20"/>
              </w:rPr>
            </w:pPr>
            <w:r>
              <w:rPr>
                <w:sz w:val="20"/>
              </w:rPr>
              <w:t>5,072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sz w:val="20"/>
              </w:rPr>
            </w:pPr>
            <w:r>
              <w:rPr>
                <w:sz w:val="20"/>
              </w:rPr>
              <w:t>$</w:t>
            </w:r>
          </w:p>
        </w:tc>
        <w:tc>
          <w:tcPr>
            <w:tcW w:w="980" w:type="dxa"/>
            <w:tcBorders/>
            <w:shd w:fill="CCEEFF" w:val="clear"/>
            <w:vAlign w:val="center"/>
          </w:tcPr>
          <w:p>
            <w:pPr>
              <w:pStyle w:val="TableContents"/>
              <w:bidi w:val="0"/>
              <w:spacing w:before="0" w:after="283"/>
              <w:jc w:val="right"/>
              <w:rPr>
                <w:sz w:val="20"/>
              </w:rPr>
            </w:pPr>
            <w:r>
              <w:rPr>
                <w:sz w:val="20"/>
              </w:rPr>
              <w:t>13,378</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Accounts receivable, net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73,047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51,908</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Inventories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8,570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22,110</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Prepaid expenses and other current assets</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19,740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8,206</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Total current assets</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106,429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95,602</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Restricted cash</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3,841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3,841</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Property and equipment, net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3,670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5,493</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Operating lease right-of-use assets</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2,528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3,041</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Intangible assets, net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38,956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17,385</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Goodwill</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42,275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18,476</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Other noncurrent assets</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1,085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628</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Total assets</w:t>
            </w:r>
          </w:p>
        </w:tc>
        <w:tc>
          <w:tcPr>
            <w:tcW w:w="9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018"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198,784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80"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144,466</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left"/>
              <w:rPr>
                <w:b/>
                <w:sz w:val="20"/>
              </w:rPr>
            </w:pPr>
            <w:r>
              <w:rPr>
                <w:b/>
                <w:sz w:val="20"/>
              </w:rPr>
              <w:t>LIABILITIES AND STOCKHOLDERS’ DEFICIT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Current liabilities: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Accounts payable</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w:t>
            </w:r>
          </w:p>
        </w:tc>
        <w:tc>
          <w:tcPr>
            <w:tcW w:w="1018" w:type="dxa"/>
            <w:tcBorders/>
            <w:vAlign w:val="center"/>
          </w:tcPr>
          <w:p>
            <w:pPr>
              <w:pStyle w:val="TableContents"/>
              <w:bidi w:val="0"/>
              <w:spacing w:before="0" w:after="283"/>
              <w:jc w:val="right"/>
              <w:rPr>
                <w:sz w:val="20"/>
              </w:rPr>
            </w:pPr>
            <w:r>
              <w:rPr>
                <w:sz w:val="20"/>
              </w:rPr>
              <w:t>19,857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20"/>
              </w:rPr>
            </w:pPr>
            <w:r>
              <w:rPr>
                <w:sz w:val="20"/>
              </w:rPr>
              <w:t>$</w:t>
            </w:r>
          </w:p>
        </w:tc>
        <w:tc>
          <w:tcPr>
            <w:tcW w:w="980" w:type="dxa"/>
            <w:tcBorders/>
            <w:vAlign w:val="center"/>
          </w:tcPr>
          <w:p>
            <w:pPr>
              <w:pStyle w:val="TableContents"/>
              <w:bidi w:val="0"/>
              <w:spacing w:before="0" w:after="283"/>
              <w:jc w:val="right"/>
              <w:rPr>
                <w:sz w:val="20"/>
              </w:rPr>
            </w:pPr>
            <w:r>
              <w:rPr>
                <w:sz w:val="20"/>
              </w:rPr>
              <w:t>7,980</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(1)</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57,250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56,081</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Notes payable to related parties</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21,500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1,500</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Current portion of notes payable</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2,786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Contract liabilities</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13,261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10,003</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SAFE Agreement with related party</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497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384</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Forward purchase agreement liabilities with related parties</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1,274</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Forward purchase agreement liabilities</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4,301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2,220</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Total current liabilities</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119,452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79,442</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Warranty provision, noncurrent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2,140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3,437</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Warrant liability</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4,683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1,561</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Contract liabilities, noncurrent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1,713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918</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Notes payable and derivative liabilities, net of current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139,454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92,638</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Notes payable and derivative liabilities with related parties, net of current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34,799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53,193</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Operating lease liabilities, net of current portion</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1,335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2,263</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Other long-term liabilities</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12,869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8,553</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Total liabilities</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sz w:val="20"/>
              </w:rPr>
            </w:pPr>
            <w:r>
              <w:rPr>
                <w:sz w:val="20"/>
              </w:rPr>
              <w:t>316,445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242,005</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Commitments and contingencies (Note 13)</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 </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b/>
                <w:sz w:val="20"/>
              </w:rPr>
            </w:pPr>
            <w:r>
              <w:rPr>
                <w:b/>
                <w:sz w:val="20"/>
              </w:rPr>
              <w:t>Stockholders’ (deficit):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Common stock, $0.0001 par value; Authorized 1,000,000,000 shares as of September 28, 2025, and December 29, 2024; issued and outstanding 88,714,258 and 73,784,645 shares as of September 28, 2025, and December 29, 2024, respectively.</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14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14</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Additional paid-in capital</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sz w:val="20"/>
              </w:rPr>
            </w:pPr>
            <w:r>
              <w:rPr>
                <w:sz w:val="20"/>
              </w:rPr>
              <w:t>329,754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313,661</w:t>
            </w:r>
          </w:p>
        </w:tc>
        <w:tc>
          <w:tcPr>
            <w:tcW w:w="143" w:type="dxa"/>
            <w:tcBorders/>
            <w:vAlign w:val="center"/>
          </w:tcPr>
          <w:p>
            <w:pPr>
              <w:pStyle w:val="TableContents"/>
              <w:bidi w:val="0"/>
              <w:spacing w:before="0" w:after="283"/>
              <w:ind w:left="0" w:right="0" w:hanging="180"/>
              <w:jc w:val="left"/>
              <w:rPr/>
            </w:pPr>
            <w:r>
              <w:rPr/>
              <w:t> </w:t>
            </w:r>
          </w:p>
        </w:tc>
      </w:tr>
      <w:tr>
        <w:trPr/>
        <w:tc>
          <w:tcPr>
            <w:tcW w:w="7381" w:type="dxa"/>
            <w:tcBorders/>
            <w:shd w:fill="CCEEFF" w:val="clear"/>
            <w:vAlign w:val="center"/>
          </w:tcPr>
          <w:p>
            <w:pPr>
              <w:pStyle w:val="TableContents"/>
              <w:bidi w:val="0"/>
              <w:spacing w:before="0" w:after="283"/>
              <w:jc w:val="both"/>
              <w:rPr>
                <w:sz w:val="20"/>
              </w:rPr>
            </w:pPr>
            <w:r>
              <w:rPr>
                <w:sz w:val="20"/>
              </w:rPr>
              <w:t>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sz w:val="20"/>
              </w:rPr>
            </w:pPr>
            <w:r>
              <w:rPr>
                <w:sz w:val="20"/>
              </w:rPr>
              <w:t>165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165</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7381" w:type="dxa"/>
            <w:tcBorders/>
            <w:vAlign w:val="center"/>
          </w:tcPr>
          <w:p>
            <w:pPr>
              <w:pStyle w:val="TableContents"/>
              <w:bidi w:val="0"/>
              <w:spacing w:before="0" w:after="283"/>
              <w:jc w:val="both"/>
              <w:rPr>
                <w:sz w:val="20"/>
              </w:rPr>
            </w:pPr>
            <w:r>
              <w:rPr>
                <w:sz w:val="20"/>
              </w:rPr>
              <w:t>Accumulated deficit</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(447,594</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(411,379</w:t>
            </w:r>
          </w:p>
        </w:tc>
        <w:tc>
          <w:tcPr>
            <w:tcW w:w="143" w:type="dxa"/>
            <w:tcBorders/>
            <w:vAlign w:val="center"/>
          </w:tcPr>
          <w:p>
            <w:pPr>
              <w:pStyle w:val="TableContents"/>
              <w:bidi w:val="0"/>
              <w:spacing w:before="0" w:after="283"/>
              <w:ind w:left="0" w:right="0" w:hanging="180"/>
              <w:jc w:val="left"/>
              <w:rPr>
                <w:sz w:val="20"/>
              </w:rPr>
            </w:pPr>
            <w:r>
              <w:rPr>
                <w:sz w:val="20"/>
              </w:rPr>
              <w:t>)</w:t>
            </w:r>
          </w:p>
        </w:tc>
      </w:tr>
      <w:tr>
        <w:trPr/>
        <w:tc>
          <w:tcPr>
            <w:tcW w:w="7381" w:type="dxa"/>
            <w:tcBorders/>
            <w:shd w:fill="CCEEFF" w:val="clear"/>
            <w:vAlign w:val="center"/>
          </w:tcPr>
          <w:p>
            <w:pPr>
              <w:pStyle w:val="TableContents"/>
              <w:bidi w:val="0"/>
              <w:spacing w:before="0" w:after="283"/>
              <w:jc w:val="both"/>
              <w:rPr>
                <w:sz w:val="20"/>
              </w:rPr>
            </w:pPr>
            <w:r>
              <w:rPr>
                <w:sz w:val="20"/>
              </w:rPr>
              <w:t>Total stockholders’ (deficit)</w:t>
            </w:r>
          </w:p>
        </w:tc>
        <w:tc>
          <w:tcPr>
            <w:tcW w:w="9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(117,661</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(97,539</w:t>
            </w:r>
          </w:p>
        </w:tc>
        <w:tc>
          <w:tcPr>
            <w:tcW w:w="143"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381" w:type="dxa"/>
            <w:tcBorders/>
            <w:vAlign w:val="center"/>
          </w:tcPr>
          <w:p>
            <w:pPr>
              <w:pStyle w:val="TableContents"/>
              <w:bidi w:val="0"/>
              <w:spacing w:before="0" w:after="283"/>
              <w:jc w:val="both"/>
              <w:rPr>
                <w:sz w:val="20"/>
              </w:rPr>
            </w:pPr>
            <w:r>
              <w:rPr>
                <w:sz w:val="20"/>
              </w:rPr>
              <w:t>Total liabilities and stockholders’ (deficit)</w:t>
            </w:r>
          </w:p>
        </w:tc>
        <w:tc>
          <w:tcPr>
            <w:tcW w:w="9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1018"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198,784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80"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144,466</w:t>
            </w:r>
          </w:p>
        </w:tc>
        <w:tc>
          <w:tcPr>
            <w:tcW w:w="14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1"/>
        <w:gridCol w:w="9906"/>
      </w:tblGrid>
      <w:tr>
        <w:trPr/>
        <w:tc>
          <w:tcPr>
            <w:tcW w:w="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$1.3 million and $2.2 million as of September 28, 2025, and December 29, 2024, respectively. Includes investor financing deposit of $2.0 million as of September 28,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 w:name="a_005"/>
      <w:bookmarkEnd w:id="6"/>
      <w:r>
        <w:rPr>
          <w:rFonts w:ascii="Times New Roman;Times;Serif" w:hAnsi="Times New Roman;Times;Serif"/>
          <w:b/>
          <w:i w:val="false"/>
          <w:caps w:val="false"/>
          <w:smallCaps w:val="false"/>
          <w:sz w:val="20"/>
        </w:rPr>
        <w:t>SUNPOWER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4"/>
        <w:gridCol w:w="90"/>
        <w:gridCol w:w="189"/>
        <w:gridCol w:w="1266"/>
        <w:gridCol w:w="125"/>
        <w:gridCol w:w="90"/>
        <w:gridCol w:w="189"/>
        <w:gridCol w:w="1266"/>
        <w:gridCol w:w="125"/>
        <w:gridCol w:w="90"/>
        <w:gridCol w:w="189"/>
        <w:gridCol w:w="1266"/>
        <w:gridCol w:w="125"/>
        <w:gridCol w:w="90"/>
        <w:gridCol w:w="189"/>
        <w:gridCol w:w="1266"/>
        <w:gridCol w:w="146"/>
      </w:tblGrid>
      <w:tr>
        <w:trPr/>
        <w:tc>
          <w:tcPr>
            <w:tcW w:w="3504"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1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146" w:type="dxa"/>
            <w:tcBorders/>
            <w:vAlign w:val="center"/>
          </w:tcPr>
          <w:p>
            <w:pPr>
              <w:pStyle w:val="TableContents"/>
              <w:bidi w:val="0"/>
              <w:spacing w:before="0" w:after="283"/>
              <w:ind w:left="0" w:right="0" w:hanging="180"/>
              <w:jc w:val="left"/>
              <w:rPr/>
            </w:pPr>
            <w:r>
              <w:rPr/>
              <w:t> </w:t>
            </w:r>
          </w:p>
        </w:tc>
      </w:tr>
      <w:tr>
        <w:trPr/>
        <w:tc>
          <w:tcPr>
            <w:tcW w:w="35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center"/>
              <w:rPr>
                <w:b/>
              </w:rPr>
            </w:pPr>
            <w:r>
              <w:rPr>
                <w:b/>
              </w:rPr>
              <w:t>September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center"/>
              <w:rPr>
                <w:b/>
              </w:rPr>
            </w:pPr>
            <w:r>
              <w:rPr>
                <w:b/>
              </w:rPr>
              <w:t>September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center"/>
              <w:rPr>
                <w:b/>
              </w:rPr>
            </w:pPr>
            <w:r>
              <w:rPr>
                <w:b/>
              </w:rPr>
              <w:t>September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center"/>
              <w:rPr>
                <w:b/>
              </w:rPr>
            </w:pPr>
            <w:r>
              <w:rPr>
                <w:b/>
              </w:rPr>
              <w:t>September 29,</w:t>
            </w:r>
          </w:p>
        </w:tc>
        <w:tc>
          <w:tcPr>
            <w:tcW w:w="146" w:type="dxa"/>
            <w:tcBorders/>
            <w:vAlign w:val="center"/>
          </w:tcPr>
          <w:p>
            <w:pPr>
              <w:pStyle w:val="TableContents"/>
              <w:bidi w:val="0"/>
              <w:spacing w:before="0" w:after="283"/>
              <w:ind w:left="0" w:right="0" w:hanging="180"/>
              <w:jc w:val="left"/>
              <w:rPr/>
            </w:pPr>
            <w:r>
              <w:rPr/>
              <w:t> </w:t>
            </w:r>
          </w:p>
        </w:tc>
      </w:tr>
      <w:tr>
        <w:trPr/>
        <w:tc>
          <w:tcPr>
            <w:tcW w:w="35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6" w:type="dxa"/>
            <w:tcBorders/>
            <w:vAlign w:val="center"/>
          </w:tcPr>
          <w:p>
            <w:pPr>
              <w:pStyle w:val="TableContents"/>
              <w:bidi w:val="0"/>
              <w:spacing w:before="0" w:after="283"/>
              <w:ind w:left="0" w:right="0" w:hanging="180"/>
              <w:jc w:val="left"/>
              <w:rPr/>
            </w:pPr>
            <w:r>
              <w:rPr/>
              <w:t> </w:t>
            </w:r>
          </w:p>
        </w:tc>
      </w:tr>
      <w:tr>
        <w:trPr/>
        <w:tc>
          <w:tcPr>
            <w:tcW w:w="35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right"/>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right"/>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ind w:left="0" w:right="0" w:hanging="180"/>
              <w:jc w:val="left"/>
              <w:rPr/>
            </w:pPr>
            <w:r>
              <w:rPr/>
              <w:t> </w:t>
            </w:r>
          </w:p>
        </w:tc>
      </w:tr>
      <w:tr>
        <w:trPr/>
        <w:tc>
          <w:tcPr>
            <w:tcW w:w="35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64,487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5,536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209,015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20,068</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3504" w:type="dxa"/>
            <w:tcBorders/>
            <w:vAlign w:val="center"/>
          </w:tcPr>
          <w:p>
            <w:pPr>
              <w:pStyle w:val="TableContents"/>
              <w:bidi w:val="0"/>
              <w:spacing w:before="0" w:after="283"/>
              <w:jc w:val="left"/>
              <w:rPr/>
            </w:pPr>
            <w:r>
              <w:rPr/>
              <w:t>Cost of revenues</w:t>
            </w:r>
            <w:r>
              <w:rPr>
                <w:position w:val="8"/>
                <w:sz w:val="19"/>
              </w:rPr>
              <w:t>(1)</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32,431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8,693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125,799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21,834</w:t>
            </w:r>
          </w:p>
        </w:tc>
        <w:tc>
          <w:tcPr>
            <w:tcW w:w="146" w:type="dxa"/>
            <w:tcBorders/>
            <w:vAlign w:val="center"/>
          </w:tcPr>
          <w:p>
            <w:pPr>
              <w:pStyle w:val="TableContents"/>
              <w:bidi w:val="0"/>
              <w:spacing w:before="0" w:after="283"/>
              <w:ind w:left="0" w:right="0" w:hanging="180"/>
              <w:jc w:val="left"/>
              <w:rPr/>
            </w:pPr>
            <w:r>
              <w:rPr/>
              <w:t> </w:t>
            </w:r>
          </w:p>
        </w:tc>
      </w:tr>
      <w:tr>
        <w:trPr/>
        <w:tc>
          <w:tcPr>
            <w:tcW w:w="3504" w:type="dxa"/>
            <w:tcBorders/>
            <w:shd w:fill="CCEEFF" w:val="clear"/>
            <w:vAlign w:val="center"/>
          </w:tcPr>
          <w:p>
            <w:pPr>
              <w:pStyle w:val="TableContents"/>
              <w:bidi w:val="0"/>
              <w:spacing w:before="0" w:after="283"/>
              <w:jc w:val="left"/>
              <w:rPr/>
            </w:pPr>
            <w:r>
              <w:rPr/>
              <w:t>Gross profit (loss)</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32,056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(3,157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83,216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(1,766</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3504"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ind w:left="0" w:right="0" w:hanging="180"/>
              <w:jc w:val="left"/>
              <w:rPr/>
            </w:pPr>
            <w:r>
              <w:rPr/>
              <w:t> </w:t>
            </w:r>
          </w:p>
        </w:tc>
      </w:tr>
      <w:tr>
        <w:trPr/>
        <w:tc>
          <w:tcPr>
            <w:tcW w:w="3504"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8,170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7,270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24,909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11,691</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3504"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5,819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1,093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21,505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3,762</w:t>
            </w:r>
          </w:p>
        </w:tc>
        <w:tc>
          <w:tcPr>
            <w:tcW w:w="146" w:type="dxa"/>
            <w:tcBorders/>
            <w:vAlign w:val="center"/>
          </w:tcPr>
          <w:p>
            <w:pPr>
              <w:pStyle w:val="TableContents"/>
              <w:bidi w:val="0"/>
              <w:spacing w:before="0" w:after="283"/>
              <w:ind w:left="0" w:right="0" w:hanging="180"/>
              <w:jc w:val="left"/>
              <w:rPr/>
            </w:pPr>
            <w:r>
              <w:rPr/>
              <w:t> </w:t>
            </w:r>
          </w:p>
        </w:tc>
      </w:tr>
      <w:tr>
        <w:trPr/>
        <w:tc>
          <w:tcPr>
            <w:tcW w:w="3504"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19,663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18,450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29,789</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3504"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33,652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26,813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97,459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45,242</w:t>
            </w:r>
          </w:p>
        </w:tc>
        <w:tc>
          <w:tcPr>
            <w:tcW w:w="146" w:type="dxa"/>
            <w:tcBorders/>
            <w:vAlign w:val="center"/>
          </w:tcPr>
          <w:p>
            <w:pPr>
              <w:pStyle w:val="TableContents"/>
              <w:bidi w:val="0"/>
              <w:spacing w:before="0" w:after="283"/>
              <w:ind w:left="0" w:right="0" w:hanging="180"/>
              <w:jc w:val="left"/>
              <w:rPr/>
            </w:pPr>
            <w:r>
              <w:rPr/>
              <w:t> </w:t>
            </w:r>
          </w:p>
        </w:tc>
      </w:tr>
      <w:tr>
        <w:trPr/>
        <w:tc>
          <w:tcPr>
            <w:tcW w:w="3504"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(1,596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(29,970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(14,243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(47,008</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3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(6,738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(2,338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(19,151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(8,230</w:t>
            </w:r>
          </w:p>
        </w:tc>
        <w:tc>
          <w:tcPr>
            <w:tcW w:w="146" w:type="dxa"/>
            <w:tcBorders/>
            <w:vAlign w:val="center"/>
          </w:tcPr>
          <w:p>
            <w:pPr>
              <w:pStyle w:val="TableContents"/>
              <w:bidi w:val="0"/>
              <w:spacing w:before="0" w:after="283"/>
              <w:ind w:left="0" w:right="0" w:hanging="180"/>
              <w:jc w:val="left"/>
              <w:rPr/>
            </w:pPr>
            <w:r>
              <w:rPr/>
              <w:t>)</w:t>
            </w:r>
          </w:p>
        </w:tc>
      </w:tr>
      <w:tr>
        <w:trPr/>
        <w:tc>
          <w:tcPr>
            <w:tcW w:w="3504"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102</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35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expense, net </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(4,256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(65,684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(1,724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(66,234</w:t>
            </w:r>
          </w:p>
        </w:tc>
        <w:tc>
          <w:tcPr>
            <w:tcW w:w="146" w:type="dxa"/>
            <w:tcBorders/>
            <w:vAlign w:val="center"/>
          </w:tcPr>
          <w:p>
            <w:pPr>
              <w:pStyle w:val="TableContents"/>
              <w:bidi w:val="0"/>
              <w:spacing w:before="0" w:after="283"/>
              <w:ind w:left="0" w:right="0" w:hanging="180"/>
              <w:jc w:val="left"/>
              <w:rPr/>
            </w:pPr>
            <w:r>
              <w:rPr/>
              <w:t>)</w:t>
            </w:r>
          </w:p>
        </w:tc>
      </w:tr>
      <w:tr>
        <w:trPr/>
        <w:tc>
          <w:tcPr>
            <w:tcW w:w="3504" w:type="dxa"/>
            <w:tcBorders/>
            <w:shd w:fill="CCEEFF" w:val="clear"/>
            <w:vAlign w:val="center"/>
          </w:tcPr>
          <w:p>
            <w:pPr>
              <w:pStyle w:val="TableContents"/>
              <w:bidi w:val="0"/>
              <w:spacing w:before="0" w:after="283"/>
              <w:jc w:val="left"/>
              <w:rPr/>
            </w:pPr>
            <w:r>
              <w:rPr/>
              <w:t>Gain on troubled debt restructuring</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19,948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19,948</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3504" w:type="dxa"/>
            <w:tcBorders/>
            <w:vAlign w:val="center"/>
          </w:tcPr>
          <w:p>
            <w:pPr>
              <w:pStyle w:val="TableContents"/>
              <w:bidi w:val="0"/>
              <w:spacing w:before="0" w:after="283"/>
              <w:jc w:val="left"/>
              <w:rPr/>
            </w:pPr>
            <w:r>
              <w:rPr/>
              <w:t>Total other expense, net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(10,994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(47,988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(20,872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(54,414</w:t>
            </w:r>
          </w:p>
        </w:tc>
        <w:tc>
          <w:tcPr>
            <w:tcW w:w="146" w:type="dxa"/>
            <w:tcBorders/>
            <w:vAlign w:val="center"/>
          </w:tcPr>
          <w:p>
            <w:pPr>
              <w:pStyle w:val="TableContents"/>
              <w:bidi w:val="0"/>
              <w:spacing w:before="0" w:after="283"/>
              <w:ind w:left="0" w:right="0" w:hanging="180"/>
              <w:jc w:val="left"/>
              <w:rPr/>
            </w:pPr>
            <w:r>
              <w:rPr/>
              <w:t>)</w:t>
            </w:r>
          </w:p>
        </w:tc>
      </w:tr>
      <w:tr>
        <w:trPr/>
        <w:tc>
          <w:tcPr>
            <w:tcW w:w="3504"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(12,590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(77,958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(35,115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(101,422</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3504" w:type="dxa"/>
            <w:tcBorders/>
            <w:vAlign w:val="center"/>
          </w:tcPr>
          <w:p>
            <w:pPr>
              <w:pStyle w:val="TableContents"/>
              <w:bidi w:val="0"/>
              <w:spacing w:before="0" w:after="283"/>
              <w:jc w:val="left"/>
              <w:rPr/>
            </w:pPr>
            <w:r>
              <w:rPr/>
              <w:t>Income tax provision</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(11</w:t>
            </w:r>
          </w:p>
        </w:tc>
        <w:tc>
          <w:tcPr>
            <w:tcW w:w="146" w:type="dxa"/>
            <w:tcBorders/>
            <w:vAlign w:val="center"/>
          </w:tcPr>
          <w:p>
            <w:pPr>
              <w:pStyle w:val="TableContents"/>
              <w:bidi w:val="0"/>
              <w:spacing w:before="0" w:after="283"/>
              <w:ind w:left="0" w:right="0" w:hanging="180"/>
              <w:jc w:val="left"/>
              <w:rPr/>
            </w:pPr>
            <w:r>
              <w:rPr/>
              <w:t>)</w:t>
            </w:r>
          </w:p>
        </w:tc>
      </w:tr>
      <w:tr>
        <w:trPr/>
        <w:tc>
          <w:tcPr>
            <w:tcW w:w="3504"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(12,590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(77,958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(35,115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(101,433</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3504" w:type="dxa"/>
            <w:tcBorders/>
            <w:vAlign w:val="center"/>
          </w:tcPr>
          <w:p>
            <w:pPr>
              <w:pStyle w:val="TableContents"/>
              <w:bidi w:val="0"/>
              <w:spacing w:before="0" w:after="283"/>
              <w:jc w:val="left"/>
              <w:rPr/>
            </w:pPr>
            <w:r>
              <w:rPr/>
              <w:t>Loss from discontinued operations, net of tax</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146" w:type="dxa"/>
            <w:tcBorders/>
            <w:vAlign w:val="center"/>
          </w:tcPr>
          <w:p>
            <w:pPr>
              <w:pStyle w:val="TableContents"/>
              <w:bidi w:val="0"/>
              <w:spacing w:before="0" w:after="283"/>
              <w:ind w:left="0" w:right="0" w:hanging="180"/>
              <w:jc w:val="left"/>
              <w:rPr/>
            </w:pPr>
            <w:r>
              <w:rPr/>
              <w:t>)</w:t>
            </w:r>
          </w:p>
        </w:tc>
      </w:tr>
      <w:tr>
        <w:trPr/>
        <w:tc>
          <w:tcPr>
            <w:tcW w:w="3504" w:type="dxa"/>
            <w:tcBorders/>
            <w:shd w:fill="CCEEFF" w:val="clear"/>
            <w:vAlign w:val="center"/>
          </w:tcPr>
          <w:p>
            <w:pPr>
              <w:pStyle w:val="TableContents"/>
              <w:bidi w:val="0"/>
              <w:spacing w:before="0" w:after="283"/>
              <w:jc w:val="left"/>
              <w:rPr/>
            </w:pPr>
            <w:r>
              <w:rPr/>
              <w:t>Net loss from discontinued operations, net of taxes</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(2,007</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3504"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(13,690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(77,958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(36,215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(103,440</w:t>
            </w:r>
          </w:p>
        </w:tc>
        <w:tc>
          <w:tcPr>
            <w:tcW w:w="146" w:type="dxa"/>
            <w:tcBorders/>
            <w:vAlign w:val="center"/>
          </w:tcPr>
          <w:p>
            <w:pPr>
              <w:pStyle w:val="TableContents"/>
              <w:bidi w:val="0"/>
              <w:spacing w:before="0" w:after="283"/>
              <w:ind w:left="0" w:right="0" w:hanging="180"/>
              <w:jc w:val="left"/>
              <w:rPr/>
            </w:pPr>
            <w:r>
              <w:rPr/>
              <w:t>)</w:t>
            </w:r>
          </w:p>
        </w:tc>
      </w:tr>
      <w:tr>
        <w:trPr/>
        <w:tc>
          <w:tcPr>
            <w:tcW w:w="3504" w:type="dxa"/>
            <w:tcBorders/>
            <w:shd w:fill="CCEEFF" w:val="clear"/>
            <w:vAlign w:val="center"/>
          </w:tcPr>
          <w:p>
            <w:pPr>
              <w:pStyle w:val="TableContents"/>
              <w:bidi w:val="0"/>
              <w:spacing w:before="0" w:after="283"/>
              <w:jc w:val="left"/>
              <w:rPr/>
            </w:pPr>
            <w:r>
              <w:rPr/>
              <w:t>Other comprehensive income:</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3504"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22</w:t>
            </w:r>
          </w:p>
        </w:tc>
        <w:tc>
          <w:tcPr>
            <w:tcW w:w="146" w:type="dxa"/>
            <w:tcBorders/>
            <w:vAlign w:val="center"/>
          </w:tcPr>
          <w:p>
            <w:pPr>
              <w:pStyle w:val="TableContents"/>
              <w:bidi w:val="0"/>
              <w:spacing w:before="0" w:after="283"/>
              <w:ind w:left="0" w:right="0" w:hanging="180"/>
              <w:jc w:val="left"/>
              <w:rPr/>
            </w:pPr>
            <w:r>
              <w:rPr/>
              <w:t> </w:t>
            </w:r>
          </w:p>
        </w:tc>
      </w:tr>
      <w:tr>
        <w:trPr/>
        <w:tc>
          <w:tcPr>
            <w:tcW w:w="3504" w:type="dxa"/>
            <w:tcBorders/>
            <w:shd w:fill="CCEEFF" w:val="clear"/>
            <w:vAlign w:val="center"/>
          </w:tcPr>
          <w:p>
            <w:pPr>
              <w:pStyle w:val="TableContents"/>
              <w:bidi w:val="0"/>
              <w:spacing w:before="0" w:after="283"/>
              <w:jc w:val="left"/>
              <w:rPr/>
            </w:pPr>
            <w:r>
              <w:rPr/>
              <w:t>Comprehensive loss (net of tax)</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(13,690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(77,958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(36,215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(103,418</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3504" w:type="dxa"/>
            <w:tcBorders/>
            <w:vAlign w:val="center"/>
          </w:tcPr>
          <w:p>
            <w:pPr>
              <w:pStyle w:val="TableContents"/>
              <w:bidi w:val="0"/>
              <w:spacing w:before="0" w:after="283"/>
              <w:jc w:val="left"/>
              <w:rPr/>
            </w:pPr>
            <w:r>
              <w:rPr/>
              <w:t>Net loss from continuing operations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(0.15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(1.03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(0.43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(1.64</w:t>
            </w:r>
          </w:p>
        </w:tc>
        <w:tc>
          <w:tcPr>
            <w:tcW w:w="146" w:type="dxa"/>
            <w:tcBorders/>
            <w:vAlign w:val="center"/>
          </w:tcPr>
          <w:p>
            <w:pPr>
              <w:pStyle w:val="TableContents"/>
              <w:bidi w:val="0"/>
              <w:spacing w:before="0" w:after="283"/>
              <w:ind w:left="0" w:right="0" w:hanging="180"/>
              <w:jc w:val="left"/>
              <w:rPr/>
            </w:pPr>
            <w:r>
              <w:rPr/>
              <w:t>)</w:t>
            </w:r>
          </w:p>
        </w:tc>
      </w:tr>
      <w:tr>
        <w:trPr/>
        <w:tc>
          <w:tcPr>
            <w:tcW w:w="3504" w:type="dxa"/>
            <w:tcBorders/>
            <w:shd w:fill="CCEEFF" w:val="clear"/>
            <w:vAlign w:val="center"/>
          </w:tcPr>
          <w:p>
            <w:pPr>
              <w:pStyle w:val="TableContents"/>
              <w:bidi w:val="0"/>
              <w:spacing w:before="0" w:after="283"/>
              <w:jc w:val="left"/>
              <w:rPr/>
            </w:pPr>
            <w:r>
              <w:rPr/>
              <w:t>Net loss from discontinued operations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(0.03</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3504" w:type="dxa"/>
            <w:tcBorders/>
            <w:vAlign w:val="center"/>
          </w:tcPr>
          <w:p>
            <w:pPr>
              <w:pStyle w:val="TableContents"/>
              <w:bidi w:val="0"/>
              <w:spacing w:before="0" w:after="283"/>
              <w:jc w:val="left"/>
              <w:rPr/>
            </w:pPr>
            <w:r>
              <w:rPr/>
              <w:t>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(0.16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(1.03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(0.44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(1.67</w:t>
            </w:r>
          </w:p>
        </w:tc>
        <w:tc>
          <w:tcPr>
            <w:tcW w:w="146" w:type="dxa"/>
            <w:tcBorders/>
            <w:vAlign w:val="center"/>
          </w:tcPr>
          <w:p>
            <w:pPr>
              <w:pStyle w:val="TableContents"/>
              <w:bidi w:val="0"/>
              <w:spacing w:before="0" w:after="283"/>
              <w:ind w:left="0" w:right="0" w:hanging="180"/>
              <w:jc w:val="left"/>
              <w:rPr/>
            </w:pPr>
            <w:r>
              <w:rPr/>
              <w:t>)</w:t>
            </w:r>
          </w:p>
        </w:tc>
      </w:tr>
      <w:tr>
        <w:trPr/>
        <w:tc>
          <w:tcPr>
            <w:tcW w:w="3504" w:type="dxa"/>
            <w:tcBorders/>
            <w:shd w:fill="CCEEFF" w:val="clear"/>
            <w:vAlign w:val="center"/>
          </w:tcPr>
          <w:p>
            <w:pPr>
              <w:pStyle w:val="TableContents"/>
              <w:bidi w:val="0"/>
              <w:spacing w:before="0" w:after="283"/>
              <w:jc w:val="left"/>
              <w:rPr/>
            </w:pPr>
            <w:r>
              <w:rPr/>
              <w:t>Weighted-average shares used to compute net loss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84,593,644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75,348,627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81,993,090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61,868,747</w:t>
            </w:r>
          </w:p>
        </w:tc>
        <w:tc>
          <w:tcPr>
            <w:tcW w:w="14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Cost of revenue with related party was $0.1 million and $0.4 million in the thirteen week periods ended September 28, 2025 and September 29, 2024, respectively. Cost of revenue with related party was $0.5 million in each of the thirteen and thirty-nine week periods ended September 29, 2024, respectively. Refer to </w:t>
            </w:r>
            <w:r>
              <w:rPr>
                <w:rFonts w:ascii="Times New Roman;Times;Serif" w:hAnsi="Times New Roman;Times;Serif"/>
                <w:b/>
                <w:sz w:val="20"/>
              </w:rPr>
              <w:t>Note 17 – Related Party Transactions</w:t>
            </w:r>
            <w:r>
              <w:rPr>
                <w:rFonts w:ascii="Times New Roman;Times;Serif" w:hAnsi="Times New Roman;Times;Serif"/>
                <w:sz w:val="20"/>
              </w:rPr>
              <w:t xml:space="preserve"> for details.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interest expense and amortization of debt issuance costs of $1.7 million and $1.5 million in the thirteen week periods ended September 28, 2025, and September 29, 2024, respectively. Includes related party interest expense and amortization of debt issuance costs of $4.5 million and $5.6 million in the thirty-nine weeks periods ended September 28, 2025, and September 29, 2024, respectively.</w:t>
            </w:r>
          </w:p>
        </w:tc>
      </w:tr>
    </w:tbl>
    <w:p>
      <w:pPr>
        <w:pStyle w:val="TextBody"/>
        <w:bidi w:val="0"/>
        <w:spacing w:before="0" w:after="0"/>
        <w:ind w:left="0" w:right="0" w:hanging="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75"/>
        <w:gridCol w:w="5105"/>
      </w:tblGrid>
      <w:tr>
        <w:trPr/>
        <w:tc>
          <w:tcPr>
            <w:tcW w:w="27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9"/>
        <w:gridCol w:w="90"/>
        <w:gridCol w:w="377"/>
        <w:gridCol w:w="890"/>
        <w:gridCol w:w="180"/>
        <w:gridCol w:w="104"/>
        <w:gridCol w:w="314"/>
        <w:gridCol w:w="953"/>
        <w:gridCol w:w="110"/>
        <w:gridCol w:w="90"/>
        <w:gridCol w:w="372"/>
        <w:gridCol w:w="878"/>
        <w:gridCol w:w="139"/>
        <w:gridCol w:w="113"/>
        <w:gridCol w:w="310"/>
        <w:gridCol w:w="940"/>
        <w:gridCol w:w="146"/>
      </w:tblGrid>
      <w:tr>
        <w:trPr/>
        <w:tc>
          <w:tcPr>
            <w:tcW w:w="419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1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Thirteen Weeks Ended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Thirty-Nine Weeks Ended</w:t>
            </w:r>
          </w:p>
        </w:tc>
        <w:tc>
          <w:tcPr>
            <w:tcW w:w="146" w:type="dxa"/>
            <w:tcBorders/>
            <w:vAlign w:val="center"/>
          </w:tcPr>
          <w:p>
            <w:pPr>
              <w:pStyle w:val="TableContents"/>
              <w:bidi w:val="0"/>
              <w:spacing w:before="0" w:after="283"/>
              <w:jc w:val="left"/>
              <w:rPr/>
            </w:pPr>
            <w:r>
              <w:rPr/>
              <w:t> </w:t>
            </w:r>
          </w:p>
        </w:tc>
      </w:tr>
      <w:tr>
        <w:trPr/>
        <w:tc>
          <w:tcPr>
            <w:tcW w:w="419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28, </w:t>
              <w:br/>
              <w:t>2025</w:t>
            </w:r>
          </w:p>
        </w:tc>
        <w:tc>
          <w:tcPr>
            <w:tcW w:w="18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29, </w:t>
              <w:br/>
              <w:t>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br/>
              <w:t>2025</w:t>
            </w:r>
          </w:p>
        </w:tc>
        <w:tc>
          <w:tcPr>
            <w:tcW w:w="13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29,</w:t>
              <w:br/>
              <w:t>2024</w:t>
            </w:r>
          </w:p>
        </w:tc>
        <w:tc>
          <w:tcPr>
            <w:tcW w:w="146" w:type="dxa"/>
            <w:tcBorders/>
            <w:vAlign w:val="center"/>
          </w:tcPr>
          <w:p>
            <w:pPr>
              <w:pStyle w:val="TableContents"/>
              <w:bidi w:val="0"/>
              <w:spacing w:before="0" w:after="283"/>
              <w:ind w:left="0" w:right="0" w:hanging="180"/>
              <w:jc w:val="left"/>
              <w:rPr/>
            </w:pPr>
            <w:r>
              <w:rPr/>
              <w:t> </w:t>
            </w:r>
          </w:p>
        </w:tc>
      </w:tr>
      <w:tr>
        <w:trPr/>
        <w:tc>
          <w:tcPr>
            <w:tcW w:w="4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issuance of derivative liabilities</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jc w:val="right"/>
              <w:rPr/>
            </w:pPr>
            <w:r>
              <w:rPr/>
              <w:t>—</w:t>
            </w:r>
          </w:p>
        </w:tc>
        <w:tc>
          <w:tcPr>
            <w:tcW w:w="18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46"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(Loss) gain on remeasurement of derivative liabilities </w:t>
            </w:r>
            <w:r>
              <w:rPr>
                <w:rFonts w:ascii="Times New Roman;Times;Serif" w:hAnsi="Times New Roman;Times;Serif"/>
                <w:b/>
                <w:sz w:val="20"/>
              </w:rPr>
              <w:t>(Note 10 – Borrowings and Derivative Liabilities)</w:t>
            </w:r>
          </w:p>
        </w:tc>
        <w:tc>
          <w:tcPr>
            <w:tcW w:w="9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104"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13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w:t>
            </w:r>
          </w:p>
        </w:tc>
        <w:tc>
          <w:tcPr>
            <w:tcW w:w="14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(loss) due to change in fair value of Forward Purchase Agreements</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right"/>
              <w:rPr/>
            </w:pPr>
            <w:r>
              <w:rPr/>
              <w:t>—</w:t>
            </w:r>
          </w:p>
        </w:tc>
        <w:tc>
          <w:tcPr>
            <w:tcW w:w="18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39"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4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w:t>
            </w:r>
          </w:p>
        </w:tc>
        <w:tc>
          <w:tcPr>
            <w:tcW w:w="9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right"/>
              <w:rPr/>
            </w:pPr>
            <w:r>
              <w:rPr/>
              <w:t>—</w:t>
            </w:r>
          </w:p>
        </w:tc>
        <w:tc>
          <w:tcPr>
            <w:tcW w:w="18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4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w:t>
            </w:r>
          </w:p>
        </w:tc>
        <w:tc>
          <w:tcPr>
            <w:tcW w:w="146"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gain due to change in fair value of Carlyle warrants</w:t>
            </w:r>
          </w:p>
        </w:tc>
        <w:tc>
          <w:tcPr>
            <w:tcW w:w="9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right"/>
              <w:rPr/>
            </w:pPr>
            <w:r>
              <w:rPr/>
              <w:t>—</w:t>
            </w:r>
          </w:p>
        </w:tc>
        <w:tc>
          <w:tcPr>
            <w:tcW w:w="18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14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7" w:name="a_006"/>
      <w:bookmarkEnd w:id="7"/>
      <w:r>
        <w:rPr>
          <w:rFonts w:ascii="Times New Roman;Times;Serif" w:hAnsi="Times New Roman;Times;Serif"/>
          <w:b/>
          <w:i w:val="false"/>
          <w:caps w:val="false"/>
          <w:smallCaps w:val="false"/>
          <w:sz w:val="20"/>
        </w:rPr>
        <w:t>SUNPOWER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15" w:type="dxa"/>
        <w:jc w:val="left"/>
        <w:tblInd w:w="0" w:type="dxa"/>
        <w:tblLayout w:type="fixed"/>
        <w:tblCellMar>
          <w:top w:w="0" w:type="dxa"/>
          <w:left w:w="0" w:type="dxa"/>
          <w:bottom w:w="0" w:type="dxa"/>
          <w:right w:w="0" w:type="dxa"/>
        </w:tblCellMar>
      </w:tblPr>
      <w:tblGrid>
        <w:gridCol w:w="1370"/>
        <w:gridCol w:w="90"/>
        <w:gridCol w:w="90"/>
        <w:gridCol w:w="1130"/>
        <w:gridCol w:w="90"/>
        <w:gridCol w:w="90"/>
        <w:gridCol w:w="328"/>
        <w:gridCol w:w="562"/>
        <w:gridCol w:w="90"/>
        <w:gridCol w:w="90"/>
        <w:gridCol w:w="192"/>
        <w:gridCol w:w="938"/>
        <w:gridCol w:w="90"/>
        <w:gridCol w:w="90"/>
        <w:gridCol w:w="221"/>
        <w:gridCol w:w="1179"/>
        <w:gridCol w:w="125"/>
        <w:gridCol w:w="90"/>
        <w:gridCol w:w="480"/>
        <w:gridCol w:w="1160"/>
        <w:gridCol w:w="90"/>
        <w:gridCol w:w="90"/>
        <w:gridCol w:w="216"/>
        <w:gridCol w:w="1154"/>
        <w:gridCol w:w="17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8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Thirteen Weeks Ended September 28, 2025 (As Restated)</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br/>
              <w:t>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as of June 29, 2025 (As Restated)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82,189,469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b/>
              </w:rPr>
            </w:pPr>
            <w:r>
              <w:rPr>
                <w:b/>
              </w:rPr>
              <w:t>$</w:t>
            </w:r>
          </w:p>
        </w:tc>
        <w:tc>
          <w:tcPr>
            <w:tcW w:w="562" w:type="dxa"/>
            <w:tcBorders/>
            <w:shd w:fill="CCEEFF" w:val="clear"/>
            <w:vAlign w:val="center"/>
          </w:tcPr>
          <w:p>
            <w:pPr>
              <w:pStyle w:val="TableContents"/>
              <w:bidi w:val="0"/>
              <w:spacing w:before="0" w:after="283"/>
              <w:jc w:val="right"/>
              <w:rPr>
                <w:b/>
              </w:rPr>
            </w:pPr>
            <w:r>
              <w:rPr>
                <w:b/>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938" w:type="dxa"/>
            <w:tcBorders/>
            <w:shd w:fill="CCEEFF" w:val="clear"/>
            <w:vAlign w:val="center"/>
          </w:tcPr>
          <w:p>
            <w:pPr>
              <w:pStyle w:val="TableContents"/>
              <w:bidi w:val="0"/>
              <w:spacing w:before="0" w:after="283"/>
              <w:jc w:val="right"/>
              <w:rPr>
                <w:b/>
              </w:rPr>
            </w:pPr>
            <w:r>
              <w:rPr>
                <w:b/>
              </w:rPr>
              <w:t>320,033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b/>
              </w:rPr>
            </w:pPr>
            <w:r>
              <w:rPr>
                <w:b/>
              </w:rPr>
              <w:t>$</w:t>
            </w:r>
          </w:p>
        </w:tc>
        <w:tc>
          <w:tcPr>
            <w:tcW w:w="1179" w:type="dxa"/>
            <w:tcBorders/>
            <w:shd w:fill="CCEEFF" w:val="clear"/>
            <w:vAlign w:val="center"/>
          </w:tcPr>
          <w:p>
            <w:pPr>
              <w:pStyle w:val="TableContents"/>
              <w:bidi w:val="0"/>
              <w:spacing w:before="0" w:after="283"/>
              <w:jc w:val="right"/>
              <w:rPr>
                <w:b/>
              </w:rPr>
            </w:pPr>
            <w:r>
              <w:rPr>
                <w:b/>
              </w:rPr>
              <w:t>(433,904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b/>
              </w:rPr>
            </w:pPr>
            <w:r>
              <w:rPr>
                <w:b/>
              </w:rPr>
              <w:t>$</w:t>
            </w:r>
          </w:p>
        </w:tc>
        <w:tc>
          <w:tcPr>
            <w:tcW w:w="1154" w:type="dxa"/>
            <w:tcBorders/>
            <w:shd w:fill="CCEEFF" w:val="clear"/>
            <w:vAlign w:val="center"/>
          </w:tcPr>
          <w:p>
            <w:pPr>
              <w:pStyle w:val="TableContents"/>
              <w:bidi w:val="0"/>
              <w:spacing w:before="0" w:after="283"/>
              <w:jc w:val="right"/>
              <w:rPr>
                <w:b/>
              </w:rPr>
            </w:pPr>
            <w:r>
              <w:rPr>
                <w:b/>
              </w:rPr>
              <w:t>(113,692</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137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198,096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216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216</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2,123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2,123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Vesting of restricted stock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1,993,359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4,333,334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7,382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7,382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(13,690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(13,690</w:t>
            </w:r>
          </w:p>
        </w:tc>
        <w:tc>
          <w:tcPr>
            <w:tcW w:w="170"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b/>
              </w:rPr>
            </w:pPr>
            <w:r>
              <w:rPr>
                <w:b/>
              </w:rPr>
              <w:t>Balance as of September 28, 2025 (As Restated)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88,714,258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329,754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(447,594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(117,661</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9"/>
        <w:gridCol w:w="90"/>
        <w:gridCol w:w="90"/>
        <w:gridCol w:w="980"/>
        <w:gridCol w:w="90"/>
        <w:gridCol w:w="90"/>
        <w:gridCol w:w="252"/>
        <w:gridCol w:w="473"/>
        <w:gridCol w:w="90"/>
        <w:gridCol w:w="90"/>
        <w:gridCol w:w="167"/>
        <w:gridCol w:w="783"/>
        <w:gridCol w:w="90"/>
        <w:gridCol w:w="90"/>
        <w:gridCol w:w="191"/>
        <w:gridCol w:w="969"/>
        <w:gridCol w:w="110"/>
        <w:gridCol w:w="90"/>
        <w:gridCol w:w="408"/>
        <w:gridCol w:w="962"/>
        <w:gridCol w:w="90"/>
        <w:gridCol w:w="90"/>
        <w:gridCol w:w="192"/>
        <w:gridCol w:w="982"/>
        <w:gridCol w:w="157"/>
      </w:tblGrid>
      <w:tr>
        <w:trPr/>
        <w:tc>
          <w:tcPr>
            <w:tcW w:w="25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69"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Thirteen Weeks Ended September 29, 2024</w:t>
            </w:r>
          </w:p>
        </w:tc>
        <w:tc>
          <w:tcPr>
            <w:tcW w:w="157" w:type="dxa"/>
            <w:tcBorders/>
            <w:vAlign w:val="center"/>
          </w:tcPr>
          <w:p>
            <w:pPr>
              <w:pStyle w:val="TableContents"/>
              <w:bidi w:val="0"/>
              <w:spacing w:before="0" w:after="283"/>
              <w:jc w:val="left"/>
              <w:rPr/>
            </w:pPr>
            <w:r>
              <w:rPr/>
              <w:t> </w:t>
            </w:r>
          </w:p>
        </w:tc>
      </w:tr>
      <w:tr>
        <w:trPr/>
        <w:tc>
          <w:tcPr>
            <w:tcW w:w="25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r>
          </w:p>
        </w:tc>
        <w:tc>
          <w:tcPr>
            <w:tcW w:w="157" w:type="dxa"/>
            <w:tcBorders/>
            <w:vAlign w:val="center"/>
          </w:tcPr>
          <w:p>
            <w:pPr>
              <w:pStyle w:val="TableContents"/>
              <w:bidi w:val="0"/>
              <w:spacing w:before="0" w:after="283"/>
              <w:jc w:val="left"/>
              <w:rPr/>
            </w:pPr>
            <w:r>
              <w:rPr/>
              <w:t> </w:t>
            </w:r>
          </w:p>
        </w:tc>
      </w:tr>
      <w:tr>
        <w:trPr/>
        <w:tc>
          <w:tcPr>
            <w:tcW w:w="258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57" w:type="dxa"/>
            <w:tcBorders/>
            <w:vAlign w:val="center"/>
          </w:tcPr>
          <w:p>
            <w:pPr>
              <w:pStyle w:val="TableContents"/>
              <w:bidi w:val="0"/>
              <w:spacing w:before="0" w:after="283"/>
              <w:ind w:left="0" w:right="0" w:hanging="180"/>
              <w:jc w:val="left"/>
              <w:rPr/>
            </w:pPr>
            <w:r>
              <w:rPr/>
              <w:t> </w:t>
            </w:r>
          </w:p>
        </w:tc>
      </w:tr>
      <w:tr>
        <w:trPr/>
        <w:tc>
          <w:tcPr>
            <w:tcW w:w="258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63,044,287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3"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3"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288,259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69"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(380,410</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6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(91,973</w:t>
            </w:r>
          </w:p>
        </w:tc>
        <w:tc>
          <w:tcPr>
            <w:tcW w:w="157"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2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282,966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w:t>
            </w:r>
          </w:p>
        </w:tc>
        <w:tc>
          <w:tcPr>
            <w:tcW w:w="157" w:type="dxa"/>
            <w:tcBorders/>
            <w:vAlign w:val="center"/>
          </w:tcPr>
          <w:p>
            <w:pPr>
              <w:pStyle w:val="TableContents"/>
              <w:bidi w:val="0"/>
              <w:spacing w:before="0" w:after="283"/>
              <w:ind w:left="0" w:right="0" w:hanging="180"/>
              <w:jc w:val="left"/>
              <w:rPr/>
            </w:pPr>
            <w:r>
              <w:rPr/>
              <w:t> </w:t>
            </w:r>
          </w:p>
        </w:tc>
      </w:tr>
      <w:tr>
        <w:trPr/>
        <w:tc>
          <w:tcPr>
            <w:tcW w:w="2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0"/>
              <w:jc w:val="right"/>
              <w:rPr/>
            </w:pPr>
            <w:r>
              <w:rPr/>
              <w:t>—</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2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1,516</w:t>
            </w:r>
          </w:p>
        </w:tc>
        <w:tc>
          <w:tcPr>
            <w:tcW w:w="157" w:type="dxa"/>
            <w:tcBorders/>
            <w:vAlign w:val="center"/>
          </w:tcPr>
          <w:p>
            <w:pPr>
              <w:pStyle w:val="TableContents"/>
              <w:bidi w:val="0"/>
              <w:spacing w:before="0" w:after="283"/>
              <w:ind w:left="0" w:right="0" w:hanging="180"/>
              <w:jc w:val="left"/>
              <w:rPr/>
            </w:pPr>
            <w:r>
              <w:rPr/>
              <w:t> </w:t>
            </w:r>
          </w:p>
        </w:tc>
      </w:tr>
      <w:tr>
        <w:trPr/>
        <w:tc>
          <w:tcPr>
            <w:tcW w:w="2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2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warrant for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7,759</w:t>
            </w:r>
          </w:p>
        </w:tc>
        <w:tc>
          <w:tcPr>
            <w:tcW w:w="157" w:type="dxa"/>
            <w:tcBorders/>
            <w:vAlign w:val="center"/>
          </w:tcPr>
          <w:p>
            <w:pPr>
              <w:pStyle w:val="TableContents"/>
              <w:bidi w:val="0"/>
              <w:spacing w:before="0" w:after="283"/>
              <w:ind w:left="0" w:right="0" w:hanging="180"/>
              <w:jc w:val="left"/>
              <w:rPr/>
            </w:pPr>
            <w:r>
              <w:rPr/>
              <w:t> </w:t>
            </w:r>
          </w:p>
        </w:tc>
      </w:tr>
      <w:tr>
        <w:trPr/>
        <w:tc>
          <w:tcPr>
            <w:tcW w:w="2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5,343,616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2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for exchange of debt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2,670</w:t>
            </w:r>
          </w:p>
        </w:tc>
        <w:tc>
          <w:tcPr>
            <w:tcW w:w="157" w:type="dxa"/>
            <w:tcBorders/>
            <w:vAlign w:val="center"/>
          </w:tcPr>
          <w:p>
            <w:pPr>
              <w:pStyle w:val="TableContents"/>
              <w:bidi w:val="0"/>
              <w:spacing w:before="0" w:after="283"/>
              <w:ind w:left="0" w:right="0" w:hanging="180"/>
              <w:jc w:val="left"/>
              <w:rPr/>
            </w:pPr>
            <w:r>
              <w:rPr/>
              <w:t> </w:t>
            </w:r>
          </w:p>
        </w:tc>
      </w:tr>
      <w:tr>
        <w:trPr/>
        <w:tc>
          <w:tcPr>
            <w:tcW w:w="2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2,718,837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6,143</w:t>
            </w:r>
          </w:p>
        </w:tc>
        <w:tc>
          <w:tcPr>
            <w:tcW w:w="157" w:type="dxa"/>
            <w:tcBorders/>
            <w:shd w:fill="CCEEFF" w:val="clear"/>
            <w:vAlign w:val="center"/>
          </w:tcPr>
          <w:p>
            <w:pPr>
              <w:pStyle w:val="TableContents"/>
              <w:bidi w:val="0"/>
              <w:spacing w:before="0" w:after="283"/>
              <w:ind w:left="0" w:right="0" w:hanging="180"/>
              <w:jc w:val="left"/>
              <w:rPr/>
            </w:pPr>
            <w:r>
              <w:rPr/>
              <w:t> </w:t>
            </w:r>
          </w:p>
        </w:tc>
      </w:tr>
      <w:tr>
        <w:trPr/>
        <w:tc>
          <w:tcPr>
            <w:tcW w:w="2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Modification of warrant agreement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7,306</w:t>
            </w:r>
          </w:p>
        </w:tc>
        <w:tc>
          <w:tcPr>
            <w:tcW w:w="157" w:type="dxa"/>
            <w:tcBorders/>
            <w:vAlign w:val="center"/>
          </w:tcPr>
          <w:p>
            <w:pPr>
              <w:pStyle w:val="TableContents"/>
              <w:bidi w:val="0"/>
              <w:spacing w:before="0" w:after="283"/>
              <w:ind w:left="0" w:right="0" w:hanging="180"/>
              <w:jc w:val="left"/>
              <w:rPr/>
            </w:pPr>
            <w:r>
              <w:rPr/>
              <w:t> </w:t>
            </w:r>
          </w:p>
        </w:tc>
      </w:tr>
      <w:tr>
        <w:trPr/>
        <w:tc>
          <w:tcPr>
            <w:tcW w:w="25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(77,958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4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(77,958</w:t>
            </w:r>
          </w:p>
        </w:tc>
        <w:tc>
          <w:tcPr>
            <w:tcW w:w="15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58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September 29, 2024</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72,977,921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315,485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6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(458,368</w:t>
            </w:r>
          </w:p>
        </w:tc>
        <w:tc>
          <w:tcPr>
            <w:tcW w:w="1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40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6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8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(142,704</w:t>
            </w:r>
          </w:p>
        </w:tc>
        <w:tc>
          <w:tcPr>
            <w:tcW w:w="15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15" w:type="dxa"/>
        <w:jc w:val="left"/>
        <w:tblInd w:w="0" w:type="dxa"/>
        <w:tblLayout w:type="fixed"/>
        <w:tblCellMar>
          <w:top w:w="0" w:type="dxa"/>
          <w:left w:w="0" w:type="dxa"/>
          <w:bottom w:w="0" w:type="dxa"/>
          <w:right w:w="0" w:type="dxa"/>
        </w:tblCellMar>
      </w:tblPr>
      <w:tblGrid>
        <w:gridCol w:w="1370"/>
        <w:gridCol w:w="90"/>
        <w:gridCol w:w="90"/>
        <w:gridCol w:w="1130"/>
        <w:gridCol w:w="90"/>
        <w:gridCol w:w="90"/>
        <w:gridCol w:w="328"/>
        <w:gridCol w:w="562"/>
        <w:gridCol w:w="90"/>
        <w:gridCol w:w="90"/>
        <w:gridCol w:w="192"/>
        <w:gridCol w:w="938"/>
        <w:gridCol w:w="90"/>
        <w:gridCol w:w="90"/>
        <w:gridCol w:w="221"/>
        <w:gridCol w:w="1179"/>
        <w:gridCol w:w="125"/>
        <w:gridCol w:w="90"/>
        <w:gridCol w:w="480"/>
        <w:gridCol w:w="1160"/>
        <w:gridCol w:w="90"/>
        <w:gridCol w:w="90"/>
        <w:gridCol w:w="216"/>
        <w:gridCol w:w="1154"/>
        <w:gridCol w:w="170"/>
      </w:tblGrid>
      <w:tr>
        <w:trPr/>
        <w:tc>
          <w:tcPr>
            <w:tcW w:w="137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58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Thirty-Nine Weeks Ended September 28, 2025 (As Restated)</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br/>
              <w:t>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73,784,645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b/>
              </w:rPr>
            </w:pPr>
            <w:r>
              <w:rPr>
                <w:b/>
              </w:rPr>
              <w:t>$</w:t>
            </w:r>
          </w:p>
        </w:tc>
        <w:tc>
          <w:tcPr>
            <w:tcW w:w="562" w:type="dxa"/>
            <w:tcBorders/>
            <w:shd w:fill="CCEEFF" w:val="clear"/>
            <w:vAlign w:val="center"/>
          </w:tcPr>
          <w:p>
            <w:pPr>
              <w:pStyle w:val="TableContents"/>
              <w:bidi w:val="0"/>
              <w:spacing w:before="0" w:after="283"/>
              <w:jc w:val="right"/>
              <w:rPr>
                <w:b/>
              </w:rPr>
            </w:pPr>
            <w:r>
              <w:rPr>
                <w:b/>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938" w:type="dxa"/>
            <w:tcBorders/>
            <w:shd w:fill="CCEEFF" w:val="clear"/>
            <w:vAlign w:val="center"/>
          </w:tcPr>
          <w:p>
            <w:pPr>
              <w:pStyle w:val="TableContents"/>
              <w:bidi w:val="0"/>
              <w:spacing w:before="0" w:after="283"/>
              <w:jc w:val="right"/>
              <w:rPr>
                <w:b/>
              </w:rPr>
            </w:pPr>
            <w:r>
              <w:rPr>
                <w:b/>
              </w:rPr>
              <w:t>313,661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b/>
              </w:rPr>
            </w:pPr>
            <w:r>
              <w:rPr>
                <w:b/>
              </w:rPr>
              <w:t>$</w:t>
            </w:r>
          </w:p>
        </w:tc>
        <w:tc>
          <w:tcPr>
            <w:tcW w:w="1179" w:type="dxa"/>
            <w:tcBorders/>
            <w:shd w:fill="CCEEFF" w:val="clear"/>
            <w:vAlign w:val="center"/>
          </w:tcPr>
          <w:p>
            <w:pPr>
              <w:pStyle w:val="TableContents"/>
              <w:bidi w:val="0"/>
              <w:spacing w:before="0" w:after="283"/>
              <w:jc w:val="right"/>
              <w:rPr>
                <w:b/>
              </w:rPr>
            </w:pPr>
            <w:r>
              <w:rPr>
                <w:b/>
              </w:rPr>
              <w:t>(411,379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b/>
              </w:rPr>
            </w:pPr>
            <w:r>
              <w:rPr>
                <w:b/>
              </w:rPr>
              <w:t>$</w:t>
            </w:r>
          </w:p>
        </w:tc>
        <w:tc>
          <w:tcPr>
            <w:tcW w:w="1154" w:type="dxa"/>
            <w:tcBorders/>
            <w:shd w:fill="CCEEFF" w:val="clear"/>
            <w:vAlign w:val="center"/>
          </w:tcPr>
          <w:p>
            <w:pPr>
              <w:pStyle w:val="TableContents"/>
              <w:bidi w:val="0"/>
              <w:spacing w:before="0" w:after="283"/>
              <w:jc w:val="right"/>
              <w:rPr>
                <w:b/>
              </w:rPr>
            </w:pPr>
            <w:r>
              <w:rPr>
                <w:b/>
              </w:rPr>
              <w:t>(97,539</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137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731,671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775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775</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7,876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7,876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Vesting of restricted stock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3,864,608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Exercise of 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4,333,334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7,382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7,382</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(36,215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(36,215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b/>
              </w:rPr>
            </w:pPr>
            <w:r>
              <w:rPr>
                <w:b/>
              </w:rPr>
              <w:t>Balance as of September 28, 2025 (As Restated)</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b/>
              </w:rPr>
            </w:pPr>
            <w:r>
              <w:rPr>
                <w:b/>
              </w:rPr>
              <w:t>88,714,258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562" w:type="dxa"/>
            <w:tcBorders>
              <w:bottom w:val="double" w:sz="10" w:space="0" w:color="000000"/>
            </w:tcBorders>
            <w:tcMar>
              <w:bottom w:w="28" w:type="dxa"/>
            </w:tcMar>
            <w:vAlign w:val="center"/>
          </w:tcPr>
          <w:p>
            <w:pPr>
              <w:pStyle w:val="TableContents"/>
              <w:bidi w:val="0"/>
              <w:spacing w:before="0" w:after="283"/>
              <w:jc w:val="right"/>
              <w:rPr>
                <w:b/>
              </w:rPr>
            </w:pPr>
            <w:r>
              <w:rPr>
                <w:b/>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38" w:type="dxa"/>
            <w:tcBorders>
              <w:bottom w:val="double" w:sz="10" w:space="0" w:color="000000"/>
            </w:tcBorders>
            <w:tcMar>
              <w:bottom w:w="28" w:type="dxa"/>
            </w:tcMar>
            <w:vAlign w:val="center"/>
          </w:tcPr>
          <w:p>
            <w:pPr>
              <w:pStyle w:val="TableContents"/>
              <w:bidi w:val="0"/>
              <w:spacing w:before="0" w:after="283"/>
              <w:jc w:val="right"/>
              <w:rPr>
                <w:b/>
              </w:rPr>
            </w:pPr>
            <w:r>
              <w:rPr>
                <w:b/>
              </w:rPr>
              <w:t>329,754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79" w:type="dxa"/>
            <w:tcBorders>
              <w:bottom w:val="double" w:sz="10" w:space="0" w:color="000000"/>
            </w:tcBorders>
            <w:tcMar>
              <w:bottom w:w="28" w:type="dxa"/>
            </w:tcMar>
            <w:vAlign w:val="center"/>
          </w:tcPr>
          <w:p>
            <w:pPr>
              <w:pStyle w:val="TableContents"/>
              <w:bidi w:val="0"/>
              <w:spacing w:before="0" w:after="283"/>
              <w:jc w:val="right"/>
              <w:rPr>
                <w:b/>
              </w:rPr>
            </w:pPr>
            <w:r>
              <w:rPr>
                <w:b/>
              </w:rPr>
              <w:t>(447,594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48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60" w:type="dxa"/>
            <w:tcBorders>
              <w:bottom w:val="double" w:sz="10" w:space="0" w:color="000000"/>
            </w:tcBorders>
            <w:tcMar>
              <w:bottom w:w="28" w:type="dxa"/>
            </w:tcMar>
            <w:vAlign w:val="center"/>
          </w:tcPr>
          <w:p>
            <w:pPr>
              <w:pStyle w:val="TableContents"/>
              <w:bidi w:val="0"/>
              <w:spacing w:before="0" w:after="283"/>
              <w:jc w:val="right"/>
              <w:rPr>
                <w:b/>
              </w:rPr>
            </w:pPr>
            <w:r>
              <w:rPr>
                <w:b/>
              </w:rPr>
              <w:t>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154" w:type="dxa"/>
            <w:tcBorders>
              <w:bottom w:val="double" w:sz="10" w:space="0" w:color="000000"/>
            </w:tcBorders>
            <w:tcMar>
              <w:bottom w:w="28" w:type="dxa"/>
            </w:tcMar>
            <w:vAlign w:val="center"/>
          </w:tcPr>
          <w:p>
            <w:pPr>
              <w:pStyle w:val="TableContents"/>
              <w:bidi w:val="0"/>
              <w:spacing w:before="0" w:after="283"/>
              <w:jc w:val="right"/>
              <w:rPr>
                <w:b/>
              </w:rPr>
            </w:pPr>
            <w:r>
              <w:rPr>
                <w:b/>
              </w:rPr>
              <w:t>(117,661</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5"/>
        <w:gridCol w:w="90"/>
        <w:gridCol w:w="90"/>
        <w:gridCol w:w="980"/>
        <w:gridCol w:w="90"/>
        <w:gridCol w:w="90"/>
        <w:gridCol w:w="252"/>
        <w:gridCol w:w="473"/>
        <w:gridCol w:w="90"/>
        <w:gridCol w:w="90"/>
        <w:gridCol w:w="167"/>
        <w:gridCol w:w="783"/>
        <w:gridCol w:w="90"/>
        <w:gridCol w:w="90"/>
        <w:gridCol w:w="191"/>
        <w:gridCol w:w="969"/>
        <w:gridCol w:w="110"/>
        <w:gridCol w:w="90"/>
        <w:gridCol w:w="192"/>
        <w:gridCol w:w="1178"/>
        <w:gridCol w:w="90"/>
        <w:gridCol w:w="90"/>
        <w:gridCol w:w="190"/>
        <w:gridCol w:w="969"/>
        <w:gridCol w:w="156"/>
      </w:tblGrid>
      <w:tr>
        <w:trPr/>
        <w:tc>
          <w:tcPr>
            <w:tcW w:w="2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54"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Thirty-Nine Weeks Ended September 29, 2024</w:t>
            </w:r>
          </w:p>
        </w:tc>
        <w:tc>
          <w:tcPr>
            <w:tcW w:w="156" w:type="dxa"/>
            <w:tcBorders/>
            <w:vAlign w:val="center"/>
          </w:tcPr>
          <w:p>
            <w:pPr>
              <w:pStyle w:val="TableContents"/>
              <w:bidi w:val="0"/>
              <w:spacing w:before="0" w:after="283"/>
              <w:jc w:val="left"/>
              <w:rPr/>
            </w:pPr>
            <w:r>
              <w:rPr/>
              <w:t> </w:t>
            </w:r>
          </w:p>
        </w:tc>
      </w:tr>
      <w:tr>
        <w:trPr/>
        <w:tc>
          <w:tcPr>
            <w:tcW w:w="2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r>
          </w:p>
        </w:tc>
        <w:tc>
          <w:tcPr>
            <w:tcW w:w="156" w:type="dxa"/>
            <w:tcBorders/>
            <w:vAlign w:val="center"/>
          </w:tcPr>
          <w:p>
            <w:pPr>
              <w:pStyle w:val="TableContents"/>
              <w:bidi w:val="0"/>
              <w:spacing w:before="0" w:after="283"/>
              <w:jc w:val="left"/>
              <w:rPr/>
            </w:pPr>
            <w:r>
              <w:rPr/>
              <w:t> </w:t>
            </w:r>
          </w:p>
        </w:tc>
      </w:tr>
      <w:tr>
        <w:trPr/>
        <w:tc>
          <w:tcPr>
            <w:tcW w:w="2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56" w:type="dxa"/>
            <w:tcBorders/>
            <w:vAlign w:val="center"/>
          </w:tcPr>
          <w:p>
            <w:pPr>
              <w:pStyle w:val="TableContents"/>
              <w:bidi w:val="0"/>
              <w:spacing w:before="0" w:after="283"/>
              <w:ind w:left="0" w:right="0" w:hanging="180"/>
              <w:jc w:val="left"/>
              <w:rPr/>
            </w:pPr>
            <w:r>
              <w:rPr/>
              <w:t> </w:t>
            </w:r>
          </w:p>
        </w:tc>
      </w:tr>
      <w:tr>
        <w:trPr/>
        <w:tc>
          <w:tcPr>
            <w:tcW w:w="26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49,065,361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3"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3"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277,965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69"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(354,928</w:t>
            </w:r>
          </w:p>
        </w:tc>
        <w:tc>
          <w:tcPr>
            <w:tcW w:w="1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69"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(76,813</w:t>
            </w:r>
          </w:p>
        </w:tc>
        <w:tc>
          <w:tcPr>
            <w:tcW w:w="156"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2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373,003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w:t>
            </w:r>
          </w:p>
        </w:tc>
        <w:tc>
          <w:tcPr>
            <w:tcW w:w="156" w:type="dxa"/>
            <w:tcBorders/>
            <w:vAlign w:val="center"/>
          </w:tcPr>
          <w:p>
            <w:pPr>
              <w:pStyle w:val="TableContents"/>
              <w:bidi w:val="0"/>
              <w:spacing w:before="0" w:after="283"/>
              <w:ind w:left="0" w:right="0" w:hanging="180"/>
              <w:jc w:val="left"/>
              <w:rPr/>
            </w:pPr>
            <w:r>
              <w:rPr/>
              <w:t> </w:t>
            </w:r>
          </w:p>
        </w:tc>
      </w:tr>
      <w:tr>
        <w:trPr/>
        <w:tc>
          <w:tcPr>
            <w:tcW w:w="2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0"/>
              <w:jc w:val="right"/>
              <w:rPr/>
            </w:pPr>
            <w:r>
              <w:rPr/>
              <w:t>—</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2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4,086</w:t>
            </w:r>
          </w:p>
        </w:tc>
        <w:tc>
          <w:tcPr>
            <w:tcW w:w="156" w:type="dxa"/>
            <w:tcBorders/>
            <w:vAlign w:val="center"/>
          </w:tcPr>
          <w:p>
            <w:pPr>
              <w:pStyle w:val="TableContents"/>
              <w:bidi w:val="0"/>
              <w:spacing w:before="0" w:after="283"/>
              <w:ind w:left="0" w:right="0" w:hanging="180"/>
              <w:jc w:val="left"/>
              <w:rPr/>
            </w:pPr>
            <w:r>
              <w:rPr/>
              <w:t> </w:t>
            </w:r>
          </w:p>
        </w:tc>
      </w:tr>
      <w:tr>
        <w:trPr/>
        <w:tc>
          <w:tcPr>
            <w:tcW w:w="2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2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warrant for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9,179</w:t>
            </w:r>
          </w:p>
        </w:tc>
        <w:tc>
          <w:tcPr>
            <w:tcW w:w="156" w:type="dxa"/>
            <w:tcBorders/>
            <w:vAlign w:val="center"/>
          </w:tcPr>
          <w:p>
            <w:pPr>
              <w:pStyle w:val="TableContents"/>
              <w:bidi w:val="0"/>
              <w:spacing w:before="0" w:after="283"/>
              <w:ind w:left="0" w:right="0" w:hanging="180"/>
              <w:jc w:val="left"/>
              <w:rPr/>
            </w:pPr>
            <w:r>
              <w:rPr/>
              <w:t> </w:t>
            </w:r>
          </w:p>
        </w:tc>
      </w:tr>
      <w:tr>
        <w:trPr/>
        <w:tc>
          <w:tcPr>
            <w:tcW w:w="2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conversion of SAFE Agreements with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13,888,889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2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common stock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5,343,616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56" w:type="dxa"/>
            <w:tcBorders/>
            <w:vAlign w:val="center"/>
          </w:tcPr>
          <w:p>
            <w:pPr>
              <w:pStyle w:val="TableContents"/>
              <w:bidi w:val="0"/>
              <w:spacing w:before="0" w:after="283"/>
              <w:ind w:left="0" w:right="0" w:hanging="180"/>
              <w:jc w:val="left"/>
              <w:rPr/>
            </w:pPr>
            <w:r>
              <w:rPr/>
              <w:t> </w:t>
            </w:r>
          </w:p>
        </w:tc>
      </w:tr>
      <w:tr>
        <w:trPr/>
        <w:tc>
          <w:tcPr>
            <w:tcW w:w="2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for exchange of debt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2,670</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2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2,718,837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6,143</w:t>
            </w:r>
          </w:p>
        </w:tc>
        <w:tc>
          <w:tcPr>
            <w:tcW w:w="156" w:type="dxa"/>
            <w:tcBorders/>
            <w:vAlign w:val="center"/>
          </w:tcPr>
          <w:p>
            <w:pPr>
              <w:pStyle w:val="TableContents"/>
              <w:bidi w:val="0"/>
              <w:spacing w:before="0" w:after="283"/>
              <w:ind w:left="0" w:right="0" w:hanging="180"/>
              <w:jc w:val="left"/>
              <w:rPr/>
            </w:pPr>
            <w:r>
              <w:rPr/>
              <w:t> </w:t>
            </w:r>
          </w:p>
        </w:tc>
      </w:tr>
      <w:tr>
        <w:trPr/>
        <w:tc>
          <w:tcPr>
            <w:tcW w:w="2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Modification of warrant agreement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7,306</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2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(103,440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(103,440</w:t>
            </w:r>
          </w:p>
        </w:tc>
        <w:tc>
          <w:tcPr>
            <w:tcW w:w="15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6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2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September 29, 2024</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72,977,921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7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8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315,485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6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(458,368</w:t>
            </w:r>
          </w:p>
        </w:tc>
        <w:tc>
          <w:tcPr>
            <w:tcW w:w="1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7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6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(142,704</w:t>
            </w:r>
          </w:p>
        </w:tc>
        <w:tc>
          <w:tcPr>
            <w:tcW w:w="15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a_007"/>
      <w:bookmarkEnd w:id="8"/>
      <w:r>
        <w:rPr>
          <w:rFonts w:ascii="Times New Roman;Times;Serif" w:hAnsi="Times New Roman;Times;Serif"/>
          <w:b/>
          <w:i w:val="false"/>
          <w:caps w:val="false"/>
          <w:smallCaps w:val="false"/>
          <w:sz w:val="20"/>
        </w:rPr>
        <w:t>SUNPOWER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37"/>
        <w:gridCol w:w="90"/>
        <w:gridCol w:w="272"/>
        <w:gridCol w:w="1266"/>
        <w:gridCol w:w="140"/>
        <w:gridCol w:w="101"/>
        <w:gridCol w:w="243"/>
        <w:gridCol w:w="1296"/>
        <w:gridCol w:w="160"/>
      </w:tblGrid>
      <w:tr>
        <w:trPr/>
        <w:tc>
          <w:tcPr>
            <w:tcW w:w="6637"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33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28, </w:t>
              <w:br/>
              <w:t>2025</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5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29, </w:t>
              <w:br/>
              <w:t>2024</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8" w:type="dxa"/>
            <w:gridSpan w:val="2"/>
            <w:tcBorders/>
            <w:vAlign w:val="center"/>
          </w:tcPr>
          <w:p>
            <w:pPr>
              <w:pStyle w:val="TableContents"/>
              <w:bidi w:val="0"/>
              <w:spacing w:before="0" w:after="283"/>
              <w:jc w:val="center"/>
              <w:rPr/>
            </w:pPr>
            <w:r>
              <w:rPr/>
              <w:t>(As Restated)</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539"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b/>
              </w:rPr>
            </w:pPr>
            <w:r>
              <w:rPr>
                <w:b/>
              </w:rPr>
              <w:t>Cash flows from operating activities from continuing operations</w:t>
            </w:r>
          </w:p>
        </w:tc>
        <w:tc>
          <w:tcPr>
            <w:tcW w:w="90" w:type="dxa"/>
            <w:tcBorders/>
            <w:vAlign w:val="center"/>
          </w:tcPr>
          <w:p>
            <w:pPr>
              <w:pStyle w:val="TableContents"/>
              <w:bidi w:val="0"/>
              <w:spacing w:before="0" w:after="283"/>
              <w:jc w:val="left"/>
              <w:rPr/>
            </w:pPr>
            <w:r>
              <w:rPr/>
              <w:t> </w:t>
            </w:r>
          </w:p>
        </w:tc>
        <w:tc>
          <w:tcPr>
            <w:tcW w:w="1538"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539"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(36,215</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296" w:type="dxa"/>
            <w:tcBorders/>
            <w:shd w:fill="CCEEFF" w:val="clear"/>
            <w:vAlign w:val="center"/>
          </w:tcPr>
          <w:p>
            <w:pPr>
              <w:pStyle w:val="TableContents"/>
              <w:bidi w:val="0"/>
              <w:spacing w:before="0" w:after="283"/>
              <w:jc w:val="right"/>
              <w:rPr/>
            </w:pPr>
            <w:r>
              <w:rPr/>
              <w:t>(103,440</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6637" w:type="dxa"/>
            <w:tcBorders/>
            <w:vAlign w:val="center"/>
          </w:tcPr>
          <w:p>
            <w:pPr>
              <w:pStyle w:val="TableContents"/>
              <w:bidi w:val="0"/>
              <w:spacing w:before="0" w:after="283"/>
              <w:jc w:val="left"/>
              <w:rPr/>
            </w:pPr>
            <w:r>
              <w:rPr/>
              <w:t>Net loss from discontinued operations, net of income taxes</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160" w:type="dxa"/>
            <w:tcBorders/>
            <w:vAlign w:val="center"/>
          </w:tcPr>
          <w:p>
            <w:pPr>
              <w:pStyle w:val="TableContents"/>
              <w:bidi w:val="0"/>
              <w:spacing w:before="0" w:after="283"/>
              <w:ind w:left="0" w:right="0" w:hanging="180"/>
              <w:jc w:val="left"/>
              <w:rPr/>
            </w:pPr>
            <w:r>
              <w:rPr/>
              <w:t>)</w:t>
            </w:r>
          </w:p>
        </w:tc>
      </w:tr>
      <w:tr>
        <w:trPr/>
        <w:tc>
          <w:tcPr>
            <w:tcW w:w="6637"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(35,115</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(101,433</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6637"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7,876</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4,086</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Non-cash interest expense</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1,938</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Non-cash lease expense</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826</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483</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4,293</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991</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Provision for credit losses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4,159</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3,065</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Change in reserve for excess and obsolete inventory</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131</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Change in fair value of SAFE Agreement – related party</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113</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900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807</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(4,906</w:t>
            </w:r>
          </w:p>
        </w:tc>
        <w:tc>
          <w:tcPr>
            <w:tcW w:w="160" w:type="dxa"/>
            <w:tcBorders/>
            <w:vAlign w:val="center"/>
          </w:tcPr>
          <w:p>
            <w:pPr>
              <w:pStyle w:val="TableContents"/>
              <w:bidi w:val="0"/>
              <w:spacing w:before="0" w:after="283"/>
              <w:ind w:left="0" w:right="0" w:hanging="180"/>
              <w:jc w:val="left"/>
              <w:rPr/>
            </w:pPr>
            <w:r>
              <w:rPr/>
              <w:t>)</w:t>
            </w:r>
          </w:p>
        </w:tc>
      </w:tr>
      <w:tr>
        <w:trPr/>
        <w:tc>
          <w:tcPr>
            <w:tcW w:w="66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(1,639</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37,875</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Change in fair value of warrant liabilities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3,122</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2,116</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Amortization of debt issuance costs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11,828</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1,361</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Non-cash income </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(474</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0"/>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Loss on impairments and disposals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140</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3,721</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Accretion of debt in CS Solis – related party</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3,872</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Loss on conversion of SAFE Agreements to shares of common stock</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1,250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Non-cash expense in connection with warrant issued for vendor services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5,410</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Loss on issuance of derivative liability</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24,688</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Gain on debt extinguishment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(19,948</w:t>
            </w:r>
          </w:p>
        </w:tc>
        <w:tc>
          <w:tcPr>
            <w:tcW w:w="160" w:type="dxa"/>
            <w:tcBorders/>
            <w:vAlign w:val="center"/>
          </w:tcPr>
          <w:p>
            <w:pPr>
              <w:pStyle w:val="TableContents"/>
              <w:bidi w:val="0"/>
              <w:spacing w:before="0" w:after="283"/>
              <w:ind w:left="0" w:right="0" w:hanging="180"/>
              <w:jc w:val="left"/>
              <w:rPr/>
            </w:pPr>
            <w:r>
              <w:rPr/>
              <w:t>)</w:t>
            </w:r>
          </w:p>
        </w:tc>
      </w:tr>
      <w:tr>
        <w:trPr/>
        <w:tc>
          <w:tcPr>
            <w:tcW w:w="6637" w:type="dxa"/>
            <w:tcBorders/>
            <w:shd w:fill="CCEEFF" w:val="clear"/>
            <w:vAlign w:val="center"/>
          </w:tcPr>
          <w:p>
            <w:pPr>
              <w:pStyle w:val="TableContents"/>
              <w:bidi w:val="0"/>
              <w:spacing w:before="0" w:after="283"/>
              <w:jc w:val="left"/>
              <w:rPr/>
            </w:pPr>
            <w:r>
              <w:rPr/>
              <w:t>Other financing costs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3,812</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Changes in operating assets and liabilities, net of business acquisitions: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(25,041</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14,735</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34,222</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2,378</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(11,372</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(3,185</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6637"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95</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0"/>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11,692</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(8,496</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6637" w:type="dxa"/>
            <w:tcBorders/>
            <w:vAlign w:val="center"/>
          </w:tcPr>
          <w:p>
            <w:pPr>
              <w:pStyle w:val="TableContents"/>
              <w:bidi w:val="0"/>
              <w:spacing w:before="0" w:after="283"/>
              <w:jc w:val="left"/>
              <w:rPr/>
            </w:pPr>
            <w:r>
              <w:rPr/>
              <w:t>Accrued expenses and other liabilities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(11,531</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(1,646</w:t>
            </w:r>
          </w:p>
        </w:tc>
        <w:tc>
          <w:tcPr>
            <w:tcW w:w="160" w:type="dxa"/>
            <w:tcBorders/>
            <w:vAlign w:val="center"/>
          </w:tcPr>
          <w:p>
            <w:pPr>
              <w:pStyle w:val="TableContents"/>
              <w:bidi w:val="0"/>
              <w:spacing w:before="0" w:after="283"/>
              <w:ind w:left="0" w:right="0" w:hanging="180"/>
              <w:jc w:val="left"/>
              <w:rPr/>
            </w:pPr>
            <w:r>
              <w:rPr/>
              <w:t>)</w:t>
            </w:r>
          </w:p>
        </w:tc>
      </w:tr>
      <w:tr>
        <w:trPr/>
        <w:tc>
          <w:tcPr>
            <w:tcW w:w="6637"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(866</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(875</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6637"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(6,384</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tcMar>
              <w:bottom w:w="28" w:type="dxa"/>
            </w:tcMar>
            <w:vAlign w:val="center"/>
          </w:tcPr>
          <w:p>
            <w:pPr>
              <w:pStyle w:val="TableContents"/>
              <w:bidi w:val="0"/>
              <w:spacing w:before="0" w:after="283"/>
              <w:jc w:val="right"/>
              <w:rPr/>
            </w:pPr>
            <w:r>
              <w:rPr/>
              <w:t>(1,434</w:t>
            </w:r>
          </w:p>
        </w:tc>
        <w:tc>
          <w:tcPr>
            <w:tcW w:w="160" w:type="dxa"/>
            <w:tcBorders/>
            <w:vAlign w:val="center"/>
          </w:tcPr>
          <w:p>
            <w:pPr>
              <w:pStyle w:val="TableContents"/>
              <w:bidi w:val="0"/>
              <w:spacing w:before="0" w:after="283"/>
              <w:ind w:left="0" w:right="0" w:hanging="180"/>
              <w:jc w:val="left"/>
              <w:rPr/>
            </w:pPr>
            <w:r>
              <w:rPr/>
              <w:t>)</w:t>
            </w:r>
          </w:p>
        </w:tc>
      </w:tr>
      <w:tr>
        <w:trPr/>
        <w:tc>
          <w:tcPr>
            <w:tcW w:w="6637"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(13,249</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(29,111</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6637" w:type="dxa"/>
            <w:tcBorders/>
            <w:vAlign w:val="center"/>
          </w:tcPr>
          <w:p>
            <w:pPr>
              <w:pStyle w:val="TableContents"/>
              <w:bidi w:val="0"/>
              <w:spacing w:before="0" w:after="283"/>
              <w:jc w:val="left"/>
              <w:rPr>
                <w:b/>
              </w:rPr>
            </w:pPr>
            <w:r>
              <w:rPr>
                <w:b/>
              </w:rPr>
              <w:t>Cash flows from investing activities from continuing operations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Cash paid for acquisition, net of cash acquired</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(20,689</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jc w:val="right"/>
              <w:rPr/>
            </w:pPr>
            <w:r>
              <w:rPr/>
              <w:t>—</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Capitalization of internal-use software costs</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tcMar>
              <w:bottom w:w="28" w:type="dxa"/>
            </w:tcMar>
            <w:vAlign w:val="center"/>
          </w:tcPr>
          <w:p>
            <w:pPr>
              <w:pStyle w:val="TableContents"/>
              <w:bidi w:val="0"/>
              <w:spacing w:before="0" w:after="283"/>
              <w:jc w:val="right"/>
              <w:rPr/>
            </w:pPr>
            <w:r>
              <w:rPr/>
              <w:t>(1,044</w:t>
            </w:r>
          </w:p>
        </w:tc>
        <w:tc>
          <w:tcPr>
            <w:tcW w:w="160" w:type="dxa"/>
            <w:tcBorders/>
            <w:vAlign w:val="center"/>
          </w:tcPr>
          <w:p>
            <w:pPr>
              <w:pStyle w:val="TableContents"/>
              <w:bidi w:val="0"/>
              <w:spacing w:before="0" w:after="283"/>
              <w:ind w:left="0" w:right="0" w:hanging="180"/>
              <w:jc w:val="left"/>
              <w:rPr/>
            </w:pPr>
            <w:r>
              <w:rPr/>
              <w:t>)</w:t>
            </w:r>
          </w:p>
        </w:tc>
      </w:tr>
      <w:tr>
        <w:trPr/>
        <w:tc>
          <w:tcPr>
            <w:tcW w:w="6637" w:type="dxa"/>
            <w:tcBorders/>
            <w:shd w:fill="CCEEFF" w:val="clear"/>
            <w:vAlign w:val="center"/>
          </w:tcPr>
          <w:p>
            <w:pPr>
              <w:pStyle w:val="TableContents"/>
              <w:bidi w:val="0"/>
              <w:spacing w:before="0" w:after="283"/>
              <w:jc w:val="left"/>
              <w:rPr/>
            </w:pPr>
            <w:r>
              <w:rPr/>
              <w:t>Net cash used in investing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(20,689</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(1,044</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6637" w:type="dxa"/>
            <w:tcBorders/>
            <w:vAlign w:val="center"/>
          </w:tcPr>
          <w:p>
            <w:pPr>
              <w:pStyle w:val="TableContents"/>
              <w:bidi w:val="0"/>
              <w:spacing w:before="0" w:after="283"/>
              <w:jc w:val="left"/>
              <w:rPr>
                <w:b/>
              </w:rPr>
            </w:pPr>
            <w:r>
              <w:rPr>
                <w:b/>
              </w:rPr>
              <w:t>Cash flows from financing activities from continuing operations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Proceeds from issuance of convertible notes, net of debt discount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20,000</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68,725</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Proceeds from issuance of convertible notes due to related parties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5,000</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26,000</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Payment of debt issuance costs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(200</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jc w:val="right"/>
              <w:rPr/>
            </w:pPr>
            <w:r>
              <w:rPr/>
              <w:t>—</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Finance lease payments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(1,528</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0"/>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Principal repayment of notes payable</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(2,157</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(300</w:t>
            </w:r>
          </w:p>
        </w:tc>
        <w:tc>
          <w:tcPr>
            <w:tcW w:w="160" w:type="dxa"/>
            <w:tcBorders/>
            <w:shd w:fill="CCEEFF" w:val="clear"/>
            <w:vAlign w:val="center"/>
          </w:tcPr>
          <w:p>
            <w:pPr>
              <w:pStyle w:val="TableContents"/>
              <w:bidi w:val="0"/>
              <w:spacing w:before="0" w:after="283"/>
              <w:ind w:left="0" w:right="0" w:hanging="180"/>
              <w:jc w:val="left"/>
              <w:rPr/>
            </w:pPr>
            <w:r>
              <w:rPr/>
              <w:t>)</w:t>
            </w:r>
          </w:p>
        </w:tc>
      </w:tr>
      <w:tr>
        <w:trPr/>
        <w:tc>
          <w:tcPr>
            <w:tcW w:w="6637" w:type="dxa"/>
            <w:tcBorders/>
            <w:vAlign w:val="center"/>
          </w:tcPr>
          <w:p>
            <w:pPr>
              <w:pStyle w:val="TableContents"/>
              <w:bidi w:val="0"/>
              <w:spacing w:before="0" w:after="283"/>
              <w:jc w:val="left"/>
              <w:rPr/>
            </w:pPr>
            <w:r>
              <w:rPr/>
              <w:t>Proceeds from issuance of common stock</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1,682</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6,143</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Proceeds from exercise of common stock options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775</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492</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Proceeds from exercise of warrant for common stock</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60</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0"/>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Investor financing deposit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2,000</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jc w:val="right"/>
              <w:rPr/>
            </w:pPr>
            <w:r>
              <w:rPr/>
              <w:t>—</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Proceeds from issuance of SAFE Agreements</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tcMar>
              <w:bottom w:w="28" w:type="dxa"/>
            </w:tcMar>
            <w:vAlign w:val="center"/>
          </w:tcPr>
          <w:p>
            <w:pPr>
              <w:pStyle w:val="TableContents"/>
              <w:bidi w:val="0"/>
              <w:spacing w:before="0" w:after="283"/>
              <w:jc w:val="right"/>
              <w:rPr/>
            </w:pPr>
            <w:r>
              <w:rPr/>
              <w:t>6,000</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Net cash provided by financing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25,632</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107,060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Effect of exchange rate changes</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tcMar>
              <w:bottom w:w="28" w:type="dxa"/>
            </w:tcMar>
            <w:vAlign w:val="center"/>
          </w:tcPr>
          <w:p>
            <w:pPr>
              <w:pStyle w:val="TableContents"/>
              <w:bidi w:val="0"/>
              <w:spacing w:before="0" w:after="283"/>
              <w:jc w:val="right"/>
              <w:rPr/>
            </w:pPr>
            <w:r>
              <w:rPr/>
              <w:t>22</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Net (decrease) increase in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(8,306</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76,927</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Cash, cash equivalents, and restricted cash at beginning of period</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17,219</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tcMar>
              <w:bottom w:w="28" w:type="dxa"/>
            </w:tcMar>
            <w:vAlign w:val="center"/>
          </w:tcPr>
          <w:p>
            <w:pPr>
              <w:pStyle w:val="TableContents"/>
              <w:bidi w:val="0"/>
              <w:spacing w:before="0" w:after="283"/>
              <w:jc w:val="right"/>
              <w:rPr/>
            </w:pPr>
            <w:r>
              <w:rPr/>
              <w:t>6,416</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Cash, cash equivalents, and restricted cash at end of period</w:t>
            </w:r>
          </w:p>
        </w:tc>
        <w:tc>
          <w:tcPr>
            <w:tcW w:w="90" w:type="dxa"/>
            <w:tcBorders/>
            <w:shd w:fill="CCEEFF" w:val="clear"/>
            <w:vAlign w:val="center"/>
          </w:tcPr>
          <w:p>
            <w:pPr>
              <w:pStyle w:val="TableContents"/>
              <w:bidi w:val="0"/>
              <w:spacing w:before="0" w:after="283"/>
              <w:jc w:val="left"/>
              <w:rPr/>
            </w:pPr>
            <w:r>
              <w:rPr/>
              <w:t> </w:t>
            </w:r>
          </w:p>
        </w:tc>
        <w:tc>
          <w:tcPr>
            <w:tcW w:w="2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8,913</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6" w:type="dxa"/>
            <w:tcBorders>
              <w:bottom w:val="double" w:sz="10" w:space="0" w:color="000000"/>
            </w:tcBorders>
            <w:shd w:fill="CCEEFF" w:val="clear"/>
            <w:tcMar>
              <w:bottom w:w="28" w:type="dxa"/>
            </w:tcMar>
            <w:vAlign w:val="center"/>
          </w:tcPr>
          <w:p>
            <w:pPr>
              <w:pStyle w:val="TableContents"/>
              <w:bidi w:val="0"/>
              <w:spacing w:before="0" w:after="283"/>
              <w:jc w:val="right"/>
              <w:rPr/>
            </w:pPr>
            <w:r>
              <w:rPr/>
              <w:t>83,343</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b/>
              </w:rPr>
            </w:pPr>
            <w:r>
              <w:rPr>
                <w:b/>
              </w:rPr>
              <w:t>Supplemental disclosures of cash flow information:</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Cash paid during the period for interest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7,654</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0"/>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Cash paid for income taxes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b/>
              </w:rPr>
            </w:pPr>
            <w:r>
              <w:rPr>
                <w:b/>
              </w:rPr>
              <w:t>Supplemental disclosure of noncash financing and investing activities: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Issuance of Seller Note as partial purchase consideration in Sunder acquisition </w:t>
            </w:r>
            <w:r>
              <w:rPr>
                <w:rFonts w:ascii="Times New Roman;Times;Serif" w:hAnsi="Times New Roman;Times;Serif"/>
                <w:position w:val="7"/>
                <w:sz w:val="16"/>
                <w:sz w:val="20"/>
              </w:rPr>
              <w:t>(5)</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266" w:type="dxa"/>
            <w:tcBorders/>
            <w:vAlign w:val="center"/>
          </w:tcPr>
          <w:p>
            <w:pPr>
              <w:pStyle w:val="TableContents"/>
              <w:bidi w:val="0"/>
              <w:spacing w:before="0" w:after="283"/>
              <w:jc w:val="right"/>
              <w:rPr/>
            </w:pPr>
            <w:r>
              <w:rPr/>
              <w:t>20,000</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0"/>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Issuance of common stock as partial consideration for acquisition of Sunder </w:t>
            </w:r>
            <w:r>
              <w:rPr>
                <w:rFonts w:ascii="Times New Roman;Times;Serif" w:hAnsi="Times New Roman;Times;Serif"/>
                <w:position w:val="7"/>
                <w:sz w:val="16"/>
                <w:sz w:val="20"/>
              </w:rPr>
              <w:t>(6)</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5,700</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Deferred consideration recognized for acquisition of Sunder </w:t>
            </w:r>
            <w:r>
              <w:rPr>
                <w:rFonts w:ascii="Times New Roman;Times;Serif" w:hAnsi="Times New Roman;Times;Serif"/>
                <w:position w:val="7"/>
                <w:sz w:val="16"/>
                <w:sz w:val="20"/>
              </w:rPr>
              <w:t>(6)</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11,400</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Debt issuance costs incurred in connection with the issuance of September 2025 Notes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1,150</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Cancellation of existing indebtedness in Exchange Agreement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65,872</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Issuance of convertible notes in Exchange Agreement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31,452</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Issuance of common stock in Exchange Agreement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2,220</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Conversion of SAFE Agreements to shares of common stock with related party</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5,000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Carlyle warrant modification</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660</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pPr>
            <w:r>
              <w:rPr/>
              <w:t>Operating lease right-of-use assets obtained in exchange for lease obligations</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116</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6637" w:type="dxa"/>
            <w:tcBorders/>
            <w:vAlign w:val="center"/>
          </w:tcPr>
          <w:p>
            <w:pPr>
              <w:pStyle w:val="TableContents"/>
              <w:bidi w:val="0"/>
              <w:spacing w:before="0" w:after="283"/>
              <w:jc w:val="left"/>
              <w:rPr/>
            </w:pPr>
            <w:r>
              <w:rPr/>
              <w:t>Issuance of common stock warrants</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1,400</w:t>
            </w:r>
          </w:p>
        </w:tc>
        <w:tc>
          <w:tcPr>
            <w:tcW w:w="160" w:type="dxa"/>
            <w:tcBorders/>
            <w:vAlign w:val="center"/>
          </w:tcPr>
          <w:p>
            <w:pPr>
              <w:pStyle w:val="TableContents"/>
              <w:bidi w:val="0"/>
              <w:spacing w:before="0" w:after="283"/>
              <w:ind w:left="0" w:right="0" w:hanging="180"/>
              <w:jc w:val="left"/>
              <w:rPr/>
            </w:pPr>
            <w:r>
              <w:rPr/>
              <w:t> </w:t>
            </w:r>
          </w:p>
        </w:tc>
      </w:tr>
      <w:tr>
        <w:trPr/>
        <w:tc>
          <w:tcPr>
            <w:tcW w:w="66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Measurement period adjustments related to the SunPower acquisition – (</w:t>
            </w:r>
            <w:r>
              <w:rPr>
                <w:rFonts w:ascii="Times New Roman;Times;Serif" w:hAnsi="Times New Roman;Times;Serif"/>
                <w:b/>
                <w:sz w:val="20"/>
              </w:rPr>
              <w:t xml:space="preserve">Refer to Note 4 – Business Combinations </w:t>
            </w:r>
            <w:r>
              <w:rPr>
                <w:rFonts w:ascii="Times New Roman;Times;Serif" w:hAnsi="Times New Roman;Times;Serif"/>
                <w:sz w:val="20"/>
              </w:rPr>
              <w:t>for detail.)</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0"/>
              <w:jc w:val="right"/>
              <w:rPr/>
            </w:pPr>
            <w:r>
              <w:rPr/>
              <w:t> </w:t>
            </w:r>
          </w:p>
        </w:tc>
        <w:tc>
          <w:tcPr>
            <w:tcW w:w="1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and $1.8 million in the thirty-nine week periods ended September 28, 2025, and September 29, 2024,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5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remeasurement of gain of $1.8 million and loss of $22.8 million in the thirty-nine week periods ended September 28, 2025 and September 29, 2024,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related party amortization expense of $2.0 million and $0.6 million in the thirty-nine week periods ended September 28, 2025 and September 29, 2024, respectively.</w:t>
            </w:r>
          </w:p>
        </w:tc>
      </w:tr>
    </w:tbl>
    <w:p>
      <w:pPr>
        <w:pStyle w:val="TextBody"/>
        <w:bidi w:val="0"/>
        <w:spacing w:before="0" w:after="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275"/>
        <w:gridCol w:w="9245"/>
      </w:tblGrid>
      <w:tr>
        <w:trPr/>
        <w:tc>
          <w:tcPr>
            <w:tcW w:w="27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the thirty-nine week period ended September 28,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Issuance of Seller Note was deemed to be with a related party.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8"/>
        <w:gridCol w:w="9919"/>
      </w:tblGrid>
      <w:tr>
        <w:trPr/>
        <w:tc>
          <w:tcPr>
            <w:tcW w:w="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deferred consideration paid and payable in connection with the Sunder acquisition was accounted for on the Company’s condensed consolidated balance sheet as of September 28, 2025, as (i) $5.7 million within Additional paid-in capital, (ii) $5.7 million within Accrued expenses and other current liabilities, and (iii) $5.7 million within Other long-term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9" w:name="a_008"/>
      <w:bookmarkEnd w:id="9"/>
      <w:r>
        <w:rPr>
          <w:rFonts w:ascii="Times New Roman;Times;Serif" w:hAnsi="Times New Roman;Times;Serif"/>
          <w:b/>
          <w:i w:val="false"/>
          <w:caps w:val="false"/>
          <w:smallCaps w:val="false"/>
          <w:sz w:val="20"/>
        </w:rPr>
        <w:t>SUNPOWER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References to the Company and SunPower include the same entity under its previous name of Complete Solaria.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Subsequently, Complete Solar Holdings changed its name to Complete Solaria,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Complete Solaria entered into an Asset Purchase Agreement (the “APA”) among Complete Solaria, SunPower Corporation and SunPower Corporation’s direct and indirect subsidiaries (collectively, the “SunPower Debtors”) providing for the Company’s purchase of certain assets relating to the Blue Raven Solar business, New Homes Business and Non-Installing Dealer network previously operated by the SunPower Debtors (“SunPower Acquisition”). The APA was entered into in connection with a voluntary petition filed by SunPower Corporation under Chapter 11 of the United States Code, 11 U.S.C.§§ 101-1532. The SunPower Acquisition was approved on September 23, 2024, by the United States Bankruptcy Court for the District of Delaware. The Company completed the acquisition in the Company’s fiscal fourth quarter on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Complete Solaria, Inc., and Complete Solar, Inc, a subsidiary of the Company, entered into a Membership Interest Purchase Agreement (“MIPA”) with Sunder Energy LLC (“Sunder”) and the seller, Chicken Parm Pizza LLC (“Seller/Member”), the sole member of Sunder. The acquisition of Sunder was completed on September 24, 2025, and the financial results of Sunder have been included in the Company’s unaudited condensed consolidated financial statements since the date of acquisition. Refer to </w:t>
      </w:r>
      <w:r>
        <w:rPr>
          <w:rFonts w:ascii="Times New Roman;Times;Serif" w:hAnsi="Times New Roman;Times;Serif"/>
          <w:b/>
          <w:i w:val="false"/>
          <w:caps w:val="false"/>
          <w:smallCaps w:val="false"/>
          <w:sz w:val="20"/>
        </w:rPr>
        <w:t>Note 4 – Business Combinations</w:t>
      </w:r>
      <w:r>
        <w:rPr>
          <w:rFonts w:ascii="Times New Roman;Times;Serif" w:hAnsi="Times New Roman;Times;Serif"/>
          <w:b w:val="false"/>
          <w:i w:val="false"/>
          <w:caps w:val="false"/>
          <w:smallCaps w:val="false"/>
          <w:sz w:val="20"/>
        </w:rPr>
        <w:t xml:space="preserve"> for a description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aforementioned acquisitions were accounted for as business combinations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 more fully described in </w:t>
      </w:r>
      <w:r>
        <w:rPr>
          <w:rFonts w:ascii="Times New Roman;Times;Serif" w:hAnsi="Times New Roman;Times;Serif"/>
          <w:b/>
          <w:i w:val="false"/>
          <w:caps w:val="false"/>
          <w:smallCaps w:val="false"/>
          <w:sz w:val="20"/>
        </w:rPr>
        <w:t>Note 4 – Business Combinations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its legal renaming to SunPower Inc. in the period ended September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 Restatement of Previously Issued unaudited Condensed Consolidated Financial Statements, the unaudited condensed consolidated financial statements as of and for the thirteen and thirty-nine week periods ended September 28, 2025 (collectively, the “Affected Periods”), are restated in this Quarterly Report on Form 10-Q/A (this “Amended Report”, this “Quarterly Report” or this “Form 10-Q/A”) to reflect the corrections related the recognition of revenue, cost of revenues, sales commissions, general and administrative expenses and interest expense. The restated unaudited condensed consolidated financial statements are indicated as “Restated” in the unaudited condensed consolidated financial statements and accompanying notes, as applicable. See Note 2 Restatement of Previously Issued Unaudited Condensed Consolidated Financial Statements for further discussion.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through September 28, 2025, the Company has incurred recurring losses and negative cash flows from operations. The Company’s loss from continuing operations was $36.2 million for the thirty-nine-week period ended September 28, 2025. As of that date, the Company had an accumulated deficit of $447.6 million, total debt of $198.5 million, and cash and cash equivalents, excluding restricted cash, of $5.1 million. The Company anticipates that operating losses and negative operating cash flows may continue in the near term, which raises substantial doubt about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shareholders when necessary. Historically, the Company has raised funds through private placements of equity securities, issuance of convertible notes and debt, and proceeds from mergers. During the year, funding from significant shareholders, has supported working capital requirements, and similar measures may be considered in the upcoming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plans to proactively position the Company to access capital markets once eligible and pursue strategic opportunities to strengthen liquidity. Given the one-year eligibility requirement for Form S-3 after regaining current filer status, the Company will focus on alternative financing options to maintain flexibility and efficiency in capital raising.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can be no assurance that these plans will be successful or that financing will be available on favorable terms. If adequate funding cannot be secured, the Company may need to reevaluate its operating plan, which could include reducing expenditure, extending payment terms with suppliers, liquidating assets, or suspending certain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Restatement of Previously Issued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authorized officers of the Company and the Audit Committee of the Board of Directors determined that the Company’s previously issued interim financial statements as of and for the thirteen weeks and thirty-nine week period ended September 28, 2025, included in its Quarterly Reports on Form 10-Q contains material errors and should no longer be relied upon and should be restated. These material errors related to the recognition of revenue (and related cost of revenues, sales commissions, sales and marketing, and general and administrative expenses) and interest expense. Additionally, the Company has corrected other immaterial errors related to the reclassification of current and non-current debt obligations, reclassification of payroll expenses between cost of revenues and operating expenses, and the vesting of restricted stock units and related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discloses the nature of the restatement adjustments and discloses the cumulative effects of these adjustments on the Company’s unaudited condensed consolidated balance sheets, unaudited condensed consolidated statements of operations and comprehensive loss, unaudited condensed consolidated statements of stockholders’ deficit and unaudited condensed consolidated statements of cash flows for the periods included in the original Form 10-Q for the thirteen and thirty-nine week periods ended September 28, 2025 (the “Original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balance sheet, statement of operations and comprehensive income (loss), statement of changes in stockholders’ deficit and statement of cash flows as of and for the thirteen and thirty-nine week periods ended September 28, 2025 have been restated to reflect the corrections identified and described below. The restatement adjustments and their impacts on the previously issued unaudited condensed consolidated financial statements included in the Original Report are shown in the restatement tables of this footnote. The effects of the restatement also have been reflected in the impacted tables and footnotes throughout the notes to these unaudited condensed consolidated financial statements in this Form 10-Q/A.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Condensed Consolidated Financial Statements - Restatement Reconciliation Tables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foregoing, in accordance with ASC 250, Accounting Changes and Error Corrections, the Company is restating its previously issued unaudited condensed consolidated financial statements as of September 28, 2025, to reflect the effects of the restatement adjustments, and to make certain corresponding disclosures. The following tables present a reconciliation of the Company’s unaudited condensed consolidated balance sheets, unaudited condensed consolidated statements of operations and comprehensive loss, unaudited condensed consolidated statements of stockholders’ deficit and unaudited condensed consolidated statements of cash flows previously reported for the period to the restated and revised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Unaudited Condensed Consolidated Balance Sheet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0"/>
        <w:gridCol w:w="90"/>
        <w:gridCol w:w="1325"/>
        <w:gridCol w:w="90"/>
        <w:gridCol w:w="176"/>
        <w:gridCol w:w="939"/>
        <w:gridCol w:w="125"/>
        <w:gridCol w:w="90"/>
        <w:gridCol w:w="272"/>
        <w:gridCol w:w="1068"/>
        <w:gridCol w:w="125"/>
        <w:gridCol w:w="90"/>
        <w:gridCol w:w="170"/>
        <w:gridCol w:w="905"/>
        <w:gridCol w:w="170"/>
      </w:tblGrid>
      <w:tr>
        <w:trPr/>
        <w:tc>
          <w:tcPr>
            <w:tcW w:w="45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9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September 28, 2025</w:t>
            </w:r>
          </w:p>
        </w:tc>
        <w:tc>
          <w:tcPr>
            <w:tcW w:w="170" w:type="dxa"/>
            <w:tcBorders/>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center"/>
              <w:rPr>
                <w:b/>
              </w:rPr>
            </w:pPr>
            <w:r>
              <w:rPr>
                <w:b/>
              </w:rPr>
              <w:t>Explanatory</w:t>
              <w:br/>
              <w:t>Notes</w:t>
            </w:r>
          </w:p>
        </w:tc>
        <w:tc>
          <w:tcPr>
            <w:tcW w:w="9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Previously</w:t>
              <w:br/>
              <w:t>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Restatement</w:t>
              <w:b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Restated</w:t>
            </w:r>
          </w:p>
        </w:tc>
        <w:tc>
          <w:tcPr>
            <w:tcW w:w="170" w:type="dxa"/>
            <w:tcBorders/>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5,072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5,072</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Accounts receivable, net</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A</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80,753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(7,706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73,047</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B</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8,694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8,570</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C</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20,830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283"/>
              <w:jc w:val="right"/>
              <w:rPr/>
            </w:pPr>
            <w:r>
              <w:rPr/>
              <w:t>(1,090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19,740</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115,349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283"/>
              <w:jc w:val="right"/>
              <w:rPr/>
            </w:pPr>
            <w:r>
              <w:rPr/>
              <w:t>(8,920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106,429</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3,841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3,841</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3,670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3,670</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Operating lease right-of-use assets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2,528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2,528</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Intangible assets, net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38,956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38,956</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D</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42,911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(636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42,275</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1,085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1,085</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w:t>
            </w:r>
          </w:p>
        </w:tc>
        <w:tc>
          <w:tcPr>
            <w:tcW w:w="939" w:type="dxa"/>
            <w:tcBorders>
              <w:bottom w:val="double" w:sz="10" w:space="0" w:color="000000"/>
            </w:tcBorders>
            <w:tcMar>
              <w:bottom w:w="28" w:type="dxa"/>
            </w:tcMar>
            <w:vAlign w:val="center"/>
          </w:tcPr>
          <w:p>
            <w:pPr>
              <w:pStyle w:val="TableContents"/>
              <w:bidi w:val="0"/>
              <w:spacing w:before="0" w:after="283"/>
              <w:jc w:val="right"/>
              <w:rPr/>
            </w:pPr>
            <w:r>
              <w:rPr/>
              <w:t>208,340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double" w:sz="10" w:space="0" w:color="000000"/>
            </w:tcBorders>
            <w:tcMar>
              <w:bottom w:w="28" w:type="dxa"/>
            </w:tcMar>
            <w:vAlign w:val="center"/>
          </w:tcPr>
          <w:p>
            <w:pPr>
              <w:pStyle w:val="TableContents"/>
              <w:bidi w:val="0"/>
              <w:spacing w:before="0" w:after="283"/>
              <w:jc w:val="left"/>
              <w:rPr/>
            </w:pPr>
            <w:r>
              <w:rPr/>
              <w:t>$</w:t>
            </w:r>
          </w:p>
        </w:tc>
        <w:tc>
          <w:tcPr>
            <w:tcW w:w="1068" w:type="dxa"/>
            <w:tcBorders>
              <w:bottom w:val="double" w:sz="10" w:space="0" w:color="000000"/>
            </w:tcBorders>
            <w:tcMar>
              <w:bottom w:w="28" w:type="dxa"/>
            </w:tcMar>
            <w:vAlign w:val="center"/>
          </w:tcPr>
          <w:p>
            <w:pPr>
              <w:pStyle w:val="TableContents"/>
              <w:bidi w:val="0"/>
              <w:spacing w:before="0" w:after="283"/>
              <w:jc w:val="right"/>
              <w:rPr/>
            </w:pPr>
            <w:r>
              <w:rPr/>
              <w:t>(9,556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283"/>
              <w:jc w:val="right"/>
              <w:rPr/>
            </w:pPr>
            <w:r>
              <w:rPr/>
              <w:t>198,784</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b/>
              </w:rPr>
            </w:pPr>
            <w:r>
              <w:rPr>
                <w:b/>
              </w:rPr>
              <w:t>LIABILITIES AND STOCKHOLDERS’ DEFICIT</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939" w:type="dxa"/>
            <w:tcBorders/>
            <w:vAlign w:val="center"/>
          </w:tcPr>
          <w:p>
            <w:pPr>
              <w:pStyle w:val="TableContents"/>
              <w:bidi w:val="0"/>
              <w:spacing w:before="0" w:after="283"/>
              <w:jc w:val="right"/>
              <w:rPr/>
            </w:pPr>
            <w:r>
              <w:rPr/>
              <w:t>19,857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19,857</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59,271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57,250</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Notes payable to related parties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21,500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21,500</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Current portion of notes payable</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F</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2,786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2,786</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G</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9,713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3,548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13,261</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SAFE Agreement with related party</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497</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Forward purchase agreement liabilities with related parties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Forward purchase agreement liabilities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4,301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4,301</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115,139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283"/>
              <w:jc w:val="right"/>
              <w:rPr/>
            </w:pPr>
            <w:r>
              <w:rPr/>
              <w:t>4,313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119,452</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Warranty provision, noncurrent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2,140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2,140</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Warrant liability</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4,683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4,683</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Contract liabilities, noncurrent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1,713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1,713</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Notes payable and derivative liabilities, net of current</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H</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148,205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(8,751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139,454</w:t>
            </w:r>
          </w:p>
        </w:tc>
        <w:tc>
          <w:tcPr>
            <w:tcW w:w="170" w:type="dxa"/>
            <w:tcBorders/>
            <w:vAlign w:val="center"/>
          </w:tcPr>
          <w:p>
            <w:pPr>
              <w:pStyle w:val="TableContents"/>
              <w:bidi w:val="0"/>
              <w:spacing w:before="0" w:after="283"/>
              <w:ind w:left="0" w:right="0" w:hanging="180"/>
              <w:jc w:val="left"/>
              <w:rPr/>
            </w:pPr>
            <w:r>
              <w:rPr/>
              <w:t> </w:t>
            </w:r>
          </w:p>
        </w:tc>
      </w:tr>
      <w:tr>
        <w:trPr/>
        <w:tc>
          <w:tcPr>
            <w:tcW w:w="4570" w:type="dxa"/>
            <w:tcBorders/>
            <w:shd w:fill="CCEEFF" w:val="clear"/>
            <w:vAlign w:val="center"/>
          </w:tcPr>
          <w:p>
            <w:pPr>
              <w:pStyle w:val="TableContents"/>
              <w:bidi w:val="0"/>
              <w:spacing w:before="0" w:after="283"/>
              <w:jc w:val="left"/>
              <w:rPr/>
            </w:pPr>
            <w:r>
              <w:rPr/>
              <w:t>Notes payable and derivative liabilities with related parties, net of current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H</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34,572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34,799</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Operating lease liabilities, net of current portion</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1,335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1,335</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Other long-term liabilities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12,869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12,869</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320,656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283"/>
              <w:jc w:val="right"/>
              <w:rPr/>
            </w:pPr>
            <w:r>
              <w:rPr/>
              <w:t>(4,211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316,445</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Commitments and contingencies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b/>
              </w:rPr>
            </w:pPr>
            <w:r>
              <w:rPr>
                <w:b/>
              </w:rPr>
              <w:t>Stockholders’ deficit:</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I</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330,083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(329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329,754</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left"/>
              <w:rPr/>
            </w:pPr>
            <w:r>
              <w:rPr/>
              <w:t>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165</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(442,578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283"/>
              <w:jc w:val="right"/>
              <w:rPr/>
            </w:pPr>
            <w:r>
              <w:rPr/>
              <w:t>(5,016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(447,594</w:t>
            </w:r>
          </w:p>
        </w:tc>
        <w:tc>
          <w:tcPr>
            <w:tcW w:w="170" w:type="dxa"/>
            <w:tcBorders/>
            <w:vAlign w:val="center"/>
          </w:tcPr>
          <w:p>
            <w:pPr>
              <w:pStyle w:val="TableContents"/>
              <w:bidi w:val="0"/>
              <w:spacing w:before="0" w:after="283"/>
              <w:jc w:val="left"/>
              <w:rPr/>
            </w:pPr>
            <w:r>
              <w:rPr/>
              <w:t>)</w:t>
            </w:r>
          </w:p>
        </w:tc>
      </w:tr>
      <w:tr>
        <w:trPr/>
        <w:tc>
          <w:tcPr>
            <w:tcW w:w="4570" w:type="dxa"/>
            <w:tcBorders/>
            <w:shd w:fill="CCEEFF" w:val="clear"/>
            <w:vAlign w:val="center"/>
          </w:tcPr>
          <w:p>
            <w:pPr>
              <w:pStyle w:val="TableContents"/>
              <w:bidi w:val="0"/>
              <w:spacing w:before="0" w:after="283"/>
              <w:jc w:val="left"/>
              <w:rPr/>
            </w:pPr>
            <w:r>
              <w:rPr/>
              <w:t>Total stockholders’ deficit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(112,316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283"/>
              <w:jc w:val="right"/>
              <w:rPr/>
            </w:pPr>
            <w:r>
              <w:rPr/>
              <w:t>(5,345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(117,661</w:t>
            </w:r>
          </w:p>
        </w:tc>
        <w:tc>
          <w:tcPr>
            <w:tcW w:w="170" w:type="dxa"/>
            <w:tcBorders/>
            <w:shd w:fill="CCEEFF" w:val="clear"/>
            <w:vAlign w:val="center"/>
          </w:tcPr>
          <w:p>
            <w:pPr>
              <w:pStyle w:val="TableContents"/>
              <w:bidi w:val="0"/>
              <w:spacing w:before="0" w:after="283"/>
              <w:jc w:val="left"/>
              <w:rPr/>
            </w:pPr>
            <w:r>
              <w:rPr/>
              <w:t>)</w:t>
            </w:r>
          </w:p>
        </w:tc>
      </w:tr>
      <w:tr>
        <w:trPr/>
        <w:tc>
          <w:tcPr>
            <w:tcW w:w="4570" w:type="dxa"/>
            <w:tcBorders/>
            <w:vAlign w:val="center"/>
          </w:tcPr>
          <w:p>
            <w:pPr>
              <w:pStyle w:val="TableContents"/>
              <w:bidi w:val="0"/>
              <w:spacing w:before="0" w:after="283"/>
              <w:jc w:val="left"/>
              <w:rPr/>
            </w:pPr>
            <w:r>
              <w:rPr/>
              <w:t>Total liabilities and stockholders’ deficit</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w:t>
            </w:r>
          </w:p>
        </w:tc>
        <w:tc>
          <w:tcPr>
            <w:tcW w:w="939" w:type="dxa"/>
            <w:tcBorders>
              <w:bottom w:val="double" w:sz="10" w:space="0" w:color="000000"/>
            </w:tcBorders>
            <w:tcMar>
              <w:bottom w:w="28" w:type="dxa"/>
            </w:tcMar>
            <w:vAlign w:val="center"/>
          </w:tcPr>
          <w:p>
            <w:pPr>
              <w:pStyle w:val="TableContents"/>
              <w:bidi w:val="0"/>
              <w:spacing w:before="0" w:after="283"/>
              <w:jc w:val="right"/>
              <w:rPr/>
            </w:pPr>
            <w:r>
              <w:rPr/>
              <w:t>208,340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double" w:sz="10" w:space="0" w:color="000000"/>
            </w:tcBorders>
            <w:tcMar>
              <w:bottom w:w="28" w:type="dxa"/>
            </w:tcMar>
            <w:vAlign w:val="center"/>
          </w:tcPr>
          <w:p>
            <w:pPr>
              <w:pStyle w:val="TableContents"/>
              <w:bidi w:val="0"/>
              <w:spacing w:before="0" w:after="283"/>
              <w:jc w:val="left"/>
              <w:rPr/>
            </w:pPr>
            <w:r>
              <w:rPr/>
              <w:t>$</w:t>
            </w:r>
          </w:p>
        </w:tc>
        <w:tc>
          <w:tcPr>
            <w:tcW w:w="1068" w:type="dxa"/>
            <w:tcBorders>
              <w:bottom w:val="double" w:sz="10" w:space="0" w:color="000000"/>
            </w:tcBorders>
            <w:tcMar>
              <w:bottom w:w="28" w:type="dxa"/>
            </w:tcMar>
            <w:vAlign w:val="center"/>
          </w:tcPr>
          <w:p>
            <w:pPr>
              <w:pStyle w:val="TableContents"/>
              <w:bidi w:val="0"/>
              <w:spacing w:before="0" w:after="283"/>
              <w:jc w:val="right"/>
              <w:rPr/>
            </w:pPr>
            <w:r>
              <w:rPr/>
              <w:t>(9,556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283"/>
              <w:jc w:val="right"/>
              <w:rPr/>
            </w:pPr>
            <w:r>
              <w:rPr/>
              <w:t>198,784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Unaudited Condensed Consolidated Statement of Operations and Comprehensive Income (Loss)</w:t>
      </w:r>
    </w:p>
    <w:p>
      <w:pPr>
        <w:pStyle w:val="TextBody"/>
        <w:bidi w:val="0"/>
        <w:spacing w:before="0" w:after="0"/>
        <w:ind w:left="108"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20"/>
        <w:gridCol w:w="90"/>
        <w:gridCol w:w="1325"/>
        <w:gridCol w:w="90"/>
        <w:gridCol w:w="173"/>
        <w:gridCol w:w="1154"/>
        <w:gridCol w:w="127"/>
        <w:gridCol w:w="91"/>
        <w:gridCol w:w="211"/>
        <w:gridCol w:w="1129"/>
        <w:gridCol w:w="127"/>
        <w:gridCol w:w="91"/>
        <w:gridCol w:w="173"/>
        <w:gridCol w:w="1154"/>
        <w:gridCol w:w="150"/>
      </w:tblGrid>
      <w:tr>
        <w:trPr/>
        <w:tc>
          <w:tcPr>
            <w:tcW w:w="4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4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Thirteen Weeks Ended September 28, 2025</w:t>
            </w:r>
          </w:p>
        </w:tc>
        <w:tc>
          <w:tcPr>
            <w:tcW w:w="150" w:type="dxa"/>
            <w:tcBorders/>
            <w:vAlign w:val="center"/>
          </w:tcPr>
          <w:p>
            <w:pPr>
              <w:pStyle w:val="TableContents"/>
              <w:bidi w:val="0"/>
              <w:spacing w:before="0" w:after="283"/>
              <w:jc w:val="left"/>
              <w:rPr/>
            </w:pPr>
            <w:r>
              <w:rPr/>
              <w:t> </w:t>
            </w:r>
          </w:p>
        </w:tc>
      </w:tr>
      <w:tr>
        <w:trPr/>
        <w:tc>
          <w:tcPr>
            <w:tcW w:w="4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center"/>
              <w:rPr>
                <w:b/>
              </w:rPr>
            </w:pPr>
            <w:r>
              <w:rPr>
                <w:b/>
              </w:rPr>
              <w:t>Explanatory</w:t>
              <w:br/>
              <w:t>Notes</w:t>
            </w:r>
          </w:p>
        </w:tc>
        <w:tc>
          <w:tcPr>
            <w:tcW w:w="90" w:type="dxa"/>
            <w:tcBorders/>
            <w:vAlign w:val="center"/>
          </w:tcPr>
          <w:p>
            <w:pPr>
              <w:pStyle w:val="TableContents"/>
              <w:bidi w:val="0"/>
              <w:spacing w:before="0" w:after="283"/>
              <w:jc w:val="left"/>
              <w:rPr/>
            </w:pPr>
            <w:r>
              <w:rPr/>
              <w:t> </w:t>
            </w:r>
          </w:p>
        </w:tc>
        <w:tc>
          <w:tcPr>
            <w:tcW w:w="13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Previously</w:t>
              <w:br/>
              <w:t>Reported</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Restatement</w:t>
              <w:br/>
              <w:t>Adjustments</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Restated</w:t>
            </w:r>
          </w:p>
        </w:tc>
        <w:tc>
          <w:tcPr>
            <w:tcW w:w="150" w:type="dxa"/>
            <w:tcBorders/>
            <w:vAlign w:val="center"/>
          </w:tcPr>
          <w:p>
            <w:pPr>
              <w:pStyle w:val="TableContents"/>
              <w:bidi w:val="0"/>
              <w:spacing w:before="0" w:after="283"/>
              <w:jc w:val="left"/>
              <w:rPr/>
            </w:pPr>
            <w:r>
              <w:rPr/>
              <w:t> </w:t>
            </w:r>
          </w:p>
        </w:tc>
      </w:tr>
      <w:tr>
        <w:trPr/>
        <w:tc>
          <w:tcPr>
            <w:tcW w:w="4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27" w:type="dxa"/>
            <w:gridSpan w:val="2"/>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27" w:type="dxa"/>
            <w:gridSpan w:val="2"/>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12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J</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70,005</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(5,518</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64,487</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12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K</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37,965</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tcMar>
              <w:bottom w:w="28" w:type="dxa"/>
            </w:tcMar>
            <w:vAlign w:val="center"/>
          </w:tcPr>
          <w:p>
            <w:pPr>
              <w:pStyle w:val="TableContents"/>
              <w:bidi w:val="0"/>
              <w:spacing w:before="0" w:after="283"/>
              <w:jc w:val="right"/>
              <w:rPr/>
            </w:pPr>
            <w:r>
              <w:rPr/>
              <w:t>(5,534</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32,431</w:t>
            </w:r>
          </w:p>
        </w:tc>
        <w:tc>
          <w:tcPr>
            <w:tcW w:w="150" w:type="dxa"/>
            <w:tcBorders/>
            <w:vAlign w:val="center"/>
          </w:tcPr>
          <w:p>
            <w:pPr>
              <w:pStyle w:val="TableContents"/>
              <w:bidi w:val="0"/>
              <w:spacing w:before="0" w:after="283"/>
              <w:ind w:left="0" w:right="0" w:hanging="180"/>
              <w:jc w:val="left"/>
              <w:rPr/>
            </w:pPr>
            <w:r>
              <w:rPr/>
              <w:t> </w:t>
            </w:r>
          </w:p>
        </w:tc>
      </w:tr>
      <w:tr>
        <w:trPr/>
        <w:tc>
          <w:tcPr>
            <w:tcW w:w="412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32,040</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32,056</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12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12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L</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7,534</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636</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8,170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12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M</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6,467</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(648</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5,819</w:t>
            </w:r>
          </w:p>
        </w:tc>
        <w:tc>
          <w:tcPr>
            <w:tcW w:w="150" w:type="dxa"/>
            <w:tcBorders/>
            <w:vAlign w:val="center"/>
          </w:tcPr>
          <w:p>
            <w:pPr>
              <w:pStyle w:val="TableContents"/>
              <w:bidi w:val="0"/>
              <w:spacing w:before="0" w:after="283"/>
              <w:ind w:left="0" w:right="0" w:hanging="180"/>
              <w:jc w:val="left"/>
              <w:rPr/>
            </w:pPr>
            <w:r>
              <w:rPr/>
              <w:t> </w:t>
            </w:r>
          </w:p>
        </w:tc>
      </w:tr>
      <w:tr>
        <w:trPr/>
        <w:tc>
          <w:tcPr>
            <w:tcW w:w="412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N</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21,483</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(1,820</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19,663</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12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35,484</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tcMar>
              <w:bottom w:w="28" w:type="dxa"/>
            </w:tcMar>
            <w:vAlign w:val="center"/>
          </w:tcPr>
          <w:p>
            <w:pPr>
              <w:pStyle w:val="TableContents"/>
              <w:bidi w:val="0"/>
              <w:spacing w:before="0" w:after="283"/>
              <w:jc w:val="right"/>
              <w:rPr/>
            </w:pPr>
            <w:r>
              <w:rPr/>
              <w:t>(1,832</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33,652</w:t>
            </w:r>
          </w:p>
        </w:tc>
        <w:tc>
          <w:tcPr>
            <w:tcW w:w="150" w:type="dxa"/>
            <w:tcBorders/>
            <w:vAlign w:val="center"/>
          </w:tcPr>
          <w:p>
            <w:pPr>
              <w:pStyle w:val="TableContents"/>
              <w:bidi w:val="0"/>
              <w:spacing w:before="0" w:after="283"/>
              <w:ind w:left="0" w:right="0" w:hanging="180"/>
              <w:jc w:val="left"/>
              <w:rPr/>
            </w:pPr>
            <w:r>
              <w:rPr/>
              <w:t> </w:t>
            </w:r>
          </w:p>
        </w:tc>
      </w:tr>
      <w:tr>
        <w:trPr/>
        <w:tc>
          <w:tcPr>
            <w:tcW w:w="4120"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(3,444</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1,848</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(1,596</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12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O</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(8,104</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1,366</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(6,738</w:t>
            </w:r>
          </w:p>
        </w:tc>
        <w:tc>
          <w:tcPr>
            <w:tcW w:w="150" w:type="dxa"/>
            <w:tcBorders/>
            <w:vAlign w:val="center"/>
          </w:tcPr>
          <w:p>
            <w:pPr>
              <w:pStyle w:val="TableContents"/>
              <w:bidi w:val="0"/>
              <w:spacing w:before="0" w:after="283"/>
              <w:ind w:left="0" w:right="0" w:hanging="180"/>
              <w:jc w:val="left"/>
              <w:rPr/>
            </w:pPr>
            <w:r>
              <w:rPr/>
              <w:t>)</w:t>
            </w:r>
          </w:p>
        </w:tc>
      </w:tr>
      <w:tr>
        <w:trPr/>
        <w:tc>
          <w:tcPr>
            <w:tcW w:w="412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0"/>
              <w:jc w:val="right"/>
              <w:rPr/>
            </w:pPr>
            <w:r>
              <w:rPr/>
              <w:t>—</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120"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(4,256</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tcMar>
              <w:bottom w:w="28" w:type="dxa"/>
            </w:tcMar>
            <w:vAlign w:val="center"/>
          </w:tcPr>
          <w:p>
            <w:pPr>
              <w:pStyle w:val="TableContents"/>
              <w:bidi w:val="0"/>
              <w:spacing w:before="0" w:after="0"/>
              <w:jc w:val="right"/>
              <w:rPr/>
            </w:pPr>
            <w:r>
              <w:rPr/>
              <w:t>—</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(4,256</w:t>
            </w:r>
          </w:p>
        </w:tc>
        <w:tc>
          <w:tcPr>
            <w:tcW w:w="150" w:type="dxa"/>
            <w:tcBorders/>
            <w:vAlign w:val="center"/>
          </w:tcPr>
          <w:p>
            <w:pPr>
              <w:pStyle w:val="TableContents"/>
              <w:bidi w:val="0"/>
              <w:spacing w:before="0" w:after="283"/>
              <w:ind w:left="0" w:right="0" w:hanging="180"/>
              <w:jc w:val="left"/>
              <w:rPr/>
            </w:pPr>
            <w:r>
              <w:rPr/>
              <w:t>)</w:t>
            </w:r>
          </w:p>
        </w:tc>
      </w:tr>
      <w:tr>
        <w:trPr/>
        <w:tc>
          <w:tcPr>
            <w:tcW w:w="4120" w:type="dxa"/>
            <w:tcBorders/>
            <w:shd w:fill="CCEEFF" w:val="clear"/>
            <w:vAlign w:val="center"/>
          </w:tcPr>
          <w:p>
            <w:pPr>
              <w:pStyle w:val="TableContents"/>
              <w:bidi w:val="0"/>
              <w:spacing w:before="0" w:after="283"/>
              <w:jc w:val="left"/>
              <w:rPr/>
            </w:pPr>
            <w:r>
              <w:rPr/>
              <w:t>Total other expense, net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(12,360</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1,366</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(10,994</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120" w:type="dxa"/>
            <w:tcBorders/>
            <w:vAlign w:val="center"/>
          </w:tcPr>
          <w:p>
            <w:pPr>
              <w:pStyle w:val="TableContents"/>
              <w:bidi w:val="0"/>
              <w:spacing w:before="0" w:after="283"/>
              <w:jc w:val="left"/>
              <w:rPr/>
            </w:pPr>
            <w:r>
              <w:rPr/>
              <w:t>Loss from continuing operations before income taxes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(15,804</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tcMar>
              <w:bottom w:w="28" w:type="dxa"/>
            </w:tcMar>
            <w:vAlign w:val="center"/>
          </w:tcPr>
          <w:p>
            <w:pPr>
              <w:pStyle w:val="TableContents"/>
              <w:bidi w:val="0"/>
              <w:spacing w:before="0" w:after="283"/>
              <w:jc w:val="right"/>
              <w:rPr/>
            </w:pPr>
            <w:r>
              <w:rPr/>
              <w:t>3,214</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(12,590</w:t>
            </w:r>
          </w:p>
        </w:tc>
        <w:tc>
          <w:tcPr>
            <w:tcW w:w="150" w:type="dxa"/>
            <w:tcBorders/>
            <w:vAlign w:val="center"/>
          </w:tcPr>
          <w:p>
            <w:pPr>
              <w:pStyle w:val="TableContents"/>
              <w:bidi w:val="0"/>
              <w:spacing w:before="0" w:after="283"/>
              <w:ind w:left="0" w:right="0" w:hanging="180"/>
              <w:jc w:val="left"/>
              <w:rPr/>
            </w:pPr>
            <w:r>
              <w:rPr/>
              <w:t>)</w:t>
            </w:r>
          </w:p>
        </w:tc>
      </w:tr>
      <w:tr>
        <w:trPr/>
        <w:tc>
          <w:tcPr>
            <w:tcW w:w="4120" w:type="dxa"/>
            <w:tcBorders/>
            <w:shd w:fill="CCEEFF" w:val="clear"/>
            <w:vAlign w:val="center"/>
          </w:tcPr>
          <w:p>
            <w:pPr>
              <w:pStyle w:val="TableContents"/>
              <w:bidi w:val="0"/>
              <w:spacing w:before="0" w:after="283"/>
              <w:jc w:val="left"/>
              <w:rPr/>
            </w:pPr>
            <w:r>
              <w:rPr/>
              <w:t>Income tax provision</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120" w:type="dxa"/>
            <w:tcBorders/>
            <w:vAlign w:val="center"/>
          </w:tcPr>
          <w:p>
            <w:pPr>
              <w:pStyle w:val="TableContents"/>
              <w:bidi w:val="0"/>
              <w:spacing w:before="0" w:after="283"/>
              <w:jc w:val="left"/>
              <w:rPr/>
            </w:pPr>
            <w:r>
              <w:rPr/>
              <w:t>Net loss from continuing operations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(15,804</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tcMar>
              <w:bottom w:w="28" w:type="dxa"/>
            </w:tcMar>
            <w:vAlign w:val="center"/>
          </w:tcPr>
          <w:p>
            <w:pPr>
              <w:pStyle w:val="TableContents"/>
              <w:bidi w:val="0"/>
              <w:spacing w:before="0" w:after="283"/>
              <w:jc w:val="right"/>
              <w:rPr/>
            </w:pPr>
            <w:r>
              <w:rPr/>
              <w:t>3,214</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(12,590</w:t>
            </w:r>
          </w:p>
        </w:tc>
        <w:tc>
          <w:tcPr>
            <w:tcW w:w="150" w:type="dxa"/>
            <w:tcBorders/>
            <w:vAlign w:val="center"/>
          </w:tcPr>
          <w:p>
            <w:pPr>
              <w:pStyle w:val="TableContents"/>
              <w:bidi w:val="0"/>
              <w:spacing w:before="0" w:after="283"/>
              <w:ind w:left="0" w:right="0" w:hanging="180"/>
              <w:jc w:val="left"/>
              <w:rPr/>
            </w:pPr>
            <w:r>
              <w:rPr/>
              <w:t>)</w:t>
            </w:r>
          </w:p>
        </w:tc>
      </w:tr>
      <w:tr>
        <w:trPr/>
        <w:tc>
          <w:tcPr>
            <w:tcW w:w="4120" w:type="dxa"/>
            <w:tcBorders/>
            <w:shd w:fill="CCEEFF" w:val="clear"/>
            <w:vAlign w:val="center"/>
          </w:tcPr>
          <w:p>
            <w:pPr>
              <w:pStyle w:val="TableContents"/>
              <w:bidi w:val="0"/>
              <w:spacing w:before="0" w:after="283"/>
              <w:jc w:val="left"/>
              <w:rPr/>
            </w:pPr>
            <w:r>
              <w:rPr/>
              <w:t>Net loss from discontinued operations, net of taxes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(1,100</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(1,100</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12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(16,904</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tcMar>
              <w:bottom w:w="28" w:type="dxa"/>
            </w:tcMar>
            <w:vAlign w:val="center"/>
          </w:tcPr>
          <w:p>
            <w:pPr>
              <w:pStyle w:val="TableContents"/>
              <w:bidi w:val="0"/>
              <w:spacing w:before="0" w:after="283"/>
              <w:jc w:val="right"/>
              <w:rPr/>
            </w:pPr>
            <w:r>
              <w:rPr/>
              <w:t>3,214</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(13,690</w:t>
            </w:r>
          </w:p>
        </w:tc>
        <w:tc>
          <w:tcPr>
            <w:tcW w:w="150" w:type="dxa"/>
            <w:tcBorders/>
            <w:vAlign w:val="center"/>
          </w:tcPr>
          <w:p>
            <w:pPr>
              <w:pStyle w:val="TableContents"/>
              <w:bidi w:val="0"/>
              <w:spacing w:before="0" w:after="283"/>
              <w:ind w:left="0" w:right="0" w:hanging="180"/>
              <w:jc w:val="left"/>
              <w:rPr/>
            </w:pPr>
            <w:r>
              <w:rPr/>
              <w:t>)</w:t>
            </w:r>
          </w:p>
        </w:tc>
      </w:tr>
      <w:tr>
        <w:trPr/>
        <w:tc>
          <w:tcPr>
            <w:tcW w:w="4120" w:type="dxa"/>
            <w:tcBorders/>
            <w:shd w:fill="CCEEFF" w:val="clear"/>
            <w:vAlign w:val="center"/>
          </w:tcPr>
          <w:p>
            <w:pPr>
              <w:pStyle w:val="TableContents"/>
              <w:bidi w:val="0"/>
              <w:spacing w:before="0" w:after="283"/>
              <w:jc w:val="left"/>
              <w:rPr/>
            </w:pPr>
            <w:r>
              <w:rPr/>
              <w:t>Comprehensive loss, net of tax</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pPr>
            <w:r>
              <w:rPr/>
              <w:t>(16,904</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pPr>
            <w:r>
              <w:rPr/>
              <w:t>3,214</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pPr>
            <w:r>
              <w:rPr/>
              <w:t>(13,690</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120" w:type="dxa"/>
            <w:tcBorders/>
            <w:vAlign w:val="center"/>
          </w:tcPr>
          <w:p>
            <w:pPr>
              <w:pStyle w:val="TableContents"/>
              <w:bidi w:val="0"/>
              <w:spacing w:before="0" w:after="283"/>
              <w:jc w:val="left"/>
              <w:rPr/>
            </w:pPr>
            <w:r>
              <w:rPr/>
              <w:t>Net loss from continuing operations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tcMar>
              <w:bottom w:w="28" w:type="dxa"/>
            </w:tcMar>
            <w:vAlign w:val="center"/>
          </w:tcPr>
          <w:p>
            <w:pPr>
              <w:pStyle w:val="TableContents"/>
              <w:bidi w:val="0"/>
              <w:spacing w:before="0" w:after="283"/>
              <w:jc w:val="right"/>
              <w:rPr/>
            </w:pPr>
            <w:r>
              <w:rPr/>
              <w:t>(0.19</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211" w:type="dxa"/>
            <w:tcBorders>
              <w:bottom w:val="double" w:sz="10" w:space="0" w:color="000000"/>
            </w:tcBorders>
            <w:tcMar>
              <w:bottom w:w="28" w:type="dxa"/>
            </w:tcMar>
            <w:vAlign w:val="center"/>
          </w:tcPr>
          <w:p>
            <w:pPr>
              <w:pStyle w:val="TableContents"/>
              <w:bidi w:val="0"/>
              <w:spacing w:before="0" w:after="283"/>
              <w:jc w:val="left"/>
              <w:rPr/>
            </w:pPr>
            <w:r>
              <w:rPr/>
              <w:t>$</w:t>
            </w:r>
          </w:p>
        </w:tc>
        <w:tc>
          <w:tcPr>
            <w:tcW w:w="1129" w:type="dxa"/>
            <w:tcBorders>
              <w:bottom w:val="double" w:sz="10" w:space="0" w:color="000000"/>
            </w:tcBorders>
            <w:tcMar>
              <w:bottom w:w="28" w:type="dxa"/>
            </w:tcMar>
            <w:vAlign w:val="center"/>
          </w:tcPr>
          <w:p>
            <w:pPr>
              <w:pStyle w:val="TableContents"/>
              <w:bidi w:val="0"/>
              <w:spacing w:before="0" w:after="283"/>
              <w:jc w:val="right"/>
              <w:rPr/>
            </w:pPr>
            <w:r>
              <w:rPr/>
              <w:t>0.04</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tcMar>
              <w:bottom w:w="28" w:type="dxa"/>
            </w:tcMar>
            <w:vAlign w:val="center"/>
          </w:tcPr>
          <w:p>
            <w:pPr>
              <w:pStyle w:val="TableContents"/>
              <w:bidi w:val="0"/>
              <w:spacing w:before="0" w:after="283"/>
              <w:jc w:val="right"/>
              <w:rPr/>
            </w:pPr>
            <w:r>
              <w:rPr/>
              <w:t>(0.15</w:t>
            </w:r>
          </w:p>
        </w:tc>
        <w:tc>
          <w:tcPr>
            <w:tcW w:w="150" w:type="dxa"/>
            <w:tcBorders/>
            <w:vAlign w:val="center"/>
          </w:tcPr>
          <w:p>
            <w:pPr>
              <w:pStyle w:val="TableContents"/>
              <w:bidi w:val="0"/>
              <w:spacing w:before="0" w:after="283"/>
              <w:ind w:left="0" w:right="0" w:hanging="180"/>
              <w:jc w:val="left"/>
              <w:rPr/>
            </w:pPr>
            <w:r>
              <w:rPr/>
              <w:t>)</w:t>
            </w:r>
          </w:p>
        </w:tc>
      </w:tr>
      <w:tr>
        <w:trPr/>
        <w:tc>
          <w:tcPr>
            <w:tcW w:w="4120" w:type="dxa"/>
            <w:tcBorders/>
            <w:shd w:fill="CCEEFF" w:val="clear"/>
            <w:vAlign w:val="center"/>
          </w:tcPr>
          <w:p>
            <w:pPr>
              <w:pStyle w:val="TableContents"/>
              <w:bidi w:val="0"/>
              <w:spacing w:before="0" w:after="283"/>
              <w:jc w:val="left"/>
              <w:rPr/>
            </w:pPr>
            <w:r>
              <w:rPr/>
              <w:t>Net loss from discontinued operations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120" w:type="dxa"/>
            <w:tcBorders/>
            <w:vAlign w:val="center"/>
          </w:tcPr>
          <w:p>
            <w:pPr>
              <w:pStyle w:val="TableContents"/>
              <w:bidi w:val="0"/>
              <w:spacing w:before="0" w:after="283"/>
              <w:jc w:val="left"/>
              <w:rPr/>
            </w:pPr>
            <w:r>
              <w:rPr/>
              <w:t>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tcMar>
              <w:bottom w:w="28" w:type="dxa"/>
            </w:tcMar>
            <w:vAlign w:val="center"/>
          </w:tcPr>
          <w:p>
            <w:pPr>
              <w:pStyle w:val="TableContents"/>
              <w:bidi w:val="0"/>
              <w:spacing w:before="0" w:after="283"/>
              <w:jc w:val="right"/>
              <w:rPr/>
            </w:pPr>
            <w:r>
              <w:rPr/>
              <w:t>(0.20</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211" w:type="dxa"/>
            <w:tcBorders>
              <w:bottom w:val="double" w:sz="10" w:space="0" w:color="000000"/>
            </w:tcBorders>
            <w:tcMar>
              <w:bottom w:w="28" w:type="dxa"/>
            </w:tcMar>
            <w:vAlign w:val="center"/>
          </w:tcPr>
          <w:p>
            <w:pPr>
              <w:pStyle w:val="TableContents"/>
              <w:bidi w:val="0"/>
              <w:spacing w:before="0" w:after="283"/>
              <w:jc w:val="left"/>
              <w:rPr/>
            </w:pPr>
            <w:r>
              <w:rPr/>
              <w:t>$</w:t>
            </w:r>
          </w:p>
        </w:tc>
        <w:tc>
          <w:tcPr>
            <w:tcW w:w="1129" w:type="dxa"/>
            <w:tcBorders>
              <w:bottom w:val="double" w:sz="10" w:space="0" w:color="000000"/>
            </w:tcBorders>
            <w:tcMar>
              <w:bottom w:w="28" w:type="dxa"/>
            </w:tcMar>
            <w:vAlign w:val="center"/>
          </w:tcPr>
          <w:p>
            <w:pPr>
              <w:pStyle w:val="TableContents"/>
              <w:bidi w:val="0"/>
              <w:spacing w:before="0" w:after="283"/>
              <w:jc w:val="right"/>
              <w:rPr/>
            </w:pPr>
            <w:r>
              <w:rPr/>
              <w:t>0.04</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3" w:type="dxa"/>
            <w:tcBorders>
              <w:bottom w:val="double" w:sz="10" w:space="0" w:color="000000"/>
            </w:tcBorders>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tcMar>
              <w:bottom w:w="28" w:type="dxa"/>
            </w:tcMar>
            <w:vAlign w:val="center"/>
          </w:tcPr>
          <w:p>
            <w:pPr>
              <w:pStyle w:val="TableContents"/>
              <w:bidi w:val="0"/>
              <w:spacing w:before="0" w:after="283"/>
              <w:jc w:val="right"/>
              <w:rPr/>
            </w:pPr>
            <w:r>
              <w:rPr/>
              <w:t>(0.16</w:t>
            </w:r>
          </w:p>
        </w:tc>
        <w:tc>
          <w:tcPr>
            <w:tcW w:w="150" w:type="dxa"/>
            <w:tcBorders/>
            <w:vAlign w:val="center"/>
          </w:tcPr>
          <w:p>
            <w:pPr>
              <w:pStyle w:val="TableContents"/>
              <w:bidi w:val="0"/>
              <w:spacing w:before="0" w:after="283"/>
              <w:ind w:left="0" w:right="0" w:hanging="180"/>
              <w:jc w:val="left"/>
              <w:rPr/>
            </w:pPr>
            <w:r>
              <w:rPr/>
              <w:t>)</w:t>
            </w:r>
          </w:p>
        </w:tc>
      </w:tr>
      <w:tr>
        <w:trPr/>
        <w:tc>
          <w:tcPr>
            <w:tcW w:w="4120" w:type="dxa"/>
            <w:tcBorders/>
            <w:shd w:fill="CCEEFF" w:val="clear"/>
            <w:vAlign w:val="center"/>
          </w:tcPr>
          <w:p>
            <w:pPr>
              <w:pStyle w:val="TableContents"/>
              <w:bidi w:val="0"/>
              <w:spacing w:before="0" w:after="283"/>
              <w:jc w:val="left"/>
              <w:rPr/>
            </w:pPr>
            <w:r>
              <w:rPr/>
              <w:t>Weighted-average shares used to compute net loss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Q</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pPr>
            <w:r>
              <w:rPr/>
              <w:t>84,904,228</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pPr>
            <w:r>
              <w:rPr/>
              <w:t>(310,584</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pPr>
            <w:r>
              <w:rPr/>
              <w:t>84,593,644</w:t>
            </w:r>
          </w:p>
        </w:tc>
        <w:tc>
          <w:tcPr>
            <w:tcW w:w="15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Unaudited Condensed Consolidated Statement of Operations and Comprehensive Income (Loss)</w:t>
      </w:r>
    </w:p>
    <w:p>
      <w:pPr>
        <w:pStyle w:val="TextBody"/>
        <w:bidi w:val="0"/>
        <w:spacing w:before="0" w:after="0"/>
        <w:ind w:left="108"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36"/>
        <w:gridCol w:w="90"/>
        <w:gridCol w:w="1325"/>
        <w:gridCol w:w="90"/>
        <w:gridCol w:w="178"/>
        <w:gridCol w:w="1186"/>
        <w:gridCol w:w="131"/>
        <w:gridCol w:w="94"/>
        <w:gridCol w:w="238"/>
        <w:gridCol w:w="1102"/>
        <w:gridCol w:w="131"/>
        <w:gridCol w:w="94"/>
        <w:gridCol w:w="178"/>
        <w:gridCol w:w="1186"/>
        <w:gridCol w:w="146"/>
      </w:tblGrid>
      <w:tr>
        <w:trPr/>
        <w:tc>
          <w:tcPr>
            <w:tcW w:w="40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51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Thirty-Nine Weeks Ended September 28, 2025</w:t>
            </w:r>
          </w:p>
        </w:tc>
        <w:tc>
          <w:tcPr>
            <w:tcW w:w="146" w:type="dxa"/>
            <w:tcBorders/>
            <w:vAlign w:val="center"/>
          </w:tcPr>
          <w:p>
            <w:pPr>
              <w:pStyle w:val="TableContents"/>
              <w:bidi w:val="0"/>
              <w:spacing w:before="0" w:after="283"/>
              <w:jc w:val="left"/>
              <w:rPr/>
            </w:pPr>
            <w:r>
              <w:rPr/>
              <w:t> </w:t>
            </w:r>
          </w:p>
        </w:tc>
      </w:tr>
      <w:tr>
        <w:trPr/>
        <w:tc>
          <w:tcPr>
            <w:tcW w:w="40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center"/>
              <w:rPr>
                <w:b/>
              </w:rPr>
            </w:pPr>
            <w:r>
              <w:rPr>
                <w:b/>
              </w:rPr>
              <w:t>Explanatory</w:t>
              <w:br/>
              <w:t>Notes</w:t>
            </w:r>
          </w:p>
        </w:tc>
        <w:tc>
          <w:tcPr>
            <w:tcW w:w="90"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Previously</w:t>
              <w:br/>
              <w:t>Reported</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Restatement</w:t>
              <w:br/>
              <w:t>Adjustments</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Restated</w:t>
            </w:r>
          </w:p>
        </w:tc>
        <w:tc>
          <w:tcPr>
            <w:tcW w:w="146" w:type="dxa"/>
            <w:tcBorders/>
            <w:vAlign w:val="center"/>
          </w:tcPr>
          <w:p>
            <w:pPr>
              <w:pStyle w:val="TableContents"/>
              <w:bidi w:val="0"/>
              <w:spacing w:before="0" w:after="283"/>
              <w:jc w:val="left"/>
              <w:rPr/>
            </w:pPr>
            <w:r>
              <w:rPr/>
              <w:t> </w:t>
            </w:r>
          </w:p>
        </w:tc>
      </w:tr>
      <w:tr>
        <w:trPr/>
        <w:tc>
          <w:tcPr>
            <w:tcW w:w="40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64" w:type="dxa"/>
            <w:gridSpan w:val="2"/>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64"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180"/>
              <w:jc w:val="left"/>
              <w:rPr/>
            </w:pPr>
            <w:r>
              <w:rPr/>
              <w:t> </w:t>
            </w:r>
          </w:p>
        </w:tc>
      </w:tr>
      <w:tr>
        <w:trPr/>
        <w:tc>
          <w:tcPr>
            <w:tcW w:w="4036"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J</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220,269</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(11,254</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209,015</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4036"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K</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126,970</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tcMar>
              <w:bottom w:w="28" w:type="dxa"/>
            </w:tcMar>
            <w:vAlign w:val="center"/>
          </w:tcPr>
          <w:p>
            <w:pPr>
              <w:pStyle w:val="TableContents"/>
              <w:bidi w:val="0"/>
              <w:spacing w:before="0" w:after="283"/>
              <w:jc w:val="right"/>
              <w:rPr/>
            </w:pPr>
            <w:r>
              <w:rPr/>
              <w:t>(1,171</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125,799</w:t>
            </w:r>
          </w:p>
        </w:tc>
        <w:tc>
          <w:tcPr>
            <w:tcW w:w="146" w:type="dxa"/>
            <w:tcBorders/>
            <w:vAlign w:val="center"/>
          </w:tcPr>
          <w:p>
            <w:pPr>
              <w:pStyle w:val="TableContents"/>
              <w:bidi w:val="0"/>
              <w:spacing w:before="0" w:after="283"/>
              <w:ind w:left="0" w:right="0" w:hanging="180"/>
              <w:jc w:val="left"/>
              <w:rPr/>
            </w:pPr>
            <w:r>
              <w:rPr/>
              <w:t> </w:t>
            </w:r>
          </w:p>
        </w:tc>
      </w:tr>
      <w:tr>
        <w:trPr/>
        <w:tc>
          <w:tcPr>
            <w:tcW w:w="4036"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93,299</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(10,083</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83,216</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4036"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ind w:left="0" w:right="0" w:hanging="180"/>
              <w:jc w:val="left"/>
              <w:rPr/>
            </w:pPr>
            <w:r>
              <w:rPr/>
              <w:t> </w:t>
            </w:r>
          </w:p>
        </w:tc>
      </w:tr>
      <w:tr>
        <w:trPr/>
        <w:tc>
          <w:tcPr>
            <w:tcW w:w="4036"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L</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24,273</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636</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24,909</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4036"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M</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21,764</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(259</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21,505</w:t>
            </w:r>
          </w:p>
        </w:tc>
        <w:tc>
          <w:tcPr>
            <w:tcW w:w="146" w:type="dxa"/>
            <w:tcBorders/>
            <w:vAlign w:val="center"/>
          </w:tcPr>
          <w:p>
            <w:pPr>
              <w:pStyle w:val="TableContents"/>
              <w:bidi w:val="0"/>
              <w:spacing w:before="0" w:after="283"/>
              <w:ind w:left="0" w:right="0" w:hanging="180"/>
              <w:jc w:val="left"/>
              <w:rPr/>
            </w:pPr>
            <w:r>
              <w:rPr/>
              <w:t> </w:t>
            </w:r>
          </w:p>
        </w:tc>
      </w:tr>
      <w:tr>
        <w:trPr/>
        <w:tc>
          <w:tcPr>
            <w:tcW w:w="4036"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N</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52,382</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(1,337</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51,045</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4036"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98,419</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tcMar>
              <w:bottom w:w="28" w:type="dxa"/>
            </w:tcMar>
            <w:vAlign w:val="center"/>
          </w:tcPr>
          <w:p>
            <w:pPr>
              <w:pStyle w:val="TableContents"/>
              <w:bidi w:val="0"/>
              <w:spacing w:before="0" w:after="283"/>
              <w:jc w:val="right"/>
              <w:rPr/>
            </w:pPr>
            <w:r>
              <w:rPr/>
              <w:t>(960</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97,459</w:t>
            </w:r>
          </w:p>
        </w:tc>
        <w:tc>
          <w:tcPr>
            <w:tcW w:w="146" w:type="dxa"/>
            <w:tcBorders/>
            <w:vAlign w:val="center"/>
          </w:tcPr>
          <w:p>
            <w:pPr>
              <w:pStyle w:val="TableContents"/>
              <w:bidi w:val="0"/>
              <w:spacing w:before="0" w:after="283"/>
              <w:ind w:left="0" w:right="0" w:hanging="180"/>
              <w:jc w:val="left"/>
              <w:rPr/>
            </w:pPr>
            <w:r>
              <w:rPr/>
              <w:t> </w:t>
            </w:r>
          </w:p>
        </w:tc>
      </w:tr>
      <w:tr>
        <w:trPr/>
        <w:tc>
          <w:tcPr>
            <w:tcW w:w="4036"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(5,120</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(9,123</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(14,243</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4036"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O</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(23,258</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4,107</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(19,151</w:t>
            </w:r>
          </w:p>
        </w:tc>
        <w:tc>
          <w:tcPr>
            <w:tcW w:w="146" w:type="dxa"/>
            <w:tcBorders/>
            <w:vAlign w:val="center"/>
          </w:tcPr>
          <w:p>
            <w:pPr>
              <w:pStyle w:val="TableContents"/>
              <w:bidi w:val="0"/>
              <w:spacing w:before="0" w:after="283"/>
              <w:ind w:left="0" w:right="0" w:hanging="180"/>
              <w:jc w:val="left"/>
              <w:rPr/>
            </w:pPr>
            <w:r>
              <w:rPr/>
              <w:t>)</w:t>
            </w:r>
          </w:p>
        </w:tc>
      </w:tr>
      <w:tr>
        <w:trPr/>
        <w:tc>
          <w:tcPr>
            <w:tcW w:w="4036"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0"/>
              <w:jc w:val="right"/>
              <w:rPr/>
            </w:pPr>
            <w:r>
              <w:rPr/>
              <w:t>—</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4036"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(1,724</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tcMar>
              <w:bottom w:w="28" w:type="dxa"/>
            </w:tcMar>
            <w:vAlign w:val="center"/>
          </w:tcPr>
          <w:p>
            <w:pPr>
              <w:pStyle w:val="TableContents"/>
              <w:bidi w:val="0"/>
              <w:spacing w:before="0" w:after="0"/>
              <w:jc w:val="right"/>
              <w:rPr/>
            </w:pPr>
            <w:r>
              <w:rPr/>
              <w:t>—</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(1,724</w:t>
            </w:r>
          </w:p>
        </w:tc>
        <w:tc>
          <w:tcPr>
            <w:tcW w:w="146" w:type="dxa"/>
            <w:tcBorders/>
            <w:vAlign w:val="center"/>
          </w:tcPr>
          <w:p>
            <w:pPr>
              <w:pStyle w:val="TableContents"/>
              <w:bidi w:val="0"/>
              <w:spacing w:before="0" w:after="283"/>
              <w:ind w:left="0" w:right="0" w:hanging="180"/>
              <w:jc w:val="left"/>
              <w:rPr/>
            </w:pPr>
            <w:r>
              <w:rPr/>
              <w:t>)</w:t>
            </w:r>
          </w:p>
        </w:tc>
      </w:tr>
      <w:tr>
        <w:trPr/>
        <w:tc>
          <w:tcPr>
            <w:tcW w:w="4036" w:type="dxa"/>
            <w:tcBorders/>
            <w:shd w:fill="CCEEFF" w:val="clear"/>
            <w:vAlign w:val="center"/>
          </w:tcPr>
          <w:p>
            <w:pPr>
              <w:pStyle w:val="TableContents"/>
              <w:bidi w:val="0"/>
              <w:spacing w:before="0" w:after="283"/>
              <w:jc w:val="left"/>
              <w:rPr/>
            </w:pPr>
            <w:r>
              <w:rPr/>
              <w:t>Total other expense, net</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(24,979</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4,107</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(20,872</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4036" w:type="dxa"/>
            <w:tcBorders/>
            <w:vAlign w:val="center"/>
          </w:tcPr>
          <w:p>
            <w:pPr>
              <w:pStyle w:val="TableContents"/>
              <w:bidi w:val="0"/>
              <w:spacing w:before="0" w:after="283"/>
              <w:jc w:val="left"/>
              <w:rPr/>
            </w:pPr>
            <w:r>
              <w:rPr/>
              <w:t>Loss from continuing operations before income taxes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(30,099</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tcMar>
              <w:bottom w:w="28" w:type="dxa"/>
            </w:tcMar>
            <w:vAlign w:val="center"/>
          </w:tcPr>
          <w:p>
            <w:pPr>
              <w:pStyle w:val="TableContents"/>
              <w:bidi w:val="0"/>
              <w:spacing w:before="0" w:after="283"/>
              <w:jc w:val="right"/>
              <w:rPr/>
            </w:pPr>
            <w:r>
              <w:rPr/>
              <w:t>(5,016</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(35,115</w:t>
            </w:r>
          </w:p>
        </w:tc>
        <w:tc>
          <w:tcPr>
            <w:tcW w:w="146" w:type="dxa"/>
            <w:tcBorders/>
            <w:vAlign w:val="center"/>
          </w:tcPr>
          <w:p>
            <w:pPr>
              <w:pStyle w:val="TableContents"/>
              <w:bidi w:val="0"/>
              <w:spacing w:before="0" w:after="283"/>
              <w:ind w:left="0" w:right="0" w:hanging="180"/>
              <w:jc w:val="left"/>
              <w:rPr/>
            </w:pPr>
            <w:r>
              <w:rPr/>
              <w:t>)</w:t>
            </w:r>
          </w:p>
        </w:tc>
      </w:tr>
      <w:tr>
        <w:trPr/>
        <w:tc>
          <w:tcPr>
            <w:tcW w:w="4036" w:type="dxa"/>
            <w:tcBorders/>
            <w:shd w:fill="CCEEFF" w:val="clear"/>
            <w:vAlign w:val="center"/>
          </w:tcPr>
          <w:p>
            <w:pPr>
              <w:pStyle w:val="TableContents"/>
              <w:bidi w:val="0"/>
              <w:spacing w:before="0" w:after="283"/>
              <w:jc w:val="left"/>
              <w:rPr/>
            </w:pPr>
            <w:r>
              <w:rPr/>
              <w:t>Income tax provision</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4036" w:type="dxa"/>
            <w:tcBorders/>
            <w:vAlign w:val="center"/>
          </w:tcPr>
          <w:p>
            <w:pPr>
              <w:pStyle w:val="TableContents"/>
              <w:bidi w:val="0"/>
              <w:spacing w:before="0" w:after="283"/>
              <w:jc w:val="left"/>
              <w:rPr/>
            </w:pPr>
            <w:r>
              <w:rPr/>
              <w:t>Net loss from continuing operations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(30,099</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tcMar>
              <w:bottom w:w="28" w:type="dxa"/>
            </w:tcMar>
            <w:vAlign w:val="center"/>
          </w:tcPr>
          <w:p>
            <w:pPr>
              <w:pStyle w:val="TableContents"/>
              <w:bidi w:val="0"/>
              <w:spacing w:before="0" w:after="283"/>
              <w:jc w:val="right"/>
              <w:rPr/>
            </w:pPr>
            <w:r>
              <w:rPr/>
              <w:t>(5,016</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(35,115</w:t>
            </w:r>
          </w:p>
        </w:tc>
        <w:tc>
          <w:tcPr>
            <w:tcW w:w="146" w:type="dxa"/>
            <w:tcBorders/>
            <w:vAlign w:val="center"/>
          </w:tcPr>
          <w:p>
            <w:pPr>
              <w:pStyle w:val="TableContents"/>
              <w:bidi w:val="0"/>
              <w:spacing w:before="0" w:after="283"/>
              <w:ind w:left="0" w:right="0" w:hanging="180"/>
              <w:jc w:val="left"/>
              <w:rPr/>
            </w:pPr>
            <w:r>
              <w:rPr/>
              <w:t>)</w:t>
            </w:r>
          </w:p>
        </w:tc>
      </w:tr>
      <w:tr>
        <w:trPr/>
        <w:tc>
          <w:tcPr>
            <w:tcW w:w="4036" w:type="dxa"/>
            <w:tcBorders/>
            <w:shd w:fill="CCEEFF" w:val="clear"/>
            <w:vAlign w:val="center"/>
          </w:tcPr>
          <w:p>
            <w:pPr>
              <w:pStyle w:val="TableContents"/>
              <w:bidi w:val="0"/>
              <w:spacing w:before="0" w:after="283"/>
              <w:jc w:val="left"/>
              <w:rPr/>
            </w:pPr>
            <w:r>
              <w:rPr/>
              <w:t>Net loss from discontinued operations, net of taxes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(1,100</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(1,100</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4036"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(31,199</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tcMar>
              <w:bottom w:w="28" w:type="dxa"/>
            </w:tcMar>
            <w:vAlign w:val="center"/>
          </w:tcPr>
          <w:p>
            <w:pPr>
              <w:pStyle w:val="TableContents"/>
              <w:bidi w:val="0"/>
              <w:spacing w:before="0" w:after="283"/>
              <w:jc w:val="right"/>
              <w:rPr/>
            </w:pPr>
            <w:r>
              <w:rPr/>
              <w:t>(5,016</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(36,215</w:t>
            </w:r>
          </w:p>
        </w:tc>
        <w:tc>
          <w:tcPr>
            <w:tcW w:w="146" w:type="dxa"/>
            <w:tcBorders/>
            <w:vAlign w:val="center"/>
          </w:tcPr>
          <w:p>
            <w:pPr>
              <w:pStyle w:val="TableContents"/>
              <w:bidi w:val="0"/>
              <w:spacing w:before="0" w:after="283"/>
              <w:ind w:left="0" w:right="0" w:hanging="180"/>
              <w:jc w:val="left"/>
              <w:rPr/>
            </w:pPr>
            <w:r>
              <w:rPr/>
              <w:t>)</w:t>
            </w:r>
          </w:p>
        </w:tc>
      </w:tr>
      <w:tr>
        <w:trPr/>
        <w:tc>
          <w:tcPr>
            <w:tcW w:w="4036" w:type="dxa"/>
            <w:tcBorders/>
            <w:shd w:fill="CCEEFF" w:val="clear"/>
            <w:vAlign w:val="center"/>
          </w:tcPr>
          <w:p>
            <w:pPr>
              <w:pStyle w:val="TableContents"/>
              <w:bidi w:val="0"/>
              <w:spacing w:before="0" w:after="283"/>
              <w:jc w:val="left"/>
              <w:rPr/>
            </w:pPr>
            <w:r>
              <w:rPr/>
              <w:t>Comprehensive loss, net of tax</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(31,199</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double" w:sz="10" w:space="0" w:color="000000"/>
            </w:tcBorders>
            <w:shd w:fill="CCEEFF" w:val="clear"/>
            <w:tcMar>
              <w:bottom w:w="28" w:type="dxa"/>
            </w:tcMar>
            <w:vAlign w:val="center"/>
          </w:tcPr>
          <w:p>
            <w:pPr>
              <w:pStyle w:val="TableContents"/>
              <w:bidi w:val="0"/>
              <w:spacing w:before="0" w:after="283"/>
              <w:jc w:val="right"/>
              <w:rPr/>
            </w:pPr>
            <w:r>
              <w:rPr/>
              <w:t>(5,016</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(36,215</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4036" w:type="dxa"/>
            <w:tcBorders/>
            <w:vAlign w:val="center"/>
          </w:tcPr>
          <w:p>
            <w:pPr>
              <w:pStyle w:val="TableContents"/>
              <w:bidi w:val="0"/>
              <w:spacing w:before="0" w:after="283"/>
              <w:jc w:val="left"/>
              <w:rPr/>
            </w:pPr>
            <w:r>
              <w:rPr/>
              <w:t>Net loss from continuing operations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tcMar>
              <w:bottom w:w="28" w:type="dxa"/>
            </w:tcMar>
            <w:vAlign w:val="center"/>
          </w:tcPr>
          <w:p>
            <w:pPr>
              <w:pStyle w:val="TableContents"/>
              <w:bidi w:val="0"/>
              <w:spacing w:before="0" w:after="283"/>
              <w:jc w:val="right"/>
              <w:rPr/>
            </w:pPr>
            <w:r>
              <w:rPr/>
              <w:t>(0.37</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1102" w:type="dxa"/>
            <w:tcBorders>
              <w:bottom w:val="double" w:sz="10" w:space="0" w:color="000000"/>
            </w:tcBorders>
            <w:tcMar>
              <w:bottom w:w="28" w:type="dxa"/>
            </w:tcMar>
            <w:vAlign w:val="center"/>
          </w:tcPr>
          <w:p>
            <w:pPr>
              <w:pStyle w:val="TableContents"/>
              <w:bidi w:val="0"/>
              <w:spacing w:before="0" w:after="283"/>
              <w:jc w:val="right"/>
              <w:rPr/>
            </w:pPr>
            <w:r>
              <w:rPr/>
              <w:t>(0.06</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tcMar>
              <w:bottom w:w="28" w:type="dxa"/>
            </w:tcMar>
            <w:vAlign w:val="center"/>
          </w:tcPr>
          <w:p>
            <w:pPr>
              <w:pStyle w:val="TableContents"/>
              <w:bidi w:val="0"/>
              <w:spacing w:before="0" w:after="283"/>
              <w:jc w:val="right"/>
              <w:rPr/>
            </w:pPr>
            <w:r>
              <w:rPr/>
              <w:t>(0.43</w:t>
            </w:r>
          </w:p>
        </w:tc>
        <w:tc>
          <w:tcPr>
            <w:tcW w:w="146" w:type="dxa"/>
            <w:tcBorders/>
            <w:vAlign w:val="center"/>
          </w:tcPr>
          <w:p>
            <w:pPr>
              <w:pStyle w:val="TableContents"/>
              <w:bidi w:val="0"/>
              <w:spacing w:before="0" w:after="283"/>
              <w:ind w:left="0" w:right="0" w:hanging="180"/>
              <w:jc w:val="left"/>
              <w:rPr/>
            </w:pPr>
            <w:r>
              <w:rPr/>
              <w:t>)</w:t>
            </w:r>
          </w:p>
        </w:tc>
      </w:tr>
      <w:tr>
        <w:trPr/>
        <w:tc>
          <w:tcPr>
            <w:tcW w:w="4036" w:type="dxa"/>
            <w:tcBorders/>
            <w:shd w:fill="CCEEFF" w:val="clear"/>
            <w:vAlign w:val="center"/>
          </w:tcPr>
          <w:p>
            <w:pPr>
              <w:pStyle w:val="TableContents"/>
              <w:bidi w:val="0"/>
              <w:spacing w:before="0" w:after="283"/>
              <w:jc w:val="left"/>
              <w:rPr/>
            </w:pPr>
            <w:r>
              <w:rPr/>
              <w:t>Net loss from discontinued operations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4036" w:type="dxa"/>
            <w:tcBorders/>
            <w:vAlign w:val="center"/>
          </w:tcPr>
          <w:p>
            <w:pPr>
              <w:pStyle w:val="TableContents"/>
              <w:bidi w:val="0"/>
              <w:spacing w:before="0" w:after="283"/>
              <w:jc w:val="left"/>
              <w:rPr/>
            </w:pPr>
            <w:r>
              <w:rPr/>
              <w:t>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tcMar>
              <w:bottom w:w="28" w:type="dxa"/>
            </w:tcMar>
            <w:vAlign w:val="center"/>
          </w:tcPr>
          <w:p>
            <w:pPr>
              <w:pStyle w:val="TableContents"/>
              <w:bidi w:val="0"/>
              <w:spacing w:before="0" w:after="283"/>
              <w:jc w:val="right"/>
              <w:rPr/>
            </w:pPr>
            <w:r>
              <w:rPr/>
              <w:t>(0.38</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1102" w:type="dxa"/>
            <w:tcBorders>
              <w:bottom w:val="double" w:sz="10" w:space="0" w:color="000000"/>
            </w:tcBorders>
            <w:tcMar>
              <w:bottom w:w="28" w:type="dxa"/>
            </w:tcMar>
            <w:vAlign w:val="center"/>
          </w:tcPr>
          <w:p>
            <w:pPr>
              <w:pStyle w:val="TableContents"/>
              <w:bidi w:val="0"/>
              <w:spacing w:before="0" w:after="283"/>
              <w:jc w:val="right"/>
              <w:rPr/>
            </w:pPr>
            <w:r>
              <w:rPr/>
              <w:t>(0.06</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tcMar>
              <w:bottom w:w="28" w:type="dxa"/>
            </w:tcMar>
            <w:vAlign w:val="center"/>
          </w:tcPr>
          <w:p>
            <w:pPr>
              <w:pStyle w:val="TableContents"/>
              <w:bidi w:val="0"/>
              <w:spacing w:before="0" w:after="283"/>
              <w:jc w:val="right"/>
              <w:rPr/>
            </w:pPr>
            <w:r>
              <w:rPr/>
              <w:t>(0.44</w:t>
            </w:r>
          </w:p>
        </w:tc>
        <w:tc>
          <w:tcPr>
            <w:tcW w:w="146" w:type="dxa"/>
            <w:tcBorders/>
            <w:vAlign w:val="center"/>
          </w:tcPr>
          <w:p>
            <w:pPr>
              <w:pStyle w:val="TableContents"/>
              <w:bidi w:val="0"/>
              <w:spacing w:before="0" w:after="283"/>
              <w:ind w:left="0" w:right="0" w:hanging="180"/>
              <w:jc w:val="left"/>
              <w:rPr/>
            </w:pPr>
            <w:r>
              <w:rPr/>
              <w:t>)</w:t>
            </w:r>
          </w:p>
        </w:tc>
      </w:tr>
      <w:tr>
        <w:trPr/>
        <w:tc>
          <w:tcPr>
            <w:tcW w:w="4036" w:type="dxa"/>
            <w:tcBorders/>
            <w:shd w:fill="CCEEFF" w:val="clear"/>
            <w:vAlign w:val="center"/>
          </w:tcPr>
          <w:p>
            <w:pPr>
              <w:pStyle w:val="TableContents"/>
              <w:bidi w:val="0"/>
              <w:spacing w:before="0" w:after="283"/>
              <w:jc w:val="left"/>
              <w:rPr/>
            </w:pPr>
            <w:r>
              <w:rPr/>
              <w:t>Weighted-average shares used to compute net loss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Q</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82,036,790</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double" w:sz="10" w:space="0" w:color="000000"/>
            </w:tcBorders>
            <w:shd w:fill="CCEEFF" w:val="clear"/>
            <w:tcMar>
              <w:bottom w:w="28" w:type="dxa"/>
            </w:tcMar>
            <w:vAlign w:val="center"/>
          </w:tcPr>
          <w:p>
            <w:pPr>
              <w:pStyle w:val="TableContents"/>
              <w:bidi w:val="0"/>
              <w:spacing w:before="0" w:after="283"/>
              <w:jc w:val="right"/>
              <w:rPr/>
            </w:pPr>
            <w:r>
              <w:rPr/>
              <w:t>(43,700</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81,993,090</w:t>
            </w:r>
          </w:p>
        </w:tc>
        <w:tc>
          <w:tcPr>
            <w:tcW w:w="14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Unaudited Condensed Consolidated Statement of Stockholders’ Deficit</w:t>
      </w:r>
    </w:p>
    <w:p>
      <w:pPr>
        <w:pStyle w:val="TextBody"/>
        <w:bidi w:val="0"/>
        <w:spacing w:before="0" w:after="0"/>
        <w:ind w:left="108"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number of shares)</w:t>
      </w:r>
    </w:p>
    <w:p>
      <w:pPr>
        <w:pStyle w:val="TextBody"/>
        <w:bidi w:val="0"/>
        <w:spacing w:before="0" w:after="0"/>
        <w:ind w:left="0" w:right="0" w:hanging="0"/>
        <w:jc w:val="both"/>
        <w:rPr>
          <w:caps w:val="false"/>
          <w:smallCaps w:val="false"/>
        </w:rPr>
      </w:pPr>
      <w:r>
        <w:rPr>
          <w:caps w:val="false"/>
          <w:smallCaps w:val="false"/>
        </w:rPr>
        <w:t> </w:t>
      </w:r>
    </w:p>
    <w:tbl>
      <w:tblPr>
        <w:tblW w:w="11700" w:type="dxa"/>
        <w:jc w:val="left"/>
        <w:tblInd w:w="0" w:type="dxa"/>
        <w:tblLayout w:type="fixed"/>
        <w:tblCellMar>
          <w:top w:w="0" w:type="dxa"/>
          <w:left w:w="0" w:type="dxa"/>
          <w:bottom w:w="0" w:type="dxa"/>
          <w:right w:w="0" w:type="dxa"/>
        </w:tblCellMar>
      </w:tblPr>
      <w:tblGrid>
        <w:gridCol w:w="1370"/>
        <w:gridCol w:w="90"/>
        <w:gridCol w:w="1325"/>
        <w:gridCol w:w="90"/>
        <w:gridCol w:w="90"/>
        <w:gridCol w:w="1130"/>
        <w:gridCol w:w="125"/>
        <w:gridCol w:w="90"/>
        <w:gridCol w:w="328"/>
        <w:gridCol w:w="562"/>
        <w:gridCol w:w="90"/>
        <w:gridCol w:w="90"/>
        <w:gridCol w:w="192"/>
        <w:gridCol w:w="938"/>
        <w:gridCol w:w="125"/>
        <w:gridCol w:w="90"/>
        <w:gridCol w:w="221"/>
        <w:gridCol w:w="1179"/>
        <w:gridCol w:w="125"/>
        <w:gridCol w:w="90"/>
        <w:gridCol w:w="480"/>
        <w:gridCol w:w="1160"/>
        <w:gridCol w:w="90"/>
        <w:gridCol w:w="90"/>
        <w:gridCol w:w="216"/>
        <w:gridCol w:w="1154"/>
        <w:gridCol w:w="17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65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Thirteen Weeks Ended September 28, 2025</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b/>
              </w:rPr>
            </w:pPr>
            <w:r>
              <w:rPr>
                <w:b/>
              </w:rPr>
              <w:t>Explanatory</w:t>
            </w:r>
          </w:p>
        </w:tc>
        <w:tc>
          <w:tcPr>
            <w:tcW w:w="90" w:type="dxa"/>
            <w:tcBorders/>
            <w:vAlign w:val="center"/>
          </w:tcPr>
          <w:p>
            <w:pPr>
              <w:pStyle w:val="TableContents"/>
              <w:bidi w:val="0"/>
              <w:spacing w:before="0" w:after="283"/>
              <w:jc w:val="left"/>
              <w:rPr/>
            </w:pPr>
            <w:r>
              <w:rPr/>
              <w:t> </w:t>
            </w:r>
          </w:p>
        </w:tc>
        <w:tc>
          <w:tcPr>
            <w:tcW w:w="23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b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 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b/>
              </w:rPr>
            </w:pPr>
            <w:r>
              <w:rPr>
                <w:b/>
              </w:rPr>
              <w:t>As Previously Reported</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as of June 29, 2025</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82,325,722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318,311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(425,674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(107,184</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198,096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216</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4,174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4,174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Vesting of restricted stock units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2,310,811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4,333,334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7,382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7,382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(16,904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(16,904</w:t>
            </w:r>
          </w:p>
        </w:tc>
        <w:tc>
          <w:tcPr>
            <w:tcW w:w="170"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b/>
              </w:rPr>
            </w:pPr>
            <w:r>
              <w:rPr>
                <w:b/>
              </w:rPr>
              <w:t>Balance as of September 28, 2025</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89,167,963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pPr>
            <w:r>
              <w:rPr/>
              <w:t>330,083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pPr>
            <w:r>
              <w:rPr/>
              <w:t>(442,578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pPr>
            <w:r>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pPr>
            <w:r>
              <w:rPr/>
              <w:t>(112,316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Adjustments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b/>
              </w:rPr>
            </w:pPr>
            <w:r>
              <w:rPr>
                <w:b/>
              </w:rPr>
              <w:t>Balance as of June 29, 2025</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(136,253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8" w:type="dxa"/>
            <w:tcBorders/>
            <w:vAlign w:val="center"/>
          </w:tcPr>
          <w:p>
            <w:pPr>
              <w:pStyle w:val="TableContents"/>
              <w:bidi w:val="0"/>
              <w:spacing w:before="0" w:after="283"/>
              <w:jc w:val="right"/>
              <w:rPr/>
            </w:pPr>
            <w:r>
              <w:rPr/>
              <w:t>1,722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283"/>
              <w:jc w:val="right"/>
              <w:rPr/>
            </w:pPr>
            <w:r>
              <w:rPr/>
              <w:t>(8,230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w:t>
            </w:r>
          </w:p>
        </w:tc>
        <w:tc>
          <w:tcPr>
            <w:tcW w:w="1154" w:type="dxa"/>
            <w:tcBorders/>
            <w:vAlign w:val="center"/>
          </w:tcPr>
          <w:p>
            <w:pPr>
              <w:pStyle w:val="TableContents"/>
              <w:bidi w:val="0"/>
              <w:spacing w:before="0" w:after="283"/>
              <w:jc w:val="right"/>
              <w:rPr/>
            </w:pPr>
            <w:r>
              <w:rPr/>
              <w:t>(6,508</w:t>
            </w:r>
          </w:p>
        </w:tc>
        <w:tc>
          <w:tcPr>
            <w:tcW w:w="170"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Exercise of common stock options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(2,051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(2,051</w:t>
            </w:r>
          </w:p>
        </w:tc>
        <w:tc>
          <w:tcPr>
            <w:tcW w:w="170"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(317,452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3,214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3,214</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b/>
              </w:rPr>
            </w:pPr>
            <w:r>
              <w:rPr>
                <w:b/>
              </w:rPr>
              <w:t>Balance as of September 28, 2025</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(453,705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tcMar>
              <w:bottom w:w="28" w:type="dxa"/>
            </w:tcMar>
            <w:vAlign w:val="center"/>
          </w:tcPr>
          <w:p>
            <w:pPr>
              <w:pStyle w:val="TableContents"/>
              <w:bidi w:val="0"/>
              <w:spacing w:before="0" w:after="283"/>
              <w:jc w:val="right"/>
              <w:rPr/>
            </w:pPr>
            <w:r>
              <w:rPr/>
              <w:t>(329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tcMar>
              <w:bottom w:w="28" w:type="dxa"/>
            </w:tcMar>
            <w:vAlign w:val="center"/>
          </w:tcPr>
          <w:p>
            <w:pPr>
              <w:pStyle w:val="TableContents"/>
              <w:bidi w:val="0"/>
              <w:spacing w:before="0" w:after="283"/>
              <w:jc w:val="right"/>
              <w:rPr/>
            </w:pPr>
            <w:r>
              <w:rPr/>
              <w:t>(5,016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bottom w:val="double" w:sz="10" w:space="0" w:color="000000"/>
            </w:tcBorders>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double" w:sz="10" w:space="0" w:color="000000"/>
            </w:tcBorders>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tcMar>
              <w:bottom w:w="28" w:type="dxa"/>
            </w:tcMar>
            <w:vAlign w:val="center"/>
          </w:tcPr>
          <w:p>
            <w:pPr>
              <w:pStyle w:val="TableContents"/>
              <w:bidi w:val="0"/>
              <w:spacing w:before="0" w:after="283"/>
              <w:jc w:val="right"/>
              <w:rPr/>
            </w:pPr>
            <w:r>
              <w:rPr/>
              <w:t>(5,345</w:t>
            </w:r>
          </w:p>
        </w:tc>
        <w:tc>
          <w:tcPr>
            <w:tcW w:w="170"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b/>
              </w:rPr>
            </w:pPr>
            <w:r>
              <w:rPr>
                <w:b/>
              </w:rPr>
              <w:t>(As Restated)</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as of June 29, 2025</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82,189,469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320,033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(433,904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(113,692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198,096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216</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2,123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2,123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Vesting of restricted stock units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1,993,359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4,333,334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7,382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7,382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(13,690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tcMar>
              <w:bottom w:w="28" w:type="dxa"/>
            </w:tcMar>
            <w:vAlign w:val="center"/>
          </w:tcPr>
          <w:p>
            <w:pPr>
              <w:pStyle w:val="TableContents"/>
              <w:bidi w:val="0"/>
              <w:spacing w:before="0" w:after="283"/>
              <w:jc w:val="right"/>
              <w:rPr/>
            </w:pPr>
            <w:r>
              <w:rPr/>
              <w:t>(13,690</w:t>
            </w:r>
          </w:p>
        </w:tc>
        <w:tc>
          <w:tcPr>
            <w:tcW w:w="170"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b/>
              </w:rPr>
            </w:pPr>
            <w:r>
              <w:rPr>
                <w:b/>
              </w:rPr>
              <w:t>Balance as of September 28, 2025</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88,714,258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pPr>
            <w:r>
              <w:rPr/>
              <w:t>329,754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pPr>
            <w:r>
              <w:rPr/>
              <w:t>(447,594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pPr>
            <w:r>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shd w:fill="CCEEFF" w:val="clear"/>
            <w:tcMar>
              <w:bottom w:w="28" w:type="dxa"/>
            </w:tcMar>
            <w:vAlign w:val="center"/>
          </w:tcPr>
          <w:p>
            <w:pPr>
              <w:pStyle w:val="TableContents"/>
              <w:bidi w:val="0"/>
              <w:spacing w:before="0" w:after="283"/>
              <w:jc w:val="right"/>
              <w:rPr/>
            </w:pPr>
            <w:r>
              <w:rPr/>
              <w:t>(117,661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Unaudited Condensed Consolidated Statement of Stockholders’ Deficit</w:t>
      </w:r>
    </w:p>
    <w:p>
      <w:pPr>
        <w:pStyle w:val="TextBody"/>
        <w:bidi w:val="0"/>
        <w:spacing w:before="0" w:after="0"/>
        <w:ind w:left="108"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number of shares)</w:t>
      </w:r>
    </w:p>
    <w:p>
      <w:pPr>
        <w:pStyle w:val="TextBody"/>
        <w:bidi w:val="0"/>
        <w:spacing w:before="0" w:after="0"/>
        <w:ind w:left="0" w:right="0" w:hanging="0"/>
        <w:jc w:val="both"/>
        <w:rPr>
          <w:caps w:val="false"/>
          <w:smallCaps w:val="false"/>
        </w:rPr>
      </w:pPr>
      <w:r>
        <w:rPr>
          <w:caps w:val="false"/>
          <w:smallCaps w:val="false"/>
        </w:rPr>
        <w:t> </w:t>
      </w:r>
    </w:p>
    <w:tbl>
      <w:tblPr>
        <w:tblW w:w="11700" w:type="dxa"/>
        <w:jc w:val="left"/>
        <w:tblInd w:w="0" w:type="dxa"/>
        <w:tblLayout w:type="fixed"/>
        <w:tblCellMar>
          <w:top w:w="0" w:type="dxa"/>
          <w:left w:w="0" w:type="dxa"/>
          <w:bottom w:w="0" w:type="dxa"/>
          <w:right w:w="0" w:type="dxa"/>
        </w:tblCellMar>
      </w:tblPr>
      <w:tblGrid>
        <w:gridCol w:w="1370"/>
        <w:gridCol w:w="90"/>
        <w:gridCol w:w="1325"/>
        <w:gridCol w:w="90"/>
        <w:gridCol w:w="90"/>
        <w:gridCol w:w="1130"/>
        <w:gridCol w:w="125"/>
        <w:gridCol w:w="90"/>
        <w:gridCol w:w="328"/>
        <w:gridCol w:w="562"/>
        <w:gridCol w:w="90"/>
        <w:gridCol w:w="90"/>
        <w:gridCol w:w="192"/>
        <w:gridCol w:w="938"/>
        <w:gridCol w:w="125"/>
        <w:gridCol w:w="90"/>
        <w:gridCol w:w="221"/>
        <w:gridCol w:w="1179"/>
        <w:gridCol w:w="125"/>
        <w:gridCol w:w="90"/>
        <w:gridCol w:w="480"/>
        <w:gridCol w:w="1160"/>
        <w:gridCol w:w="90"/>
        <w:gridCol w:w="90"/>
        <w:gridCol w:w="216"/>
        <w:gridCol w:w="1154"/>
        <w:gridCol w:w="17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65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Thirty-Nine Weeks Ended September 28, 2025</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b/>
              </w:rPr>
            </w:pPr>
            <w:r>
              <w:rPr>
                <w:b/>
              </w:rPr>
              <w:t>Explanatory</w:t>
            </w:r>
          </w:p>
        </w:tc>
        <w:tc>
          <w:tcPr>
            <w:tcW w:w="90" w:type="dxa"/>
            <w:tcBorders/>
            <w:vAlign w:val="center"/>
          </w:tcPr>
          <w:p>
            <w:pPr>
              <w:pStyle w:val="TableContents"/>
              <w:bidi w:val="0"/>
              <w:spacing w:before="0" w:after="283"/>
              <w:jc w:val="left"/>
              <w:rPr/>
            </w:pPr>
            <w:r>
              <w:rPr/>
              <w:t> </w:t>
            </w:r>
          </w:p>
        </w:tc>
        <w:tc>
          <w:tcPr>
            <w:tcW w:w="23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b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 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b/>
              </w:rPr>
            </w:pPr>
            <w:r>
              <w:rPr>
                <w:b/>
              </w:rPr>
              <w:t>As Previously Reported</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73,784,645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313,661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(411,379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(97,539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731,671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775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775</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8,205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8,205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Vesting of restricted stock units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4,318,313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Exercise of common stock warrants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4,333,334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7,382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7,382</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(31,199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(31,199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b/>
              </w:rPr>
            </w:pPr>
            <w:r>
              <w:rPr>
                <w:b/>
              </w:rPr>
              <w:t>Balance as of September 28, 2025</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89,167,963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tcMar>
              <w:bottom w:w="28" w:type="dxa"/>
            </w:tcMar>
            <w:vAlign w:val="center"/>
          </w:tcPr>
          <w:p>
            <w:pPr>
              <w:pStyle w:val="TableContents"/>
              <w:bidi w:val="0"/>
              <w:spacing w:before="0" w:after="283"/>
              <w:jc w:val="right"/>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tcMar>
              <w:bottom w:w="28" w:type="dxa"/>
            </w:tcMar>
            <w:vAlign w:val="center"/>
          </w:tcPr>
          <w:p>
            <w:pPr>
              <w:pStyle w:val="TableContents"/>
              <w:bidi w:val="0"/>
              <w:spacing w:before="0" w:after="283"/>
              <w:jc w:val="right"/>
              <w:rPr/>
            </w:pPr>
            <w:r>
              <w:rPr/>
              <w:t>330,083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tcMar>
              <w:bottom w:w="28" w:type="dxa"/>
            </w:tcMar>
            <w:vAlign w:val="center"/>
          </w:tcPr>
          <w:p>
            <w:pPr>
              <w:pStyle w:val="TableContents"/>
              <w:bidi w:val="0"/>
              <w:spacing w:before="0" w:after="283"/>
              <w:jc w:val="right"/>
              <w:rPr/>
            </w:pPr>
            <w:r>
              <w:rPr/>
              <w:t>(442,578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bottom w:val="double" w:sz="10" w:space="0" w:color="000000"/>
            </w:tcBorders>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tcMar>
              <w:bottom w:w="28" w:type="dxa"/>
            </w:tcMar>
            <w:vAlign w:val="center"/>
          </w:tcPr>
          <w:p>
            <w:pPr>
              <w:pStyle w:val="TableContents"/>
              <w:bidi w:val="0"/>
              <w:spacing w:before="0" w:after="283"/>
              <w:jc w:val="right"/>
              <w:rPr/>
            </w:pPr>
            <w:r>
              <w:rPr/>
              <w:t>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double" w:sz="10" w:space="0" w:color="000000"/>
            </w:tcBorders>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tcMar>
              <w:bottom w:w="28" w:type="dxa"/>
            </w:tcMar>
            <w:vAlign w:val="center"/>
          </w:tcPr>
          <w:p>
            <w:pPr>
              <w:pStyle w:val="TableContents"/>
              <w:bidi w:val="0"/>
              <w:spacing w:before="0" w:after="283"/>
              <w:jc w:val="right"/>
              <w:rPr/>
            </w:pPr>
            <w:r>
              <w:rPr/>
              <w:t>(112,316</w:t>
            </w:r>
          </w:p>
        </w:tc>
        <w:tc>
          <w:tcPr>
            <w:tcW w:w="170"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b/>
              </w:rPr>
            </w:pPr>
            <w:r>
              <w:rPr>
                <w:b/>
              </w:rPr>
              <w:t>Adjustments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(329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Vesting of restricted stock units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(453,705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Exercise of common stock warrants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(5,016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(5,016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b/>
              </w:rPr>
            </w:pPr>
            <w:r>
              <w:rPr>
                <w:b/>
              </w:rPr>
              <w:t>Balance as of September 28, 2025</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(453,705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tcMar>
              <w:bottom w:w="28" w:type="dxa"/>
            </w:tcMar>
            <w:vAlign w:val="center"/>
          </w:tcPr>
          <w:p>
            <w:pPr>
              <w:pStyle w:val="TableContents"/>
              <w:bidi w:val="0"/>
              <w:spacing w:before="0" w:after="283"/>
              <w:jc w:val="right"/>
              <w:rPr/>
            </w:pPr>
            <w:r>
              <w:rPr/>
              <w:t>(329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tcMar>
              <w:bottom w:w="28" w:type="dxa"/>
            </w:tcMar>
            <w:vAlign w:val="center"/>
          </w:tcPr>
          <w:p>
            <w:pPr>
              <w:pStyle w:val="TableContents"/>
              <w:bidi w:val="0"/>
              <w:spacing w:before="0" w:after="283"/>
              <w:jc w:val="right"/>
              <w:rPr/>
            </w:pPr>
            <w:r>
              <w:rPr/>
              <w:t>(5,016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bottom w:val="double" w:sz="10" w:space="0" w:color="000000"/>
            </w:tcBorders>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double" w:sz="10" w:space="0" w:color="000000"/>
            </w:tcBorders>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tcMar>
              <w:bottom w:w="28" w:type="dxa"/>
            </w:tcMar>
            <w:vAlign w:val="center"/>
          </w:tcPr>
          <w:p>
            <w:pPr>
              <w:pStyle w:val="TableContents"/>
              <w:bidi w:val="0"/>
              <w:spacing w:before="0" w:after="283"/>
              <w:jc w:val="right"/>
              <w:rPr/>
            </w:pPr>
            <w:r>
              <w:rPr/>
              <w:t>(5,345</w:t>
            </w:r>
          </w:p>
        </w:tc>
        <w:tc>
          <w:tcPr>
            <w:tcW w:w="170"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b/>
              </w:rPr>
            </w:pPr>
            <w:r>
              <w:rPr>
                <w:b/>
              </w:rPr>
              <w:t>(As Restated)</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73,784,645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562" w:type="dxa"/>
            <w:tcBorders/>
            <w:shd w:fill="CCEEFF" w:val="clear"/>
            <w:vAlign w:val="center"/>
          </w:tcPr>
          <w:p>
            <w:pPr>
              <w:pStyle w:val="TableContents"/>
              <w:bidi w:val="0"/>
              <w:spacing w:before="0" w:after="283"/>
              <w:jc w:val="right"/>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313,661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(411,379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(97,539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731,671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775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775</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7,876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7,876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Vesting of restricted stock units</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3,864,608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Exercise of common stock warrants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4,333,334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7,382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7,382</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pPr>
            <w:r>
              <w:rPr/>
              <w:t>(36,215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center"/>
          </w:tcPr>
          <w:p>
            <w:pPr>
              <w:pStyle w:val="TableContents"/>
              <w:bidi w:val="0"/>
              <w:spacing w:before="0" w:after="283"/>
              <w:jc w:val="right"/>
              <w:rPr/>
            </w:pPr>
            <w:r>
              <w:rPr/>
              <w:t>(36,215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b/>
              </w:rPr>
            </w:pPr>
            <w:r>
              <w:rPr>
                <w:b/>
              </w:rPr>
              <w:t>Balance as of September 28, 2025</w:t>
            </w:r>
          </w:p>
        </w:tc>
        <w:tc>
          <w:tcPr>
            <w:tcW w:w="9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88,714,258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pPr>
            <w:r>
              <w:rPr/>
              <w:t>$</w:t>
            </w:r>
          </w:p>
        </w:tc>
        <w:tc>
          <w:tcPr>
            <w:tcW w:w="562" w:type="dxa"/>
            <w:tcBorders>
              <w:bottom w:val="double" w:sz="10" w:space="0" w:color="000000"/>
            </w:tcBorders>
            <w:tcMar>
              <w:bottom w:w="28" w:type="dxa"/>
            </w:tcMar>
            <w:vAlign w:val="center"/>
          </w:tcPr>
          <w:p>
            <w:pPr>
              <w:pStyle w:val="TableContents"/>
              <w:bidi w:val="0"/>
              <w:spacing w:before="0" w:after="283"/>
              <w:jc w:val="right"/>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tcMar>
              <w:bottom w:w="28" w:type="dxa"/>
            </w:tcMar>
            <w:vAlign w:val="center"/>
          </w:tcPr>
          <w:p>
            <w:pPr>
              <w:pStyle w:val="TableContents"/>
              <w:bidi w:val="0"/>
              <w:spacing w:before="0" w:after="283"/>
              <w:jc w:val="right"/>
              <w:rPr/>
            </w:pPr>
            <w:r>
              <w:rPr/>
              <w:t>329,754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9" w:type="dxa"/>
            <w:tcBorders>
              <w:bottom w:val="double" w:sz="10" w:space="0" w:color="000000"/>
            </w:tcBorders>
            <w:tcMar>
              <w:bottom w:w="28" w:type="dxa"/>
            </w:tcMar>
            <w:vAlign w:val="center"/>
          </w:tcPr>
          <w:p>
            <w:pPr>
              <w:pStyle w:val="TableContents"/>
              <w:bidi w:val="0"/>
              <w:spacing w:before="0" w:after="283"/>
              <w:jc w:val="right"/>
              <w:rPr/>
            </w:pPr>
            <w:r>
              <w:rPr/>
              <w:t>(447,594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bottom w:val="double" w:sz="10" w:space="0" w:color="000000"/>
            </w:tcBorders>
            <w:tcMar>
              <w:bottom w:w="28" w:type="dxa"/>
            </w:tcMar>
            <w:vAlign w:val="center"/>
          </w:tcPr>
          <w:p>
            <w:pPr>
              <w:pStyle w:val="TableContents"/>
              <w:bidi w:val="0"/>
              <w:spacing w:before="0" w:after="283"/>
              <w:jc w:val="left"/>
              <w:rPr/>
            </w:pPr>
            <w:r>
              <w:rPr/>
              <w:t>$</w:t>
            </w:r>
          </w:p>
        </w:tc>
        <w:tc>
          <w:tcPr>
            <w:tcW w:w="1160" w:type="dxa"/>
            <w:tcBorders>
              <w:bottom w:val="double" w:sz="10" w:space="0" w:color="000000"/>
            </w:tcBorders>
            <w:tcMar>
              <w:bottom w:w="28" w:type="dxa"/>
            </w:tcMar>
            <w:vAlign w:val="center"/>
          </w:tcPr>
          <w:p>
            <w:pPr>
              <w:pStyle w:val="TableContents"/>
              <w:bidi w:val="0"/>
              <w:spacing w:before="0" w:after="283"/>
              <w:jc w:val="right"/>
              <w:rPr/>
            </w:pPr>
            <w:r>
              <w:rPr/>
              <w:t>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double" w:sz="10" w:space="0" w:color="000000"/>
            </w:tcBorders>
            <w:tcMar>
              <w:bottom w:w="28" w:type="dxa"/>
            </w:tcMar>
            <w:vAlign w:val="center"/>
          </w:tcPr>
          <w:p>
            <w:pPr>
              <w:pStyle w:val="TableContents"/>
              <w:bidi w:val="0"/>
              <w:spacing w:before="0" w:after="283"/>
              <w:jc w:val="left"/>
              <w:rPr/>
            </w:pPr>
            <w:r>
              <w:rPr/>
              <w:t>$</w:t>
            </w:r>
          </w:p>
        </w:tc>
        <w:tc>
          <w:tcPr>
            <w:tcW w:w="1154" w:type="dxa"/>
            <w:tcBorders>
              <w:bottom w:val="double" w:sz="10" w:space="0" w:color="000000"/>
            </w:tcBorders>
            <w:tcMar>
              <w:bottom w:w="28" w:type="dxa"/>
            </w:tcMar>
            <w:vAlign w:val="center"/>
          </w:tcPr>
          <w:p>
            <w:pPr>
              <w:pStyle w:val="TableContents"/>
              <w:bidi w:val="0"/>
              <w:spacing w:before="0" w:after="283"/>
              <w:jc w:val="right"/>
              <w:rPr/>
            </w:pPr>
            <w:r>
              <w:rPr/>
              <w:t>(117,661</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10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Restated Unaudited Condensed Consolidated Statement of Cash Flows</w:t>
      </w:r>
    </w:p>
    <w:p>
      <w:pPr>
        <w:pStyle w:val="TextBody"/>
        <w:bidi w:val="0"/>
        <w:spacing w:before="0" w:after="0"/>
        <w:ind w:left="108"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4"/>
        <w:gridCol w:w="90"/>
        <w:gridCol w:w="1331"/>
        <w:gridCol w:w="90"/>
        <w:gridCol w:w="198"/>
        <w:gridCol w:w="917"/>
        <w:gridCol w:w="125"/>
        <w:gridCol w:w="90"/>
        <w:gridCol w:w="272"/>
        <w:gridCol w:w="1068"/>
        <w:gridCol w:w="125"/>
        <w:gridCol w:w="90"/>
        <w:gridCol w:w="170"/>
        <w:gridCol w:w="785"/>
        <w:gridCol w:w="150"/>
      </w:tblGrid>
      <w:tr>
        <w:trPr/>
        <w:tc>
          <w:tcPr>
            <w:tcW w:w="4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8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Thirty-Nine Weeks Ended </w:t>
              <w:br/>
              <w:t>September 28, 2025</w:t>
            </w:r>
          </w:p>
        </w:tc>
        <w:tc>
          <w:tcPr>
            <w:tcW w:w="150" w:type="dxa"/>
            <w:tcBorders/>
            <w:vAlign w:val="center"/>
          </w:tcPr>
          <w:p>
            <w:pPr>
              <w:pStyle w:val="TableContents"/>
              <w:bidi w:val="0"/>
              <w:spacing w:before="0" w:after="283"/>
              <w:jc w:val="left"/>
              <w:rPr/>
            </w:pPr>
            <w:r>
              <w:rPr/>
              <w:t> </w:t>
            </w:r>
          </w:p>
        </w:tc>
      </w:tr>
      <w:tr>
        <w:trPr/>
        <w:tc>
          <w:tcPr>
            <w:tcW w:w="4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1" w:type="dxa"/>
            <w:tcBorders>
              <w:bottom w:val="single" w:sz="12" w:space="0" w:color="000000"/>
            </w:tcBorders>
            <w:tcMar>
              <w:bottom w:w="28" w:type="dxa"/>
            </w:tcMar>
            <w:vAlign w:val="center"/>
          </w:tcPr>
          <w:p>
            <w:pPr>
              <w:pStyle w:val="TableContents"/>
              <w:bidi w:val="0"/>
              <w:spacing w:before="0" w:after="283"/>
              <w:jc w:val="center"/>
              <w:rPr>
                <w:b/>
              </w:rPr>
            </w:pPr>
            <w:r>
              <w:rPr>
                <w:b/>
              </w:rPr>
              <w:t>Explanatory</w:t>
              <w:br/>
              <w:t>Notes</w:t>
            </w:r>
          </w:p>
        </w:tc>
        <w:tc>
          <w:tcPr>
            <w:tcW w:w="9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Previously</w:t>
              <w:br/>
              <w:t>Reported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Restatement</w:t>
              <w:b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w:t>
              <w:br/>
              <w:t>Restated</w:t>
            </w:r>
          </w:p>
        </w:tc>
        <w:tc>
          <w:tcPr>
            <w:tcW w:w="150" w:type="dxa"/>
            <w:tcBorders/>
            <w:vAlign w:val="center"/>
          </w:tcPr>
          <w:p>
            <w:pPr>
              <w:pStyle w:val="TableContents"/>
              <w:bidi w:val="0"/>
              <w:spacing w:before="0" w:after="283"/>
              <w:jc w:val="left"/>
              <w:rPr/>
            </w:pPr>
            <w:r>
              <w:rPr/>
              <w:t> </w:t>
            </w:r>
          </w:p>
        </w:tc>
      </w:tr>
      <w:tr>
        <w:trPr/>
        <w:tc>
          <w:tcPr>
            <w:tcW w:w="4704"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J,K,L,M,N,O</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r>
              <w:rPr/>
              <w:t>(31,199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(5,016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(36,215</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pPr>
            <w:r>
              <w:rPr/>
              <w:t>Net loss from discontinued operations, net of income taxes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50" w:type="dxa"/>
            <w:tcBorders/>
            <w:vAlign w:val="center"/>
          </w:tcPr>
          <w:p>
            <w:pPr>
              <w:pStyle w:val="TableContents"/>
              <w:bidi w:val="0"/>
              <w:spacing w:before="0" w:after="283"/>
              <w:ind w:left="0" w:right="0" w:hanging="180"/>
              <w:jc w:val="left"/>
              <w:rPr/>
            </w:pPr>
            <w:r>
              <w:rPr/>
              <w:t>)</w:t>
            </w:r>
          </w:p>
        </w:tc>
      </w:tr>
      <w:tr>
        <w:trPr/>
        <w:tc>
          <w:tcPr>
            <w:tcW w:w="4704"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CCEEFF" w:val="clear"/>
            <w:tcMar>
              <w:bottom w:w="28" w:type="dxa"/>
            </w:tcMar>
            <w:vAlign w:val="center"/>
          </w:tcPr>
          <w:p>
            <w:pPr>
              <w:pStyle w:val="TableContents"/>
              <w:bidi w:val="0"/>
              <w:spacing w:before="0" w:after="283"/>
              <w:jc w:val="right"/>
              <w:rPr/>
            </w:pPr>
            <w:r>
              <w:rPr/>
              <w:t>(30,099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283"/>
              <w:jc w:val="right"/>
              <w:rPr/>
            </w:pPr>
            <w:r>
              <w:rPr/>
              <w:t>(5,016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(35,115</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pPr>
            <w:r>
              <w:rPr/>
              <w:t>Adjustments to reconcile net loss from continuing operations to net cash used in operating activities: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I</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8,205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(329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7,876</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826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826</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4,293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4,293</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4,159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4,159</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Change in fair value of SAFE Agreements with related party</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113</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Change in fair value of forward purchase agreement liabilities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807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807</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Change in fair value of derivative liabilities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(1,639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(1,639</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pPr>
            <w:r>
              <w:rPr/>
              <w:t>Change in fair value of warrant liabilities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3,122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3,122</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Amortization of debt issuance costs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H</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14,259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(2,431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11,828</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Non-cash income</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(474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(474</w:t>
            </w:r>
          </w:p>
        </w:tc>
        <w:tc>
          <w:tcPr>
            <w:tcW w:w="150" w:type="dxa"/>
            <w:tcBorders/>
            <w:vAlign w:val="center"/>
          </w:tcPr>
          <w:p>
            <w:pPr>
              <w:pStyle w:val="TableContents"/>
              <w:bidi w:val="0"/>
              <w:spacing w:before="0" w:after="283"/>
              <w:ind w:left="0" w:right="0" w:hanging="180"/>
              <w:jc w:val="left"/>
              <w:rPr/>
            </w:pPr>
            <w:r>
              <w:rPr/>
              <w:t>)</w:t>
            </w:r>
          </w:p>
        </w:tc>
      </w:tr>
      <w:tr>
        <w:trPr/>
        <w:tc>
          <w:tcPr>
            <w:tcW w:w="4704" w:type="dxa"/>
            <w:tcBorders/>
            <w:shd w:fill="CCEEFF" w:val="clear"/>
            <w:vAlign w:val="center"/>
          </w:tcPr>
          <w:p>
            <w:pPr>
              <w:pStyle w:val="TableContents"/>
              <w:bidi w:val="0"/>
              <w:spacing w:before="0" w:after="283"/>
              <w:jc w:val="left"/>
              <w:rPr/>
            </w:pPr>
            <w:r>
              <w:rPr/>
              <w:t>Loss on impairments and disposals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140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Changes in operating assets and liabilities, net of acquisitions: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A</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(32,747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7,706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(25,041</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B</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34,098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1,244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34,222</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C</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(12,462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1,090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(11,372</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95</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11,692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11,692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Accrued expenses and other liabilities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E,P</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(6,360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(5,171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(11,531</w:t>
            </w:r>
          </w:p>
        </w:tc>
        <w:tc>
          <w:tcPr>
            <w:tcW w:w="150" w:type="dxa"/>
            <w:tcBorders/>
            <w:vAlign w:val="center"/>
          </w:tcPr>
          <w:p>
            <w:pPr>
              <w:pStyle w:val="TableContents"/>
              <w:bidi w:val="0"/>
              <w:spacing w:before="0" w:after="283"/>
              <w:ind w:left="0" w:right="0" w:hanging="180"/>
              <w:jc w:val="left"/>
              <w:rPr/>
            </w:pPr>
            <w:r>
              <w:rPr/>
              <w:t>)</w:t>
            </w:r>
          </w:p>
        </w:tc>
      </w:tr>
      <w:tr>
        <w:trPr/>
        <w:tc>
          <w:tcPr>
            <w:tcW w:w="4704"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(866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(866</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G</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tcMar>
              <w:bottom w:w="28" w:type="dxa"/>
            </w:tcMar>
            <w:vAlign w:val="center"/>
          </w:tcPr>
          <w:p>
            <w:pPr>
              <w:pStyle w:val="TableContents"/>
              <w:bidi w:val="0"/>
              <w:spacing w:before="0" w:after="283"/>
              <w:jc w:val="right"/>
              <w:rPr/>
            </w:pPr>
            <w:r>
              <w:rPr/>
              <w:t>(10,568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283"/>
              <w:jc w:val="right"/>
              <w:rPr/>
            </w:pPr>
            <w:r>
              <w:rPr/>
              <w:t>4,184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(6,384</w:t>
            </w:r>
          </w:p>
        </w:tc>
        <w:tc>
          <w:tcPr>
            <w:tcW w:w="150" w:type="dxa"/>
            <w:tcBorders/>
            <w:vAlign w:val="center"/>
          </w:tcPr>
          <w:p>
            <w:pPr>
              <w:pStyle w:val="TableContents"/>
              <w:bidi w:val="0"/>
              <w:spacing w:before="0" w:after="283"/>
              <w:ind w:left="0" w:right="0" w:hanging="180"/>
              <w:jc w:val="left"/>
              <w:rPr/>
            </w:pPr>
            <w:r>
              <w:rPr/>
              <w:t>)</w:t>
            </w:r>
          </w:p>
        </w:tc>
      </w:tr>
      <w:tr>
        <w:trPr/>
        <w:tc>
          <w:tcPr>
            <w:tcW w:w="4704"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CCEEFF" w:val="clear"/>
            <w:tcMar>
              <w:bottom w:w="28" w:type="dxa"/>
            </w:tcMar>
            <w:vAlign w:val="center"/>
          </w:tcPr>
          <w:p>
            <w:pPr>
              <w:pStyle w:val="TableContents"/>
              <w:bidi w:val="0"/>
              <w:spacing w:before="0" w:after="283"/>
              <w:jc w:val="right"/>
              <w:rPr/>
            </w:pPr>
            <w:r>
              <w:rPr/>
              <w:t>(13,406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283"/>
              <w:jc w:val="right"/>
              <w:rPr/>
            </w:pPr>
            <w:r>
              <w:rPr/>
              <w:t>157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(13,249</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Cash paid for acquisitions, net of cash acquired</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CCEEFF" w:val="clear"/>
            <w:tcMar>
              <w:bottom w:w="28" w:type="dxa"/>
            </w:tcMar>
            <w:vAlign w:val="center"/>
          </w:tcPr>
          <w:p>
            <w:pPr>
              <w:pStyle w:val="TableContents"/>
              <w:bidi w:val="0"/>
              <w:spacing w:before="0" w:after="283"/>
              <w:jc w:val="right"/>
              <w:rPr/>
            </w:pPr>
            <w:r>
              <w:rPr/>
              <w:t>(20,689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(20,689</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tcMar>
              <w:bottom w:w="28" w:type="dxa"/>
            </w:tcMar>
            <w:vAlign w:val="center"/>
          </w:tcPr>
          <w:p>
            <w:pPr>
              <w:pStyle w:val="TableContents"/>
              <w:bidi w:val="0"/>
              <w:spacing w:before="0" w:after="283"/>
              <w:jc w:val="right"/>
              <w:rPr/>
            </w:pPr>
            <w:r>
              <w:rPr/>
              <w:t>(20,689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(20,689</w:t>
            </w:r>
          </w:p>
        </w:tc>
        <w:tc>
          <w:tcPr>
            <w:tcW w:w="150" w:type="dxa"/>
            <w:tcBorders/>
            <w:vAlign w:val="center"/>
          </w:tcPr>
          <w:p>
            <w:pPr>
              <w:pStyle w:val="TableContents"/>
              <w:bidi w:val="0"/>
              <w:spacing w:before="0" w:after="283"/>
              <w:ind w:left="0" w:right="0" w:hanging="180"/>
              <w:jc w:val="left"/>
              <w:rPr/>
            </w:pPr>
            <w:r>
              <w:rPr/>
              <w:t>)</w:t>
            </w:r>
          </w:p>
        </w:tc>
      </w:tr>
      <w:tr>
        <w:trPr/>
        <w:tc>
          <w:tcPr>
            <w:tcW w:w="4704"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Proceeds from issuance of convertible notes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20,000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20,000</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Proceeds from issuance of convertible notes due to related parties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5,000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Payment of debt issuance costs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(200</w:t>
            </w:r>
          </w:p>
        </w:tc>
        <w:tc>
          <w:tcPr>
            <w:tcW w:w="150" w:type="dxa"/>
            <w:tcBorders/>
            <w:vAlign w:val="center"/>
          </w:tcPr>
          <w:p>
            <w:pPr>
              <w:pStyle w:val="TableContents"/>
              <w:bidi w:val="0"/>
              <w:spacing w:before="0" w:after="283"/>
              <w:ind w:left="0" w:right="0" w:hanging="180"/>
              <w:jc w:val="left"/>
              <w:rPr/>
            </w:pPr>
            <w:r>
              <w:rPr/>
              <w:t>)</w:t>
            </w:r>
          </w:p>
        </w:tc>
      </w:tr>
      <w:tr>
        <w:trPr/>
        <w:tc>
          <w:tcPr>
            <w:tcW w:w="4704" w:type="dxa"/>
            <w:tcBorders/>
            <w:shd w:fill="CCEEFF" w:val="clear"/>
            <w:vAlign w:val="center"/>
          </w:tcPr>
          <w:p>
            <w:pPr>
              <w:pStyle w:val="TableContents"/>
              <w:bidi w:val="0"/>
              <w:spacing w:before="0" w:after="283"/>
              <w:jc w:val="left"/>
              <w:rPr/>
            </w:pPr>
            <w:r>
              <w:rPr/>
              <w:t>Finance lease payments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(1,528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(1,528</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pPr>
            <w:r>
              <w:rPr/>
              <w:t>Proceeds from issuance of common stock</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1,682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1,682</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Proceeds from exercise of common stock options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775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775</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Proceeds from exercise of warrant for common stock</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60</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Proceeds from investor financing deposit from a related party</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P</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2,000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Principal repayment of notes payable</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H</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283"/>
              <w:jc w:val="right"/>
              <w:rPr/>
            </w:pPr>
            <w:r>
              <w:rPr/>
              <w:t>(2,157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(2,157</w:t>
            </w:r>
          </w:p>
        </w:tc>
        <w:tc>
          <w:tcPr>
            <w:tcW w:w="150" w:type="dxa"/>
            <w:tcBorders/>
            <w:vAlign w:val="center"/>
          </w:tcPr>
          <w:p>
            <w:pPr>
              <w:pStyle w:val="TableContents"/>
              <w:bidi w:val="0"/>
              <w:spacing w:before="0" w:after="283"/>
              <w:ind w:left="0" w:right="0" w:hanging="180"/>
              <w:jc w:val="left"/>
              <w:rPr/>
            </w:pPr>
            <w:r>
              <w:rPr/>
              <w:t>)</w:t>
            </w:r>
          </w:p>
        </w:tc>
      </w:tr>
      <w:tr>
        <w:trPr/>
        <w:tc>
          <w:tcPr>
            <w:tcW w:w="4704"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CCEEFF" w:val="clear"/>
            <w:tcMar>
              <w:bottom w:w="28" w:type="dxa"/>
            </w:tcMar>
            <w:vAlign w:val="center"/>
          </w:tcPr>
          <w:p>
            <w:pPr>
              <w:pStyle w:val="TableContents"/>
              <w:bidi w:val="0"/>
              <w:spacing w:before="0" w:after="283"/>
              <w:jc w:val="right"/>
              <w:rPr/>
            </w:pPr>
            <w:r>
              <w:rPr/>
              <w:t>25,789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283"/>
              <w:jc w:val="right"/>
              <w:rPr/>
            </w:pPr>
            <w:r>
              <w:rPr/>
              <w:t>(157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25,632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4704" w:type="dxa"/>
            <w:tcBorders/>
            <w:vAlign w:val="center"/>
          </w:tcPr>
          <w:p>
            <w:pPr>
              <w:pStyle w:val="TableContents"/>
              <w:bidi w:val="0"/>
              <w:spacing w:before="0" w:after="283"/>
              <w:jc w:val="left"/>
              <w:rPr/>
            </w:pPr>
            <w:r>
              <w:rPr/>
              <w:t>Effect of exchange rate changes</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Net decrease in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CCEEFF" w:val="clear"/>
            <w:tcMar>
              <w:bottom w:w="28" w:type="dxa"/>
            </w:tcMar>
            <w:vAlign w:val="center"/>
          </w:tcPr>
          <w:p>
            <w:pPr>
              <w:pStyle w:val="TableContents"/>
              <w:bidi w:val="0"/>
              <w:spacing w:before="0" w:after="283"/>
              <w:jc w:val="right"/>
              <w:rPr/>
            </w:pPr>
            <w:r>
              <w:rPr/>
              <w:t>(8,306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(8,306</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4704" w:type="dxa"/>
            <w:tcBorders/>
            <w:vAlign w:val="center"/>
          </w:tcPr>
          <w:p>
            <w:pPr>
              <w:pStyle w:val="TableContents"/>
              <w:bidi w:val="0"/>
              <w:spacing w:before="0" w:after="283"/>
              <w:jc w:val="left"/>
              <w:rPr/>
            </w:pPr>
            <w:r>
              <w:rPr/>
              <w:t>Cash, cash equivalents, and restricted cash at beginning of period</w:t>
            </w:r>
          </w:p>
        </w:tc>
        <w:tc>
          <w:tcPr>
            <w:tcW w:w="9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tcMar>
              <w:bottom w:w="28" w:type="dxa"/>
            </w:tcMar>
            <w:vAlign w:val="center"/>
          </w:tcPr>
          <w:p>
            <w:pPr>
              <w:pStyle w:val="TableContents"/>
              <w:bidi w:val="0"/>
              <w:spacing w:before="0" w:after="283"/>
              <w:jc w:val="right"/>
              <w:rPr/>
            </w:pPr>
            <w:r>
              <w:rPr/>
              <w:t>17,219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17,219</w:t>
            </w:r>
          </w:p>
        </w:tc>
        <w:tc>
          <w:tcPr>
            <w:tcW w:w="150" w:type="dxa"/>
            <w:tcBorders/>
            <w:vAlign w:val="center"/>
          </w:tcPr>
          <w:p>
            <w:pPr>
              <w:pStyle w:val="TableContents"/>
              <w:bidi w:val="0"/>
              <w:spacing w:before="0" w:after="283"/>
              <w:ind w:left="0" w:right="0" w:hanging="180"/>
              <w:jc w:val="left"/>
              <w:rPr/>
            </w:pPr>
            <w:r>
              <w:rPr/>
              <w:t> </w:t>
            </w:r>
          </w:p>
        </w:tc>
      </w:tr>
      <w:tr>
        <w:trPr/>
        <w:tc>
          <w:tcPr>
            <w:tcW w:w="4704" w:type="dxa"/>
            <w:tcBorders/>
            <w:shd w:fill="CCEEFF" w:val="clear"/>
            <w:vAlign w:val="center"/>
          </w:tcPr>
          <w:p>
            <w:pPr>
              <w:pStyle w:val="TableContents"/>
              <w:bidi w:val="0"/>
              <w:spacing w:before="0" w:after="283"/>
              <w:jc w:val="left"/>
              <w:rPr/>
            </w:pPr>
            <w:r>
              <w:rPr/>
              <w:t>Cash, cash equivalents and restricted cash at end of period</w:t>
            </w:r>
          </w:p>
        </w:tc>
        <w:tc>
          <w:tcPr>
            <w:tcW w:w="9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7" w:type="dxa"/>
            <w:tcBorders>
              <w:bottom w:val="double" w:sz="10" w:space="0" w:color="000000"/>
            </w:tcBorders>
            <w:shd w:fill="CCEEFF" w:val="clear"/>
            <w:tcMar>
              <w:bottom w:w="28" w:type="dxa"/>
            </w:tcMar>
            <w:vAlign w:val="center"/>
          </w:tcPr>
          <w:p>
            <w:pPr>
              <w:pStyle w:val="TableContents"/>
              <w:bidi w:val="0"/>
              <w:spacing w:before="0" w:after="283"/>
              <w:jc w:val="right"/>
              <w:rPr/>
            </w:pPr>
            <w:r>
              <w:rPr/>
              <w:t>8,913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8,913</w:t>
            </w:r>
          </w:p>
        </w:tc>
        <w:tc>
          <w:tcPr>
            <w:tcW w:w="15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Restatement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categories of the restatement adjustments and their impacts on the previously reported unaudited condensed consolidated financial statements included in the Original Report are described in the following explanatory notes. The correction of these errors resulted in changes in the components of within cash flows from operations, but resulted in no net change in cash flows from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errors relating to (i) an overstatement of accounts receivables of $7.7 million attributable to transactions that were double counted or recognized in the incorrect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the overstatement of inventory by $1.2 million arising from errors in the reconciliation of inventory balances and (ii) reclass of $1.1 million from prepaid expenses and other current assets into inventories due to a classification error.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classification of $1.1 million from prepaid expenses and other current assets into inventories due to classification error.</w:t>
            </w:r>
          </w:p>
        </w:tc>
      </w:tr>
    </w:tbl>
    <w:p>
      <w:pPr>
        <w:pStyle w:val="TextBody"/>
        <w:bidi w:val="0"/>
        <w:spacing w:before="0" w:after="0"/>
        <w:ind w:left="0" w:right="0" w:hanging="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68"/>
        <w:gridCol w:w="230"/>
        <w:gridCol w:w="611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an overstatement of goodwill due to purchase price accounting.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 correct an overstatement of  $3.7 million in accrued expenses and other current liabilities relating to cut-off procedures in connection with the allocation of purchase consideration in the Sunder acquisition, (ii) correct a $1.3 million overstatement of accrued interest related to the senior unsecured convertible notes (iii) correct an understatement of warrant liability of $0.8 million for warrants issued in connection with a service agreement (iv) correct the classification of $2.2 million of principal debt payments from Accrued expenses and other liabilities to Notes payable and derivative liabilities, net of current portion.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an error in the classification of the current portion of the senior unsecured convertible notes of $2.8 million that was previously classified as a long-term liability within Notes payable and derivative liabilities, net of current portion.</w:t>
            </w:r>
          </w:p>
        </w:tc>
      </w:tr>
    </w:tbl>
    <w:p>
      <w:pPr>
        <w:pStyle w:val="TextBody"/>
        <w:bidi w:val="0"/>
        <w:spacing w:before="0" w:after="0"/>
        <w:ind w:left="0" w:right="0" w:hanging="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68"/>
        <w:gridCol w:w="230"/>
        <w:gridCol w:w="809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an error in understatement of contract liabilities of $3.5 million relating to cut-off errors.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 correct an error in the classification of the current portion of the senior unsecured convertible notes of $2.8 million that was previously classified as a long-term liability within Notes payable and derivative liabilities, net of current portion, (ii) correct the overstatement of amortization of debt discount and issuance costs and resulted understatement of unamortized debt discount and issuance costs of $2.4 million related to the senior unsecured convertible notes (iii) correct the classification of the principal payment of $2.2 million of senior unsecured convertible notes payable from Accrued expenses and other current liabilities to Notes payable and derivative liabilities, net of current, (iv) correct the classification between third parties and related party of $0.2 million, and (v) correct $1.2 million understatement of debt discount and issuance costs incurred.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errors in the restricted stock units (“RSUs”) granted and vested resulting in an overstatement of stock-based compensation expense by $2.1 million and $0.3 million which overstated Additional paid-in capital as of and for the thirteen and thirty-nine week periods ended September 28, 2025, respectively. This error resulted in an overstatement of the non-cash adjustment of stock-based compensation in the unaudited consolidated statement of cash flow.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revenue by $5.5 million and $11.3 million for double counted transactions and transactions recognized in the incorrect period in the thirteen and thirty-nine week periods ended June 29,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8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September 28, 2025 to (i) correct and reduce the cost of revenue for $2.2 million relating to inventory sold in the second quarter of fiscal 2025, (ii) correct and reduce cost of revenues by $3.0 million due to errors in revenue cut-off (iii) correct stock-based compensation expense that was overstated by $0.8 million relating to errors in RSUs granted and vested, (iii) reclassify $0.6 million of amortization expense from cost of revenues to sales commissions, (iv) reclassify $0.4 million of amortization expense from general and administrative to cost of revenue and (v) correct inventory reconciliation errors of $0.7 million.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thirty-nine week period ended September 28, 2025 to (i) correct and reduce cost of revenues by $3.0 million due to errors in revenue cut-off (ii) correct and reduce stock-based compensation expense that was overstated by $0.1 million relating to errors in RSUs granted and vested, (iii) reclassify $0.6 million of amortization expense from cost of revenues to sales commissions, (iv) reclassify $1.2 million of amortization expense from general and administrative to cost of revenue, (v) correct inventory reconciliation errors of $1.1 million.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thirteen and thirty-nine week periods ended September 28, 2025 correct sales commissions of $0.6 that was misclassified as cost of revenue.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5"/>
        <w:gridCol w:w="982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thirteen and thirty-nine week periods ended September 28, 2025, correct and reduce stock-based compensation expense of $0.6 million and $0.3 million due to errors identified in RSU grants and vesting, respectively.  </w:t>
            </w:r>
          </w:p>
        </w:tc>
      </w:tr>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98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September 28, 2025 to (i) correct and reduce general and administrative expense $0.8 million relating to costs incorrectly recorded in the third quarter of fiscal 2025 and reclassified to the second quarter of fiscal 2025, (ii) correct the classification of $0.4 million of amortization expense from general and administrative expense to cost of revenue, and (iii) correct and reduce stock-based compensation by $0.6 million due to errors identified in RSU grants and vesting.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thirty-nine week period ended September 28, 2025 to (i) correct the classification of $1.2 million of amortization expense from general and administrative expense to cost of revenue, and (ii) correct and stock-based compensation by $0.1 million due to errors identified in RSU grants and vesting.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an error due to the overstatement of interest expense of $1.4 million and $4.1 million of interest and debt discount and issuance costs related to the senior unsecured convertible notes in the thirteen and thirty-nine week periods ended September 28,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the classification of a $2.0 million investor financing deposit from cash flow from operations to cash flows from financing activities.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Q.</w:t>
            </w:r>
          </w:p>
        </w:tc>
        <w:tc>
          <w:tcPr>
            <w:tcW w:w="9847" w:type="dxa"/>
            <w:tcBorders/>
            <w:vAlign w:val="center"/>
          </w:tcPr>
          <w:p>
            <w:pPr>
              <w:pStyle w:val="TableContents"/>
              <w:bidi w:val="0"/>
              <w:spacing w:before="0" w:after="283"/>
              <w:jc w:val="both"/>
              <w:rPr/>
            </w:pPr>
            <w:r>
              <w:rPr/>
              <w:t>The change in the dilutive shares is to correct dilutive securities considered in the calculation of diluted earnings per share due to the change in operating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condensed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 In the opinion of management, these interim unaudited condensed consolidated financial statements reflect all adjustments, consisting of normal recurring adjustments, necessary to present fairly the Company’s financial position as of September 28, 2025, and the results of operations for the thirteen and thirty-nine week periods ended September 28, 2025 and September 29, 2024. The results of operations for interim periods are not necessarily indicative of the results to be expected for the full year or any other future period. These interim unaudited condensed consolidated financial statements and related notes should be read in conjunction with the audited consolidated financial statements and related notes for the fiscal year ended December 29, 2024, included in the Company’s Annual Report on Form 10-K filed with the SEC on April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operates on a 52-to-53-week fiscal year that ends on the Sunday closest to December 31. The Company’s fiscal year for 2024 ended December 29, 2024. The Company’s third fiscal quarters for 2025 and 2024 in this report on Form 10-Q ended on September 28, 2025 (“Third Quarter 2025”) and September 29, 2024 (“Third Quarter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Cash and 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4505"/>
        <w:gridCol w:w="90"/>
        <w:gridCol w:w="336"/>
        <w:gridCol w:w="1169"/>
        <w:gridCol w:w="90"/>
        <w:gridCol w:w="90"/>
        <w:gridCol w:w="279"/>
        <w:gridCol w:w="1166"/>
        <w:gridCol w:w="135"/>
      </w:tblGrid>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29,</w:t>
              <w:br/>
              <w:t>2024</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5,072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13,378</w:t>
            </w:r>
          </w:p>
        </w:tc>
        <w:tc>
          <w:tcPr>
            <w:tcW w:w="13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3,841</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Total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8,913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17,219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Estimated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allowance for credit losses at the time a receivable is recorded based on the Company’s estimate of expected credit losses, historical write-off experience, and current account knowledge, and adjusts this estimate over the life of the receivable as needed. 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 activity as of and for the periods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936" w:type="dxa"/>
        <w:jc w:val="left"/>
        <w:tblInd w:w="0" w:type="dxa"/>
        <w:tblLayout w:type="fixed"/>
        <w:tblCellMar>
          <w:top w:w="0" w:type="dxa"/>
          <w:left w:w="0" w:type="dxa"/>
          <w:bottom w:w="0" w:type="dxa"/>
          <w:right w:w="0" w:type="dxa"/>
        </w:tblCellMar>
      </w:tblPr>
      <w:tblGrid>
        <w:gridCol w:w="4940"/>
        <w:gridCol w:w="90"/>
        <w:gridCol w:w="264"/>
        <w:gridCol w:w="985"/>
        <w:gridCol w:w="139"/>
        <w:gridCol w:w="114"/>
        <w:gridCol w:w="231"/>
        <w:gridCol w:w="1018"/>
        <w:gridCol w:w="155"/>
      </w:tblGrid>
      <w:tr>
        <w:trPr/>
        <w:tc>
          <w:tcPr>
            <w:tcW w:w="49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5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Thirty-Nine Weeks Ended</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r>
          </w:p>
        </w:tc>
        <w:tc>
          <w:tcPr>
            <w:tcW w:w="13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29,</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3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at beginning of year</w:t>
            </w:r>
          </w:p>
        </w:tc>
        <w:tc>
          <w:tcPr>
            <w:tcW w:w="9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1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(9,846</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 charged to earnings</w:t>
            </w:r>
          </w:p>
        </w:tc>
        <w:tc>
          <w:tcPr>
            <w:tcW w:w="9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(4,159</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(4,204</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written off, net of recoveries and other adjustments</w:t>
            </w:r>
          </w:p>
        </w:tc>
        <w:tc>
          <w:tcPr>
            <w:tcW w:w="90" w:type="dxa"/>
            <w:tcBorders/>
            <w:shd w:fill="CCEEFF" w:val="clear"/>
            <w:vAlign w:val="center"/>
          </w:tcPr>
          <w:p>
            <w:pPr>
              <w:pStyle w:val="TableContents"/>
              <w:bidi w:val="0"/>
              <w:spacing w:before="0" w:after="283"/>
              <w:jc w:val="left"/>
              <w:rPr/>
            </w:pPr>
            <w:r>
              <w:rPr/>
              <w:t> </w:t>
            </w:r>
          </w:p>
        </w:tc>
        <w:tc>
          <w:tcPr>
            <w:tcW w:w="2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1,048</w:t>
            </w:r>
          </w:p>
        </w:tc>
        <w:tc>
          <w:tcPr>
            <w:tcW w:w="13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w:t>
            </w:r>
          </w:p>
        </w:tc>
        <w:tc>
          <w:tcPr>
            <w:tcW w:w="15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at end of period</w:t>
            </w:r>
          </w:p>
        </w:tc>
        <w:tc>
          <w:tcPr>
            <w:tcW w:w="90" w:type="dxa"/>
            <w:tcBorders/>
            <w:vAlign w:val="center"/>
          </w:tcPr>
          <w:p>
            <w:pPr>
              <w:pStyle w:val="TableContents"/>
              <w:bidi w:val="0"/>
              <w:spacing w:before="0" w:after="283"/>
              <w:jc w:val="left"/>
              <w:rPr/>
            </w:pPr>
            <w:r>
              <w:rPr/>
              <w:t> </w:t>
            </w:r>
          </w:p>
        </w:tc>
        <w:tc>
          <w:tcPr>
            <w:tcW w:w="26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(4,812</w:t>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 w:type="dxa"/>
            <w:tcBorders/>
            <w:vAlign w:val="center"/>
          </w:tcPr>
          <w:p>
            <w:pPr>
              <w:pStyle w:val="TableContents"/>
              <w:bidi w:val="0"/>
              <w:spacing w:before="0" w:after="283"/>
              <w:jc w:val="left"/>
              <w:rPr/>
            </w:pPr>
            <w:r>
              <w:rPr/>
              <w:t> </w:t>
            </w:r>
          </w:p>
        </w:tc>
        <w:tc>
          <w:tcPr>
            <w:tcW w:w="23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(13,009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consist of deferred revenue and customer advances, which represent consideration received from a customer prior to transferring control of goods or services to the customer under the terms of a sales contract. Total contract liabilities balances as of the respective dates are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403" w:type="dxa"/>
        <w:jc w:val="left"/>
        <w:tblInd w:w="0" w:type="dxa"/>
        <w:tblLayout w:type="fixed"/>
        <w:tblCellMar>
          <w:top w:w="0" w:type="dxa"/>
          <w:left w:w="0" w:type="dxa"/>
          <w:bottom w:w="0" w:type="dxa"/>
          <w:right w:w="0" w:type="dxa"/>
        </w:tblCellMar>
      </w:tblPr>
      <w:tblGrid>
        <w:gridCol w:w="3980"/>
        <w:gridCol w:w="90"/>
        <w:gridCol w:w="98"/>
        <w:gridCol w:w="1406"/>
        <w:gridCol w:w="125"/>
        <w:gridCol w:w="90"/>
        <w:gridCol w:w="148"/>
        <w:gridCol w:w="1296"/>
        <w:gridCol w:w="170"/>
      </w:tblGrid>
      <w:tr>
        <w:trPr/>
        <w:tc>
          <w:tcPr>
            <w:tcW w:w="39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1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September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406" w:type="dxa"/>
            <w:tcBorders/>
            <w:vAlign w:val="center"/>
          </w:tcPr>
          <w:p>
            <w:pPr>
              <w:pStyle w:val="TableContents"/>
              <w:bidi w:val="0"/>
              <w:spacing w:before="0" w:after="283"/>
              <w:jc w:val="center"/>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Contract liabilities current and noncurrent</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06" w:type="dxa"/>
            <w:tcBorders/>
            <w:shd w:fill="CCEEFF" w:val="clear"/>
            <w:vAlign w:val="center"/>
          </w:tcPr>
          <w:p>
            <w:pPr>
              <w:pStyle w:val="TableContents"/>
              <w:bidi w:val="0"/>
              <w:spacing w:before="0" w:after="283"/>
              <w:jc w:val="right"/>
              <w:rPr/>
            </w:pPr>
            <w:r>
              <w:rPr/>
              <w:t>(14,974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(10,921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condensed consolidated balance sheets. Contract liabilities for installation projects expected to be completed beyond 12 months are classified as noncurrent obligations in the accompanying condensed consolidated balance sheets.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for Residential Solar Installation and New Homes Business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reflects the consideration which the Company expects to be entitled to receive in exchange for the products and services. To achieve this core principle, the Company applies the following five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Identification of the contract(s) with a customer;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Identification of the performance obligations in the contracts(s);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Determination of the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Allocation of the transaction price to the performance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Recognition of the revenue when, or as, the Company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Residential Solar Installation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Solar Installation segment sells products through a network of installing and non-installing dealers and resellers, as well as its internal sales team. The Company’s contracts with customers include three primary contract types: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homeowners who purchase the solar energy system and related services from the Company. Customers are invoiced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Financing partner agreements</w:t>
            </w:r>
            <w:r>
              <w:rPr>
                <w:rFonts w:ascii="Times New Roman;Times;Serif" w:hAnsi="Times New Roman;Times;Serif"/>
                <w:sz w:val="20"/>
              </w:rPr>
              <w:t xml:space="preserve"> – In its financing partner agreements, the Company contracts directly with homeowners for the purchase of the 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Power purchase agreements and lease agreements</w:t>
            </w:r>
            <w:r>
              <w:rPr>
                <w:rFonts w:ascii="Times New Roman;Times;Serif" w:hAnsi="Times New Roman;Times;Serif"/>
                <w:sz w:val="20"/>
              </w:rPr>
              <w:t xml:space="preserve"> – The Company contracts directly with a leasing partner to perform the solar energy system 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tc>
      </w:tr>
    </w:tbl>
    <w:p>
      <w:pPr>
        <w:pStyle w:val="TextBody"/>
        <w:bidi w:val="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Homes Business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New Homes Business segment sells through a network of home builders as well as its internal sales team. The Company’s contracts with customers include two primary contract types: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homebuilders who purchase the solar energy system from the Company and are the customers in the transaction. The Company’s customers are invoiced upon the completion of installation.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Lease agreements</w:t>
            </w:r>
            <w:r>
              <w:rPr>
                <w:rFonts w:ascii="Times New Roman;Times;Serif" w:hAnsi="Times New Roman;Times;Serif"/>
                <w:sz w:val="20"/>
              </w:rPr>
              <w:t xml:space="preserve"> – Prior to SunPower Debtor’s declaration of bankruptcy, certain homeowners had intended to lease a system from SunPower 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Dealer (previously identified as “Sunder” in the Original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revenue from contracts sold to customers for solar installations performed by third-party installation companies. The Company recognizes revenue at a point in time when Permission to Operate (“PTO”) is complete. The Company acts as an agent in these arrangements and records revenue on a net basis. The Company does not have significant financing components in its contracts. The Company does not provide warranty services and does not record a warranty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and fulfill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costs to obtain and fulfill contracts, when recognized, associated with systems sales are expensed as sales commission and cost of revenue, respectively. In addition, incentives the Company provides to its customers, such as discounts and rebates, are recorded net to the revenue the Company has recognized on the solar power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table below for the Company’s revenue recognized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1"/>
        <w:gridCol w:w="90"/>
        <w:gridCol w:w="297"/>
        <w:gridCol w:w="1249"/>
        <w:gridCol w:w="90"/>
        <w:gridCol w:w="90"/>
        <w:gridCol w:w="345"/>
        <w:gridCol w:w="1201"/>
        <w:gridCol w:w="90"/>
        <w:gridCol w:w="90"/>
        <w:gridCol w:w="262"/>
        <w:gridCol w:w="1285"/>
        <w:gridCol w:w="90"/>
        <w:gridCol w:w="90"/>
        <w:gridCol w:w="297"/>
        <w:gridCol w:w="1249"/>
        <w:gridCol w:w="139"/>
      </w:tblGrid>
      <w:tr>
        <w:trPr/>
        <w:tc>
          <w:tcPr>
            <w:tcW w:w="325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w:t>
              <w:br/>
              <w:t>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Thirty-Nine Weeks </w:t>
              <w:br/>
              <w:t>Ended</w:t>
            </w:r>
          </w:p>
        </w:tc>
        <w:tc>
          <w:tcPr>
            <w:tcW w:w="139" w:type="dxa"/>
            <w:tcBorders/>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28,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29,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28,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29, </w:t>
              <w:br/>
              <w:t>2024</w:t>
            </w:r>
          </w:p>
        </w:tc>
        <w:tc>
          <w:tcPr>
            <w:tcW w:w="139" w:type="dxa"/>
            <w:tcBorders/>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center"/>
              <w:rPr/>
            </w:pPr>
            <w:r>
              <w:rPr/>
              <w:t>(As Restated)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7" w:type="dxa"/>
            <w:gridSpan w:val="2"/>
            <w:tcBorders/>
            <w:vAlign w:val="center"/>
          </w:tcPr>
          <w:p>
            <w:pPr>
              <w:pStyle w:val="TableContents"/>
              <w:bidi w:val="0"/>
              <w:spacing w:before="0" w:after="283"/>
              <w:jc w:val="center"/>
              <w:rPr/>
            </w:pPr>
            <w:r>
              <w:rPr/>
              <w:t>(As Restated)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left"/>
              <w:rPr/>
            </w:pPr>
            <w:r>
              <w:rPr/>
              <w:t>Residential Solar Installation</w:t>
            </w:r>
          </w:p>
        </w:tc>
        <w:tc>
          <w:tcPr>
            <w:tcW w:w="90"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7"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6" w:type="dxa"/>
            <w:gridSpan w:val="2"/>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r>
      <w:tr>
        <w:trPr/>
        <w:tc>
          <w:tcPr>
            <w:tcW w:w="3251" w:type="dxa"/>
            <w:tcBorders/>
            <w:shd w:fill="CCEEFF" w:val="clear"/>
            <w:vAlign w:val="center"/>
          </w:tcPr>
          <w:p>
            <w:pPr>
              <w:pStyle w:val="TableContents"/>
              <w:bidi w:val="0"/>
              <w:spacing w:before="0" w:after="283"/>
              <w:jc w:val="left"/>
              <w:rPr/>
            </w:pPr>
            <w:r>
              <w:rPr/>
              <w:t>Revenue recognized over time</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35,179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5,536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110,199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20,068</w:t>
            </w:r>
          </w:p>
        </w:tc>
        <w:tc>
          <w:tcPr>
            <w:tcW w:w="139" w:type="dxa"/>
            <w:tcBorders/>
            <w:shd w:fill="CCEEFF" w:val="clear"/>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left"/>
              <w:rPr/>
            </w:pPr>
            <w:r>
              <w:rPr/>
              <w:t>Total Residential Solar Installation</w:t>
            </w:r>
          </w:p>
        </w:tc>
        <w:tc>
          <w:tcPr>
            <w:tcW w:w="9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35,179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tcMar>
              <w:bottom w:w="28" w:type="dxa"/>
            </w:tcMar>
            <w:vAlign w:val="center"/>
          </w:tcPr>
          <w:p>
            <w:pPr>
              <w:pStyle w:val="TableContents"/>
              <w:bidi w:val="0"/>
              <w:spacing w:before="0" w:after="283"/>
              <w:jc w:val="right"/>
              <w:rPr/>
            </w:pPr>
            <w:r>
              <w:rPr/>
              <w:t>5,536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tcMar>
              <w:bottom w:w="28" w:type="dxa"/>
            </w:tcMar>
            <w:vAlign w:val="center"/>
          </w:tcPr>
          <w:p>
            <w:pPr>
              <w:pStyle w:val="TableContents"/>
              <w:bidi w:val="0"/>
              <w:spacing w:before="0" w:after="283"/>
              <w:jc w:val="right"/>
              <w:rPr/>
            </w:pPr>
            <w:r>
              <w:rPr/>
              <w:t>110,199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20,068</w:t>
            </w:r>
          </w:p>
        </w:tc>
        <w:tc>
          <w:tcPr>
            <w:tcW w:w="139" w:type="dxa"/>
            <w:tcBorders/>
            <w:vAlign w:val="center"/>
          </w:tcPr>
          <w:p>
            <w:pPr>
              <w:pStyle w:val="TableContents"/>
              <w:bidi w:val="0"/>
              <w:spacing w:before="0" w:after="283"/>
              <w:jc w:val="left"/>
              <w:rPr/>
            </w:pPr>
            <w:r>
              <w:rPr/>
              <w:t> </w:t>
            </w:r>
          </w:p>
        </w:tc>
      </w:tr>
      <w:tr>
        <w:trPr/>
        <w:tc>
          <w:tcPr>
            <w:tcW w:w="325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left"/>
              <w:rPr/>
            </w:pPr>
            <w:r>
              <w:rPr/>
              <w:t>New Homes Business</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r>
      <w:tr>
        <w:trPr/>
        <w:tc>
          <w:tcPr>
            <w:tcW w:w="3251" w:type="dxa"/>
            <w:tcBorders/>
            <w:shd w:fill="CCEEFF" w:val="clear"/>
            <w:vAlign w:val="center"/>
          </w:tcPr>
          <w:p>
            <w:pPr>
              <w:pStyle w:val="TableContents"/>
              <w:bidi w:val="0"/>
              <w:spacing w:before="0" w:after="283"/>
              <w:jc w:val="left"/>
              <w:rPr/>
            </w:pPr>
            <w:r>
              <w:rPr/>
              <w:t>Revenue recognized over time</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9,415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34,943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left"/>
              <w:rPr/>
            </w:pPr>
            <w:r>
              <w:rPr/>
              <w:t>Revenue recognized at a point in time</w:t>
            </w:r>
          </w:p>
        </w:tc>
        <w:tc>
          <w:tcPr>
            <w:tcW w:w="9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19,087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tcMar>
              <w:bottom w:w="28" w:type="dxa"/>
            </w:tcMar>
            <w:vAlign w:val="center"/>
          </w:tcPr>
          <w:p>
            <w:pPr>
              <w:pStyle w:val="TableContents"/>
              <w:bidi w:val="0"/>
              <w:spacing w:before="0" w:after="283"/>
              <w:jc w:val="right"/>
              <w:rPr/>
            </w:pPr>
            <w:r>
              <w:rPr/>
              <w:t>63,067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jc w:val="left"/>
              <w:rPr/>
            </w:pPr>
            <w:r>
              <w:rPr/>
              <w:t> </w:t>
            </w:r>
          </w:p>
        </w:tc>
      </w:tr>
      <w:tr>
        <w:trPr/>
        <w:tc>
          <w:tcPr>
            <w:tcW w:w="3251" w:type="dxa"/>
            <w:tcBorders/>
            <w:shd w:fill="CCEEFF" w:val="clear"/>
            <w:vAlign w:val="center"/>
          </w:tcPr>
          <w:p>
            <w:pPr>
              <w:pStyle w:val="TableContents"/>
              <w:bidi w:val="0"/>
              <w:spacing w:before="0" w:after="283"/>
              <w:jc w:val="left"/>
              <w:rPr/>
            </w:pPr>
            <w:r>
              <w:rPr/>
              <w:t>Total New Homes Business</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28,502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98,010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jc w:val="left"/>
              <w:rPr/>
            </w:pPr>
            <w:r>
              <w:rPr/>
              <w:t> </w:t>
            </w:r>
          </w:p>
        </w:tc>
      </w:tr>
      <w:tr>
        <w:trPr/>
        <w:tc>
          <w:tcPr>
            <w:tcW w:w="3251" w:type="dxa"/>
            <w:tcBorders/>
            <w:shd w:fill="CCEEFF" w:val="clear"/>
            <w:vAlign w:val="center"/>
          </w:tcPr>
          <w:p>
            <w:pPr>
              <w:pStyle w:val="TableContents"/>
              <w:bidi w:val="0"/>
              <w:spacing w:before="0" w:after="283"/>
              <w:jc w:val="left"/>
              <w:rPr/>
            </w:pPr>
            <w:r>
              <w:rPr/>
              <w:t>Dealer</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left"/>
              <w:rPr/>
            </w:pPr>
            <w:r>
              <w:rPr/>
              <w:t>Revenue recognized at a point in time</w:t>
            </w:r>
          </w:p>
        </w:tc>
        <w:tc>
          <w:tcPr>
            <w:tcW w:w="9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806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tcMar>
              <w:bottom w:w="28" w:type="dxa"/>
            </w:tcMar>
            <w:vAlign w:val="center"/>
          </w:tcPr>
          <w:p>
            <w:pPr>
              <w:pStyle w:val="TableContents"/>
              <w:bidi w:val="0"/>
              <w:spacing w:before="0" w:after="283"/>
              <w:jc w:val="right"/>
              <w:rPr/>
            </w:pPr>
            <w:r>
              <w:rPr/>
              <w:t>806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jc w:val="left"/>
              <w:rPr/>
            </w:pPr>
            <w:r>
              <w:rPr/>
              <w:t> </w:t>
            </w:r>
          </w:p>
        </w:tc>
      </w:tr>
      <w:tr>
        <w:trPr/>
        <w:tc>
          <w:tcPr>
            <w:tcW w:w="3251" w:type="dxa"/>
            <w:tcBorders/>
            <w:shd w:fill="CCEEFF" w:val="clear"/>
            <w:vAlign w:val="center"/>
          </w:tcPr>
          <w:p>
            <w:pPr>
              <w:pStyle w:val="TableContents"/>
              <w:bidi w:val="0"/>
              <w:spacing w:before="0" w:after="283"/>
              <w:jc w:val="left"/>
              <w:rPr/>
            </w:pPr>
            <w:r>
              <w:rPr/>
              <w:t>Total Dealer</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806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806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left"/>
              <w:rPr/>
            </w:pPr>
            <w:r>
              <w:rPr/>
              <w:t>Total revenue</w:t>
            </w:r>
          </w:p>
        </w:tc>
        <w:tc>
          <w:tcPr>
            <w:tcW w:w="90" w:type="dxa"/>
            <w:tcBorders/>
            <w:vAlign w:val="center"/>
          </w:tcPr>
          <w:p>
            <w:pPr>
              <w:pStyle w:val="TableContents"/>
              <w:bidi w:val="0"/>
              <w:spacing w:before="0" w:after="283"/>
              <w:jc w:val="left"/>
              <w:rPr/>
            </w:pPr>
            <w:r>
              <w:rPr/>
              <w:t> </w:t>
            </w:r>
          </w:p>
        </w:tc>
        <w:tc>
          <w:tcPr>
            <w:tcW w:w="297" w:type="dxa"/>
            <w:tcBorders>
              <w:bottom w:val="double" w:sz="10" w:space="0" w:color="000000"/>
            </w:tcBorders>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tcMar>
              <w:bottom w:w="28" w:type="dxa"/>
            </w:tcMar>
            <w:vAlign w:val="center"/>
          </w:tcPr>
          <w:p>
            <w:pPr>
              <w:pStyle w:val="TableContents"/>
              <w:bidi w:val="0"/>
              <w:spacing w:before="0" w:after="283"/>
              <w:jc w:val="right"/>
              <w:rPr/>
            </w:pPr>
            <w:r>
              <w:rPr/>
              <w:t>64,487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bottom w:val="double" w:sz="10" w:space="0" w:color="000000"/>
            </w:tcBorders>
            <w:tcMar>
              <w:bottom w:w="28" w:type="dxa"/>
            </w:tcMar>
            <w:vAlign w:val="center"/>
          </w:tcPr>
          <w:p>
            <w:pPr>
              <w:pStyle w:val="TableContents"/>
              <w:bidi w:val="0"/>
              <w:spacing w:before="0" w:after="283"/>
              <w:jc w:val="left"/>
              <w:rPr/>
            </w:pPr>
            <w:r>
              <w:rPr/>
              <w:t>$</w:t>
            </w:r>
          </w:p>
        </w:tc>
        <w:tc>
          <w:tcPr>
            <w:tcW w:w="1201" w:type="dxa"/>
            <w:tcBorders>
              <w:bottom w:val="double" w:sz="10" w:space="0" w:color="000000"/>
            </w:tcBorders>
            <w:tcMar>
              <w:bottom w:w="28" w:type="dxa"/>
            </w:tcMar>
            <w:vAlign w:val="center"/>
          </w:tcPr>
          <w:p>
            <w:pPr>
              <w:pStyle w:val="TableContents"/>
              <w:bidi w:val="0"/>
              <w:spacing w:before="0" w:after="283"/>
              <w:jc w:val="right"/>
              <w:rPr/>
            </w:pPr>
            <w:r>
              <w:rPr/>
              <w:t>5,536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bottom w:val="double" w:sz="10" w:space="0" w:color="000000"/>
            </w:tcBorders>
            <w:tcMar>
              <w:bottom w:w="28" w:type="dxa"/>
            </w:tcMar>
            <w:vAlign w:val="center"/>
          </w:tcPr>
          <w:p>
            <w:pPr>
              <w:pStyle w:val="TableContents"/>
              <w:bidi w:val="0"/>
              <w:spacing w:before="0" w:after="283"/>
              <w:jc w:val="left"/>
              <w:rPr/>
            </w:pPr>
            <w:r>
              <w:rPr/>
              <w:t>$</w:t>
            </w:r>
          </w:p>
        </w:tc>
        <w:tc>
          <w:tcPr>
            <w:tcW w:w="1285" w:type="dxa"/>
            <w:tcBorders>
              <w:bottom w:val="double" w:sz="10" w:space="0" w:color="000000"/>
            </w:tcBorders>
            <w:tcMar>
              <w:bottom w:w="28" w:type="dxa"/>
            </w:tcMar>
            <w:vAlign w:val="center"/>
          </w:tcPr>
          <w:p>
            <w:pPr>
              <w:pStyle w:val="TableContents"/>
              <w:bidi w:val="0"/>
              <w:spacing w:before="0" w:after="283"/>
              <w:jc w:val="right"/>
              <w:rPr/>
            </w:pPr>
            <w:r>
              <w:rPr/>
              <w:t>209,015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bottom w:val="double" w:sz="10" w:space="0" w:color="000000"/>
            </w:tcBorders>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tcMar>
              <w:bottom w:w="28" w:type="dxa"/>
            </w:tcMar>
            <w:vAlign w:val="center"/>
          </w:tcPr>
          <w:p>
            <w:pPr>
              <w:pStyle w:val="TableContents"/>
              <w:bidi w:val="0"/>
              <w:spacing w:before="0" w:after="283"/>
              <w:jc w:val="right"/>
              <w:rPr/>
            </w:pPr>
            <w:r>
              <w:rPr/>
              <w:t>20,068</w:t>
            </w:r>
          </w:p>
        </w:tc>
        <w:tc>
          <w:tcPr>
            <w:tcW w:w="139" w:type="dxa"/>
            <w:tcBorders/>
            <w:vAlign w:val="center"/>
          </w:tcPr>
          <w:p>
            <w:pPr>
              <w:pStyle w:val="TableContents"/>
              <w:bidi w:val="0"/>
              <w:spacing w:before="0" w:after="283"/>
              <w:jc w:val="left"/>
              <w:rPr/>
            </w:pPr>
            <w:r>
              <w:rPr/>
              <w:t> </w:t>
            </w:r>
          </w:p>
        </w:tc>
      </w:tr>
      <w:tr>
        <w:trPr/>
        <w:tc>
          <w:tcPr>
            <w:tcW w:w="325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3251" w:type="dxa"/>
            <w:tcBorders/>
            <w:vAlign w:val="center"/>
          </w:tcPr>
          <w:p>
            <w:pPr>
              <w:pStyle w:val="TableContents"/>
              <w:bidi w:val="0"/>
              <w:spacing w:before="0" w:after="283"/>
              <w:jc w:val="left"/>
              <w:rPr/>
            </w:pPr>
            <w:r>
              <w:rPr/>
              <w:t>Total revenue recognized over time</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44,594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w:t>
            </w:r>
          </w:p>
        </w:tc>
        <w:tc>
          <w:tcPr>
            <w:tcW w:w="1201" w:type="dxa"/>
            <w:tcBorders/>
            <w:vAlign w:val="center"/>
          </w:tcPr>
          <w:p>
            <w:pPr>
              <w:pStyle w:val="TableContents"/>
              <w:bidi w:val="0"/>
              <w:spacing w:before="0" w:after="283"/>
              <w:jc w:val="right"/>
              <w:rPr/>
            </w:pPr>
            <w:r>
              <w:rPr/>
              <w:t>5,536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w:t>
            </w:r>
          </w:p>
        </w:tc>
        <w:tc>
          <w:tcPr>
            <w:tcW w:w="1285" w:type="dxa"/>
            <w:tcBorders/>
            <w:vAlign w:val="center"/>
          </w:tcPr>
          <w:p>
            <w:pPr>
              <w:pStyle w:val="TableContents"/>
              <w:bidi w:val="0"/>
              <w:spacing w:before="0" w:after="283"/>
              <w:jc w:val="right"/>
              <w:rPr/>
            </w:pPr>
            <w:r>
              <w:rPr/>
              <w:t>145,142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20,068</w:t>
            </w:r>
          </w:p>
        </w:tc>
        <w:tc>
          <w:tcPr>
            <w:tcW w:w="139" w:type="dxa"/>
            <w:tcBorders/>
            <w:vAlign w:val="center"/>
          </w:tcPr>
          <w:p>
            <w:pPr>
              <w:pStyle w:val="TableContents"/>
              <w:bidi w:val="0"/>
              <w:spacing w:before="0" w:after="283"/>
              <w:jc w:val="left"/>
              <w:rPr/>
            </w:pPr>
            <w:r>
              <w:rPr/>
              <w:t> </w:t>
            </w:r>
          </w:p>
        </w:tc>
      </w:tr>
      <w:tr>
        <w:trPr/>
        <w:tc>
          <w:tcPr>
            <w:tcW w:w="3251" w:type="dxa"/>
            <w:tcBorders/>
            <w:shd w:fill="CCEEFF" w:val="clear"/>
            <w:vAlign w:val="center"/>
          </w:tcPr>
          <w:p>
            <w:pPr>
              <w:pStyle w:val="TableContents"/>
              <w:bidi w:val="0"/>
              <w:spacing w:before="0" w:after="283"/>
              <w:jc w:val="left"/>
              <w:rPr/>
            </w:pPr>
            <w:r>
              <w:rPr/>
              <w:t>Total revenue recognized at a point in time</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19,893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63,873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was generated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not to disclose the remaining performance obligations for contracts that are less than one year in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Incremental costs of obtaining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expenses in accordance with the timing of the related revenue recognition. Amortization of deferred commissions is recorded as sales commissions in the accompanying unaudited condensed consolidated statements of operations and comprehensive loss. As of September 28, 2025 and December 29, 2024, deferred commissions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 Prepaid expenses and other current assets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components of prepaid expenses and other current assets:</w:t>
      </w:r>
    </w:p>
    <w:p>
      <w:pPr>
        <w:pStyle w:val="TextBody"/>
        <w:bidi w:val="0"/>
        <w:spacing w:before="0" w:after="0"/>
        <w:ind w:left="0" w:right="0" w:hanging="0"/>
        <w:jc w:val="both"/>
        <w:rPr>
          <w:caps w:val="false"/>
          <w:smallCaps w:val="false"/>
        </w:rPr>
      </w:pPr>
      <w:r>
        <w:rPr>
          <w:caps w:val="false"/>
          <w:smallCaps w:val="false"/>
        </w:rPr>
        <w:t> </w:t>
      </w:r>
    </w:p>
    <w:tbl>
      <w:tblPr>
        <w:tblW w:w="7864" w:type="dxa"/>
        <w:jc w:val="left"/>
        <w:tblInd w:w="0" w:type="dxa"/>
        <w:tblLayout w:type="fixed"/>
        <w:tblCellMar>
          <w:top w:w="0" w:type="dxa"/>
          <w:left w:w="0" w:type="dxa"/>
          <w:bottom w:w="0" w:type="dxa"/>
          <w:right w:w="0" w:type="dxa"/>
        </w:tblCellMar>
      </w:tblPr>
      <w:tblGrid>
        <w:gridCol w:w="4505"/>
        <w:gridCol w:w="90"/>
        <w:gridCol w:w="170"/>
        <w:gridCol w:w="1340"/>
        <w:gridCol w:w="90"/>
        <w:gridCol w:w="90"/>
        <w:gridCol w:w="322"/>
        <w:gridCol w:w="1122"/>
        <w:gridCol w:w="135"/>
      </w:tblGrid>
      <w:tr>
        <w:trPr/>
        <w:tc>
          <w:tcPr>
            <w:tcW w:w="45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1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10" w:type="dxa"/>
            <w:gridSpan w:val="2"/>
            <w:tcBorders/>
            <w:vAlign w:val="center"/>
          </w:tcPr>
          <w:p>
            <w:pPr>
              <w:pStyle w:val="TableContents"/>
              <w:bidi w:val="0"/>
              <w:spacing w:before="0" w:after="283"/>
              <w:jc w:val="center"/>
              <w:rPr>
                <w:b/>
              </w:rPr>
            </w:pPr>
            <w:r>
              <w:rPr>
                <w:b/>
              </w:rPr>
              <w:t>September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(As Restated)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both"/>
              <w:rPr/>
            </w:pPr>
            <w:r>
              <w:rPr/>
              <w:t>Deferred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19,647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3,759</w:t>
            </w:r>
          </w:p>
        </w:tc>
        <w:tc>
          <w:tcPr>
            <w:tcW w:w="13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both"/>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tcMar>
              <w:bottom w:w="28" w:type="dxa"/>
            </w:tcMar>
            <w:vAlign w:val="center"/>
          </w:tcPr>
          <w:p>
            <w:pPr>
              <w:pStyle w:val="TableContents"/>
              <w:bidi w:val="0"/>
              <w:spacing w:before="0" w:after="283"/>
              <w:jc w:val="right"/>
              <w:rPr/>
            </w:pPr>
            <w:r>
              <w:rPr/>
              <w:t>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4,447</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both"/>
              <w:rPr/>
            </w:pPr>
            <w:r>
              <w:rPr/>
              <w:t>Total 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19,740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8,206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 Recent accounting pronouncements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pronouncements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“Measurement of Credit Losses for Accounts Receivable and Contract Assets” which provides an update to all entities with a practical expedient when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thirteen week period ended September 28, 2025. The impact of the adoption was not material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will adopt this ASU in its annual report for the fiscal year ending December 28, 2025.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the disaggregation of certain expenses in the notes of the financial statements to provide enhanced transparency into the expense captions presented on the face of the income statement. The FASB subsequently issued ASU 2025-01 “Income Statement-Reporting Comprehensive Income-Expense Disaggregation Disclosures (Subtopic 220-40): Clarifying the Effective Date”,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Debt-Debt with Conversion and Other Options (Subtopic 470-20) (“ASU 2024-04”).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“Codification Improvements-Amendments to Remove References to the Concepts Statements”,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“Targeted improvements to the Accounting for Internal-Use Software”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 Changes in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with CRSEF Solis Holdings, LLC and its affiliates (“Carlyle”), have been disclosed as related party transactions until it ceased being a significant shareholder in the Company. Beginning in the thirteen week period ended June 29, 2025, transactions with Carlyle are no longer deemed related party transactions. The Company continues to engage in transactions Carlyle as it is a creditor of the Company’s 12.0% senior unsecured convertible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Polar Multi-Strategy Master Fund (“Polar”) ceased to be a related party, and as a result, beginning in the thirteen week period ended June 29, 2025, transactions with Polar are no longer deemed related party transactions. Transactions previously reported with Polar have been disclosed as related party transactions. The Company continues to have a forward purchase agreement obligation with Polar.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SunPower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commencing the Company’s fourth quarter of fiscal 2024, the Company completed the acquisition of certain assets and assumption of certain liabilities from SunPower Debtors for an aggregate cash consideration paid of $54.5 million, net of $1.0 million of cash acquired. Prior to its declaration of bankruptcy SunPower Debtors was a solar technology and energy services provider that offered fully integrated solar, storage, and home energy solutions to customers in the United States through an array of hardware, software, and “Smart Energy” solutions. The financial results of the SunPower Acquisition have been included in the Company’s unaudited condensed consolidated financial statements since the date of the SunPower Acquisition. This transaction was accounted for as a business combination in accordance with ASC 805, </w:t>
      </w: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incurred in connection with the close of the SunPower Acquisition totaled $7.2 million and were expensed by the Company and included in general and administrative expenses within the fourth quarter of the Company’s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assets acquired and liabilities assumed were based upon a preliminary valuation. Consistent with previous disclosures, the Company disclosed that further adjustments to the Company’s inventory were expected in the thirty-nine week period ended September 28, 2025.  As of September 28, 2025, the Company finalized the fair value of the assets acquired and liabilities assumed. The inventory acquired related to 1) work-in-progress at various stages of completion as of the acquisition date for which further analysis was required in order to determine which systems could be sold to a financing partner (for which the remaining units determined to be sellable to that partner were resolved during the thirteen-weeks ended September 28, 2025) and 2) completed systems that were acquired as of the acquisition date for which uncertainty existed due to unsettled matters with the SunPower Bankruptcy Estate (which were resolved in connection with the Company’s settlement  with the SunPower Bankruptcy Estate). The final determination of the fair values of the inventory and intangibles upon settlement of these matters resulted in a revision to the inventory and intangibles with the offsetting adjustment to goodwill during the measurement period. The Company concluded that the finalization of the measurement period adjustment resulted in the recognition of $2.2 million of costs of goods in the thirteen week period ended September 28, 2025 that would have been recognized in the thirteen week period ended June 29, 2025 (which the Company concluded was not material to the financial statements for the thirteen- and thirty-nine week periods ended September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and final fair values of identifiable assets acquired and liabilities assumed and measurement period adjustments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042" w:type="dxa"/>
        <w:jc w:val="left"/>
        <w:tblInd w:w="0" w:type="dxa"/>
        <w:tblLayout w:type="fixed"/>
        <w:tblCellMar>
          <w:top w:w="0" w:type="dxa"/>
          <w:left w:w="0" w:type="dxa"/>
          <w:bottom w:w="0" w:type="dxa"/>
          <w:right w:w="0" w:type="dxa"/>
        </w:tblCellMar>
      </w:tblPr>
      <w:tblGrid>
        <w:gridCol w:w="3770"/>
        <w:gridCol w:w="90"/>
        <w:gridCol w:w="201"/>
        <w:gridCol w:w="883"/>
        <w:gridCol w:w="110"/>
        <w:gridCol w:w="90"/>
        <w:gridCol w:w="231"/>
        <w:gridCol w:w="1018"/>
        <w:gridCol w:w="110"/>
        <w:gridCol w:w="90"/>
        <w:gridCol w:w="240"/>
        <w:gridCol w:w="1054"/>
        <w:gridCol w:w="155"/>
      </w:tblGrid>
      <w:tr>
        <w:trPr/>
        <w:tc>
          <w:tcPr>
            <w:tcW w:w="37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Measurement </w:t>
              <w:br/>
              <w:t xml:space="preserve">period </w:t>
              <w:br/>
              <w:t>adjustment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Final</w:t>
              <w:br/>
              <w:t xml:space="preserve">fair values </w:t>
              <w:br/>
              <w:t xml:space="preserve">as of </w:t>
              <w:br/>
              <w:t xml:space="preserve">September 28, </w:t>
              <w:br/>
              <w:t>2025</w:t>
            </w:r>
          </w:p>
        </w:tc>
        <w:tc>
          <w:tcPr>
            <w:tcW w:w="15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assets acquired:</w:t>
            </w:r>
          </w:p>
        </w:tc>
        <w:tc>
          <w:tcPr>
            <w:tcW w:w="9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5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sz w:val="20"/>
              </w:rPr>
            </w:pPr>
            <w:r>
              <w:rPr>
                <w:sz w:val="20"/>
              </w:rPr>
              <w:t>16,614</w:t>
            </w:r>
          </w:p>
        </w:tc>
        <w:tc>
          <w:tcPr>
            <w:tcW w:w="15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Inventories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48,388</w:t>
            </w:r>
          </w:p>
        </w:tc>
        <w:tc>
          <w:tcPr>
            <w:tcW w:w="15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15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15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15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noncurrent assets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15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15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revenue</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long-term liabilities</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of net tangible assets acquired</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15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Goodwill recognized</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Consideration transferred</w:t>
            </w:r>
          </w:p>
        </w:tc>
        <w:tc>
          <w:tcPr>
            <w:tcW w:w="90"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10"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Company completed the acquisition of all assets and assumption of all liabilities of the Membership Interests of Sunder for aggregate consideration of $57.8 million. Sunder is a solar sales company. The Company acquired Sunder as a strategic acquisition to expand its overall market share and its penetration into more U.S. states. 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 consisting of (i) 3,333,334 shares of the Company’s common stock and (ii) subject to approval of such issuances by the Company’s stockholders, (x)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deferred consideration paid and payable in connection with the Sunder acquisition was accounted for on the Company’s balance sheet as of September 28, 2025, as (i) $5.7 million within Additional paid-in capital, (ii) $5.7 million within Accrued expenses and other current liabilities, and (iii) $5.7 million within Other long-term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9015" w:type="dxa"/>
        <w:jc w:val="left"/>
        <w:tblInd w:w="0" w:type="dxa"/>
        <w:tblLayout w:type="fixed"/>
        <w:tblCellMar>
          <w:top w:w="0" w:type="dxa"/>
          <w:left w:w="0" w:type="dxa"/>
          <w:bottom w:w="0" w:type="dxa"/>
          <w:right w:w="0" w:type="dxa"/>
        </w:tblCellMar>
      </w:tblPr>
      <w:tblGrid>
        <w:gridCol w:w="8015"/>
        <w:gridCol w:w="90"/>
        <w:gridCol w:w="155"/>
        <w:gridCol w:w="620"/>
        <w:gridCol w:w="135"/>
      </w:tblGrid>
      <w:tr>
        <w:trPr/>
        <w:tc>
          <w:tcPr>
            <w:tcW w:w="80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20,689</w:t>
            </w:r>
          </w:p>
        </w:tc>
        <w:tc>
          <w:tcPr>
            <w:tcW w:w="135" w:type="dxa"/>
            <w:tcBorders/>
            <w:shd w:fill="CCEEFF" w:val="clear"/>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note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135" w:type="dxa"/>
            <w:tcBorders/>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3.3 million shares of the Company’s common stock</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135" w:type="dxa"/>
            <w:tcBorders/>
            <w:shd w:fill="CCEEFF" w:val="clear"/>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Contingent consideration arrangement – up to 6.6 million shares of the Company’s common stock</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11,400</w:t>
            </w:r>
          </w:p>
        </w:tc>
        <w:tc>
          <w:tcPr>
            <w:tcW w:w="135" w:type="dxa"/>
            <w:tcBorders/>
            <w:vAlign w:val="center"/>
          </w:tcPr>
          <w:p>
            <w:pPr>
              <w:pStyle w:val="TableContents"/>
              <w:bidi w:val="0"/>
              <w:spacing w:before="0" w:after="283"/>
              <w:jc w:val="left"/>
              <w:rPr/>
            </w:pPr>
            <w:r>
              <w:rPr/>
              <w:t> </w:t>
            </w:r>
          </w:p>
        </w:tc>
      </w:tr>
      <w:tr>
        <w:trPr/>
        <w:tc>
          <w:tcPr>
            <w:tcW w:w="8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 transferred</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57,789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values of assets acquired and liabilities assumed were based upon a preliminary valuation, and the Company’s estimates and assumptions are subject to change within the measurement period. Due to the timing of the acquisition at the end of the September 28, 2025 quarterly period, the purchase price accounting remains open for the components of working capital, identification and valuation of intangibles and allocation of goodwill to reportable segments. The Company has elected the practical expedient within ASC 805-20-30-27 through 805-20-30-30 to recognize and measure contract liabilities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4355"/>
        <w:gridCol w:w="90"/>
        <w:gridCol w:w="170"/>
        <w:gridCol w:w="785"/>
        <w:gridCol w:w="170"/>
      </w:tblGrid>
      <w:tr>
        <w:trPr/>
        <w:tc>
          <w:tcPr>
            <w:tcW w:w="4355" w:type="dxa"/>
            <w:tcBorders/>
            <w:vAlign w:val="center"/>
          </w:tcPr>
          <w:p>
            <w:pPr>
              <w:pStyle w:val="TableContents"/>
              <w:bidi w:val="0"/>
              <w:spacing w:before="0" w:after="283"/>
              <w:jc w:val="left"/>
              <w:rPr>
                <w:b/>
              </w:rPr>
            </w:pPr>
            <w:r>
              <w:rPr>
                <w:b/>
              </w:rPr>
              <w:t>Net assets acquired (As Restated):</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257</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387</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241</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Operating lease 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313</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552</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25,922</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(10,437</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(184</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(1,322</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(215</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Fair value of net tangible assets acquired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15,514</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Goodwill recognized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42,275</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Consideration transferred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2645"/>
        <w:gridCol w:w="90"/>
        <w:gridCol w:w="905"/>
        <w:gridCol w:w="90"/>
        <w:gridCol w:w="155"/>
        <w:gridCol w:w="620"/>
        <w:gridCol w:w="135"/>
      </w:tblGrid>
      <w:tr>
        <w:trPr/>
        <w:tc>
          <w:tcPr>
            <w:tcW w:w="26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9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related intangible</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year</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9,279</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Sunder</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 - Sunder</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14,216</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 at end of period</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25,922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Sunder acquisition contributed $4.3 million in revenue and $0.3 million of income before income taxes for the period from the acquisition date to September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unaudited pro forma consolidated financial information of the Company for the periods presented, as if the SunPower Acquisition and Sunder had been acquired as of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 of SunPower Acquisition or Sunder.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33" w:type="dxa"/>
        <w:jc w:val="left"/>
        <w:tblInd w:w="0" w:type="dxa"/>
        <w:tblLayout w:type="fixed"/>
        <w:tblCellMar>
          <w:top w:w="0" w:type="dxa"/>
          <w:left w:w="0" w:type="dxa"/>
          <w:bottom w:w="0" w:type="dxa"/>
          <w:right w:w="0" w:type="dxa"/>
        </w:tblCellMar>
      </w:tblPr>
      <w:tblGrid>
        <w:gridCol w:w="3770"/>
        <w:gridCol w:w="90"/>
        <w:gridCol w:w="219"/>
        <w:gridCol w:w="1030"/>
        <w:gridCol w:w="121"/>
        <w:gridCol w:w="99"/>
        <w:gridCol w:w="205"/>
        <w:gridCol w:w="1044"/>
        <w:gridCol w:w="155"/>
      </w:tblGrid>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Thirty-Nine Weeks Ended</w:t>
            </w:r>
          </w:p>
        </w:tc>
        <w:tc>
          <w:tcPr>
            <w:tcW w:w="15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r>
          </w:p>
        </w:tc>
        <w:tc>
          <w:tcPr>
            <w:tcW w:w="12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29,</w:t>
            </w:r>
          </w:p>
        </w:tc>
        <w:tc>
          <w:tcPr>
            <w:tcW w:w="15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2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ind w:left="0" w:right="0" w:hanging="180"/>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revenue</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276,353</w:t>
            </w:r>
          </w:p>
        </w:tc>
        <w:tc>
          <w:tcPr>
            <w:tcW w:w="12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319,639</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net loss from continuing operations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(45,402</w:t>
            </w:r>
          </w:p>
        </w:tc>
        <w:tc>
          <w:tcPr>
            <w:tcW w:w="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(364,510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4910"/>
        <w:gridCol w:w="90"/>
        <w:gridCol w:w="175"/>
        <w:gridCol w:w="609"/>
        <w:gridCol w:w="90"/>
        <w:gridCol w:w="90"/>
        <w:gridCol w:w="289"/>
        <w:gridCol w:w="495"/>
        <w:gridCol w:w="90"/>
        <w:gridCol w:w="90"/>
        <w:gridCol w:w="170"/>
        <w:gridCol w:w="830"/>
        <w:gridCol w:w="90"/>
        <w:gridCol w:w="90"/>
        <w:gridCol w:w="170"/>
        <w:gridCol w:w="830"/>
        <w:gridCol w:w="135"/>
      </w:tblGrid>
      <w:tr>
        <w:trPr/>
        <w:tc>
          <w:tcPr>
            <w:tcW w:w="49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1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September 28, 2025</w:t>
            </w:r>
          </w:p>
        </w:tc>
        <w:tc>
          <w:tcPr>
            <w:tcW w:w="13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b/>
              </w:rPr>
            </w:pPr>
            <w:r>
              <w:rPr>
                <w:b/>
              </w:rPr>
              <w:t>Financial Assets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3933" w:type="dxa"/>
            <w:gridSpan w:val="13"/>
            <w:tcBorders/>
            <w:vAlign w:val="center"/>
          </w:tcPr>
          <w:p>
            <w:pPr>
              <w:pStyle w:val="TableContents"/>
              <w:bidi w:val="0"/>
              <w:spacing w:before="0" w:after="283"/>
              <w:jc w:val="center"/>
              <w:rPr/>
            </w:pPr>
            <w:r>
              <w:rPr/>
              <w:t>(As Restated)</w:t>
            </w:r>
          </w:p>
        </w:tc>
        <w:tc>
          <w:tcPr>
            <w:tcW w:w="13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Restricted cash</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tcMar>
              <w:bottom w:w="28" w:type="dxa"/>
            </w:tcMar>
            <w:vAlign w:val="center"/>
          </w:tcPr>
          <w:p>
            <w:pPr>
              <w:pStyle w:val="TableContents"/>
              <w:bidi w:val="0"/>
              <w:spacing w:before="0" w:after="283"/>
              <w:jc w:val="right"/>
              <w:rPr/>
            </w:pPr>
            <w:r>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3,841</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b/>
              </w:rPr>
            </w:pPr>
            <w:r>
              <w:rPr>
                <w:b/>
              </w:rPr>
              <w:t>Financial Liabilities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July 2024 Notes derivative liability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21,664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21,664</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July 2024 Notes derivative liability – related parties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13,940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13,940</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September 2024 derivative liability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52,708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52,708</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September 2024 derivative liability – related parties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6,515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6,515</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July 2025 Note derivative liability– related party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3,468</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September 2025 Notes derivative liability</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16,274</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Forward purchase agreement liabilities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4,301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4,301</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Public warrants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2,588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2,588</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Private placement warrants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1,880</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Working capital warrants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215</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SAFE Agreement with related party</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497</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right"/>
              <w:rPr/>
            </w:pPr>
            <w:r>
              <w:rPr/>
              <w:t>2,588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121,462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124,050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5525"/>
        <w:gridCol w:w="90"/>
        <w:gridCol w:w="175"/>
        <w:gridCol w:w="609"/>
        <w:gridCol w:w="90"/>
        <w:gridCol w:w="90"/>
        <w:gridCol w:w="289"/>
        <w:gridCol w:w="495"/>
        <w:gridCol w:w="90"/>
        <w:gridCol w:w="90"/>
        <w:gridCol w:w="170"/>
        <w:gridCol w:w="830"/>
        <w:gridCol w:w="90"/>
        <w:gridCol w:w="90"/>
        <w:gridCol w:w="170"/>
        <w:gridCol w:w="830"/>
        <w:gridCol w:w="135"/>
      </w:tblGrid>
      <w:tr>
        <w:trPr/>
        <w:tc>
          <w:tcPr>
            <w:tcW w:w="5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29, 2024</w:t>
            </w:r>
          </w:p>
        </w:tc>
        <w:tc>
          <w:tcPr>
            <w:tcW w:w="13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both"/>
              <w:rPr>
                <w:b/>
              </w:rPr>
            </w:pPr>
            <w:r>
              <w:rPr>
                <w:b/>
              </w:rPr>
              <w:t>Financial Assets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both"/>
              <w:rPr/>
            </w:pPr>
            <w:r>
              <w:rPr/>
              <w:t>Restricted cash</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13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tcMar>
              <w:bottom w:w="28" w:type="dxa"/>
            </w:tcMar>
            <w:vAlign w:val="center"/>
          </w:tcPr>
          <w:p>
            <w:pPr>
              <w:pStyle w:val="TableContents"/>
              <w:bidi w:val="0"/>
              <w:spacing w:before="0" w:after="283"/>
              <w:jc w:val="right"/>
              <w:rPr/>
            </w:pPr>
            <w:r>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3,841</w:t>
            </w:r>
          </w:p>
        </w:tc>
        <w:tc>
          <w:tcPr>
            <w:tcW w:w="13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both"/>
              <w:rPr>
                <w:b/>
              </w:rPr>
            </w:pPr>
            <w:r>
              <w:rPr>
                <w:b/>
              </w:rPr>
              <w:t>Financial Liabilities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both"/>
              <w:rPr/>
            </w:pPr>
            <w:r>
              <w:rPr/>
              <w:t>July 2024 Notes derivative liability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13,563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13,563</w:t>
            </w:r>
          </w:p>
        </w:tc>
        <w:tc>
          <w:tcPr>
            <w:tcW w:w="13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both"/>
              <w:rPr/>
            </w:pPr>
            <w:r>
              <w:rPr/>
              <w:t>July 2024 Notes derivative liability – related parties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21,127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21,127</w:t>
            </w:r>
          </w:p>
        </w:tc>
        <w:tc>
          <w:tcPr>
            <w:tcW w:w="13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both"/>
              <w:rPr/>
            </w:pPr>
            <w:r>
              <w:rPr/>
              <w:t>September 2024 Notes derivative liability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55,474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55,474</w:t>
            </w:r>
          </w:p>
        </w:tc>
        <w:tc>
          <w:tcPr>
            <w:tcW w:w="13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both"/>
              <w:rPr/>
            </w:pPr>
            <w:r>
              <w:rPr/>
              <w:t>September 2024 Notes derivative liability – related parties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6,958</w:t>
            </w:r>
          </w:p>
        </w:tc>
        <w:tc>
          <w:tcPr>
            <w:tcW w:w="13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Forward purchase agreement liabilities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3,494</w:t>
            </w:r>
          </w:p>
        </w:tc>
        <w:tc>
          <w:tcPr>
            <w:tcW w:w="13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both"/>
              <w:rPr/>
            </w:pPr>
            <w:r>
              <w:rPr/>
              <w:t>Public warrants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862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862</w:t>
            </w:r>
          </w:p>
        </w:tc>
        <w:tc>
          <w:tcPr>
            <w:tcW w:w="13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both"/>
              <w:rPr/>
            </w:pPr>
            <w:r>
              <w:rPr/>
              <w:t>Private placement warrants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627</w:t>
            </w:r>
          </w:p>
        </w:tc>
        <w:tc>
          <w:tcPr>
            <w:tcW w:w="13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both"/>
              <w:rPr/>
            </w:pPr>
            <w:r>
              <w:rPr/>
              <w:t>Working capital warrants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72</w:t>
            </w:r>
          </w:p>
        </w:tc>
        <w:tc>
          <w:tcPr>
            <w:tcW w:w="13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both"/>
              <w:rPr/>
            </w:pPr>
            <w:r>
              <w:rPr/>
              <w:t>SAFE Agreement with related party</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384</w:t>
            </w:r>
          </w:p>
        </w:tc>
        <w:tc>
          <w:tcPr>
            <w:tcW w:w="13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right"/>
              <w:rPr/>
            </w:pPr>
            <w:r>
              <w:rPr/>
              <w:t>862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101,699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102,561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275"/>
        <w:gridCol w:w="6005"/>
      </w:tblGrid>
      <w:tr>
        <w:trPr/>
        <w:tc>
          <w:tcPr>
            <w:tcW w:w="27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$1.3 million due to related parties as of and December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issuance, changes in the fair value of the derivative liabilities, liability classified warrants, forward purchase agreements and SAFEs are recorded within Other expense, net in the Company’s unaudited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derivative liabilities in conjunction with the issuance of certain convertible notes in July 2024 September 2024 and July 2025 (as defined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The Company valued the derivative liabilities as of September 28, 2025, and December 29, 2024 using a binomial lattice model, which includes Level 3 unobservable inputs. The key inputs used were dividend yield, the Company’s common stock price, volatility, and risk-free rate of the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derivative liability valuation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745"/>
        <w:gridCol w:w="90"/>
        <w:gridCol w:w="250"/>
        <w:gridCol w:w="1000"/>
        <w:gridCol w:w="215"/>
        <w:gridCol w:w="90"/>
        <w:gridCol w:w="241"/>
        <w:gridCol w:w="964"/>
        <w:gridCol w:w="260"/>
      </w:tblGrid>
      <w:tr>
        <w:trPr/>
        <w:tc>
          <w:tcPr>
            <w:tcW w:w="17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b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Coupon rate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rate</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price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260"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Common stock price</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 yield</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2024 Notes derivative liability valuation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745"/>
        <w:gridCol w:w="90"/>
        <w:gridCol w:w="250"/>
        <w:gridCol w:w="1000"/>
        <w:gridCol w:w="215"/>
        <w:gridCol w:w="90"/>
        <w:gridCol w:w="241"/>
        <w:gridCol w:w="964"/>
        <w:gridCol w:w="260"/>
      </w:tblGrid>
      <w:tr>
        <w:trPr/>
        <w:tc>
          <w:tcPr>
            <w:tcW w:w="17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b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60"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77.8</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derivative liability valuation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3345" w:type="dxa"/>
        <w:jc w:val="left"/>
        <w:tblInd w:w="0" w:type="dxa"/>
        <w:tblLayout w:type="fixed"/>
        <w:tblCellMar>
          <w:top w:w="0" w:type="dxa"/>
          <w:left w:w="0" w:type="dxa"/>
          <w:bottom w:w="0" w:type="dxa"/>
          <w:right w:w="0" w:type="dxa"/>
        </w:tblCellMar>
      </w:tblPr>
      <w:tblGrid>
        <w:gridCol w:w="1745"/>
        <w:gridCol w:w="90"/>
        <w:gridCol w:w="250"/>
        <w:gridCol w:w="1000"/>
        <w:gridCol w:w="260"/>
      </w:tblGrid>
      <w:tr>
        <w:trPr/>
        <w:tc>
          <w:tcPr>
            <w:tcW w:w="17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br/>
              <w:t>2025</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Coupon rate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rate</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558.66</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price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260"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Common stock price</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75.1</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 yield</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Notes derivative liability valuation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3345" w:type="dxa"/>
        <w:jc w:val="left"/>
        <w:tblInd w:w="0" w:type="dxa"/>
        <w:tblLayout w:type="fixed"/>
        <w:tblCellMar>
          <w:top w:w="0" w:type="dxa"/>
          <w:left w:w="0" w:type="dxa"/>
          <w:bottom w:w="0" w:type="dxa"/>
          <w:right w:w="0" w:type="dxa"/>
        </w:tblCellMar>
      </w:tblPr>
      <w:tblGrid>
        <w:gridCol w:w="1745"/>
        <w:gridCol w:w="90"/>
        <w:gridCol w:w="250"/>
        <w:gridCol w:w="1000"/>
        <w:gridCol w:w="260"/>
      </w:tblGrid>
      <w:tr>
        <w:trPr/>
        <w:tc>
          <w:tcPr>
            <w:tcW w:w="17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br/>
              <w:t>2025</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Coupon rate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rate</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price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60"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Common stock price</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2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77.8</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 yield</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and working capital warrants are measured at fair value. The Company valued the private placement and working capital warrants, based on a Black-Scholes Option Pricing Method,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183" w:type="dxa"/>
        <w:jc w:val="left"/>
        <w:tblInd w:w="0" w:type="dxa"/>
        <w:tblLayout w:type="fixed"/>
        <w:tblCellMar>
          <w:top w:w="0" w:type="dxa"/>
          <w:left w:w="0" w:type="dxa"/>
          <w:bottom w:w="0" w:type="dxa"/>
          <w:right w:w="0" w:type="dxa"/>
        </w:tblCellMar>
      </w:tblPr>
      <w:tblGrid>
        <w:gridCol w:w="2075"/>
        <w:gridCol w:w="90"/>
        <w:gridCol w:w="185"/>
        <w:gridCol w:w="1064"/>
        <w:gridCol w:w="215"/>
        <w:gridCol w:w="90"/>
        <w:gridCol w:w="193"/>
        <w:gridCol w:w="1011"/>
        <w:gridCol w:w="260"/>
      </w:tblGrid>
      <w:tr>
        <w:trPr/>
        <w:tc>
          <w:tcPr>
            <w:tcW w:w="20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 years</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 years</w:t>
            </w:r>
          </w:p>
        </w:tc>
        <w:tc>
          <w:tcPr>
            <w:tcW w:w="2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169.0</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3.65</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 yield</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2025, the Company entered into individual amendments with Meteora Special Opportunity Fund I, LP (“MSOF”), Meteora Capital Partners, LP (“MCP”), and Meteora Select Trading Opportunities Master, LP (“MSTO”) (with MSOF, MCP, and MSTO collectively as “Meteora”), Sandia Investment Management LP (“Sandia”) and Polar (collectively, the “FPA Amendments”) which among other things, extended the valuation date applicable to each of the FPAs.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4643" w:type="dxa"/>
        <w:jc w:val="left"/>
        <w:tblInd w:w="0" w:type="dxa"/>
        <w:tblLayout w:type="fixed"/>
        <w:tblCellMar>
          <w:top w:w="0" w:type="dxa"/>
          <w:left w:w="0" w:type="dxa"/>
          <w:bottom w:w="0" w:type="dxa"/>
          <w:right w:w="0" w:type="dxa"/>
        </w:tblCellMar>
      </w:tblPr>
      <w:tblGrid>
        <w:gridCol w:w="1535"/>
        <w:gridCol w:w="90"/>
        <w:gridCol w:w="309"/>
        <w:gridCol w:w="940"/>
        <w:gridCol w:w="215"/>
        <w:gridCol w:w="90"/>
        <w:gridCol w:w="297"/>
        <w:gridCol w:w="907"/>
        <w:gridCol w:w="260"/>
      </w:tblGrid>
      <w:tr>
        <w:trPr/>
        <w:tc>
          <w:tcPr>
            <w:tcW w:w="15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VWAP</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260"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Simulation period</w:t>
            </w:r>
          </w:p>
        </w:tc>
        <w:tc>
          <w:tcPr>
            <w:tcW w:w="9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0.80 years</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6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Agreement was valued based on a conversion probability of 50% based on historical SAFE agreements and a 50% discount rate at the time of conversion as of September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 not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July 2024 Notes, the September 2024 Notes, the July 2025 Note, and the September 2025 Notes were fair valued using a binomial lattice model, which includes Level 3, unobservable inputs. The key inputs used are consistent with those used to fair value the derivative liabilities as discussed under Derivative Liabilities above. The following table sets forth the Company’s financial liabilities that were not measured at fair value, on a non-recurring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084" w:type="dxa"/>
        <w:jc w:val="left"/>
        <w:tblInd w:w="0" w:type="dxa"/>
        <w:tblLayout w:type="fixed"/>
        <w:tblCellMar>
          <w:top w:w="0" w:type="dxa"/>
          <w:left w:w="0" w:type="dxa"/>
          <w:bottom w:w="0" w:type="dxa"/>
          <w:right w:w="0" w:type="dxa"/>
        </w:tblCellMar>
      </w:tblPr>
      <w:tblGrid>
        <w:gridCol w:w="4835"/>
        <w:gridCol w:w="90"/>
        <w:gridCol w:w="170"/>
        <w:gridCol w:w="830"/>
        <w:gridCol w:w="90"/>
        <w:gridCol w:w="90"/>
        <w:gridCol w:w="219"/>
        <w:gridCol w:w="1166"/>
        <w:gridCol w:w="125"/>
        <w:gridCol w:w="90"/>
        <w:gridCol w:w="189"/>
        <w:gridCol w:w="791"/>
        <w:gridCol w:w="90"/>
        <w:gridCol w:w="90"/>
        <w:gridCol w:w="184"/>
        <w:gridCol w:w="900"/>
        <w:gridCol w:w="135"/>
      </w:tblGrid>
      <w:tr>
        <w:trPr/>
        <w:tc>
          <w:tcPr>
            <w:tcW w:w="4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2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September 28 2025</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w:t>
              <w:br/>
              <w:t>debt</w:t>
              <w:br/>
              <w:t>discount</w:t>
              <w:br/>
              <w:t>and debt</w:t>
              <w:br/>
              <w:t>issuance</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24" w:type="dxa"/>
            <w:gridSpan w:val="14"/>
            <w:tcBorders/>
            <w:vAlign w:val="center"/>
          </w:tcPr>
          <w:p>
            <w:pPr>
              <w:pStyle w:val="TableContents"/>
              <w:bidi w:val="0"/>
              <w:spacing w:before="0" w:after="283"/>
              <w:jc w:val="center"/>
              <w:rPr/>
            </w:pPr>
            <w:r>
              <w:rPr/>
              <w:t>(As Restated)</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b/>
              </w:rPr>
            </w:pPr>
            <w:r>
              <w:rPr>
                <w:b/>
              </w:rPr>
              <w:t>12.0% senior unsecured convertible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36,576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(16,325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20,251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33,130</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July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(10,332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7,668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23,099</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Subtotal 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54,576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(26,657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27,919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56,229</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July 2025 Note – related party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(3,627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1,373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6,250</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Subtotal – 12% 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59,576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(30,284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29,292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62,479</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b/>
              </w:rPr>
            </w:pPr>
            <w:r>
              <w:rPr>
                <w:b/>
              </w:rPr>
              <w:t>7.0% 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September 2024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71,250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(56,099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15,151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77,744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September 2024 Notes –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8,750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(6,934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1,816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9,548</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Subtotal September 2024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(63,033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16,967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87,292</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September 2025 Note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(18,932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3,068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25,090</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Subtotal – 7% senior unsecured convertible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102,000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(81,965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20,035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112,382</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Total (As Restated)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161,576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(112,249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10" w:space="0" w:color="000000"/>
            </w:tcBorders>
            <w:shd w:fill="CCEEFF" w:val="clear"/>
            <w:tcMar>
              <w:bottom w:w="28" w:type="dxa"/>
            </w:tcMar>
            <w:vAlign w:val="center"/>
          </w:tcPr>
          <w:p>
            <w:pPr>
              <w:pStyle w:val="TableContents"/>
              <w:bidi w:val="0"/>
              <w:spacing w:before="0" w:after="283"/>
              <w:jc w:val="right"/>
              <w:rPr/>
            </w:pPr>
            <w:r>
              <w:rPr/>
              <w:t>49,327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CCEEFF" w:val="clear"/>
            <w:tcMar>
              <w:bottom w:w="28" w:type="dxa"/>
            </w:tcMar>
            <w:vAlign w:val="center"/>
          </w:tcPr>
          <w:p>
            <w:pPr>
              <w:pStyle w:val="TableContents"/>
              <w:bidi w:val="0"/>
              <w:spacing w:before="0" w:after="283"/>
              <w:jc w:val="right"/>
              <w:rPr/>
            </w:pPr>
            <w:r>
              <w:rPr/>
              <w:t>174,861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4280"/>
        <w:gridCol w:w="90"/>
        <w:gridCol w:w="170"/>
        <w:gridCol w:w="830"/>
        <w:gridCol w:w="90"/>
        <w:gridCol w:w="90"/>
        <w:gridCol w:w="219"/>
        <w:gridCol w:w="1166"/>
        <w:gridCol w:w="125"/>
        <w:gridCol w:w="90"/>
        <w:gridCol w:w="189"/>
        <w:gridCol w:w="791"/>
        <w:gridCol w:w="90"/>
        <w:gridCol w:w="90"/>
        <w:gridCol w:w="184"/>
        <w:gridCol w:w="900"/>
        <w:gridCol w:w="135"/>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2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29, 2024</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w:t>
              <w:br/>
              <w:t>debt</w:t>
              <w:br/>
              <w:t>discount</w:t>
              <w:br/>
              <w:t>and debt</w:t>
              <w:br/>
              <w:t>issuance</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b/>
              </w:rPr>
            </w:pPr>
            <w:r>
              <w:rPr>
                <w:b/>
              </w:rPr>
              <w:t>12.0% senior unsecured convertible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22,765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(10,874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11,891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21,390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July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33,969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(16,877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17,092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33,323</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Subtotal 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56,734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(27,751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28,983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54,713</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b/>
              </w:rPr>
            </w:pPr>
            <w:r>
              <w:rPr>
                <w:b/>
              </w:rPr>
              <w:t>7.0% 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September 2024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71,800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(66,164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5,636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77,245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September 2024 Notes –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(7,524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476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8,583</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Subtotal September 2024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79,800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(73,688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6,112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85,828</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136,534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(101,439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10" w:space="0" w:color="000000"/>
            </w:tcBorders>
            <w:shd w:fill="CCEEFF" w:val="clear"/>
            <w:tcMar>
              <w:bottom w:w="28" w:type="dxa"/>
            </w:tcMar>
            <w:vAlign w:val="center"/>
          </w:tcPr>
          <w:p>
            <w:pPr>
              <w:pStyle w:val="TableContents"/>
              <w:bidi w:val="0"/>
              <w:spacing w:before="0" w:after="283"/>
              <w:jc w:val="right"/>
              <w:rPr/>
            </w:pPr>
            <w:r>
              <w:rPr/>
              <w:t>35,095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CCEEFF" w:val="clear"/>
            <w:tcMar>
              <w:bottom w:w="28" w:type="dxa"/>
            </w:tcMar>
            <w:vAlign w:val="center"/>
          </w:tcPr>
          <w:p>
            <w:pPr>
              <w:pStyle w:val="TableContents"/>
              <w:bidi w:val="0"/>
              <w:spacing w:before="0" w:after="283"/>
              <w:jc w:val="right"/>
              <w:rPr/>
            </w:pPr>
            <w:r>
              <w:rPr/>
              <w:t>140,541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6"/>
        <w:gridCol w:w="9891"/>
      </w:tblGrid>
      <w:tr>
        <w:trPr/>
        <w:tc>
          <w:tcPr>
            <w:tcW w:w="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$11.0 million and $13.6 million as of September 28, 2025 and December 29, 2024,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Other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other intangible assets were acquired in connection with the SunPower Acquisition and Sunder acquisition transactions. The following table represents the Company’s other intangible assets with finite useful lives as of September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28" w:type="dxa"/>
          <w:right w:w="0" w:type="dxa"/>
        </w:tblCellMar>
      </w:tblPr>
      <w:tblGrid>
        <w:gridCol w:w="2810"/>
        <w:gridCol w:w="90"/>
        <w:gridCol w:w="169"/>
        <w:gridCol w:w="676"/>
        <w:gridCol w:w="90"/>
        <w:gridCol w:w="90"/>
        <w:gridCol w:w="252"/>
        <w:gridCol w:w="938"/>
        <w:gridCol w:w="110"/>
        <w:gridCol w:w="90"/>
        <w:gridCol w:w="166"/>
        <w:gridCol w:w="664"/>
        <w:gridCol w:w="135"/>
      </w:tblGrid>
      <w:tr>
        <w:trPr/>
        <w:tc>
          <w:tcPr>
            <w:tcW w:w="281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As of September 28, 2025</w:t>
            </w:r>
          </w:p>
        </w:tc>
        <w:tc>
          <w:tcPr>
            <w:tcW w:w="9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Amortization</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related intangible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Trademark – Blue Raven Solar </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69" w:type="dxa"/>
            <w:tcBorders/>
            <w:tcMar>
              <w:bottom w:w="0" w:type="dxa"/>
            </w:tcMar>
            <w:vAlign w:val="center"/>
          </w:tcPr>
          <w:p>
            <w:pPr>
              <w:pStyle w:val="TableContents"/>
              <w:bidi w:val="0"/>
              <w:spacing w:before="0" w:after="283"/>
              <w:jc w:val="left"/>
              <w:rPr/>
            </w:pPr>
            <w:r>
              <w:rPr/>
              <w:t> </w:t>
            </w:r>
          </w:p>
        </w:tc>
        <w:tc>
          <w:tcPr>
            <w:tcW w:w="67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938"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w:t>
            </w:r>
          </w:p>
        </w:tc>
        <w:tc>
          <w:tcPr>
            <w:tcW w:w="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166" w:type="dxa"/>
            <w:tcBorders/>
            <w:tcMar>
              <w:bottom w:w="0" w:type="dxa"/>
            </w:tcMar>
            <w:vAlign w:val="center"/>
          </w:tcPr>
          <w:p>
            <w:pPr>
              <w:pStyle w:val="TableContents"/>
              <w:bidi w:val="0"/>
              <w:spacing w:before="0" w:after="283"/>
              <w:jc w:val="left"/>
              <w:rPr/>
            </w:pPr>
            <w:r>
              <w:rPr/>
              <w:t> </w:t>
            </w:r>
          </w:p>
        </w:tc>
        <w:tc>
          <w:tcPr>
            <w:tcW w:w="66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6,254</w:t>
            </w:r>
          </w:p>
        </w:tc>
        <w:tc>
          <w:tcPr>
            <w:tcW w:w="13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Trademark – SunPower </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Sunder</w:t>
            </w:r>
          </w:p>
        </w:tc>
        <w:tc>
          <w:tcPr>
            <w:tcW w:w="90" w:type="dxa"/>
            <w:tcBorders/>
            <w:tcMar>
              <w:bottom w:w="0" w:type="dxa"/>
            </w:tcMar>
            <w:vAlign w:val="center"/>
          </w:tcPr>
          <w:p>
            <w:pPr>
              <w:pStyle w:val="TableContents"/>
              <w:bidi w:val="0"/>
              <w:spacing w:before="0" w:after="283"/>
              <w:jc w:val="left"/>
              <w:rPr/>
            </w:pPr>
            <w:r>
              <w:rPr/>
              <w:t> </w:t>
            </w:r>
          </w:p>
        </w:tc>
        <w:tc>
          <w:tcPr>
            <w:tcW w:w="169" w:type="dxa"/>
            <w:tcBorders/>
            <w:tcMar>
              <w:bottom w:w="0" w:type="dxa"/>
            </w:tcMar>
            <w:vAlign w:val="center"/>
          </w:tcPr>
          <w:p>
            <w:pPr>
              <w:pStyle w:val="TableContents"/>
              <w:bidi w:val="0"/>
              <w:spacing w:before="0" w:after="283"/>
              <w:jc w:val="left"/>
              <w:rPr/>
            </w:pPr>
            <w:r>
              <w:rPr/>
              <w:t> </w:t>
            </w:r>
          </w:p>
        </w:tc>
        <w:tc>
          <w:tcPr>
            <w:tcW w:w="67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938"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6" w:type="dxa"/>
            <w:tcBorders/>
            <w:tcMar>
              <w:bottom w:w="0" w:type="dxa"/>
            </w:tcMar>
            <w:vAlign w:val="center"/>
          </w:tcPr>
          <w:p>
            <w:pPr>
              <w:pStyle w:val="TableContents"/>
              <w:bidi w:val="0"/>
              <w:spacing w:before="0" w:after="283"/>
              <w:jc w:val="left"/>
              <w:rPr/>
            </w:pPr>
            <w:r>
              <w:rPr/>
              <w:t> </w:t>
            </w:r>
          </w:p>
        </w:tc>
        <w:tc>
          <w:tcPr>
            <w:tcW w:w="66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13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  </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67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c>
          <w:tcPr>
            <w:tcW w:w="93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 – Sunder</w:t>
            </w:r>
          </w:p>
        </w:tc>
        <w:tc>
          <w:tcPr>
            <w:tcW w:w="90" w:type="dxa"/>
            <w:tcBorders/>
            <w:tcMar>
              <w:bottom w:w="0" w:type="dxa"/>
            </w:tcMar>
            <w:vAlign w:val="center"/>
          </w:tcPr>
          <w:p>
            <w:pPr>
              <w:pStyle w:val="TableContents"/>
              <w:bidi w:val="0"/>
              <w:spacing w:before="0" w:after="283"/>
              <w:jc w:val="left"/>
              <w:rPr/>
            </w:pPr>
            <w:r>
              <w:rPr/>
              <w:t> </w:t>
            </w:r>
          </w:p>
        </w:tc>
        <w:tc>
          <w:tcPr>
            <w:tcW w:w="169" w:type="dxa"/>
            <w:tcBorders>
              <w:bottom w:val="single" w:sz="12" w:space="0" w:color="000000"/>
            </w:tcBorders>
            <w:vAlign w:val="center"/>
          </w:tcPr>
          <w:p>
            <w:pPr>
              <w:pStyle w:val="TableContents"/>
              <w:bidi w:val="0"/>
              <w:spacing w:before="0" w:after="283"/>
              <w:jc w:val="left"/>
              <w:rPr/>
            </w:pPr>
            <w:r>
              <w:rPr/>
              <w:t> </w:t>
            </w:r>
          </w:p>
        </w:tc>
        <w:tc>
          <w:tcPr>
            <w:tcW w:w="676"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2" w:type="dxa"/>
            <w:tcBorders>
              <w:bottom w:val="single" w:sz="12" w:space="0" w:color="000000"/>
            </w:tcBorders>
            <w:vAlign w:val="center"/>
          </w:tcPr>
          <w:p>
            <w:pPr>
              <w:pStyle w:val="TableContents"/>
              <w:bidi w:val="0"/>
              <w:spacing w:before="0" w:after="283"/>
              <w:jc w:val="left"/>
              <w:rPr/>
            </w:pPr>
            <w:r>
              <w:rPr/>
              <w:t> </w:t>
            </w:r>
          </w:p>
        </w:tc>
        <w:tc>
          <w:tcPr>
            <w:tcW w:w="938" w:type="dxa"/>
            <w:tcBorders>
              <w:bottom w:val="single" w:sz="12" w:space="0" w:color="000000"/>
            </w:tcBorders>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6" w:type="dxa"/>
            <w:tcBorders>
              <w:bottom w:val="single" w:sz="12" w:space="0" w:color="000000"/>
            </w:tcBorders>
            <w:vAlign w:val="center"/>
          </w:tcPr>
          <w:p>
            <w:pPr>
              <w:pStyle w:val="TableContents"/>
              <w:bidi w:val="0"/>
              <w:spacing w:before="0" w:after="283"/>
              <w:jc w:val="left"/>
              <w:rPr/>
            </w:pPr>
            <w:r>
              <w:rPr/>
              <w:t> </w:t>
            </w:r>
          </w:p>
        </w:tc>
        <w:tc>
          <w:tcPr>
            <w:tcW w:w="664"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14,216</w:t>
            </w:r>
          </w:p>
        </w:tc>
        <w:tc>
          <w:tcPr>
            <w:tcW w:w="13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38,956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28" w:type="dxa"/>
          <w:right w:w="0" w:type="dxa"/>
        </w:tblCellMar>
      </w:tblPr>
      <w:tblGrid>
        <w:gridCol w:w="2810"/>
        <w:gridCol w:w="90"/>
        <w:gridCol w:w="169"/>
        <w:gridCol w:w="676"/>
        <w:gridCol w:w="90"/>
        <w:gridCol w:w="90"/>
        <w:gridCol w:w="318"/>
        <w:gridCol w:w="872"/>
        <w:gridCol w:w="110"/>
        <w:gridCol w:w="90"/>
        <w:gridCol w:w="166"/>
        <w:gridCol w:w="664"/>
        <w:gridCol w:w="135"/>
      </w:tblGrid>
      <w:tr>
        <w:trPr/>
        <w:tc>
          <w:tcPr>
            <w:tcW w:w="281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As of December 29, 2024</w:t>
            </w:r>
          </w:p>
        </w:tc>
        <w:tc>
          <w:tcPr>
            <w:tcW w:w="9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Amortization</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Trademark – Blue Raven Solar </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8,190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Trademark – SunPower </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69" w:type="dxa"/>
            <w:tcBorders/>
            <w:tcMar>
              <w:bottom w:w="0" w:type="dxa"/>
            </w:tcMar>
            <w:vAlign w:val="center"/>
          </w:tcPr>
          <w:p>
            <w:pPr>
              <w:pStyle w:val="TableContents"/>
              <w:bidi w:val="0"/>
              <w:spacing w:before="0" w:after="283"/>
              <w:jc w:val="left"/>
              <w:rPr/>
            </w:pPr>
            <w:r>
              <w:rPr/>
              <w:t> </w:t>
            </w:r>
          </w:p>
        </w:tc>
        <w:tc>
          <w:tcPr>
            <w:tcW w:w="67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8" w:type="dxa"/>
            <w:tcBorders/>
            <w:tcMar>
              <w:bottom w:w="0" w:type="dxa"/>
            </w:tcMar>
            <w:vAlign w:val="center"/>
          </w:tcPr>
          <w:p>
            <w:pPr>
              <w:pStyle w:val="TableContents"/>
              <w:bidi w:val="0"/>
              <w:spacing w:before="0" w:after="283"/>
              <w:jc w:val="left"/>
              <w:rPr/>
            </w:pPr>
            <w:r>
              <w:rPr/>
              <w:t> </w:t>
            </w:r>
          </w:p>
        </w:tc>
        <w:tc>
          <w:tcPr>
            <w:tcW w:w="872"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w:t>
            </w:r>
          </w:p>
        </w:tc>
        <w:tc>
          <w:tcPr>
            <w:tcW w:w="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166" w:type="dxa"/>
            <w:tcBorders/>
            <w:tcMar>
              <w:bottom w:w="0" w:type="dxa"/>
            </w:tcMar>
            <w:vAlign w:val="center"/>
          </w:tcPr>
          <w:p>
            <w:pPr>
              <w:pStyle w:val="TableContents"/>
              <w:bidi w:val="0"/>
              <w:spacing w:before="0" w:after="283"/>
              <w:jc w:val="left"/>
              <w:rPr/>
            </w:pPr>
            <w:r>
              <w:rPr/>
              <w:t> </w:t>
            </w:r>
          </w:p>
        </w:tc>
        <w:tc>
          <w:tcPr>
            <w:tcW w:w="664"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5,070</w:t>
            </w:r>
          </w:p>
        </w:tc>
        <w:tc>
          <w:tcPr>
            <w:tcW w:w="13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Developed technology </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bottom w:val="single" w:sz="12" w:space="0" w:color="000000"/>
            </w:tcBorders>
            <w:shd w:fill="CCEEFF" w:val="clear"/>
            <w:vAlign w:val="center"/>
          </w:tcPr>
          <w:p>
            <w:pPr>
              <w:pStyle w:val="TableContents"/>
              <w:bidi w:val="0"/>
              <w:spacing w:before="0" w:after="283"/>
              <w:jc w:val="left"/>
              <w:rPr/>
            </w:pPr>
            <w:r>
              <w:rPr/>
              <w:t> </w:t>
            </w:r>
          </w:p>
        </w:tc>
        <w:tc>
          <w:tcPr>
            <w:tcW w:w="676"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8" w:type="dxa"/>
            <w:tcBorders>
              <w:bottom w:val="single" w:sz="12" w:space="0" w:color="000000"/>
            </w:tcBorders>
            <w:shd w:fill="CCEEFF" w:val="clear"/>
            <w:vAlign w:val="center"/>
          </w:tcPr>
          <w:p>
            <w:pPr>
              <w:pStyle w:val="TableContents"/>
              <w:bidi w:val="0"/>
              <w:spacing w:before="0" w:after="283"/>
              <w:jc w:val="left"/>
              <w:rPr/>
            </w:pPr>
            <w:r>
              <w:rPr/>
              <w:t> </w:t>
            </w:r>
          </w:p>
        </w:tc>
        <w:tc>
          <w:tcPr>
            <w:tcW w:w="87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single" w:sz="12" w:space="0" w:color="000000"/>
            </w:tcBorders>
            <w:shd w:fill="CCEEFF" w:val="clear"/>
            <w:vAlign w:val="center"/>
          </w:tcPr>
          <w:p>
            <w:pPr>
              <w:pStyle w:val="TableContents"/>
              <w:bidi w:val="0"/>
              <w:spacing w:before="0" w:after="283"/>
              <w:jc w:val="left"/>
              <w:rPr/>
            </w:pPr>
            <w:r>
              <w:rPr/>
              <w:t> </w:t>
            </w:r>
          </w:p>
        </w:tc>
        <w:tc>
          <w:tcPr>
            <w:tcW w:w="66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90" w:type="dxa"/>
            <w:tcBorders/>
            <w:tcMar>
              <w:bottom w:w="0" w:type="dxa"/>
            </w:tcMar>
            <w:vAlign w:val="center"/>
          </w:tcPr>
          <w:p>
            <w:pPr>
              <w:pStyle w:val="TableContents"/>
              <w:bidi w:val="0"/>
              <w:spacing w:before="0" w:after="283"/>
              <w:jc w:val="left"/>
              <w:rPr/>
            </w:pPr>
            <w:r>
              <w:rPr/>
              <w:t> </w:t>
            </w:r>
          </w:p>
        </w:tc>
        <w:tc>
          <w:tcPr>
            <w:tcW w:w="169"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10"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8"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10"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w:t>
            </w:r>
          </w:p>
        </w:tc>
        <w:tc>
          <w:tcPr>
            <w:tcW w:w="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166" w:type="dxa"/>
            <w:tcBorders>
              <w:bottom w:val="double" w:sz="10"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10"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17,385</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carrying amounts as of September 28, 2025 reflect the final allocation of the purchase consideration in connection with the SunPower Acquisition. The gross carrying amounts as of December 29, 2024 were provisional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of intangible assets was $0.7 million and $2.1 million for the thirteen and thirty-nine week periods ended September 28, 2025, respectively. Amortization expense was zero in each of the thirteen and thirty-nine week periods ended September 29, 2024. Amortization expense is recognized within cost of revenues and general and administrative expenses in the accompany unaudited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188" w:type="dxa"/>
        <w:jc w:val="left"/>
        <w:tblInd w:w="0" w:type="dxa"/>
        <w:tblLayout w:type="fixed"/>
        <w:tblCellMar>
          <w:top w:w="0" w:type="dxa"/>
          <w:left w:w="0" w:type="dxa"/>
          <w:bottom w:w="0" w:type="dxa"/>
          <w:right w:w="0" w:type="dxa"/>
        </w:tblCellMar>
      </w:tblPr>
      <w:tblGrid>
        <w:gridCol w:w="4835"/>
        <w:gridCol w:w="90"/>
        <w:gridCol w:w="290"/>
        <w:gridCol w:w="1214"/>
        <w:gridCol w:w="90"/>
        <w:gridCol w:w="90"/>
        <w:gridCol w:w="278"/>
        <w:gridCol w:w="1166"/>
        <w:gridCol w:w="135"/>
      </w:tblGrid>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September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(As Restated)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Accrued compensation and benefits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5,983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6,619</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Professional fees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3,819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8,028</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Accrued legal settlements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9,153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7,700</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Accrued rebates and credits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5,769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7,641</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4,471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4,523</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Deferred consideration – related party</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5,700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Investor financing deposit – related party </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Other accrued liabilities </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tcMar>
              <w:bottom w:w="28" w:type="dxa"/>
            </w:tcMar>
            <w:vAlign w:val="center"/>
          </w:tcPr>
          <w:p>
            <w:pPr>
              <w:pStyle w:val="TableContents"/>
              <w:bidi w:val="0"/>
              <w:spacing w:before="0" w:after="283"/>
              <w:jc w:val="right"/>
              <w:rPr/>
            </w:pPr>
            <w:r>
              <w:rPr/>
              <w:t>20,355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21,570</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Total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shd w:fill="CCEEFF" w:val="clear"/>
            <w:tcMar>
              <w:bottom w:w="28" w:type="dxa"/>
            </w:tcMar>
            <w:vAlign w:val="center"/>
          </w:tcPr>
          <w:p>
            <w:pPr>
              <w:pStyle w:val="TableContents"/>
              <w:bidi w:val="0"/>
              <w:spacing w:before="0" w:after="283"/>
              <w:jc w:val="right"/>
              <w:rPr/>
            </w:pPr>
            <w:r>
              <w:rPr/>
              <w:t>57,250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56,081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accrued interest of $1.3 million and $2.2 million as of September 28, 2025 and December 29, 2024,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received $2.0 million from the Rodgers Massey Revocable Living Trust (“Rodgers Revocable Trust”) in the period ended September 28, 2025. </w:t>
            </w:r>
          </w:p>
        </w:tc>
      </w:tr>
    </w:tbl>
    <w:p>
      <w:pPr>
        <w:pStyle w:val="TextBody"/>
        <w:bidi w:val="0"/>
        <w:spacing w:before="0" w:after="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75"/>
        <w:gridCol w:w="4760"/>
      </w:tblGrid>
      <w:tr>
        <w:trPr/>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individual items exceed 5% of total current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Other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expense,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4"/>
        <w:gridCol w:w="90"/>
        <w:gridCol w:w="269"/>
        <w:gridCol w:w="1003"/>
        <w:gridCol w:w="116"/>
        <w:gridCol w:w="95"/>
        <w:gridCol w:w="236"/>
        <w:gridCol w:w="1037"/>
        <w:gridCol w:w="110"/>
        <w:gridCol w:w="90"/>
        <w:gridCol w:w="269"/>
        <w:gridCol w:w="1003"/>
        <w:gridCol w:w="125"/>
        <w:gridCol w:w="102"/>
        <w:gridCol w:w="236"/>
        <w:gridCol w:w="1037"/>
        <w:gridCol w:w="163"/>
      </w:tblGrid>
      <w:tr>
        <w:trPr/>
        <w:tc>
          <w:tcPr>
            <w:tcW w:w="422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Thirteen Weeks Ended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Thirty-Nine Weeks Ended</w:t>
            </w:r>
          </w:p>
        </w:tc>
        <w:tc>
          <w:tcPr>
            <w:tcW w:w="163" w:type="dxa"/>
            <w:tcBorders/>
            <w:vAlign w:val="center"/>
          </w:tcPr>
          <w:p>
            <w:pPr>
              <w:pStyle w:val="TableContents"/>
              <w:bidi w:val="0"/>
              <w:spacing w:before="0" w:after="283"/>
              <w:jc w:val="left"/>
              <w:rPr/>
            </w:pPr>
            <w:r>
              <w:rPr/>
              <w:t> </w:t>
            </w:r>
          </w:p>
        </w:tc>
      </w:tr>
      <w:tr>
        <w:trPr/>
        <w:tc>
          <w:tcPr>
            <w:tcW w:w="422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28, </w:t>
              <w:br/>
              <w:t>2025</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29, </w:t>
              <w:br/>
              <w:t>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28, </w:t>
              <w:br/>
              <w:t>2025</w:t>
            </w:r>
          </w:p>
        </w:tc>
        <w:tc>
          <w:tcPr>
            <w:tcW w:w="12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29, </w:t>
              <w:br/>
              <w:t>2024</w:t>
            </w:r>
          </w:p>
        </w:tc>
        <w:tc>
          <w:tcPr>
            <w:tcW w:w="163" w:type="dxa"/>
            <w:tcBorders/>
            <w:vAlign w:val="center"/>
          </w:tcPr>
          <w:p>
            <w:pPr>
              <w:pStyle w:val="TableContents"/>
              <w:bidi w:val="0"/>
              <w:spacing w:before="0" w:after="283"/>
              <w:ind w:left="0" w:right="0" w:hanging="180"/>
              <w:jc w:val="left"/>
              <w:rPr/>
            </w:pPr>
            <w:r>
              <w:rPr/>
              <w:t> </w:t>
            </w:r>
          </w:p>
        </w:tc>
      </w:tr>
      <w:tr>
        <w:trPr/>
        <w:tc>
          <w:tcPr>
            <w:tcW w:w="4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issuance of derivative liabilities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(24,688</w:t>
            </w:r>
          </w:p>
        </w:tc>
        <w:tc>
          <w:tcPr>
            <w:tcW w:w="163"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derivative liabilities</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(2,034</w:t>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(37,875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1,639</w:t>
            </w:r>
          </w:p>
        </w:tc>
        <w:tc>
          <w:tcPr>
            <w:tcW w:w="12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(37,875</w:t>
            </w:r>
          </w:p>
        </w:tc>
        <w:tc>
          <w:tcPr>
            <w:tcW w:w="163"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(2,420</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7,728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(807</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4,906</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4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 with related party</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163"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FACT public, private placement and working capital warrants</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(6,052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(3,122</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(6,295</w:t>
            </w:r>
          </w:p>
        </w:tc>
        <w:tc>
          <w:tcPr>
            <w:tcW w:w="163"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Carlyle Warrants with related party</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2,869</w:t>
            </w:r>
          </w:p>
        </w:tc>
        <w:tc>
          <w:tcPr>
            <w:tcW w:w="163" w:type="dxa"/>
            <w:tcBorders/>
            <w:vAlign w:val="center"/>
          </w:tcPr>
          <w:p>
            <w:pPr>
              <w:pStyle w:val="TableContents"/>
              <w:bidi w:val="0"/>
              <w:spacing w:before="0" w:after="283"/>
              <w:ind w:left="0" w:right="0" w:hanging="180"/>
              <w:jc w:val="left"/>
              <w:rPr/>
            </w:pPr>
            <w:r>
              <w:rPr/>
              <w:t> </w:t>
            </w:r>
          </w:p>
        </w:tc>
      </w:tr>
      <w:tr>
        <w:trPr/>
        <w:tc>
          <w:tcPr>
            <w:tcW w:w="4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redeemable convertible preferred stock warrant liability</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4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 with related party</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163"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costs</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(3,812</w:t>
            </w:r>
          </w:p>
        </w:tc>
        <w:tc>
          <w:tcPr>
            <w:tcW w:w="163"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net</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26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w:t>
            </w:r>
          </w:p>
        </w:tc>
        <w:tc>
          <w:tcPr>
            <w:tcW w:w="11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6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w:t>
            </w:r>
          </w:p>
        </w:tc>
        <w:tc>
          <w:tcPr>
            <w:tcW w:w="12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p>
        </w:tc>
        <w:tc>
          <w:tcPr>
            <w:tcW w:w="163"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Expense, net</w:t>
            </w:r>
          </w:p>
        </w:tc>
        <w:tc>
          <w:tcPr>
            <w:tcW w:w="90" w:type="dxa"/>
            <w:tcBorders/>
            <w:shd w:fill="CCEEFF" w:val="clear"/>
            <w:vAlign w:val="center"/>
          </w:tcPr>
          <w:p>
            <w:pPr>
              <w:pStyle w:val="TableContents"/>
              <w:bidi w:val="0"/>
              <w:spacing w:before="0" w:after="283"/>
              <w:jc w:val="left"/>
              <w:rPr/>
            </w:pPr>
            <w:r>
              <w:rPr/>
              <w:t> </w:t>
            </w:r>
          </w:p>
        </w:tc>
        <w:tc>
          <w:tcPr>
            <w:tcW w:w="2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(4,256</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(65,684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(1,724</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(66,234</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$3.0 million of related party expense in each of the thirteen and thirty-nine week periods ended September 29, 2024.</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loss of $0.3 million and a gain of $1.8 million due to related parties in the thirteen and thirty-nine week periods ended September 28, 2025, respectively. Includes a loss of $22.8 million due to related parties in each of the thirteen and thirty-nine week periods ended September 29,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 gain of zero and $0.1 million due to related parties for the thirteen and thirty-nine week periods ended September 28, 2025, respectively. Includes a gain from related parties of $2.8 million and $1.8 million due to related parties in the thirteen and thirty-nine week periods ended September 29,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zero and $0.1 million of income due to related parties in the thirteen and thirty-nine week periods ended September 28,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September 28, 2025. No preferred stock has been issued and none are outstanding as of September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White Lion Amended SPA, the Company issued 1.0 million and 2.9 million shares of the Company’s common stock for proceeds of $1.7 million and $6.7 million in the thirty-nine week period ended September 28, 2025 and fiscal year ended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7559" w:type="dxa"/>
        <w:jc w:val="left"/>
        <w:tblInd w:w="0" w:type="dxa"/>
        <w:tblLayout w:type="fixed"/>
        <w:tblCellMar>
          <w:top w:w="0" w:type="dxa"/>
          <w:left w:w="0" w:type="dxa"/>
          <w:bottom w:w="0" w:type="dxa"/>
          <w:right w:w="0" w:type="dxa"/>
        </w:tblCellMar>
      </w:tblPr>
      <w:tblGrid>
        <w:gridCol w:w="4520"/>
        <w:gridCol w:w="90"/>
        <w:gridCol w:w="90"/>
        <w:gridCol w:w="1340"/>
        <w:gridCol w:w="90"/>
        <w:gridCol w:w="90"/>
        <w:gridCol w:w="92"/>
        <w:gridCol w:w="1112"/>
        <w:gridCol w:w="135"/>
      </w:tblGrid>
      <w:tr>
        <w:trPr/>
        <w:tc>
          <w:tcPr>
            <w:tcW w:w="45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3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3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3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(As Restated)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31,670,265</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 stock purchase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3,174,434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2,628,996</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options and RSUs, issued and outstanding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21,549,600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11,979,368</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options and RSUs, authorized for future issuance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9,986,173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2,577,895</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 Agreement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2,750,000</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Forward purchase 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6,720,0000</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77,821,528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58,579,636</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consideration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6,666,666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shares reserved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154,338,666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116,906,160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65"/>
        <w:gridCol w:w="90"/>
        <w:gridCol w:w="105"/>
        <w:gridCol w:w="1145"/>
        <w:gridCol w:w="91"/>
        <w:gridCol w:w="91"/>
        <w:gridCol w:w="101"/>
        <w:gridCol w:w="1104"/>
        <w:gridCol w:w="90"/>
        <w:gridCol w:w="90"/>
        <w:gridCol w:w="186"/>
        <w:gridCol w:w="625"/>
        <w:gridCol w:w="90"/>
        <w:gridCol w:w="90"/>
        <w:gridCol w:w="1403"/>
        <w:gridCol w:w="139"/>
      </w:tblGrid>
      <w:tr>
        <w:trPr/>
        <w:tc>
          <w:tcPr>
            <w:tcW w:w="47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3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Potential shares of common</w:t>
              <w:br/>
              <w:t>stock as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r>
      <w:tr>
        <w:trPr/>
        <w:tc>
          <w:tcPr>
            <w:tcW w:w="47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28,</w:t>
              <w:br/>
              <w:t>2025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date</w:t>
            </w:r>
          </w:p>
        </w:tc>
        <w:tc>
          <w:tcPr>
            <w:tcW w:w="139" w:type="dxa"/>
            <w:tcBorders/>
            <w:vAlign w:val="center"/>
          </w:tcPr>
          <w:p>
            <w:pPr>
              <w:pStyle w:val="TableContents"/>
              <w:bidi w:val="0"/>
              <w:spacing w:before="0" w:after="283"/>
              <w:jc w:val="left"/>
              <w:rPr/>
            </w:pPr>
            <w:r>
              <w:rPr/>
              <w:t> </w:t>
            </w:r>
          </w:p>
        </w:tc>
      </w:tr>
      <w:tr>
        <w:trPr/>
        <w:tc>
          <w:tcPr>
            <w:tcW w:w="47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Liability classified warrants</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1"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r>
      <w:tr>
        <w:trPr/>
        <w:tc>
          <w:tcPr>
            <w:tcW w:w="47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(1)</w:t>
            </w:r>
          </w:p>
        </w:tc>
        <w:tc>
          <w:tcPr>
            <w:tcW w:w="139" w:type="dxa"/>
            <w:tcBorders/>
            <w:shd w:fill="CCEEFF" w:val="clear"/>
            <w:vAlign w:val="center"/>
          </w:tcPr>
          <w:p>
            <w:pPr>
              <w:pStyle w:val="TableContents"/>
              <w:bidi w:val="0"/>
              <w:spacing w:before="0" w:after="283"/>
              <w:jc w:val="left"/>
              <w:rPr/>
            </w:pPr>
            <w:r>
              <w:rPr/>
              <w:t> </w:t>
            </w:r>
          </w:p>
        </w:tc>
      </w:tr>
      <w:tr>
        <w:trPr/>
        <w:tc>
          <w:tcPr>
            <w:tcW w:w="4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(1)</w:t>
            </w:r>
          </w:p>
        </w:tc>
        <w:tc>
          <w:tcPr>
            <w:tcW w:w="139" w:type="dxa"/>
            <w:tcBorders/>
            <w:vAlign w:val="center"/>
          </w:tcPr>
          <w:p>
            <w:pPr>
              <w:pStyle w:val="TableContents"/>
              <w:bidi w:val="0"/>
              <w:spacing w:before="0" w:after="283"/>
              <w:jc w:val="left"/>
              <w:rPr/>
            </w:pPr>
            <w:r>
              <w:rPr/>
              <w:t> </w:t>
            </w:r>
          </w:p>
        </w:tc>
      </w:tr>
      <w:tr>
        <w:trPr/>
        <w:tc>
          <w:tcPr>
            <w:tcW w:w="47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(1)</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4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liability classified warrants</w:t>
            </w:r>
          </w:p>
        </w:tc>
        <w:tc>
          <w:tcPr>
            <w:tcW w:w="9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r>
      <w:tr>
        <w:trPr/>
        <w:tc>
          <w:tcPr>
            <w:tcW w:w="47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 classified warrants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center"/>
              <w:rPr/>
            </w:pPr>
            <w:r>
              <w:rPr/>
              <w:t> </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4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B Warrants (converted to common stock warrants)</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2026</w:t>
            </w:r>
          </w:p>
        </w:tc>
        <w:tc>
          <w:tcPr>
            <w:tcW w:w="139" w:type="dxa"/>
            <w:tcBorders/>
            <w:vAlign w:val="center"/>
          </w:tcPr>
          <w:p>
            <w:pPr>
              <w:pStyle w:val="TableContents"/>
              <w:bidi w:val="0"/>
              <w:spacing w:before="0" w:after="283"/>
              <w:ind w:left="0" w:right="0" w:hanging="180"/>
              <w:jc w:val="left"/>
              <w:rPr/>
            </w:pPr>
            <w:r>
              <w:rPr/>
              <w:t> </w:t>
            </w:r>
          </w:p>
        </w:tc>
      </w:tr>
      <w:tr>
        <w:trPr/>
        <w:tc>
          <w:tcPr>
            <w:tcW w:w="4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 Warrants (converted to common stock warrants)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2026</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4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C-1 Warrants (converted to common stock warrants)</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2030</w:t>
            </w:r>
          </w:p>
        </w:tc>
        <w:tc>
          <w:tcPr>
            <w:tcW w:w="139" w:type="dxa"/>
            <w:tcBorders/>
            <w:vAlign w:val="center"/>
          </w:tcPr>
          <w:p>
            <w:pPr>
              <w:pStyle w:val="TableContents"/>
              <w:bidi w:val="0"/>
              <w:spacing w:before="0" w:after="283"/>
              <w:ind w:left="0" w:right="0" w:hanging="180"/>
              <w:jc w:val="left"/>
              <w:rPr/>
            </w:pPr>
            <w:r>
              <w:rPr/>
              <w:t> </w:t>
            </w:r>
          </w:p>
        </w:tc>
      </w:tr>
      <w:tr>
        <w:trPr/>
        <w:tc>
          <w:tcPr>
            <w:tcW w:w="4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2033</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4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2033</w:t>
            </w:r>
          </w:p>
        </w:tc>
        <w:tc>
          <w:tcPr>
            <w:tcW w:w="139" w:type="dxa"/>
            <w:tcBorders/>
            <w:vAlign w:val="center"/>
          </w:tcPr>
          <w:p>
            <w:pPr>
              <w:pStyle w:val="TableContents"/>
              <w:bidi w:val="0"/>
              <w:spacing w:before="0" w:after="283"/>
              <w:ind w:left="0" w:right="0" w:hanging="180"/>
              <w:jc w:val="left"/>
              <w:rPr/>
            </w:pPr>
            <w:r>
              <w:rPr/>
              <w:t> </w:t>
            </w:r>
          </w:p>
        </w:tc>
      </w:tr>
      <w:tr>
        <w:trPr/>
        <w:tc>
          <w:tcPr>
            <w:tcW w:w="4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Common Stock Warrants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2031</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4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2023 Common Stock Warrants</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2028</w:t>
            </w:r>
          </w:p>
        </w:tc>
        <w:tc>
          <w:tcPr>
            <w:tcW w:w="139" w:type="dxa"/>
            <w:tcBorders/>
            <w:vAlign w:val="center"/>
          </w:tcPr>
          <w:p>
            <w:pPr>
              <w:pStyle w:val="TableContents"/>
              <w:bidi w:val="0"/>
              <w:spacing w:before="0" w:after="283"/>
              <w:ind w:left="0" w:right="0" w:hanging="180"/>
              <w:jc w:val="left"/>
              <w:rPr/>
            </w:pPr>
            <w:r>
              <w:rPr/>
              <w:t> </w:t>
            </w:r>
          </w:p>
        </w:tc>
      </w:tr>
      <w:tr>
        <w:trPr/>
        <w:tc>
          <w:tcPr>
            <w:tcW w:w="4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Warrants Issued in 2023 (“Merger Warrants”)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2033</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4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Ayna Warrant</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c>
          <w:tcPr>
            <w:tcW w:w="139" w:type="dxa"/>
            <w:tcBorders/>
            <w:vAlign w:val="center"/>
          </w:tcPr>
          <w:p>
            <w:pPr>
              <w:pStyle w:val="TableContents"/>
              <w:bidi w:val="0"/>
              <w:spacing w:before="0" w:after="283"/>
              <w:ind w:left="0" w:right="0" w:hanging="180"/>
              <w:jc w:val="left"/>
              <w:rPr/>
            </w:pPr>
            <w:r>
              <w:rPr/>
              <w:t> </w:t>
            </w:r>
          </w:p>
        </w:tc>
      </w:tr>
      <w:tr>
        <w:trPr/>
        <w:tc>
          <w:tcPr>
            <w:tcW w:w="4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Cantor Warrant</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3,066,141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3,066,141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c>
          <w:tcPr>
            <w:tcW w:w="139" w:type="dxa"/>
            <w:tcBorders/>
            <w:shd w:fill="CCEEFF" w:val="clear"/>
            <w:vAlign w:val="center"/>
          </w:tcPr>
          <w:p>
            <w:pPr>
              <w:pStyle w:val="TableContents"/>
              <w:bidi w:val="0"/>
              <w:spacing w:before="0" w:after="283"/>
              <w:jc w:val="left"/>
              <w:rPr/>
            </w:pPr>
            <w:r>
              <w:rPr/>
              <w:t> </w:t>
            </w:r>
          </w:p>
        </w:tc>
      </w:tr>
      <w:tr>
        <w:trPr/>
        <w:tc>
          <w:tcPr>
            <w:tcW w:w="4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equity classified warrants</w:t>
            </w:r>
          </w:p>
        </w:tc>
        <w:tc>
          <w:tcPr>
            <w:tcW w:w="9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10,061,930</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16,061,930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r>
      <w:tr>
        <w:trPr/>
        <w:tc>
          <w:tcPr>
            <w:tcW w:w="4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potential shares of common stock</w:t>
            </w:r>
          </w:p>
        </w:tc>
        <w:tc>
          <w:tcPr>
            <w:tcW w:w="90" w:type="dxa"/>
            <w:tcBorders/>
            <w:shd w:fill="CCEEFF" w:val="clear"/>
            <w:vAlign w:val="center"/>
          </w:tcPr>
          <w:p>
            <w:pPr>
              <w:pStyle w:val="TableContents"/>
              <w:bidi w:val="0"/>
              <w:spacing w:before="0" w:after="283"/>
              <w:jc w:val="left"/>
              <w:rPr/>
            </w:pPr>
            <w:r>
              <w:rPr/>
              <w:t> </w:t>
            </w:r>
          </w:p>
        </w:tc>
        <w:tc>
          <w:tcPr>
            <w:tcW w:w="1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25,670,265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31,670,265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center"/>
              <w:rPr/>
            </w:pPr>
            <w:r>
              <w:rPr/>
              <w:t> </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Ayna Warrant was accounted for under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 it met the conditions for equity classification and therefore, the Ayna Warrant was not subsequently remeasured in future periods. The Company recognized expense of $3.8 million and $5.4 million in the thirteen and thirty-nine week periods ended September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Ayna Warrant became fully exercisable for the 6,000,000 shares of the Company’s common stock on September 9, 2024. The Ayna Warrant was exercised in full for cash of $0.06 million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Cantor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a warrant (“Cantor Warrant”) to a third-party service provider to purchase 3,066,141 shares of the Company’s common stock in exchange for services provided in the issuance of the July 2024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Exchange Agreement (as defined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and reduced the gain on the troubled debt restructuring recognized in the Company’s annual consolidated statement of operations and comprehensive loss for fiscal 2024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The fair value of the Cantor Warrant was derived using the Black-Scholes model with the following assumptions: expected volatility of 55%; risk-free interest rate of 4.2%; expected term of 5 years; and no dividend yield. The fair value of this warrant was recorded within additional paid-in capital on the Company’s unaudited condensed consolidated balance sheets and has not been subsequently remeasured in future periods as it met the conditions for equity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Carlyle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as part of a debt financing arrangement with Carlyle , the Company issued Carlyle a warrant to purchase 2,886,952 shares of Legacy Complete Solaria Common Stock at a price per share of $0.01. The warrant contained two tranches, the first of which was immediately exercisable for 1,995,879 shares of common stock. The second tranche expired on December 31, 2022, prior to becoming exercisable. In December 2023, Carlyle was issued a warrant to purchase an additional 2,190,604 shares of the Company’s common stock related to an anti-dilution provision under the then-existing debt arrangement with Carlyle.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and in connection with the closing of the Mergers, the Company entered into the Carlyle Warrant Amendment (as defined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Based on the exchange ratio included in the Mergers, the 1,995,879 outstanding warrants to purchase Legacy Complete Solaria Common Stock prior to modification were exchanged into warrants to purchase 1,995,879 shares of Complete Solaria Common Stock. The Carlyle Warrant Amendment required the Company to issue to Carlyle a warrant to purchase up to 2,745,879 shares of Complete Solaria Common Stock at a price per share of $0.01, which was inclusive of the outstanding warrant to purchase 1,995,879 shares at the time of modification. The warrant, which expires on July 18, 2030, provided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was ten (10) days after the date of the agreement, an additional 350,000 shares; plus (c) on and after the date that was thirty (30) days after the date of the agreement, if the original investment amount had not been repaid, an additional 150,000 shares; plus (d) on and after the date that was ninety (90) days after the date of the agreement, if the original investment amount had not been repaid, an additional 250,000 shares, in each case, of Complete Solaria Common Stock at a price of $0.01 per share. The modification of the warrant resulted in the reclassification of previously equity-classified warrants to liability classification, which was accounted for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and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the liability classified Carlyle Warrant through June 30, 2024, was recorded within Other expense, net in the accompanying condensed consolidated statements of operations and comprehensive loss. The change in the fair value of the Carlyle Warrant resulted in income of $2.9 million in the twenty-six week period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in connection with the Exchange Agreement, the Carlyle Warrant was modified, and the modification fixed the number of shares of the Company’s common stock that may be issued upon exercise of the Carlyle Warrant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Extinguishment of Debt” within the Company’s consolidated statement of operations and comprehensive loss in its fiscal 2024 consolidated results. The modification of the Carlyle Warrant also resulted in the reclassification of the Carlyle Warrant from liability to equity classification, resulting in an increase to additional paid-in capital of $7.3 million and a reduction in the warrant liability of $7.3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Carlyle exercised the warrant for shares of the Company’s common stock in the fourth quarter of fiscal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Borrowings and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98"/>
        <w:gridCol w:w="90"/>
        <w:gridCol w:w="253"/>
        <w:gridCol w:w="1242"/>
        <w:gridCol w:w="125"/>
        <w:gridCol w:w="90"/>
        <w:gridCol w:w="243"/>
        <w:gridCol w:w="1192"/>
        <w:gridCol w:w="172"/>
      </w:tblGrid>
      <w:tr>
        <w:trPr/>
        <w:tc>
          <w:tcPr>
            <w:tcW w:w="67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2" w:type="dxa"/>
            <w:tcBorders/>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September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December 29,</w:t>
            </w:r>
          </w:p>
        </w:tc>
        <w:tc>
          <w:tcPr>
            <w:tcW w:w="172" w:type="dxa"/>
            <w:tcBorders/>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2" w:type="dxa"/>
            <w:tcBorders/>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b/>
              </w:rPr>
            </w:pPr>
            <w:r>
              <w:rPr>
                <w:b/>
              </w:rPr>
              <w:t>12.0% senior unsecured convertible notes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July 2024 Notes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33,394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17,965</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July 2024 Notes derivative liability</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21,664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13,563</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July 2024 Notes – related parties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7,668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24,632</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July 2024 derivative liability – related parties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13,940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21,127</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July 2025 Note – related party</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1,373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July 2025 Note – derivative liability – related party</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3,468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b/>
              </w:rPr>
            </w:pPr>
            <w:r>
              <w:rPr>
                <w:b/>
              </w:rPr>
              <w:t>7.0% senior unsecured convertible notes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September 2024 Notes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15,151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5,636</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September 2024 Notes derivative liability</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52,708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55,474</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September 2024 Notes – related party</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1,816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476</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September 2024 Notes – derivative liability – related party</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6,515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6,958</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September 2025 Notes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3,068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September 2025 Notes derivative liability</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16,274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Note payable to Seller – related party</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20,000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Loan with related party</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1,500</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Total notes payable</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tcMar>
              <w:bottom w:w="28" w:type="dxa"/>
            </w:tcMar>
            <w:vAlign w:val="center"/>
          </w:tcPr>
          <w:p>
            <w:pPr>
              <w:pStyle w:val="TableContents"/>
              <w:bidi w:val="0"/>
              <w:spacing w:before="0" w:after="283"/>
              <w:jc w:val="right"/>
              <w:rPr/>
            </w:pPr>
            <w:r>
              <w:rPr/>
              <w:t>198,539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147,331</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Less current portion</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(24,286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(1,500</w:t>
            </w:r>
          </w:p>
        </w:tc>
        <w:tc>
          <w:tcPr>
            <w:tcW w:w="172" w:type="dxa"/>
            <w:tcBorders/>
            <w:shd w:fill="CCEEFF" w:val="clear"/>
            <w:vAlign w:val="center"/>
          </w:tcPr>
          <w:p>
            <w:pPr>
              <w:pStyle w:val="TableContents"/>
              <w:bidi w:val="0"/>
              <w:spacing w:before="0" w:after="283"/>
              <w:jc w:val="left"/>
              <w:rPr/>
            </w:pPr>
            <w:r>
              <w:rPr/>
              <w:t>)</w:t>
            </w:r>
          </w:p>
        </w:tc>
      </w:tr>
      <w:tr>
        <w:trPr/>
        <w:tc>
          <w:tcPr>
            <w:tcW w:w="6798" w:type="dxa"/>
            <w:tcBorders/>
            <w:vAlign w:val="center"/>
          </w:tcPr>
          <w:p>
            <w:pPr>
              <w:pStyle w:val="TableContents"/>
              <w:bidi w:val="0"/>
              <w:spacing w:before="0" w:after="283"/>
              <w:jc w:val="both"/>
              <w:rPr/>
            </w:pPr>
            <w:r>
              <w:rPr/>
              <w:t>Notes payable and convertible notes, net of current portion</w:t>
            </w:r>
          </w:p>
        </w:tc>
        <w:tc>
          <w:tcPr>
            <w:tcW w:w="90" w:type="dxa"/>
            <w:tcBorders/>
            <w:vAlign w:val="center"/>
          </w:tcPr>
          <w:p>
            <w:pPr>
              <w:pStyle w:val="TableContents"/>
              <w:bidi w:val="0"/>
              <w:spacing w:before="0" w:after="283"/>
              <w:jc w:val="left"/>
              <w:rPr/>
            </w:pPr>
            <w:r>
              <w:rPr/>
              <w:t> </w:t>
            </w:r>
          </w:p>
        </w:tc>
        <w:tc>
          <w:tcPr>
            <w:tcW w:w="253" w:type="dxa"/>
            <w:tcBorders>
              <w:bottom w:val="double" w:sz="10" w:space="0" w:color="000000"/>
            </w:tcBorders>
            <w:tcMar>
              <w:bottom w:w="28" w:type="dxa"/>
            </w:tcMar>
            <w:vAlign w:val="center"/>
          </w:tcPr>
          <w:p>
            <w:pPr>
              <w:pStyle w:val="TableContents"/>
              <w:bidi w:val="0"/>
              <w:spacing w:before="0" w:after="283"/>
              <w:jc w:val="left"/>
              <w:rPr/>
            </w:pPr>
            <w:r>
              <w:rPr/>
              <w:t>$</w:t>
            </w:r>
          </w:p>
        </w:tc>
        <w:tc>
          <w:tcPr>
            <w:tcW w:w="1242" w:type="dxa"/>
            <w:tcBorders>
              <w:bottom w:val="double" w:sz="10" w:space="0" w:color="000000"/>
            </w:tcBorders>
            <w:tcMar>
              <w:bottom w:w="28" w:type="dxa"/>
            </w:tcMar>
            <w:vAlign w:val="center"/>
          </w:tcPr>
          <w:p>
            <w:pPr>
              <w:pStyle w:val="TableContents"/>
              <w:bidi w:val="0"/>
              <w:spacing w:before="0" w:after="283"/>
              <w:jc w:val="right"/>
              <w:rPr/>
            </w:pPr>
            <w:r>
              <w:rPr/>
              <w:t>174,253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tcMar>
              <w:bottom w:w="28" w:type="dxa"/>
            </w:tcMar>
            <w:vAlign w:val="center"/>
          </w:tcPr>
          <w:p>
            <w:pPr>
              <w:pStyle w:val="TableContents"/>
              <w:bidi w:val="0"/>
              <w:spacing w:before="0" w:after="283"/>
              <w:jc w:val="right"/>
              <w:rPr/>
            </w:pPr>
            <w:r>
              <w:rPr/>
              <w:t>145,831</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As classified in the unaudited condensed consolidated balance sheets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Notes payable to related parties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21,500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1,500</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Current portion of notes payable</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Notes payable and derivative liabilities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139,454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92,638</w:t>
            </w:r>
          </w:p>
        </w:tc>
        <w:tc>
          <w:tcPr>
            <w:tcW w:w="172" w:type="dxa"/>
            <w:tcBorders/>
            <w:shd w:fill="CCEEFF" w:val="clear"/>
            <w:vAlign w:val="center"/>
          </w:tcPr>
          <w:p>
            <w:pPr>
              <w:pStyle w:val="TableContents"/>
              <w:bidi w:val="0"/>
              <w:spacing w:before="0" w:after="283"/>
              <w:jc w:val="left"/>
              <w:rPr/>
            </w:pPr>
            <w:r>
              <w:rPr/>
              <w:t> </w:t>
            </w:r>
          </w:p>
        </w:tc>
      </w:tr>
      <w:tr>
        <w:trPr/>
        <w:tc>
          <w:tcPr>
            <w:tcW w:w="6798" w:type="dxa"/>
            <w:tcBorders/>
            <w:vAlign w:val="center"/>
          </w:tcPr>
          <w:p>
            <w:pPr>
              <w:pStyle w:val="TableContents"/>
              <w:bidi w:val="0"/>
              <w:spacing w:before="0" w:after="283"/>
              <w:jc w:val="both"/>
              <w:rPr/>
            </w:pPr>
            <w:r>
              <w:rPr/>
              <w:t>Notes payable and derivative liabilities with related parties, net of current portion</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tcMar>
              <w:bottom w:w="28" w:type="dxa"/>
            </w:tcMar>
            <w:vAlign w:val="center"/>
          </w:tcPr>
          <w:p>
            <w:pPr>
              <w:pStyle w:val="TableContents"/>
              <w:bidi w:val="0"/>
              <w:spacing w:before="0" w:after="283"/>
              <w:jc w:val="right"/>
              <w:rPr/>
            </w:pPr>
            <w:r>
              <w:rPr/>
              <w:t>34,799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53,193</w:t>
            </w:r>
          </w:p>
        </w:tc>
        <w:tc>
          <w:tcPr>
            <w:tcW w:w="172" w:type="dxa"/>
            <w:tcBorders/>
            <w:vAlign w:val="center"/>
          </w:tcPr>
          <w:p>
            <w:pPr>
              <w:pStyle w:val="TableContents"/>
              <w:bidi w:val="0"/>
              <w:spacing w:before="0" w:after="283"/>
              <w:jc w:val="left"/>
              <w:rPr/>
            </w:pPr>
            <w:r>
              <w:rPr/>
              <w:t> </w:t>
            </w:r>
          </w:p>
        </w:tc>
      </w:tr>
      <w:tr>
        <w:trPr/>
        <w:tc>
          <w:tcPr>
            <w:tcW w:w="6798" w:type="dxa"/>
            <w:tcBorders/>
            <w:shd w:fill="CCEEFF" w:val="clear"/>
            <w:vAlign w:val="center"/>
          </w:tcPr>
          <w:p>
            <w:pPr>
              <w:pStyle w:val="TableContents"/>
              <w:bidi w:val="0"/>
              <w:spacing w:before="0" w:after="283"/>
              <w:jc w:val="both"/>
              <w:rPr/>
            </w:pPr>
            <w:r>
              <w:rPr/>
              <w:t>Total notes payable</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double" w:sz="10" w:space="0" w:color="000000"/>
            </w:tcBorders>
            <w:shd w:fill="CCEEFF" w:val="clear"/>
            <w:tcMar>
              <w:bottom w:w="28" w:type="dxa"/>
            </w:tcMar>
            <w:vAlign w:val="center"/>
          </w:tcPr>
          <w:p>
            <w:pPr>
              <w:pStyle w:val="TableContents"/>
              <w:bidi w:val="0"/>
              <w:spacing w:before="0" w:after="283"/>
              <w:jc w:val="right"/>
              <w:rPr/>
            </w:pPr>
            <w:r>
              <w:rPr/>
              <w:t>198,539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147,331</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$46.0 million of senior unsecured convertible notes (“July 2024 Notes”) consisting of $28.0 million in cash proceeds and $18.0 million arising from an exchange of debt (“Debt Exchange”) as described below under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Cash proceeds of $28.0 million included $18.0 million from the Rodgers Massey Revocable Trust (“Rodgers Revocable Trust”), a related party. The $18.0 million exchange of debt included $10.0 million issued to Carlyle. Carlyle was deemed to be a related party in the fiscal year ended December 29, 2024 and in the thirteen week period ended March 30, 2025. During the thirteen week period ended June 29, 2025, Carlyle was no longer deemed a related party with the Company. Refer to </w:t>
      </w:r>
      <w:r>
        <w:rPr>
          <w:rFonts w:ascii="Times New Roman;Times;Serif" w:hAnsi="Times New Roman;Times;Serif"/>
          <w:b/>
          <w:i w:val="false"/>
          <w:caps w:val="false"/>
          <w:smallCaps w:val="false"/>
          <w:sz w:val="20"/>
        </w:rPr>
        <w:t>Note 3 (h) – Basis of Presentation and Summary of Significant Accounting Policies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Changes in related parties</w:t>
      </w:r>
      <w:r>
        <w:rPr>
          <w:rFonts w:ascii="Times New Roman;Times;Serif" w:hAnsi="Times New Roman;Times;Serif"/>
          <w:b w:val="false"/>
          <w:i w:val="false"/>
          <w:caps w:val="false"/>
          <w:smallCaps w:val="false"/>
          <w:sz w:val="20"/>
        </w:rPr>
        <w:t>”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 Of this amount $17.5 million was recognized as a debt discount to the $28.0 million cash proceeds and $11.2 million associated with the Debt Exchange was recognized as an expense in the calculation of the Company’s “Gain on the Troubled Debt Restructuring” on the Company’s consolidated statement of operations and comprehensive loss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Debt Exchange, the Company issued the Cantor Warrant, as described in </w:t>
      </w:r>
      <w:r>
        <w:rPr>
          <w:rFonts w:ascii="Times New Roman;Times;Serif" w:hAnsi="Times New Roman;Times;Serif"/>
          <w:b/>
          <w:i w:val="false"/>
          <w:caps w:val="false"/>
          <w:smallCaps w:val="false"/>
          <w:sz w:val="20"/>
        </w:rPr>
        <w:t>Note 9 – Capital Stock</w:t>
      </w:r>
      <w:r>
        <w:rPr>
          <w:rFonts w:ascii="Times New Roman;Times;Serif" w:hAnsi="Times New Roman;Times;Serif"/>
          <w:b w:val="false"/>
          <w:i w:val="false"/>
          <w:caps w:val="false"/>
          <w:smallCaps w:val="false"/>
          <w:sz w:val="20"/>
        </w:rPr>
        <w:t xml:space="preserve">, for shares of the Company’s common stock. At issuance, the Cantor Warrant had a fair value of $1.4 million, of which $0.9 million was recorded as a debt discount, and $0.5 million was included in the calculation of the Company’s “Gain on the Troubled Debt Restructuring” on the Company’s consolidated statement of operations and comprehensive loss in the year ended December 29, 2024, as discussed below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Coupon interest, default interest and failure to file interest on the $18.0 million Debt Exchange were capitalized as part of the July 2024 Notes. Accordingly, the effective interest rate on the $18.0 million arising from the Debt Exchange is nil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financial covenants. The July 2024 Notes are not in default. However, due to the delayed filing of its Form 10-K for the year ended December 29, 2024, the Company was required to accrue incremental interest of 0.5% beginning April 16, 2025 through April 30, 2025, the date upon which the Form 10-K was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financial covenants. The July 2024 Notes are not in default. However, due to the Company’s delayed filing of its Form 10-K for the year ended December 29, 2024, the Company was required to accrue incremental interest of 0.5% beginning April 16, 2025 through April 30, 2025, the date upon which the Form 10-K was filed. Due to the Company’s delayed filing of its Form 10Q for the third quarter ended September 28, 2025 (“Q3 2025 Form 10Q”), the Company was required to accrue incremental interest of 0.5% beginning November 17, 2025, through December 19, 2025, the date upon which the Q3 2025 Form 10Q was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July 2024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454" w:type="dxa"/>
        <w:jc w:val="left"/>
        <w:tblInd w:w="0" w:type="dxa"/>
        <w:tblLayout w:type="fixed"/>
        <w:tblCellMar>
          <w:top w:w="0" w:type="dxa"/>
          <w:left w:w="0" w:type="dxa"/>
          <w:bottom w:w="0" w:type="dxa"/>
          <w:right w:w="0" w:type="dxa"/>
        </w:tblCellMar>
      </w:tblPr>
      <w:tblGrid>
        <w:gridCol w:w="4025"/>
        <w:gridCol w:w="90"/>
        <w:gridCol w:w="170"/>
        <w:gridCol w:w="1340"/>
        <w:gridCol w:w="125"/>
        <w:gridCol w:w="90"/>
        <w:gridCol w:w="256"/>
        <w:gridCol w:w="1188"/>
        <w:gridCol w:w="170"/>
      </w:tblGrid>
      <w:tr>
        <w:trPr/>
        <w:tc>
          <w:tcPr>
            <w:tcW w:w="40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0" w:type="dxa"/>
            <w:gridSpan w:val="2"/>
            <w:tcBorders/>
            <w:vAlign w:val="center"/>
          </w:tcPr>
          <w:p>
            <w:pPr>
              <w:pStyle w:val="TableContents"/>
              <w:bidi w:val="0"/>
              <w:spacing w:before="0" w:after="283"/>
              <w:jc w:val="center"/>
              <w:rPr>
                <w:b/>
              </w:rPr>
            </w:pPr>
            <w:r>
              <w:rPr>
                <w:b/>
              </w:rPr>
              <w:t>September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both"/>
              <w:rPr/>
            </w:pPr>
            <w:r>
              <w:rPr/>
              <w:t>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67,719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70,348</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both"/>
              <w:rPr/>
            </w:pPr>
            <w:r>
              <w:rPr/>
              <w:t>Less Unamortized debt discount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tcMar>
              <w:bottom w:w="28" w:type="dxa"/>
            </w:tcMar>
            <w:vAlign w:val="center"/>
          </w:tcPr>
          <w:p>
            <w:pPr>
              <w:pStyle w:val="TableContents"/>
              <w:bidi w:val="0"/>
              <w:spacing w:before="0" w:after="283"/>
              <w:jc w:val="right"/>
              <w:rPr/>
            </w:pPr>
            <w:r>
              <w:rPr/>
              <w:t>(26,657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(27,751</w:t>
            </w:r>
          </w:p>
        </w:tc>
        <w:tc>
          <w:tcPr>
            <w:tcW w:w="170" w:type="dxa"/>
            <w:tcBorders/>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both"/>
              <w:rPr/>
            </w:pPr>
            <w:r>
              <w:rPr/>
              <w:t>Total carrying amount of 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41,062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42,597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week period ended September 28, 2025 total interest expense was $1.2 million, of which interest expense and amortization of debt discount and issuance costs were $0.8 million and $0.4 million, respectively. Of these amounts, related party interest expense and amortization of debt discount and issuance costs were $0.5 million and $0.3 million, respectively. For the thirty-nine week period ended September 28, 2025 total interest expense was $3.6 million of which interest expense and amortization of debt discount and issuance costs were $2.5 million and $1.1 million, respectively. Of these amounts related party interest expense and amortization of debt discount and issuance costs were $1.6 million and $0.7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and thirty-nine week periods ended September 29, 2024, total interest expense was $1.7 million, of which interest expense and amortization of debt discount and issuance costs were $0.8 million and $0.9 million, respectively. Of these amounts, related party interest expense and amortization of debt discount and issuance costs were $0.5 million and $0.5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in exchange for $5.0 million of proceeds received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has a stated interest rate of 12.0%. The July 2025 Note is a general unsecured obligation of the Company and will mature on July 1, 2029, unless earlier converted, redeemed or repurchased. Interest on the July 2025 Note will accrue at a rate of 12.00% per year from the date of issuance and will be payable semiannually in arrears on January 1 and July 1 of each year, beginning on January 1, 2026. The July 2025 Note is convertible at the option of the holder at any time prior to the payment of the payment of the principal amount of the July 2025 Note in full. Upon conversion of the July 2025 Note, the Company will satisfy its conversion obligation by delivering shares of common stock and paying cash in respect of any fractional shares. The conversion rate of the July 2025 Note is initially equal to 558.6592 shares of common stock per $1,000 principal amount due under the July 2025 Note. The conversion rate is subject to adjustment from time to time pursuant to the terms of the July 2025 Note. The conversion option related to the July 2025 Note was required to be bifurcated as a derivative liability, and the Company recorded a derivative liability of $3.7 million on the issuance date. The July 2025 Note has an effective interest rate of 62.8%.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July 2025 Note,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739" w:type="dxa"/>
        <w:jc w:val="left"/>
        <w:tblInd w:w="0" w:type="dxa"/>
        <w:tblLayout w:type="fixed"/>
        <w:tblCellMar>
          <w:top w:w="0" w:type="dxa"/>
          <w:left w:w="0" w:type="dxa"/>
          <w:bottom w:w="0" w:type="dxa"/>
          <w:right w:w="0" w:type="dxa"/>
        </w:tblCellMar>
      </w:tblPr>
      <w:tblGrid>
        <w:gridCol w:w="5345"/>
        <w:gridCol w:w="90"/>
        <w:gridCol w:w="170"/>
        <w:gridCol w:w="1340"/>
        <w:gridCol w:w="125"/>
        <w:gridCol w:w="90"/>
        <w:gridCol w:w="533"/>
        <w:gridCol w:w="911"/>
        <w:gridCol w:w="135"/>
      </w:tblGrid>
      <w:tr>
        <w:trPr/>
        <w:tc>
          <w:tcPr>
            <w:tcW w:w="53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0" w:type="dxa"/>
            <w:gridSpan w:val="2"/>
            <w:tcBorders/>
            <w:vAlign w:val="center"/>
          </w:tcPr>
          <w:p>
            <w:pPr>
              <w:pStyle w:val="TableContents"/>
              <w:bidi w:val="0"/>
              <w:spacing w:before="0" w:after="283"/>
              <w:jc w:val="center"/>
              <w:rPr>
                <w:b/>
              </w:rPr>
            </w:pPr>
            <w:r>
              <w:rPr>
                <w:b/>
              </w:rPr>
              <w:t>September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both"/>
              <w:rPr/>
            </w:pPr>
            <w:r>
              <w:rPr/>
              <w:t>July 2025 Note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both"/>
              <w:rPr/>
            </w:pPr>
            <w:r>
              <w:rPr/>
              <w:t>Less Unamortized debt discount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tcMar>
              <w:bottom w:w="28" w:type="dxa"/>
            </w:tcMar>
            <w:vAlign w:val="center"/>
          </w:tcPr>
          <w:p>
            <w:pPr>
              <w:pStyle w:val="TableContents"/>
              <w:bidi w:val="0"/>
              <w:spacing w:before="0" w:after="283"/>
              <w:jc w:val="right"/>
              <w:rPr/>
            </w:pPr>
            <w:r>
              <w:rPr/>
              <w:t>(3,627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533" w:type="dxa"/>
            <w:tcBorders>
              <w:bottom w:val="single" w:sz="12" w:space="0" w:color="000000"/>
            </w:tcBorders>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both"/>
              <w:rPr/>
            </w:pPr>
            <w:r>
              <w:rPr/>
              <w:t>Total carrying amount of July 2025 Note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1,373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and thirty-nine week periods ended September 28, 2025 total interest expense was $0.2 million, of which both interest expense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Senior Notes”). The 7.0% Senior Notes issued under the Indenture bear interest at 7.0% per annum, and the interest is payable semiannually in arrears on January 1 and July 1 of each year beginning on January 1, 2025. The principal is payable in full at maturity on July 1, 2029. The 7.0% Senior Notes are convertible into shares of the Company’s common stock at the option of the holder at a conversion rate of $2.14 per common share. Holders of the 7.0% Senior Notes may convert at any time.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2024, the Company issued $66.8 million of the 7.0% Senior Notes to various parties (the “September 2024 Notes”), $4.0 million of which were issued to Rodgers Family Freedom and Free Markets Charitable Trust (“Massey Charitable Trust”), a related party and $4.0 million were issued to Rodgers Revocable Trust (collectively with Massey Charitable Trust, “Massey Trusts”), also a related party. In addition, effective December 30, 2024, an additional $0.75 million of the September 2024 Notes was deemed to be with a related party. The conversion option related to the September 2024 Notes was required to be bifurcated as a derivative liability, and the Company recorded a derivative liability of $91.5 million on the issuance date. As the fair value of the derivative liability exceeded the proceeds received, the Company recorded a corresponding financing loss of $24.7 million and debt discount for $66.8 million as of the issuance date as further described below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At the date of issuance, the $66.8 million of notes were issued with a debt discount equal to the entire principal amount, resulting in an initial net carrying amount of zero. The debt discount is being amortized on a straight-line basis over the term of the September 2024 Notes. In December 2024, the Company issued an additional $13.0 million of September 2024 Notes for cash. The Company recognized a $10.9 million debt discount in connection with these additional proceeds. The effective interest rate on this tranche is 64%. The Company issued an additional $0.2 million of September 2024 Notes in the thirteen week period ended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79"/>
        <w:gridCol w:w="90"/>
        <w:gridCol w:w="170"/>
        <w:gridCol w:w="1338"/>
        <w:gridCol w:w="125"/>
        <w:gridCol w:w="90"/>
        <w:gridCol w:w="255"/>
        <w:gridCol w:w="1186"/>
        <w:gridCol w:w="172"/>
      </w:tblGrid>
      <w:tr>
        <w:trPr/>
        <w:tc>
          <w:tcPr>
            <w:tcW w:w="67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2" w:type="dxa"/>
            <w:tcBorders/>
            <w:vAlign w:val="center"/>
          </w:tcPr>
          <w:p>
            <w:pPr>
              <w:pStyle w:val="TableContents"/>
              <w:bidi w:val="0"/>
              <w:spacing w:before="0" w:after="283"/>
              <w:jc w:val="left"/>
              <w:rPr/>
            </w:pPr>
            <w:r>
              <w:rPr/>
              <w:t> </w:t>
            </w:r>
          </w:p>
        </w:tc>
      </w:tr>
      <w:tr>
        <w:trPr/>
        <w:tc>
          <w:tcPr>
            <w:tcW w:w="67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8" w:type="dxa"/>
            <w:gridSpan w:val="2"/>
            <w:tcBorders/>
            <w:vAlign w:val="center"/>
          </w:tcPr>
          <w:p>
            <w:pPr>
              <w:pStyle w:val="TableContents"/>
              <w:bidi w:val="0"/>
              <w:spacing w:before="0" w:after="283"/>
              <w:jc w:val="center"/>
              <w:rPr>
                <w:b/>
              </w:rPr>
            </w:pPr>
            <w:r>
              <w:rPr>
                <w:b/>
              </w:rPr>
              <w:t>September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center"/>
              <w:rPr>
                <w:b/>
              </w:rPr>
            </w:pPr>
            <w:r>
              <w:rPr>
                <w:b/>
              </w:rPr>
              <w:t>December 29,</w:t>
            </w:r>
          </w:p>
        </w:tc>
        <w:tc>
          <w:tcPr>
            <w:tcW w:w="172" w:type="dxa"/>
            <w:tcBorders/>
            <w:vAlign w:val="center"/>
          </w:tcPr>
          <w:p>
            <w:pPr>
              <w:pStyle w:val="TableContents"/>
              <w:bidi w:val="0"/>
              <w:spacing w:before="0" w:after="283"/>
              <w:jc w:val="left"/>
              <w:rPr/>
            </w:pPr>
            <w:r>
              <w:rPr/>
              <w:t> </w:t>
            </w:r>
          </w:p>
        </w:tc>
      </w:tr>
      <w:tr>
        <w:trPr/>
        <w:tc>
          <w:tcPr>
            <w:tcW w:w="67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2" w:type="dxa"/>
            <w:tcBorders/>
            <w:vAlign w:val="center"/>
          </w:tcPr>
          <w:p>
            <w:pPr>
              <w:pStyle w:val="TableContents"/>
              <w:bidi w:val="0"/>
              <w:spacing w:before="0" w:after="283"/>
              <w:jc w:val="left"/>
              <w:rPr/>
            </w:pPr>
            <w:r>
              <w:rPr/>
              <w:t> </w:t>
            </w:r>
          </w:p>
        </w:tc>
      </w:tr>
      <w:tr>
        <w:trPr/>
        <w:tc>
          <w:tcPr>
            <w:tcW w:w="677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center"/>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79" w:type="dxa"/>
            <w:tcBorders/>
            <w:shd w:fill="CCEEFF" w:val="clear"/>
            <w:vAlign w:val="center"/>
          </w:tcPr>
          <w:p>
            <w:pPr>
              <w:pStyle w:val="TableContents"/>
              <w:bidi w:val="0"/>
              <w:spacing w:before="0" w:after="283"/>
              <w:jc w:val="both"/>
              <w:rPr/>
            </w:pPr>
            <w:r>
              <w:rPr/>
              <w:t>September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38" w:type="dxa"/>
            <w:tcBorders/>
            <w:shd w:fill="CCEEFF" w:val="clear"/>
            <w:vAlign w:val="center"/>
          </w:tcPr>
          <w:p>
            <w:pPr>
              <w:pStyle w:val="TableContents"/>
              <w:bidi w:val="0"/>
              <w:spacing w:before="0" w:after="283"/>
              <w:jc w:val="right"/>
              <w:rPr/>
            </w:pPr>
            <w:r>
              <w:rPr/>
              <w:t>80,000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79,800</w:t>
            </w:r>
          </w:p>
        </w:tc>
        <w:tc>
          <w:tcPr>
            <w:tcW w:w="172" w:type="dxa"/>
            <w:tcBorders/>
            <w:shd w:fill="CCEEFF" w:val="clear"/>
            <w:vAlign w:val="center"/>
          </w:tcPr>
          <w:p>
            <w:pPr>
              <w:pStyle w:val="TableContents"/>
              <w:bidi w:val="0"/>
              <w:spacing w:before="0" w:after="283"/>
              <w:jc w:val="left"/>
              <w:rPr/>
            </w:pPr>
            <w:r>
              <w:rPr/>
              <w:t> </w:t>
            </w:r>
          </w:p>
        </w:tc>
      </w:tr>
      <w:tr>
        <w:trPr/>
        <w:tc>
          <w:tcPr>
            <w:tcW w:w="6779" w:type="dxa"/>
            <w:tcBorders/>
            <w:vAlign w:val="center"/>
          </w:tcPr>
          <w:p>
            <w:pPr>
              <w:pStyle w:val="TableContents"/>
              <w:bidi w:val="0"/>
              <w:spacing w:before="0" w:after="283"/>
              <w:jc w:val="both"/>
              <w:rPr/>
            </w:pPr>
            <w:r>
              <w:rPr/>
              <w:t>Less Unamortized debt discount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tcMar>
              <w:bottom w:w="28" w:type="dxa"/>
            </w:tcMar>
            <w:vAlign w:val="center"/>
          </w:tcPr>
          <w:p>
            <w:pPr>
              <w:pStyle w:val="TableContents"/>
              <w:bidi w:val="0"/>
              <w:spacing w:before="0" w:after="283"/>
              <w:jc w:val="right"/>
              <w:rPr/>
            </w:pPr>
            <w:r>
              <w:rPr/>
              <w:t>(63,033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tcMar>
              <w:bottom w:w="28" w:type="dxa"/>
            </w:tcMar>
            <w:vAlign w:val="center"/>
          </w:tcPr>
          <w:p>
            <w:pPr>
              <w:pStyle w:val="TableContents"/>
              <w:bidi w:val="0"/>
              <w:spacing w:before="0" w:after="283"/>
              <w:jc w:val="right"/>
              <w:rPr/>
            </w:pPr>
            <w:r>
              <w:rPr/>
              <w:t>(73,688</w:t>
            </w:r>
          </w:p>
        </w:tc>
        <w:tc>
          <w:tcPr>
            <w:tcW w:w="172" w:type="dxa"/>
            <w:tcBorders/>
            <w:vAlign w:val="center"/>
          </w:tcPr>
          <w:p>
            <w:pPr>
              <w:pStyle w:val="TableContents"/>
              <w:bidi w:val="0"/>
              <w:spacing w:before="0" w:after="283"/>
              <w:jc w:val="left"/>
              <w:rPr/>
            </w:pPr>
            <w:r>
              <w:rPr/>
              <w:t>)</w:t>
            </w:r>
          </w:p>
        </w:tc>
      </w:tr>
      <w:tr>
        <w:trPr/>
        <w:tc>
          <w:tcPr>
            <w:tcW w:w="6779" w:type="dxa"/>
            <w:tcBorders/>
            <w:shd w:fill="CCEEFF" w:val="clear"/>
            <w:vAlign w:val="center"/>
          </w:tcPr>
          <w:p>
            <w:pPr>
              <w:pStyle w:val="TableContents"/>
              <w:bidi w:val="0"/>
              <w:spacing w:before="0" w:after="283"/>
              <w:jc w:val="both"/>
              <w:rPr/>
            </w:pPr>
            <w:r>
              <w:rPr/>
              <w:t>Total carrying amount of September 2024 Notes and derivative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38" w:type="dxa"/>
            <w:tcBorders>
              <w:bottom w:val="double" w:sz="10" w:space="0" w:color="000000"/>
            </w:tcBorders>
            <w:shd w:fill="CCEEFF" w:val="clear"/>
            <w:tcMar>
              <w:bottom w:w="28" w:type="dxa"/>
            </w:tcMar>
            <w:vAlign w:val="center"/>
          </w:tcPr>
          <w:p>
            <w:pPr>
              <w:pStyle w:val="TableContents"/>
              <w:bidi w:val="0"/>
              <w:spacing w:before="0" w:after="283"/>
              <w:jc w:val="right"/>
              <w:rPr/>
            </w:pPr>
            <w:r>
              <w:rPr/>
              <w:t>16,967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6,112</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week period ended September 28, 2025 total interest expense was $5.1 million, of which interest expense and amortization of debt discount and issuance costs were $1.4 million and $3.7 million, respectively. Of these amounts, related party interest expense and amortization of debt discount and issuance costs were $0.2 million and $0.5 million, respectively. For the thirty-nine week period ended September 28, 2025 total interest expense was $15.1 million of which interest expense and amortization of debt discount and issuance costs were $4.2 million and $10.9 million, respectively. Of these amounts related party interest expense and amortization of debt discount and issuance costs were $0.5 million and $1.4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and thirty-nine week periods ended September 29, 2024, total interest expense was $0.5 million, of which interest expense and amortization of debt discount and issuance costs were $0.1 million and $0.4 million, respectively. Of these amounts, both related party interest expense and amortization of debt discount and issuance costs were less than $0.1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Senior Notes (the “September 2025 Notes”) to various parties. The September 2025 Notes were issued pursuant to the Indenture. The September 2025 Notes contain a conversion option related to which requires bifurcation and recognition of a derivative liability, and the Company recorded a derivative liability of $15.4 million on the issuance date. The Company recognized a $2.2 million debt discount and $1.4 million of debt issuance costs in connection with the September 2025 Notes. The debt issuance costs include an estimate of the value of a warrant that will be issued in the subsequent fiscal year to the entity that arranged the financing. The effective interest rate on the September 2025 Notes is 67%. The net proceeds of $19.6 million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19"/>
        <w:gridCol w:w="90"/>
        <w:gridCol w:w="266"/>
        <w:gridCol w:w="1235"/>
        <w:gridCol w:w="125"/>
        <w:gridCol w:w="90"/>
        <w:gridCol w:w="532"/>
        <w:gridCol w:w="910"/>
        <w:gridCol w:w="138"/>
      </w:tblGrid>
      <w:tr>
        <w:trPr/>
        <w:tc>
          <w:tcPr>
            <w:tcW w:w="681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8" w:type="dxa"/>
            <w:tcBorders/>
            <w:vAlign w:val="center"/>
          </w:tcPr>
          <w:p>
            <w:pPr>
              <w:pStyle w:val="TableContents"/>
              <w:bidi w:val="0"/>
              <w:spacing w:before="0" w:after="283"/>
              <w:jc w:val="left"/>
              <w:rPr/>
            </w:pPr>
            <w:r>
              <w:rPr/>
              <w:t> </w:t>
            </w:r>
          </w:p>
        </w:tc>
      </w:tr>
      <w:tr>
        <w:trPr/>
        <w:tc>
          <w:tcPr>
            <w:tcW w:w="681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1" w:type="dxa"/>
            <w:gridSpan w:val="2"/>
            <w:tcBorders/>
            <w:vAlign w:val="center"/>
          </w:tcPr>
          <w:p>
            <w:pPr>
              <w:pStyle w:val="TableContents"/>
              <w:bidi w:val="0"/>
              <w:spacing w:before="0" w:after="283"/>
              <w:jc w:val="center"/>
              <w:rPr>
                <w:b/>
              </w:rPr>
            </w:pPr>
            <w:r>
              <w:rPr>
                <w:b/>
              </w:rPr>
              <w:t>September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center"/>
              <w:rPr>
                <w:b/>
              </w:rPr>
            </w:pPr>
            <w:r>
              <w:rPr>
                <w:b/>
              </w:rPr>
              <w:t>December 29,</w:t>
            </w:r>
          </w:p>
        </w:tc>
        <w:tc>
          <w:tcPr>
            <w:tcW w:w="138" w:type="dxa"/>
            <w:tcBorders/>
            <w:vAlign w:val="center"/>
          </w:tcPr>
          <w:p>
            <w:pPr>
              <w:pStyle w:val="TableContents"/>
              <w:bidi w:val="0"/>
              <w:spacing w:before="0" w:after="283"/>
              <w:jc w:val="left"/>
              <w:rPr/>
            </w:pPr>
            <w:r>
              <w:rPr/>
              <w:t> </w:t>
            </w:r>
          </w:p>
        </w:tc>
      </w:tr>
      <w:tr>
        <w:trPr/>
        <w:tc>
          <w:tcPr>
            <w:tcW w:w="681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8" w:type="dxa"/>
            <w:tcBorders/>
            <w:vAlign w:val="center"/>
          </w:tcPr>
          <w:p>
            <w:pPr>
              <w:pStyle w:val="TableContents"/>
              <w:bidi w:val="0"/>
              <w:spacing w:before="0" w:after="283"/>
              <w:jc w:val="left"/>
              <w:rPr/>
            </w:pPr>
            <w:r>
              <w:rPr/>
              <w:t> </w:t>
            </w:r>
          </w:p>
        </w:tc>
      </w:tr>
      <w:tr>
        <w:trPr/>
        <w:tc>
          <w:tcPr>
            <w:tcW w:w="681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1" w:type="dxa"/>
            <w:gridSpan w:val="2"/>
            <w:tcBorders/>
            <w:vAlign w:val="center"/>
          </w:tcPr>
          <w:p>
            <w:pPr>
              <w:pStyle w:val="TableContents"/>
              <w:bidi w:val="0"/>
              <w:spacing w:before="0" w:after="283"/>
              <w:jc w:val="center"/>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r>
      <w:tr>
        <w:trPr/>
        <w:tc>
          <w:tcPr>
            <w:tcW w:w="6819" w:type="dxa"/>
            <w:tcBorders/>
            <w:shd w:fill="CCEEFF" w:val="clear"/>
            <w:vAlign w:val="center"/>
          </w:tcPr>
          <w:p>
            <w:pPr>
              <w:pStyle w:val="TableContents"/>
              <w:bidi w:val="0"/>
              <w:spacing w:before="0" w:after="283"/>
              <w:jc w:val="both"/>
              <w:rPr/>
            </w:pPr>
            <w:r>
              <w:rPr/>
              <w:t>September 2025 Notes</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22,000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6819" w:type="dxa"/>
            <w:tcBorders/>
            <w:vAlign w:val="center"/>
          </w:tcPr>
          <w:p>
            <w:pPr>
              <w:pStyle w:val="TableContents"/>
              <w:bidi w:val="0"/>
              <w:spacing w:before="0" w:after="283"/>
              <w:jc w:val="both"/>
              <w:rPr/>
            </w:pPr>
            <w:r>
              <w:rPr/>
              <w:t>Less Unamortized debt discount</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tcMar>
              <w:bottom w:w="28" w:type="dxa"/>
            </w:tcMar>
            <w:vAlign w:val="center"/>
          </w:tcPr>
          <w:p>
            <w:pPr>
              <w:pStyle w:val="TableContents"/>
              <w:bidi w:val="0"/>
              <w:spacing w:before="0" w:after="283"/>
              <w:jc w:val="right"/>
              <w:rPr/>
            </w:pPr>
            <w:r>
              <w:rPr/>
              <w:t>(18,932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5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r>
      <w:tr>
        <w:trPr/>
        <w:tc>
          <w:tcPr>
            <w:tcW w:w="6819" w:type="dxa"/>
            <w:tcBorders/>
            <w:shd w:fill="CCEEFF" w:val="clear"/>
            <w:vAlign w:val="center"/>
          </w:tcPr>
          <w:p>
            <w:pPr>
              <w:pStyle w:val="TableContents"/>
              <w:bidi w:val="0"/>
              <w:spacing w:before="0" w:after="283"/>
              <w:jc w:val="both"/>
              <w:rPr/>
            </w:pPr>
            <w:r>
              <w:rPr/>
              <w:t>Total carrying amount of September 2025 Notes and derivative liabilities</w:t>
            </w:r>
          </w:p>
        </w:tc>
        <w:tc>
          <w:tcPr>
            <w:tcW w:w="90"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double" w:sz="10" w:space="0" w:color="000000"/>
            </w:tcBorders>
            <w:shd w:fill="CCEEFF" w:val="clear"/>
            <w:tcMar>
              <w:bottom w:w="28" w:type="dxa"/>
            </w:tcMar>
            <w:vAlign w:val="center"/>
          </w:tcPr>
          <w:p>
            <w:pPr>
              <w:pStyle w:val="TableContents"/>
              <w:bidi w:val="0"/>
              <w:spacing w:before="0" w:after="283"/>
              <w:jc w:val="right"/>
              <w:rPr/>
            </w:pPr>
            <w:r>
              <w:rPr/>
              <w:t>3,068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and thirty-nine week periods ended September 28, 2025, total interest expense was less than $0.1 million, both of which interest expense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 payable to Seller – related party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the Company issued a note payable to the sellers of Sunder (“Seller Note”) to the Seller/Member in connection with the acquisition of 100% of the membership interests in Sunder. 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The Company concluded that since the sellers joined the Company and have a level of influence that is not insignificant, they are related parties of the Company and therefore the Seller Note is a related party obligation. Management concluded that the carrying value of the Seller Note approximates its fair value due to the short-term nature of the obligation. Interest expense recognized on the Seller Note was less than $0.1 million in the thirteen and thirty-nine week periods ended September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2024, the Company entered into an Exchange Agreement (the “Exchange Agreement”) with Carlyle, which was deemed to be a related party beginning in fiscal 2024 and ended as of March 30, 2025 as described in </w:t>
      </w:r>
      <w:r>
        <w:rPr>
          <w:rFonts w:ascii="Times New Roman;Times;Serif" w:hAnsi="Times New Roman;Times;Serif"/>
          <w:b/>
          <w:i w:val="false"/>
          <w:caps w:val="false"/>
          <w:smallCaps w:val="false"/>
          <w:sz w:val="20"/>
        </w:rPr>
        <w:t>Note 3 (h) Basis of Presentation and Summary of Significant Accounting Policies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Changes in related parties</w:t>
      </w:r>
      <w:r>
        <w:rPr>
          <w:rFonts w:ascii="Times New Roman;Times;Serif" w:hAnsi="Times New Roman;Times;Serif"/>
          <w:b w:val="false"/>
          <w:i w:val="false"/>
          <w:caps w:val="false"/>
          <w:smallCaps w:val="false"/>
          <w:sz w:val="20"/>
        </w:rPr>
        <w:t>, and Kline Hill (as defined below) providing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8"/>
        <w:gridCol w:w="9912"/>
      </w:tblGrid>
      <w:tr>
        <w:trPr/>
        <w:tc>
          <w:tcPr>
            <w:tcW w:w="10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105"/>
        <w:gridCol w:w="290"/>
        <w:gridCol w:w="8570"/>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$10.0 million to Carlyle as part of the July 2024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03"/>
        <w:gridCol w:w="9797"/>
      </w:tblGrid>
      <w:tr>
        <w:trPr/>
        <w:tc>
          <w:tcPr>
            <w:tcW w:w="105"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the 2018 Bridge Notes, the revolving loan and a secured credit facility (“Secured Credit Facility”), and the satisfaction of all obligations owed to Kline Hill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05"/>
        <w:gridCol w:w="335"/>
        <w:gridCol w:w="9020"/>
      </w:tblGrid>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$8.0 million to Kline Hill as part of the July 2024 Notes;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63"/>
        <w:gridCol w:w="9837"/>
      </w:tblGrid>
      <w:tr>
        <w:trPr/>
        <w:tc>
          <w:tcPr>
            <w:tcW w:w="10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8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1,500,000 shares of common stock, par value $0.0001 per share, of the Company (the “Common Stock”) to Kline Hill (the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date of the cancellation under the Exchange Agreement, the Company’s indebtedness to CS Solis was $37.2 million and the indebtedness to Kline Hill was comprised of the 2018 Bridge Notes of $11.7 million, Revolving Loan balance assigned to Kline Hill of $3.9 million, and the Secured Credit Facility balance of $13.1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transactions entered into in the Exchange Agreement represented a troubled debt restructuring as the Company was experiencing financial difficulty, and the new terms of the July 2024 Notes resulted in a concession to the Company. As the carrying amount of the debt exceeded the future undiscounted cash payments under the new terms on the date of the exchange, the Company recorded a gain on the troubled debt restructuring of $19.8 million in the thirteen week and thirty-nine week periods ended September 29, 2024 and recorded an additional gain of $2.5 million in the fourth quarter of fiscal 2024 for an aggregate gain on troubled debt restructuring of $22.3 million in fiscal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Exchange Agreement, the Company recorded accretion of the liability of the debt in CS Solis as related party interest expense of zero and $3.9 million in the thirteen and thirty-nine week periods ended September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the 2018 Bridge Notes was zero and $0.7 million in the thirteen and thirty-nine week periods ended September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Secured Credit Facility was zero and $1.0 million in the thirteen and thirty-nine week periods ended September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Revolving 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entering into the Exchange Agreement, the Company had a revolving loan (“Aggregate Revolving Loan”) due to Kline Hill and Rodgers Revocable Trust, a related party. The Aggregate Revolving Loan had an annual interest rate equal to the greater of 7.75% or Prime plus 4.5%. In connection with the Exchange Agreement in July 2024, $3.5 million of the Revolving Loan, plus accrued interest owed to Kline Hill, was exchanged for a portion of the July 2024 Notes. The principal balance of $1.5 million (“Related Party Loan”) owing to the Rodgers Revocable Trust (plus accrued interest) remained outstanding as of September 28, 2025, and December 29, 2024.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the Aggregate Revolving Loan was less than $0.1 million in each of the thirteen week periods ended September 28, 2025 and September 29, 2024. Interest expense recognized on the Aggregate Revolving Loan was $0.2 million and $0.4 million in the thirty-nine week periods ended September 28, 2025, and September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total interest expense recognized on the Aggregate Revolving Loan, related party interest expense recognized was less than $0.1 million in each of the thirteen week periods ended September 28, 2025 and September 29, 2024, and $0.2 million and $0.4 million in the thirty-nine week periods ended September 28, 2025, and September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SAFE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entered into a Simple Agreement for Future Equity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(“First SAFE Amendment”) that converted the First SAFE investment of $1.5 million into 4,166,667 shares of the Company’s common stock based on a conversion price of $0.36 per share, defined in the First SAFE Amendment as the product of (i) $0.45, the closing price of the Company’s common stock on April 19, 2024, multiplied by (ii) 80%. Upon conversion, the Company recorded a debit to the First SAFE Agreement of $1.5 million, a credit to Additional paid-in-capital of $1.9 million and recognized expense of $0.4 million within Other expense, net in its unaudited condensed consolidated statement of operations in the Company’s second fiscal quarter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transaction at a per share conversion price which was equal to the lower of (i) the Second SAFE Price, and (ii) 80% of the price per share of the Company’s common stock sold in an Equity Financing transaction.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(“Second SAFE Amendment”) that converted the Second SAFE investment of $3.5 million into 9,722,222 shares of the Company’s common stock based on a conversion price of $0.36 per share, defined in the Second SAFE Amendment as the product of (i) $0.45, the closing price of the Company’s common stock on April 19, 2024, multiplied by (ii) 80%. Upon conversion, the Company recorded a debit to the Second SAFE Agreement of $3.5 million, a credit to Additional paid-in-capital of $4.4 million and recognized expense of $0.9 million within Other expense, net in its unaudited condensed consolidated statement of operations in the Company’s second fiscal quarter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transaction, at a per share conversion price which is equal to 50% of the price per share of the Company’s common stock sold in an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Third SAFE may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fair value of the Third SAFE was $0.5 million and $0.4 million as of September 28, 2025 and December 29, 2024, based upon the assumptions disclosed in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the Third SAFE is recorded within Other expense, net in the accompanying condensed consolidated statements of operations and comprehensive loss. The change in the fair value of the Third SAFE was expense of $0.1 million and $0.9 million in the thirteen week periods ended September 28, 2025 and September 29, 2024, respectively. The change in the fair value of the Third SAFE was expense of $0.1 million and $0.9 million in the thirty-nine week periods ended September 28, 2025 and September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SunPower common stock may be issued under the 2023 Plan. In addition, the number of shares of SunPower common stock reserved for issuance under the 2023 Plan will automatically increase on January 1 of each year, starting on January 1, 2024 and ending on January 1, 2033, in an amount equal to the lesser of (1) 4% of the total number of shares of SunPower’s common stock outstanding on December 31 of the preceding year, or (2) a lesser number of shares of SunPower common stock determined by SunPower’s Board prior to the date of the increase. The maximum number of shares of SunPower common stock that may be issued on the exercise of incentive stock options (“ISOs”) under the 2023 Plan is three times the number of shares available for issuance upon the 2023 Plan becoming effective (or 26,289,966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29, 2024 are also recognized equally over the vesting period of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9149" w:type="dxa"/>
        <w:jc w:val="left"/>
        <w:tblInd w:w="0" w:type="dxa"/>
        <w:tblLayout w:type="fixed"/>
        <w:tblCellMar>
          <w:top w:w="0" w:type="dxa"/>
          <w:left w:w="0" w:type="dxa"/>
          <w:bottom w:w="0" w:type="dxa"/>
          <w:right w:w="0" w:type="dxa"/>
        </w:tblCellMar>
      </w:tblPr>
      <w:tblGrid>
        <w:gridCol w:w="4190"/>
        <w:gridCol w:w="90"/>
        <w:gridCol w:w="90"/>
        <w:gridCol w:w="935"/>
        <w:gridCol w:w="110"/>
        <w:gridCol w:w="90"/>
        <w:gridCol w:w="235"/>
        <w:gridCol w:w="625"/>
        <w:gridCol w:w="90"/>
        <w:gridCol w:w="90"/>
        <w:gridCol w:w="192"/>
        <w:gridCol w:w="878"/>
        <w:gridCol w:w="90"/>
        <w:gridCol w:w="90"/>
        <w:gridCol w:w="281"/>
        <w:gridCol w:w="938"/>
        <w:gridCol w:w="135"/>
      </w:tblGrid>
      <w:tr>
        <w:trPr/>
        <w:tc>
          <w:tcPr>
            <w:tcW w:w="41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Shares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br/>
              <w:t>Exercise</w:t>
              <w:b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br/>
              <w:t>Contractual</w:t>
              <w:br/>
              <w:t>Term</w:t>
              <w:br/>
              <w:t>(Years)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9,997,233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6,356</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(712,467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canceled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(4,874,689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Outstanding—September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4,410,078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2,157</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expected to vest— September 28,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3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4,410,078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2,157</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 and exercisable— September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2,364,439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155"/>
        <w:gridCol w:w="90"/>
        <w:gridCol w:w="98"/>
        <w:gridCol w:w="1241"/>
        <w:gridCol w:w="125"/>
        <w:gridCol w:w="90"/>
        <w:gridCol w:w="335"/>
        <w:gridCol w:w="929"/>
        <w:gridCol w:w="135"/>
      </w:tblGrid>
      <w:tr>
        <w:trPr/>
        <w:tc>
          <w:tcPr>
            <w:tcW w:w="31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w:t>
              <w:br/>
              <w:t>of RSUs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Grant Date </w:t>
              <w:br/>
              <w:t>Fair Value</w:t>
            </w:r>
          </w:p>
        </w:tc>
        <w:tc>
          <w:tcPr>
            <w:tcW w:w="13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center"/>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pPr>
            <w:r>
              <w:rPr/>
              <w:t>Unvested at December 29, 2024</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1,982,135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jc w:val="right"/>
              <w:rPr/>
            </w:pPr>
            <w:r>
              <w:rPr/>
              <w:t>1.79</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22,235,871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1.73</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pPr>
            <w:r>
              <w:rPr/>
              <w:t>Vested and released</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(3,864,608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1.75</w:t>
            </w:r>
          </w:p>
        </w:tc>
        <w:tc>
          <w:tcPr>
            <w:tcW w:w="135" w:type="dxa"/>
            <w:tcBorders/>
            <w:shd w:fill="CCEEFF" w:val="clear"/>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both"/>
              <w:rPr/>
            </w:pPr>
            <w:r>
              <w:rPr/>
              <w:t>Cancelled or forfeited</w:t>
            </w:r>
          </w:p>
        </w:tc>
        <w:tc>
          <w:tcPr>
            <w:tcW w:w="9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tcMar>
              <w:bottom w:w="28" w:type="dxa"/>
            </w:tcMar>
            <w:vAlign w:val="center"/>
          </w:tcPr>
          <w:p>
            <w:pPr>
              <w:pStyle w:val="TableContents"/>
              <w:bidi w:val="0"/>
              <w:spacing w:before="0" w:after="283"/>
              <w:jc w:val="right"/>
              <w:rPr/>
            </w:pPr>
            <w:r>
              <w:rPr/>
              <w:t>(3,213,876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1.76</w:t>
            </w:r>
          </w:p>
        </w:tc>
        <w:tc>
          <w:tcPr>
            <w:tcW w:w="13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both"/>
              <w:rPr/>
            </w:pPr>
            <w:r>
              <w:rPr/>
              <w:t>Unvested at September 28, 2025</w:t>
            </w:r>
          </w:p>
        </w:tc>
        <w:tc>
          <w:tcPr>
            <w:tcW w:w="90" w:type="dxa"/>
            <w:tcBorders/>
            <w:shd w:fill="CCEEFF" w:val="clear"/>
            <w:vAlign w:val="center"/>
          </w:tcPr>
          <w:p>
            <w:pPr>
              <w:pStyle w:val="TableContents"/>
              <w:bidi w:val="0"/>
              <w:spacing w:before="0" w:after="283"/>
              <w:jc w:val="left"/>
              <w:rPr/>
            </w:pPr>
            <w:r>
              <w:rPr/>
              <w:t>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double" w:sz="10" w:space="0" w:color="000000"/>
            </w:tcBorders>
            <w:shd w:fill="CCEEFF" w:val="clear"/>
            <w:tcMar>
              <w:bottom w:w="28" w:type="dxa"/>
            </w:tcMar>
            <w:vAlign w:val="center"/>
          </w:tcPr>
          <w:p>
            <w:pPr>
              <w:pStyle w:val="TableContents"/>
              <w:bidi w:val="0"/>
              <w:spacing w:before="0" w:after="283"/>
              <w:jc w:val="right"/>
              <w:rPr/>
            </w:pPr>
            <w:r>
              <w:rPr/>
              <w:t>17,139,522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unaudited condensed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72" w:type="dxa"/>
        <w:jc w:val="left"/>
        <w:tblInd w:w="0" w:type="dxa"/>
        <w:tblLayout w:type="fixed"/>
        <w:tblCellMar>
          <w:top w:w="0" w:type="dxa"/>
          <w:left w:w="0" w:type="dxa"/>
          <w:bottom w:w="0" w:type="dxa"/>
          <w:right w:w="0" w:type="dxa"/>
        </w:tblCellMar>
      </w:tblPr>
      <w:tblGrid>
        <w:gridCol w:w="3395"/>
        <w:gridCol w:w="90"/>
        <w:gridCol w:w="298"/>
        <w:gridCol w:w="996"/>
        <w:gridCol w:w="116"/>
        <w:gridCol w:w="116"/>
        <w:gridCol w:w="298"/>
        <w:gridCol w:w="996"/>
        <w:gridCol w:w="90"/>
        <w:gridCol w:w="90"/>
        <w:gridCol w:w="299"/>
        <w:gridCol w:w="995"/>
        <w:gridCol w:w="132"/>
        <w:gridCol w:w="132"/>
        <w:gridCol w:w="299"/>
        <w:gridCol w:w="995"/>
        <w:gridCol w:w="135"/>
      </w:tblGrid>
      <w:tr>
        <w:trPr/>
        <w:tc>
          <w:tcPr>
            <w:tcW w:w="33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Thirteen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Thirty-Nine Weeks Ended</w:t>
            </w:r>
          </w:p>
        </w:tc>
        <w:tc>
          <w:tcPr>
            <w:tcW w:w="13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28, </w:t>
              <w:br/>
              <w:t>2025</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29,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28, </w:t>
              <w:br/>
              <w:t>2025</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29, </w:t>
              <w:br/>
              <w:t>2024</w:t>
            </w:r>
          </w:p>
        </w:tc>
        <w:tc>
          <w:tcPr>
            <w:tcW w:w="13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(As Restated)</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(As Restated)</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9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714</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2,232</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marketing</w:t>
            </w:r>
          </w:p>
        </w:tc>
        <w:tc>
          <w:tcPr>
            <w:tcW w:w="9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2,057</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w:t>
            </w:r>
          </w:p>
        </w:tc>
        <w:tc>
          <w:tcPr>
            <w:tcW w:w="135" w:type="dxa"/>
            <w:tcBorders/>
            <w:vAlign w:val="center"/>
          </w:tcPr>
          <w:p>
            <w:pPr>
              <w:pStyle w:val="TableContents"/>
              <w:bidi w:val="0"/>
              <w:spacing w:before="0" w:after="283"/>
              <w:ind w:left="0" w:right="0" w:hanging="180"/>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90" w:type="dxa"/>
            <w:tcBorders/>
            <w:shd w:fill="CCEEFF" w:val="clear"/>
            <w:vAlign w:val="center"/>
          </w:tcPr>
          <w:p>
            <w:pPr>
              <w:pStyle w:val="TableContents"/>
              <w:bidi w:val="0"/>
              <w:spacing w:before="0" w:after="283"/>
              <w:jc w:val="left"/>
              <w:rPr/>
            </w:pPr>
            <w:r>
              <w:rPr/>
              <w:t> </w:t>
            </w:r>
          </w:p>
        </w:tc>
        <w:tc>
          <w:tcPr>
            <w:tcW w:w="2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3,587</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2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stock-based compensation expense</w:t>
            </w:r>
          </w:p>
        </w:tc>
        <w:tc>
          <w:tcPr>
            <w:tcW w:w="90" w:type="dxa"/>
            <w:tcBorders/>
            <w:vAlign w:val="center"/>
          </w:tcPr>
          <w:p>
            <w:pPr>
              <w:pStyle w:val="TableContents"/>
              <w:bidi w:val="0"/>
              <w:spacing w:before="0" w:after="283"/>
              <w:jc w:val="left"/>
              <w:rPr/>
            </w:pPr>
            <w:r>
              <w:rPr/>
              <w:t> </w:t>
            </w:r>
          </w:p>
        </w:tc>
        <w:tc>
          <w:tcPr>
            <w:tcW w:w="298"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2,123</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98"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9"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7,876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99"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28, 2025, unrecognized stock-based compensation costs related to service-based options and RSUs was $1.6 million and $28.3 million respectively, and such compensation cost is expected to be recognized over a weighted-average period of 2.8 years and 4.3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Activity by period relating to the Company’s warranty provision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63" w:type="dxa"/>
        <w:jc w:val="left"/>
        <w:tblInd w:w="0" w:type="dxa"/>
        <w:tblLayout w:type="fixed"/>
        <w:tblCellMar>
          <w:top w:w="0" w:type="dxa"/>
          <w:left w:w="0" w:type="dxa"/>
          <w:bottom w:w="0" w:type="dxa"/>
          <w:right w:w="0" w:type="dxa"/>
        </w:tblCellMar>
      </w:tblPr>
      <w:tblGrid>
        <w:gridCol w:w="3350"/>
        <w:gridCol w:w="90"/>
        <w:gridCol w:w="274"/>
        <w:gridCol w:w="1020"/>
        <w:gridCol w:w="154"/>
        <w:gridCol w:w="126"/>
        <w:gridCol w:w="299"/>
        <w:gridCol w:w="995"/>
        <w:gridCol w:w="155"/>
      </w:tblGrid>
      <w:tr>
        <w:trPr/>
        <w:tc>
          <w:tcPr>
            <w:tcW w:w="3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Thirty-Nine Weeks Ended</w:t>
            </w:r>
          </w:p>
        </w:tc>
        <w:tc>
          <w:tcPr>
            <w:tcW w:w="15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28, </w:t>
              <w:br/>
              <w:t>2025</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29, </w:t>
              <w:br/>
              <w:t>2024</w:t>
            </w:r>
          </w:p>
        </w:tc>
        <w:tc>
          <w:tcPr>
            <w:tcW w:w="15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beginning of period</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4,849</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Accruals for new warranties issued</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3,238</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830</w:t>
            </w:r>
          </w:p>
        </w:tc>
        <w:tc>
          <w:tcPr>
            <w:tcW w:w="15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Settlements, other</w:t>
            </w:r>
          </w:p>
        </w:tc>
        <w:tc>
          <w:tcPr>
            <w:tcW w:w="90" w:type="dxa"/>
            <w:tcBorders/>
            <w:shd w:fill="CCEEFF" w:val="clear"/>
            <w:vAlign w:val="center"/>
          </w:tcPr>
          <w:p>
            <w:pPr>
              <w:pStyle w:val="TableContents"/>
              <w:bidi w:val="0"/>
              <w:spacing w:before="0" w:after="283"/>
              <w:jc w:val="left"/>
              <w:rPr/>
            </w:pPr>
            <w:r>
              <w:rPr/>
              <w:t> </w:t>
            </w:r>
          </w:p>
        </w:tc>
        <w:tc>
          <w:tcPr>
            <w:tcW w:w="2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(5,837</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2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(932</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end of period</w:t>
            </w:r>
          </w:p>
        </w:tc>
        <w:tc>
          <w:tcPr>
            <w:tcW w:w="90" w:type="dxa"/>
            <w:tcBorders/>
            <w:vAlign w:val="center"/>
          </w:tcPr>
          <w:p>
            <w:pPr>
              <w:pStyle w:val="TableContents"/>
              <w:bidi w:val="0"/>
              <w:spacing w:before="0" w:after="283"/>
              <w:jc w:val="left"/>
              <w:rPr/>
            </w:pPr>
            <w:r>
              <w:rPr/>
              <w:t> </w:t>
            </w:r>
          </w:p>
        </w:tc>
        <w:tc>
          <w:tcPr>
            <w:tcW w:w="27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3,369</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4,747</w:t>
            </w:r>
          </w:p>
        </w:tc>
        <w:tc>
          <w:tcPr>
            <w:tcW w:w="155"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current</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1,229</w:t>
            </w:r>
          </w:p>
        </w:tc>
        <w:tc>
          <w:tcPr>
            <w:tcW w:w="15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1,425</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noncurrent</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2,140</w:t>
            </w:r>
          </w:p>
        </w:tc>
        <w:tc>
          <w:tcPr>
            <w:tcW w:w="1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3,322</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Settlement of dispute with SunPower Debtors Bankruptcy Estate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such that no amounts will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Legal matters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$9.2 million and $7.7 million recorded within accrued expenses and other current liabilities in its unaudited condensed consolidated balance sheets at each of September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Solaria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in the Company’s unaudited condensed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The Company has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 The Company continues pursuing global settlement negotiations with Siemens.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In the thirteen week period ended September 28, 2025, the Company recorded an additional $1.1 million of expense within discontinued operations in its unaudited condensed consolidated statement of operations and comprehensive (loss) to bring the liability for legal settlement with Siemens to $8.0 million as of September 28, 2025. This liability is included within accrued expenses and other current liabilities in the Company’s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expense of $2.0 million within discontinued operations in its unaudited condensed consolidated statement of operations and comprehensive (loss) in the thirty-nine week period ended September 29, 2024, for attorneys’ fees, expenses, and pre-judgment interest, and this liability was also recorded within accrued expenses and other current liabilities in the Company’s unaudited condensed consolidated balance sheets as of September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Settlement Agreement (“Settlement Agreement”) with Siemens to resolve a case in the Court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of Company collateral. This security interest is reduced on a one-to-one basis as the settlement payments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$3.5 million of outstanding letters of credit related to normal business transactions as of September 28, 2025 and December 29, 2024. These agreements require the Company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3 – Basis of Presentation and Summary of Significant Accounting Policies</w:t>
      </w:r>
      <w:r>
        <w:rPr>
          <w:rFonts w:ascii="Times New Roman;Times;Serif" w:hAnsi="Times New Roman;Times;Serif"/>
          <w:b w:val="false"/>
          <w:i w:val="false"/>
          <w:caps w:val="false"/>
          <w:smallCaps w:val="false"/>
          <w:sz w:val="20"/>
        </w:rPr>
        <w:t>, the cash collateral in these restricted cash accounts was $3.8 million at each of September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history of net operating losses, the Company has provided a full valuation allowance against its deferred tax assets. For each of the thirteen week periods ended September 28, 2025, and September 29, 2024, the Company recognized income tax expense of zero. For the thirty-nine week periods ended September 28, 2025, and September 29, 2024, the Company recognized income tax expense of zero and eleven thousand dollars,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One Big Beautiful Bill Act (“OBBBA”) was enacted on July 4, 2025. The OBBBA contains significant changes to corporate taxation, including accelerated deductions for capital expenditures, expensing of research and development costs incurred in the US, and increased deductibility of interest expense. The Company is currently evaluating the impact of OBBBA, but does not expect a material provision would impact the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loss per share. No dividends were declared or paid in the thirteen and thirty-nine week periods ended September 28, 2025 and September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Company’s basic and diluted net loss per share attributable to common stockholders for the thirteen and thirty-nine week periods ended September 28, 2025 and September 29, 2024 (in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1"/>
        <w:gridCol w:w="90"/>
        <w:gridCol w:w="198"/>
        <w:gridCol w:w="1328"/>
        <w:gridCol w:w="125"/>
        <w:gridCol w:w="90"/>
        <w:gridCol w:w="198"/>
        <w:gridCol w:w="1328"/>
        <w:gridCol w:w="125"/>
        <w:gridCol w:w="90"/>
        <w:gridCol w:w="198"/>
        <w:gridCol w:w="1328"/>
        <w:gridCol w:w="125"/>
        <w:gridCol w:w="90"/>
        <w:gridCol w:w="198"/>
        <w:gridCol w:w="1328"/>
        <w:gridCol w:w="175"/>
      </w:tblGrid>
      <w:tr>
        <w:trPr/>
        <w:tc>
          <w:tcPr>
            <w:tcW w:w="31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175" w:type="dxa"/>
            <w:tcBorders/>
            <w:vAlign w:val="center"/>
          </w:tcPr>
          <w:p>
            <w:pPr>
              <w:pStyle w:val="TableContents"/>
              <w:bidi w:val="0"/>
              <w:spacing w:before="0" w:after="283"/>
              <w:jc w:val="left"/>
              <w:rPr/>
            </w:pPr>
            <w:r>
              <w:rPr/>
              <w:t> </w:t>
            </w:r>
          </w:p>
        </w:tc>
      </w:tr>
      <w:tr>
        <w:trPr/>
        <w:tc>
          <w:tcPr>
            <w:tcW w:w="31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28,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29, </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28,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29, </w:t>
              <w:br/>
              <w:t>2024</w:t>
            </w:r>
          </w:p>
        </w:tc>
        <w:tc>
          <w:tcPr>
            <w:tcW w:w="175" w:type="dxa"/>
            <w:tcBorders/>
            <w:vAlign w:val="center"/>
          </w:tcPr>
          <w:p>
            <w:pPr>
              <w:pStyle w:val="TableContents"/>
              <w:bidi w:val="0"/>
              <w:spacing w:before="0" w:after="283"/>
              <w:jc w:val="left"/>
              <w:rPr/>
            </w:pPr>
            <w:r>
              <w:rPr/>
              <w:t> </w:t>
            </w:r>
          </w:p>
        </w:tc>
      </w:tr>
      <w:tr>
        <w:trPr/>
        <w:tc>
          <w:tcPr>
            <w:tcW w:w="31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center"/>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center"/>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3191" w:type="dxa"/>
            <w:tcBorders/>
            <w:vAlign w:val="center"/>
          </w:tcPr>
          <w:p>
            <w:pPr>
              <w:pStyle w:val="TableContents"/>
              <w:bidi w:val="0"/>
              <w:spacing w:before="0" w:after="283"/>
              <w:jc w:val="left"/>
              <w:rPr>
                <w:b/>
              </w:rPr>
            </w:pPr>
            <w:r>
              <w:rPr>
                <w:b/>
              </w:rPr>
              <w:t>Numerator:</w:t>
            </w:r>
          </w:p>
        </w:tc>
        <w:tc>
          <w:tcPr>
            <w:tcW w:w="9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3191"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(12,590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(77,958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(35,115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(101,433</w:t>
            </w:r>
          </w:p>
        </w:tc>
        <w:tc>
          <w:tcPr>
            <w:tcW w:w="175" w:type="dxa"/>
            <w:tcBorders/>
            <w:shd w:fill="CCEEFF" w:val="clear"/>
            <w:vAlign w:val="center"/>
          </w:tcPr>
          <w:p>
            <w:pPr>
              <w:pStyle w:val="TableContents"/>
              <w:bidi w:val="0"/>
              <w:spacing w:before="0" w:after="283"/>
              <w:jc w:val="left"/>
              <w:rPr/>
            </w:pPr>
            <w:r>
              <w:rPr/>
              <w:t>)</w:t>
            </w:r>
          </w:p>
        </w:tc>
      </w:tr>
      <w:tr>
        <w:trPr/>
        <w:tc>
          <w:tcPr>
            <w:tcW w:w="3191" w:type="dxa"/>
            <w:tcBorders/>
            <w:vAlign w:val="center"/>
          </w:tcPr>
          <w:p>
            <w:pPr>
              <w:pStyle w:val="TableContents"/>
              <w:bidi w:val="0"/>
              <w:spacing w:before="0" w:after="283"/>
              <w:jc w:val="left"/>
              <w:rPr/>
            </w:pPr>
            <w:r>
              <w:rPr/>
              <w:t>Net loss from discontinued operations</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175" w:type="dxa"/>
            <w:tcBorders/>
            <w:vAlign w:val="center"/>
          </w:tcPr>
          <w:p>
            <w:pPr>
              <w:pStyle w:val="TableContents"/>
              <w:bidi w:val="0"/>
              <w:spacing w:before="0" w:after="283"/>
              <w:jc w:val="left"/>
              <w:rPr/>
            </w:pPr>
            <w:r>
              <w:rPr/>
              <w:t>)</w:t>
            </w:r>
          </w:p>
        </w:tc>
      </w:tr>
      <w:tr>
        <w:trPr/>
        <w:tc>
          <w:tcPr>
            <w:tcW w:w="319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(13,690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(77,958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(36,215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(103,440</w:t>
            </w:r>
          </w:p>
        </w:tc>
        <w:tc>
          <w:tcPr>
            <w:tcW w:w="175" w:type="dxa"/>
            <w:tcBorders/>
            <w:shd w:fill="CCEEFF" w:val="clear"/>
            <w:vAlign w:val="center"/>
          </w:tcPr>
          <w:p>
            <w:pPr>
              <w:pStyle w:val="TableContents"/>
              <w:bidi w:val="0"/>
              <w:spacing w:before="0" w:after="283"/>
              <w:jc w:val="left"/>
              <w:rPr/>
            </w:pPr>
            <w:r>
              <w:rPr/>
              <w:t>)</w:t>
            </w:r>
          </w:p>
        </w:tc>
      </w:tr>
      <w:tr>
        <w:trPr/>
        <w:tc>
          <w:tcPr>
            <w:tcW w:w="3191" w:type="dxa"/>
            <w:tcBorders/>
            <w:vAlign w:val="center"/>
          </w:tcPr>
          <w:p>
            <w:pPr>
              <w:pStyle w:val="TableContents"/>
              <w:bidi w:val="0"/>
              <w:spacing w:before="0" w:after="283"/>
              <w:jc w:val="left"/>
              <w:rPr>
                <w:b/>
              </w:rPr>
            </w:pPr>
            <w:r>
              <w:rPr>
                <w:b/>
              </w:rPr>
              <w:t>Denominator:</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ind w:left="0" w:right="0" w:hanging="180"/>
              <w:jc w:val="left"/>
              <w:rPr/>
            </w:pPr>
            <w:r>
              <w:rPr/>
              <w:t> </w:t>
            </w:r>
          </w:p>
        </w:tc>
      </w:tr>
      <w:tr>
        <w:trPr/>
        <w:tc>
          <w:tcPr>
            <w:tcW w:w="3191" w:type="dxa"/>
            <w:tcBorders/>
            <w:shd w:fill="CCEEFF" w:val="clear"/>
            <w:vAlign w:val="center"/>
          </w:tcPr>
          <w:p>
            <w:pPr>
              <w:pStyle w:val="TableContents"/>
              <w:bidi w:val="0"/>
              <w:spacing w:before="0" w:after="283"/>
              <w:jc w:val="left"/>
              <w:rPr/>
            </w:pPr>
            <w:r>
              <w:rPr/>
              <w:t>Weighted average common shares outstanding, basic and diluted</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84,593,644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75,348,627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81,993,090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61,868,747</w:t>
            </w:r>
          </w:p>
        </w:tc>
        <w:tc>
          <w:tcPr>
            <w:tcW w:w="175" w:type="dxa"/>
            <w:tcBorders/>
            <w:shd w:fill="CCEEFF" w:val="clear"/>
            <w:vAlign w:val="center"/>
          </w:tcPr>
          <w:p>
            <w:pPr>
              <w:pStyle w:val="TableContents"/>
              <w:bidi w:val="0"/>
              <w:spacing w:before="0" w:after="283"/>
              <w:jc w:val="left"/>
              <w:rPr/>
            </w:pPr>
            <w:r>
              <w:rPr/>
              <w:t> </w:t>
            </w:r>
          </w:p>
        </w:tc>
      </w:tr>
      <w:tr>
        <w:trPr/>
        <w:tc>
          <w:tcPr>
            <w:tcW w:w="3191" w:type="dxa"/>
            <w:tcBorders/>
            <w:vAlign w:val="center"/>
          </w:tcPr>
          <w:p>
            <w:pPr>
              <w:pStyle w:val="TableContents"/>
              <w:bidi w:val="0"/>
              <w:spacing w:before="0" w:after="283"/>
              <w:jc w:val="left"/>
              <w:rPr>
                <w:b/>
              </w:rPr>
            </w:pPr>
            <w:r>
              <w:rPr>
                <w:b/>
              </w:rPr>
              <w:t>Net loss per share, basic and diluted:</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r>
        <w:trPr/>
        <w:tc>
          <w:tcPr>
            <w:tcW w:w="3191"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(0.15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(1.03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(0.43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328" w:type="dxa"/>
            <w:tcBorders/>
            <w:shd w:fill="CCEEFF" w:val="clear"/>
            <w:vAlign w:val="center"/>
          </w:tcPr>
          <w:p>
            <w:pPr>
              <w:pStyle w:val="TableContents"/>
              <w:bidi w:val="0"/>
              <w:spacing w:before="0" w:after="283"/>
              <w:jc w:val="right"/>
              <w:rPr/>
            </w:pPr>
            <w:r>
              <w:rPr/>
              <w:t>(1.64</w:t>
            </w:r>
          </w:p>
        </w:tc>
        <w:tc>
          <w:tcPr>
            <w:tcW w:w="175" w:type="dxa"/>
            <w:tcBorders/>
            <w:shd w:fill="CCEEFF" w:val="clear"/>
            <w:vAlign w:val="center"/>
          </w:tcPr>
          <w:p>
            <w:pPr>
              <w:pStyle w:val="TableContents"/>
              <w:bidi w:val="0"/>
              <w:spacing w:before="0" w:after="283"/>
              <w:jc w:val="left"/>
              <w:rPr/>
            </w:pPr>
            <w:r>
              <w:rPr/>
              <w:t>)</w:t>
            </w:r>
          </w:p>
        </w:tc>
      </w:tr>
      <w:tr>
        <w:trPr/>
        <w:tc>
          <w:tcPr>
            <w:tcW w:w="3191" w:type="dxa"/>
            <w:tcBorders/>
            <w:vAlign w:val="center"/>
          </w:tcPr>
          <w:p>
            <w:pPr>
              <w:pStyle w:val="TableContents"/>
              <w:bidi w:val="0"/>
              <w:spacing w:before="0" w:after="283"/>
              <w:jc w:val="left"/>
              <w:rPr/>
            </w:pPr>
            <w:r>
              <w:rPr/>
              <w:t>Discontinued operations</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tcMar>
              <w:bottom w:w="28" w:type="dxa"/>
            </w:tcMar>
            <w:vAlign w:val="center"/>
          </w:tcPr>
          <w:p>
            <w:pPr>
              <w:pStyle w:val="TableContents"/>
              <w:bidi w:val="0"/>
              <w:spacing w:before="0" w:after="283"/>
              <w:jc w:val="right"/>
              <w:rPr/>
            </w:pPr>
            <w:r>
              <w:rPr/>
              <w:t>(0.03</w:t>
            </w:r>
          </w:p>
        </w:tc>
        <w:tc>
          <w:tcPr>
            <w:tcW w:w="175" w:type="dxa"/>
            <w:tcBorders/>
            <w:vAlign w:val="center"/>
          </w:tcPr>
          <w:p>
            <w:pPr>
              <w:pStyle w:val="TableContents"/>
              <w:bidi w:val="0"/>
              <w:spacing w:before="0" w:after="283"/>
              <w:jc w:val="left"/>
              <w:rPr/>
            </w:pPr>
            <w:r>
              <w:rPr/>
              <w:t>)</w:t>
            </w:r>
          </w:p>
        </w:tc>
      </w:tr>
      <w:tr>
        <w:trPr/>
        <w:tc>
          <w:tcPr>
            <w:tcW w:w="319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(0.16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(1.03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(0.44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CCEEFF" w:val="clear"/>
            <w:tcMar>
              <w:bottom w:w="28" w:type="dxa"/>
            </w:tcMar>
            <w:vAlign w:val="center"/>
          </w:tcPr>
          <w:p>
            <w:pPr>
              <w:pStyle w:val="TableContents"/>
              <w:bidi w:val="0"/>
              <w:spacing w:before="0" w:after="283"/>
              <w:jc w:val="right"/>
              <w:rPr/>
            </w:pPr>
            <w:r>
              <w:rPr/>
              <w:t>(1.67</w:t>
            </w:r>
          </w:p>
        </w:tc>
        <w:tc>
          <w:tcPr>
            <w:tcW w:w="17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net loss per share attributable to common stockholders is inclusive of warrants with an insignificant exercise price. The Company’s calculation of the weighted average shares outstanding is inclusive of 234,610 warrants with an insignificant exercise price (which assumes that the warrants were outstanding as of the beginning of the period or the date of the grant, whichever is earlier) for each of the thirteen and thirty-nine week periods ended September 28, 2025, respectively. The computation of diluted net loss per share attributable to common stockholders is the same for the thirteen and thirty-nine week periods ended September 28, 2025 and September 29, 2024 because the inclusion of potential shares of common stock would have been anti-dilutive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75"/>
        <w:gridCol w:w="90"/>
        <w:gridCol w:w="102"/>
        <w:gridCol w:w="1424"/>
        <w:gridCol w:w="90"/>
        <w:gridCol w:w="90"/>
        <w:gridCol w:w="102"/>
        <w:gridCol w:w="1424"/>
        <w:gridCol w:w="90"/>
        <w:gridCol w:w="90"/>
        <w:gridCol w:w="111"/>
        <w:gridCol w:w="1394"/>
        <w:gridCol w:w="90"/>
        <w:gridCol w:w="90"/>
        <w:gridCol w:w="101"/>
        <w:gridCol w:w="1404"/>
        <w:gridCol w:w="138"/>
      </w:tblGrid>
      <w:tr>
        <w:trPr/>
        <w:tc>
          <w:tcPr>
            <w:tcW w:w="33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138" w:type="dxa"/>
            <w:tcBorders/>
            <w:vAlign w:val="center"/>
          </w:tcPr>
          <w:p>
            <w:pPr>
              <w:pStyle w:val="TableContents"/>
              <w:bidi w:val="0"/>
              <w:spacing w:before="0" w:after="283"/>
              <w:jc w:val="left"/>
              <w:rPr/>
            </w:pPr>
            <w:r>
              <w:rPr/>
              <w:t> </w:t>
            </w:r>
          </w:p>
        </w:tc>
      </w:tr>
      <w:tr>
        <w:trPr/>
        <w:tc>
          <w:tcPr>
            <w:tcW w:w="33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28,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29,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138" w:type="dxa"/>
            <w:tcBorders/>
            <w:vAlign w:val="center"/>
          </w:tcPr>
          <w:p>
            <w:pPr>
              <w:pStyle w:val="TableContents"/>
              <w:bidi w:val="0"/>
              <w:spacing w:before="0" w:after="283"/>
              <w:jc w:val="left"/>
              <w:rPr/>
            </w:pPr>
            <w:r>
              <w:rPr/>
              <w:t> </w:t>
            </w:r>
          </w:p>
        </w:tc>
      </w:tr>
      <w:tr>
        <w:trPr/>
        <w:tc>
          <w:tcPr>
            <w:tcW w:w="3375" w:type="dxa"/>
            <w:tcBorders/>
            <w:shd w:fill="CCEEFF" w:val="clear"/>
            <w:vAlign w:val="center"/>
          </w:tcPr>
          <w:p>
            <w:pPr>
              <w:pStyle w:val="TableContents"/>
              <w:bidi w:val="0"/>
              <w:spacing w:before="0" w:after="283"/>
              <w:jc w:val="left"/>
              <w:rPr/>
            </w:pPr>
            <w:r>
              <w:rPr/>
              <w:t>Common stock warrants</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193,740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31,670,265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197,578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31,670,265</w:t>
            </w:r>
          </w:p>
        </w:tc>
        <w:tc>
          <w:tcPr>
            <w:tcW w:w="138" w:type="dxa"/>
            <w:tcBorders/>
            <w:shd w:fill="CCEEFF" w:val="clear"/>
            <w:vAlign w:val="center"/>
          </w:tcPr>
          <w:p>
            <w:pPr>
              <w:pStyle w:val="TableContents"/>
              <w:bidi w:val="0"/>
              <w:spacing w:before="0" w:after="283"/>
              <w:jc w:val="left"/>
              <w:rPr/>
            </w:pPr>
            <w:r>
              <w:rPr/>
              <w:t> </w:t>
            </w:r>
          </w:p>
        </w:tc>
      </w:tr>
      <w:tr>
        <w:trPr/>
        <w:tc>
          <w:tcPr>
            <w:tcW w:w="3375" w:type="dxa"/>
            <w:tcBorders/>
            <w:vAlign w:val="center"/>
          </w:tcPr>
          <w:p>
            <w:pPr>
              <w:pStyle w:val="TableContents"/>
              <w:bidi w:val="0"/>
              <w:spacing w:before="0" w:after="283"/>
              <w:jc w:val="left"/>
              <w:rPr/>
            </w:pPr>
            <w:r>
              <w:rPr/>
              <w:t>Stock options and RSUs issued and outstanding</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t>15,338,613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t>14,170,385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9,850,548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14,170,385</w:t>
            </w:r>
          </w:p>
        </w:tc>
        <w:tc>
          <w:tcPr>
            <w:tcW w:w="138" w:type="dxa"/>
            <w:tcBorders/>
            <w:vAlign w:val="center"/>
          </w:tcPr>
          <w:p>
            <w:pPr>
              <w:pStyle w:val="TableContents"/>
              <w:bidi w:val="0"/>
              <w:spacing w:before="0" w:after="283"/>
              <w:jc w:val="left"/>
              <w:rPr/>
            </w:pPr>
            <w:r>
              <w:rPr/>
              <w:t> </w:t>
            </w:r>
          </w:p>
        </w:tc>
      </w:tr>
      <w:tr>
        <w:trPr/>
        <w:tc>
          <w:tcPr>
            <w:tcW w:w="3375" w:type="dxa"/>
            <w:tcBorders/>
            <w:shd w:fill="CCEEFF" w:val="clear"/>
            <w:vAlign w:val="center"/>
          </w:tcPr>
          <w:p>
            <w:pPr>
              <w:pStyle w:val="TableContents"/>
              <w:bidi w:val="0"/>
              <w:spacing w:before="0" w:after="283"/>
              <w:jc w:val="left"/>
              <w:rPr/>
            </w:pPr>
            <w:r>
              <w:rPr/>
              <w:t>Convertible notes</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77,821,528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58,579,636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77,821,528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58,579,636</w:t>
            </w:r>
          </w:p>
        </w:tc>
        <w:tc>
          <w:tcPr>
            <w:tcW w:w="138" w:type="dxa"/>
            <w:tcBorders/>
            <w:shd w:fill="CCEEFF" w:val="clear"/>
            <w:vAlign w:val="center"/>
          </w:tcPr>
          <w:p>
            <w:pPr>
              <w:pStyle w:val="TableContents"/>
              <w:bidi w:val="0"/>
              <w:spacing w:before="0" w:after="283"/>
              <w:jc w:val="left"/>
              <w:rPr/>
            </w:pPr>
            <w:r>
              <w:rPr/>
              <w:t> </w:t>
            </w:r>
          </w:p>
        </w:tc>
      </w:tr>
      <w:tr>
        <w:trPr/>
        <w:tc>
          <w:tcPr>
            <w:tcW w:w="3375" w:type="dxa"/>
            <w:tcBorders/>
            <w:vAlign w:val="center"/>
          </w:tcPr>
          <w:p>
            <w:pPr>
              <w:pStyle w:val="TableContents"/>
              <w:bidi w:val="0"/>
              <w:spacing w:before="0" w:after="283"/>
              <w:jc w:val="left"/>
              <w:rPr/>
            </w:pPr>
            <w:r>
              <w:rPr/>
              <w:t>Third SAFE Agreement</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t>2,750,000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2,750,000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r>
      <w:tr>
        <w:trPr/>
        <w:tc>
          <w:tcPr>
            <w:tcW w:w="3375" w:type="dxa"/>
            <w:tcBorders/>
            <w:shd w:fill="CCEEFF" w:val="clear"/>
            <w:vAlign w:val="center"/>
          </w:tcPr>
          <w:p>
            <w:pPr>
              <w:pStyle w:val="TableContents"/>
              <w:bidi w:val="0"/>
              <w:spacing w:before="0" w:after="283"/>
              <w:jc w:val="left"/>
              <w:rPr/>
            </w:pPr>
            <w:r>
              <w:rPr/>
              <w:t>Deferred consideration shares</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CCEEFF" w:val="clear"/>
            <w:tcMar>
              <w:bottom w:w="28" w:type="dxa"/>
            </w:tcMar>
            <w:vAlign w:val="center"/>
          </w:tcPr>
          <w:p>
            <w:pPr>
              <w:pStyle w:val="TableContents"/>
              <w:bidi w:val="0"/>
              <w:spacing w:before="0" w:after="283"/>
              <w:jc w:val="right"/>
              <w:rPr/>
            </w:pPr>
            <w:r>
              <w:rPr/>
              <w:t>6,666,666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12" w:space="0" w:color="000000"/>
            </w:tcBorders>
            <w:shd w:fill="CCEEFF" w:val="clear"/>
            <w:tcMar>
              <w:bottom w:w="28" w:type="dxa"/>
            </w:tcMar>
            <w:vAlign w:val="center"/>
          </w:tcPr>
          <w:p>
            <w:pPr>
              <w:pStyle w:val="TableContents"/>
              <w:bidi w:val="0"/>
              <w:spacing w:before="0" w:after="283"/>
              <w:jc w:val="right"/>
              <w:rPr/>
            </w:pPr>
            <w:r>
              <w:rPr/>
              <w:t>6,666,666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ind w:left="0" w:right="0" w:hanging="180"/>
              <w:jc w:val="left"/>
              <w:rPr/>
            </w:pPr>
            <w:r>
              <w:rPr/>
              <w:t> </w:t>
            </w:r>
          </w:p>
        </w:tc>
      </w:tr>
      <w:tr>
        <w:trPr/>
        <w:tc>
          <w:tcPr>
            <w:tcW w:w="3375" w:type="dxa"/>
            <w:tcBorders/>
            <w:vAlign w:val="center"/>
          </w:tcPr>
          <w:p>
            <w:pPr>
              <w:pStyle w:val="TableContents"/>
              <w:bidi w:val="0"/>
              <w:spacing w:before="0" w:after="283"/>
              <w:jc w:val="left"/>
              <w:rPr/>
            </w:pPr>
            <w:r>
              <w:rPr/>
              <w:t>Total potential common shares excluded from diluted net loss per share</w:t>
            </w:r>
          </w:p>
        </w:tc>
        <w:tc>
          <w:tcPr>
            <w:tcW w:w="90" w:type="dxa"/>
            <w:tcBorders/>
            <w:vAlign w:val="center"/>
          </w:tcPr>
          <w:p>
            <w:pPr>
              <w:pStyle w:val="TableContents"/>
              <w:bidi w:val="0"/>
              <w:spacing w:before="0" w:after="283"/>
              <w:jc w:val="left"/>
              <w:rPr/>
            </w:pPr>
            <w:r>
              <w:rPr/>
              <w:t> </w:t>
            </w:r>
          </w:p>
        </w:tc>
        <w:tc>
          <w:tcPr>
            <w:tcW w:w="102" w:type="dxa"/>
            <w:tcBorders>
              <w:bottom w:val="double" w:sz="10" w:space="0" w:color="000000"/>
            </w:tcBorders>
            <w:tcMar>
              <w:bottom w:w="28" w:type="dxa"/>
            </w:tcMar>
            <w:vAlign w:val="center"/>
          </w:tcPr>
          <w:p>
            <w:pPr>
              <w:pStyle w:val="TableContents"/>
              <w:bidi w:val="0"/>
              <w:spacing w:before="0" w:after="283"/>
              <w:jc w:val="left"/>
              <w:rPr/>
            </w:pPr>
            <w:r>
              <w:rPr/>
              <w:t> </w:t>
            </w:r>
          </w:p>
        </w:tc>
        <w:tc>
          <w:tcPr>
            <w:tcW w:w="1424" w:type="dxa"/>
            <w:tcBorders>
              <w:bottom w:val="double" w:sz="10" w:space="0" w:color="000000"/>
            </w:tcBorders>
            <w:tcMar>
              <w:bottom w:w="28" w:type="dxa"/>
            </w:tcMar>
            <w:vAlign w:val="center"/>
          </w:tcPr>
          <w:p>
            <w:pPr>
              <w:pStyle w:val="TableContents"/>
              <w:bidi w:val="0"/>
              <w:spacing w:before="0" w:after="283"/>
              <w:jc w:val="right"/>
              <w:rPr/>
            </w:pPr>
            <w:r>
              <w:rPr/>
              <w:t>102,770,547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bottom w:val="double" w:sz="10" w:space="0" w:color="000000"/>
            </w:tcBorders>
            <w:tcMar>
              <w:bottom w:w="28" w:type="dxa"/>
            </w:tcMar>
            <w:vAlign w:val="center"/>
          </w:tcPr>
          <w:p>
            <w:pPr>
              <w:pStyle w:val="TableContents"/>
              <w:bidi w:val="0"/>
              <w:spacing w:before="0" w:after="283"/>
              <w:jc w:val="left"/>
              <w:rPr/>
            </w:pPr>
            <w:r>
              <w:rPr/>
              <w:t> </w:t>
            </w:r>
          </w:p>
        </w:tc>
        <w:tc>
          <w:tcPr>
            <w:tcW w:w="1424" w:type="dxa"/>
            <w:tcBorders>
              <w:bottom w:val="double" w:sz="10" w:space="0" w:color="000000"/>
            </w:tcBorders>
            <w:tcMar>
              <w:bottom w:w="28" w:type="dxa"/>
            </w:tcMar>
            <w:vAlign w:val="center"/>
          </w:tcPr>
          <w:p>
            <w:pPr>
              <w:pStyle w:val="TableContents"/>
              <w:bidi w:val="0"/>
              <w:spacing w:before="0" w:after="283"/>
              <w:jc w:val="right"/>
              <w:rPr/>
            </w:pPr>
            <w:r>
              <w:rPr/>
              <w:t>104,420,286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bottom w:val="double" w:sz="10" w:space="0" w:color="000000"/>
            </w:tcBorders>
            <w:tcMar>
              <w:bottom w:w="28" w:type="dxa"/>
            </w:tcMar>
            <w:vAlign w:val="center"/>
          </w:tcPr>
          <w:p>
            <w:pPr>
              <w:pStyle w:val="TableContents"/>
              <w:bidi w:val="0"/>
              <w:spacing w:before="0" w:after="283"/>
              <w:jc w:val="left"/>
              <w:rPr/>
            </w:pPr>
            <w:r>
              <w:rPr/>
              <w:t> </w:t>
            </w:r>
          </w:p>
        </w:tc>
        <w:tc>
          <w:tcPr>
            <w:tcW w:w="1394" w:type="dxa"/>
            <w:tcBorders>
              <w:bottom w:val="double" w:sz="10" w:space="0" w:color="000000"/>
            </w:tcBorders>
            <w:tcMar>
              <w:bottom w:w="28" w:type="dxa"/>
            </w:tcMar>
            <w:vAlign w:val="center"/>
          </w:tcPr>
          <w:p>
            <w:pPr>
              <w:pStyle w:val="TableContents"/>
              <w:bidi w:val="0"/>
              <w:spacing w:before="0" w:after="283"/>
              <w:jc w:val="right"/>
              <w:rPr/>
            </w:pPr>
            <w:r>
              <w:rPr/>
              <w:t>97,286,320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double" w:sz="10" w:space="0" w:color="000000"/>
            </w:tcBorders>
            <w:tcMar>
              <w:bottom w:w="28" w:type="dxa"/>
            </w:tcMar>
            <w:vAlign w:val="center"/>
          </w:tcPr>
          <w:p>
            <w:pPr>
              <w:pStyle w:val="TableContents"/>
              <w:bidi w:val="0"/>
              <w:spacing w:before="0" w:after="283"/>
              <w:jc w:val="left"/>
              <w:rPr/>
            </w:pPr>
            <w:r>
              <w:rPr/>
              <w:t> </w:t>
            </w:r>
          </w:p>
        </w:tc>
        <w:tc>
          <w:tcPr>
            <w:tcW w:w="1404" w:type="dxa"/>
            <w:tcBorders>
              <w:bottom w:val="double" w:sz="10" w:space="0" w:color="000000"/>
            </w:tcBorders>
            <w:tcMar>
              <w:bottom w:w="28" w:type="dxa"/>
            </w:tcMar>
            <w:vAlign w:val="center"/>
          </w:tcPr>
          <w:p>
            <w:pPr>
              <w:pStyle w:val="TableContents"/>
              <w:bidi w:val="0"/>
              <w:spacing w:before="0" w:after="283"/>
              <w:jc w:val="right"/>
              <w:rPr/>
            </w:pPr>
            <w:r>
              <w:rPr/>
              <w:t>104,420,286</w:t>
            </w:r>
          </w:p>
        </w:tc>
        <w:tc>
          <w:tcPr>
            <w:tcW w:w="13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segmented internal income/(loss) prepared on a basis consistent with U.S. GAAP. The measurement criteria is based on their operating revenue and operating income (loss) and excluding any corporate costs which are not allocatable to the operating segments. The CODM’s measurement criteria does not include segment assets. During the periods presented, the Company reported its financial performance through the following three reportable segments; Residential Solar Installation, New Homes Business and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Residential Solar Installation</w:t>
      </w:r>
      <w:r>
        <w:rPr>
          <w:rFonts w:ascii="Times New Roman;Times;Serif" w:hAnsi="Times New Roman;Times;Serif"/>
          <w:b w:val="false"/>
          <w:i w:val="false"/>
          <w:caps w:val="false"/>
          <w:smallCaps w:val="false"/>
          <w:sz w:val="20"/>
        </w:rPr>
        <w:t>. This segment performs solar system, storage and battery installations for residential homeowners.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Homes Business</w:t>
      </w:r>
      <w:r>
        <w:rPr>
          <w:rFonts w:ascii="Times New Roman;Times;Serif" w:hAnsi="Times New Roman;Times;Serif"/>
          <w:b w:val="false"/>
          <w:i w:val="false"/>
          <w:caps w:val="false"/>
          <w:smallCaps w:val="false"/>
          <w:sz w:val="20"/>
        </w:rPr>
        <w:t>. This segment is new, as a result of the SunPower Acquisition which occurred in the fourth quarter of fiscal 2024. The Company developed a method to allocate direct expenses for the respective reportable segments. This segment performs solar system installations for new home builders.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Dealer</w:t>
      </w:r>
      <w:r>
        <w:rPr>
          <w:rFonts w:ascii="Times New Roman;Times;Serif" w:hAnsi="Times New Roman;Times;Serif"/>
          <w:b w:val="false"/>
          <w:i w:val="false"/>
          <w:caps w:val="false"/>
          <w:smallCaps w:val="false"/>
          <w:sz w:val="20"/>
        </w:rPr>
        <w:t>. This segment is new beginning in fiscal year 2025, as a result of the Sunder Acquisition which occurred late in the third quarter of fiscal 2025. This segment’s principal activity is a solar energy sales force to initiate and execute contracts with customers throughout the United States.</w:t>
      </w:r>
    </w:p>
    <w:p>
      <w:pPr>
        <w:pStyle w:val="TextBody"/>
        <w:bidi w:val="0"/>
        <w:spacing w:before="0" w:after="0"/>
        <w:ind w:left="0" w:right="0" w:hanging="0"/>
        <w:jc w:val="both"/>
        <w:rPr>
          <w:caps w:val="false"/>
          <w:smallCaps w:val="false"/>
        </w:rPr>
      </w:pPr>
      <w:r>
        <w:rPr>
          <w:caps w:val="false"/>
          <w:smallCaps w:val="false"/>
        </w:rPr>
        <w:t> </w:t>
      </w:r>
    </w:p>
    <w:tbl>
      <w:tblPr>
        <w:tblW w:w="10710" w:type="dxa"/>
        <w:jc w:val="left"/>
        <w:tblInd w:w="0" w:type="dxa"/>
        <w:tblLayout w:type="fixed"/>
        <w:tblCellMar>
          <w:top w:w="0" w:type="dxa"/>
          <w:left w:w="0" w:type="dxa"/>
          <w:bottom w:w="0" w:type="dxa"/>
          <w:right w:w="0" w:type="dxa"/>
        </w:tblCellMar>
      </w:tblPr>
      <w:tblGrid>
        <w:gridCol w:w="1505"/>
        <w:gridCol w:w="90"/>
        <w:gridCol w:w="229"/>
        <w:gridCol w:w="961"/>
        <w:gridCol w:w="125"/>
        <w:gridCol w:w="90"/>
        <w:gridCol w:w="177"/>
        <w:gridCol w:w="743"/>
        <w:gridCol w:w="90"/>
        <w:gridCol w:w="90"/>
        <w:gridCol w:w="130"/>
        <w:gridCol w:w="595"/>
        <w:gridCol w:w="90"/>
        <w:gridCol w:w="90"/>
        <w:gridCol w:w="170"/>
        <w:gridCol w:w="785"/>
        <w:gridCol w:w="125"/>
        <w:gridCol w:w="90"/>
        <w:gridCol w:w="211"/>
        <w:gridCol w:w="979"/>
        <w:gridCol w:w="125"/>
        <w:gridCol w:w="90"/>
        <w:gridCol w:w="340"/>
        <w:gridCol w:w="580"/>
        <w:gridCol w:w="90"/>
        <w:gridCol w:w="90"/>
        <w:gridCol w:w="267"/>
        <w:gridCol w:w="458"/>
        <w:gridCol w:w="90"/>
        <w:gridCol w:w="90"/>
        <w:gridCol w:w="170"/>
        <w:gridCol w:w="785"/>
        <w:gridCol w:w="170"/>
      </w:tblGrid>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45"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7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6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28,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6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29, 2024</w:t>
            </w:r>
          </w:p>
        </w:tc>
        <w:tc>
          <w:tcPr>
            <w:tcW w:w="170" w:type="dxa"/>
            <w:tcBorders/>
            <w:vAlign w:val="center"/>
          </w:tcPr>
          <w:p>
            <w:pPr>
              <w:pStyle w:val="TableContents"/>
              <w:bidi w:val="0"/>
              <w:spacing w:before="0" w:after="283"/>
              <w:jc w:val="left"/>
              <w:rPr/>
            </w:pPr>
            <w:r>
              <w:rPr/>
              <w:t> </w:t>
            </w:r>
          </w:p>
        </w:tc>
      </w:tr>
      <w:tr>
        <w:trPr/>
        <w:tc>
          <w:tcPr>
            <w:tcW w:w="1505"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65" w:type="dxa"/>
            <w:gridSpan w:val="14"/>
            <w:tcBorders/>
            <w:vAlign w:val="center"/>
          </w:tcPr>
          <w:p>
            <w:pPr>
              <w:pStyle w:val="TableContents"/>
              <w:bidi w:val="0"/>
              <w:spacing w:before="0" w:after="283"/>
              <w:jc w:val="center"/>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505"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35,179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28,502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806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64,487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5,536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5,536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505"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8,693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505"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7,479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636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7,270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505"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4,171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1,648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1,093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11,449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bidi w:val="0"/>
              <w:spacing w:before="0" w:after="283"/>
              <w:jc w:val="right"/>
              <w:rPr/>
            </w:pPr>
            <w:r>
              <w:rPr/>
              <w:t>8,214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18,450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505" w:type="dxa"/>
            <w:tcBorders/>
            <w:vAlign w:val="center"/>
          </w:tcPr>
          <w:p>
            <w:pPr>
              <w:pStyle w:val="TableContents"/>
              <w:bidi w:val="0"/>
              <w:spacing w:before="0" w:after="283"/>
              <w:jc w:val="left"/>
              <w:rPr/>
            </w:pPr>
            <w:r>
              <w:rPr/>
              <w:t>Operating (loss) income from continuing operations</w:t>
            </w:r>
          </w:p>
        </w:tc>
        <w:tc>
          <w:tcPr>
            <w:tcW w:w="90"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tcMar>
              <w:bottom w:w="28" w:type="dxa"/>
            </w:tcMar>
            <w:vAlign w:val="center"/>
          </w:tcPr>
          <w:p>
            <w:pPr>
              <w:pStyle w:val="TableContents"/>
              <w:bidi w:val="0"/>
              <w:spacing w:before="0" w:after="283"/>
              <w:jc w:val="right"/>
              <w:rPr/>
            </w:pPr>
            <w:r>
              <w:rPr/>
              <w:t>(8,915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tcMar>
              <w:bottom w:w="28" w:type="dxa"/>
            </w:tcMar>
            <w:vAlign w:val="center"/>
          </w:tcPr>
          <w:p>
            <w:pPr>
              <w:pStyle w:val="TableContents"/>
              <w:bidi w:val="0"/>
              <w:spacing w:before="0" w:after="283"/>
              <w:jc w:val="right"/>
              <w:rPr/>
            </w:pPr>
            <w:r>
              <w:rPr/>
              <w:t>7,149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5" w:type="dxa"/>
            <w:tcBorders>
              <w:bottom w:val="single" w:sz="12" w:space="0" w:color="000000"/>
            </w:tcBorders>
            <w:tcMar>
              <w:bottom w:w="28" w:type="dxa"/>
            </w:tcMar>
            <w:vAlign w:val="center"/>
          </w:tcPr>
          <w:p>
            <w:pPr>
              <w:pStyle w:val="TableContents"/>
              <w:bidi w:val="0"/>
              <w:spacing w:before="0" w:after="283"/>
              <w:jc w:val="right"/>
              <w:rPr/>
            </w:pPr>
            <w:r>
              <w:rPr/>
              <w:t>170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(1,596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tcMar>
              <w:bottom w:w="28" w:type="dxa"/>
            </w:tcMar>
            <w:vAlign w:val="center"/>
          </w:tcPr>
          <w:p>
            <w:pPr>
              <w:pStyle w:val="TableContents"/>
              <w:bidi w:val="0"/>
              <w:spacing w:before="0" w:after="283"/>
              <w:jc w:val="right"/>
              <w:rPr/>
            </w:pPr>
            <w:r>
              <w:rPr/>
              <w:t>(29,970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45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(29,970</w:t>
            </w:r>
          </w:p>
        </w:tc>
        <w:tc>
          <w:tcPr>
            <w:tcW w:w="170" w:type="dxa"/>
            <w:tcBorders/>
            <w:vAlign w:val="center"/>
          </w:tcPr>
          <w:p>
            <w:pPr>
              <w:pStyle w:val="TableContents"/>
              <w:bidi w:val="0"/>
              <w:spacing w:before="0" w:after="283"/>
              <w:ind w:left="0" w:right="0" w:hanging="180"/>
              <w:jc w:val="left"/>
              <w:rPr/>
            </w:pPr>
            <w:r>
              <w:rPr/>
              <w:t>)</w:t>
            </w:r>
          </w:p>
        </w:tc>
      </w:tr>
      <w:tr>
        <w:trPr/>
        <w:tc>
          <w:tcPr>
            <w:tcW w:w="1505" w:type="dxa"/>
            <w:tcBorders/>
            <w:shd w:fill="CCEEFF" w:val="clear"/>
            <w:vAlign w:val="center"/>
          </w:tcPr>
          <w:p>
            <w:pPr>
              <w:pStyle w:val="TableContents"/>
              <w:bidi w:val="0"/>
              <w:spacing w:before="0" w:after="283"/>
              <w:jc w:val="left"/>
              <w:rPr>
                <w:i/>
              </w:rPr>
            </w:pPr>
            <w:r>
              <w:rPr>
                <w:i/>
              </w:rPr>
              <w:t>Reconciliation of segment (loss) income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505" w:type="dxa"/>
            <w:tcBorders/>
            <w:vAlign w:val="center"/>
          </w:tcPr>
          <w:p>
            <w:pPr>
              <w:pStyle w:val="TableContents"/>
              <w:bidi w:val="0"/>
              <w:spacing w:before="0" w:after="283"/>
              <w:jc w:val="left"/>
              <w:rPr/>
            </w:pPr>
            <w:r>
              <w:rPr/>
              <w:t>Unallocated amounts:</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50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(6,738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(2,338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50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86</w:t>
            </w:r>
          </w:p>
        </w:tc>
        <w:tc>
          <w:tcPr>
            <w:tcW w:w="170" w:type="dxa"/>
            <w:tcBorders/>
            <w:vAlign w:val="center"/>
          </w:tcPr>
          <w:p>
            <w:pPr>
              <w:pStyle w:val="TableContents"/>
              <w:bidi w:val="0"/>
              <w:spacing w:before="0" w:after="283"/>
              <w:ind w:left="0" w:right="0" w:hanging="180"/>
              <w:jc w:val="left"/>
              <w:rPr/>
            </w:pPr>
            <w:r>
              <w:rPr/>
              <w:t> </w:t>
            </w:r>
          </w:p>
        </w:tc>
      </w:tr>
      <w:tr>
        <w:trPr/>
        <w:tc>
          <w:tcPr>
            <w:tcW w:w="1505"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(4,256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(65,684</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505" w:type="dxa"/>
            <w:tcBorders/>
            <w:vAlign w:val="center"/>
          </w:tcPr>
          <w:p>
            <w:pPr>
              <w:pStyle w:val="TableContents"/>
              <w:bidi w:val="0"/>
              <w:spacing w:before="0" w:after="283"/>
              <w:jc w:val="left"/>
              <w:rPr/>
            </w:pPr>
            <w:r>
              <w:rPr/>
              <w:t>Gain on extinguishment of debt</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19,948</w:t>
            </w:r>
          </w:p>
        </w:tc>
        <w:tc>
          <w:tcPr>
            <w:tcW w:w="170" w:type="dxa"/>
            <w:tcBorders/>
            <w:vAlign w:val="center"/>
          </w:tcPr>
          <w:p>
            <w:pPr>
              <w:pStyle w:val="TableContents"/>
              <w:bidi w:val="0"/>
              <w:spacing w:before="0" w:after="283"/>
              <w:ind w:left="0" w:right="0" w:hanging="180"/>
              <w:jc w:val="left"/>
              <w:rPr/>
            </w:pPr>
            <w:r>
              <w:rPr/>
              <w:t> </w:t>
            </w:r>
          </w:p>
        </w:tc>
      </w:tr>
      <w:tr>
        <w:trPr/>
        <w:tc>
          <w:tcPr>
            <w:tcW w:w="1505"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(12,590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(77,958</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thirteen weeks ended September 28, 2025, depreciation and amortization expense was $0.4 million for the Residential Solar Installation reportable segment.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7"/>
        <w:gridCol w:w="9920"/>
      </w:tblGrid>
      <w:tr>
        <w:trPr/>
        <w:tc>
          <w:tcPr>
            <w:tcW w:w="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thirteen weeks ended September 28, 2025, depreciation and amortization expense was $0.6 million and $0.3 million for the Residential Solar Installation and New Homes Business reportable segments, respectively. For the thirteen weeks ended September 29, 2024, depreciation and amortization expense was $0.3 million for the Residential Solar Installation reportable segment.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875" w:type="dxa"/>
        <w:jc w:val="left"/>
        <w:tblInd w:w="0" w:type="dxa"/>
        <w:tblLayout w:type="fixed"/>
        <w:tblCellMar>
          <w:top w:w="0" w:type="dxa"/>
          <w:left w:w="0" w:type="dxa"/>
          <w:bottom w:w="0" w:type="dxa"/>
          <w:right w:w="0" w:type="dxa"/>
        </w:tblCellMar>
      </w:tblPr>
      <w:tblGrid>
        <w:gridCol w:w="1505"/>
        <w:gridCol w:w="90"/>
        <w:gridCol w:w="202"/>
        <w:gridCol w:w="988"/>
        <w:gridCol w:w="125"/>
        <w:gridCol w:w="90"/>
        <w:gridCol w:w="177"/>
        <w:gridCol w:w="743"/>
        <w:gridCol w:w="90"/>
        <w:gridCol w:w="90"/>
        <w:gridCol w:w="130"/>
        <w:gridCol w:w="595"/>
        <w:gridCol w:w="90"/>
        <w:gridCol w:w="90"/>
        <w:gridCol w:w="170"/>
        <w:gridCol w:w="830"/>
        <w:gridCol w:w="125"/>
        <w:gridCol w:w="90"/>
        <w:gridCol w:w="211"/>
        <w:gridCol w:w="979"/>
        <w:gridCol w:w="125"/>
        <w:gridCol w:w="90"/>
        <w:gridCol w:w="340"/>
        <w:gridCol w:w="580"/>
        <w:gridCol w:w="90"/>
        <w:gridCol w:w="90"/>
        <w:gridCol w:w="267"/>
        <w:gridCol w:w="458"/>
        <w:gridCol w:w="90"/>
        <w:gridCol w:w="90"/>
        <w:gridCol w:w="170"/>
        <w:gridCol w:w="905"/>
        <w:gridCol w:w="170"/>
      </w:tblGrid>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10"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17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28,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29, 2024</w:t>
            </w:r>
          </w:p>
        </w:tc>
        <w:tc>
          <w:tcPr>
            <w:tcW w:w="170" w:type="dxa"/>
            <w:tcBorders/>
            <w:vAlign w:val="center"/>
          </w:tcPr>
          <w:p>
            <w:pPr>
              <w:pStyle w:val="TableContents"/>
              <w:bidi w:val="0"/>
              <w:spacing w:before="0" w:after="283"/>
              <w:jc w:val="left"/>
              <w:rPr/>
            </w:pPr>
            <w:r>
              <w:rPr/>
              <w:t> </w:t>
            </w:r>
          </w:p>
        </w:tc>
      </w:tr>
      <w:tr>
        <w:trPr/>
        <w:tc>
          <w:tcPr>
            <w:tcW w:w="1505"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10" w:type="dxa"/>
            <w:gridSpan w:val="14"/>
            <w:tcBorders/>
            <w:vAlign w:val="center"/>
          </w:tcPr>
          <w:p>
            <w:pPr>
              <w:pStyle w:val="TableContents"/>
              <w:bidi w:val="0"/>
              <w:spacing w:before="0" w:after="283"/>
              <w:jc w:val="center"/>
              <w:rPr/>
            </w:pPr>
            <w:r>
              <w:rPr/>
              <w:t>(As Restated)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110,199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98,010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806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209,015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20,068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20,068</w:t>
            </w:r>
          </w:p>
        </w:tc>
        <w:tc>
          <w:tcPr>
            <w:tcW w:w="170"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Cost of revenues</w:t>
            </w:r>
            <w:r>
              <w:rPr>
                <w:position w:val="8"/>
                <w:sz w:val="19"/>
              </w:rPr>
              <w:t>(1)</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68,622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21,834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22,882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1,391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636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11,691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2,147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3,762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32,446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29,789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505" w:type="dxa"/>
            <w:tcBorders/>
            <w:vAlign w:val="center"/>
          </w:tcPr>
          <w:p>
            <w:pPr>
              <w:pStyle w:val="TableContents"/>
              <w:bidi w:val="0"/>
              <w:spacing w:before="0" w:after="283"/>
              <w:jc w:val="left"/>
              <w:rPr/>
            </w:pPr>
            <w:r>
              <w:rPr/>
              <w:t>Operating (loss) income from continuing operations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(33,109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tcMar>
              <w:bottom w:w="28" w:type="dxa"/>
            </w:tcMar>
            <w:vAlign w:val="center"/>
          </w:tcPr>
          <w:p>
            <w:pPr>
              <w:pStyle w:val="TableContents"/>
              <w:bidi w:val="0"/>
              <w:spacing w:before="0" w:after="283"/>
              <w:jc w:val="right"/>
              <w:rPr/>
            </w:pPr>
            <w:r>
              <w:rPr/>
              <w:t>18,696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5" w:type="dxa"/>
            <w:tcBorders>
              <w:bottom w:val="single" w:sz="12" w:space="0" w:color="000000"/>
            </w:tcBorders>
            <w:tcMar>
              <w:bottom w:w="28" w:type="dxa"/>
            </w:tcMar>
            <w:vAlign w:val="center"/>
          </w:tcPr>
          <w:p>
            <w:pPr>
              <w:pStyle w:val="TableContents"/>
              <w:bidi w:val="0"/>
              <w:spacing w:before="0" w:after="283"/>
              <w:jc w:val="right"/>
              <w:rPr/>
            </w:pPr>
            <w:r>
              <w:rPr/>
              <w:t>170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(14,243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tcMar>
              <w:bottom w:w="28" w:type="dxa"/>
            </w:tcMar>
            <w:vAlign w:val="center"/>
          </w:tcPr>
          <w:p>
            <w:pPr>
              <w:pStyle w:val="TableContents"/>
              <w:bidi w:val="0"/>
              <w:spacing w:before="0" w:after="283"/>
              <w:jc w:val="right"/>
              <w:rPr/>
            </w:pPr>
            <w:r>
              <w:rPr/>
              <w:t>(47,008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458"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(47,008</w:t>
            </w:r>
          </w:p>
        </w:tc>
        <w:tc>
          <w:tcPr>
            <w:tcW w:w="170" w:type="dxa"/>
            <w:tcBorders/>
            <w:vAlign w:val="center"/>
          </w:tcPr>
          <w:p>
            <w:pPr>
              <w:pStyle w:val="TableContents"/>
              <w:bidi w:val="0"/>
              <w:spacing w:before="0" w:after="283"/>
              <w:ind w:left="0" w:right="0" w:hanging="180"/>
              <w:jc w:val="left"/>
              <w:rPr/>
            </w:pPr>
            <w:r>
              <w:rPr/>
              <w:t>)</w:t>
            </w:r>
          </w:p>
        </w:tc>
      </w:tr>
      <w:tr>
        <w:trPr/>
        <w:tc>
          <w:tcPr>
            <w:tcW w:w="1505" w:type="dxa"/>
            <w:tcBorders/>
            <w:shd w:fill="CCEEFF" w:val="clear"/>
            <w:vAlign w:val="center"/>
          </w:tcPr>
          <w:p>
            <w:pPr>
              <w:pStyle w:val="TableContents"/>
              <w:bidi w:val="0"/>
              <w:spacing w:before="0" w:after="283"/>
              <w:jc w:val="left"/>
              <w:rPr>
                <w:i/>
              </w:rPr>
            </w:pPr>
            <w:r>
              <w:rPr>
                <w:i/>
              </w:rPr>
              <w:t>Reconciliation of segment (loss) income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Unallocated amounts: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(19,151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(8,230</w:t>
            </w:r>
          </w:p>
        </w:tc>
        <w:tc>
          <w:tcPr>
            <w:tcW w:w="170" w:type="dxa"/>
            <w:tcBorders/>
            <w:shd w:fill="CCEEFF" w:val="clear"/>
            <w:vAlign w:val="center"/>
          </w:tcPr>
          <w:p>
            <w:pPr>
              <w:pStyle w:val="TableContents"/>
              <w:bidi w:val="0"/>
              <w:spacing w:before="0" w:after="283"/>
              <w:jc w:val="left"/>
              <w:rPr/>
            </w:pPr>
            <w:r>
              <w:rPr/>
              <w:t>)</w:t>
            </w:r>
          </w:p>
        </w:tc>
      </w:tr>
      <w:tr>
        <w:trPr/>
        <w:tc>
          <w:tcPr>
            <w:tcW w:w="150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102</w:t>
            </w:r>
          </w:p>
        </w:tc>
        <w:tc>
          <w:tcPr>
            <w:tcW w:w="17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(66,234</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505" w:type="dxa"/>
            <w:tcBorders/>
            <w:vAlign w:val="center"/>
          </w:tcPr>
          <w:p>
            <w:pPr>
              <w:pStyle w:val="TableContents"/>
              <w:bidi w:val="0"/>
              <w:spacing w:before="0" w:after="283"/>
              <w:jc w:val="left"/>
              <w:rPr/>
            </w:pPr>
            <w:r>
              <w:rPr/>
              <w:t>Gain on extinguishment of debt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19,948</w:t>
            </w:r>
          </w:p>
        </w:tc>
        <w:tc>
          <w:tcPr>
            <w:tcW w:w="170" w:type="dxa"/>
            <w:tcBorders/>
            <w:vAlign w:val="center"/>
          </w:tcPr>
          <w:p>
            <w:pPr>
              <w:pStyle w:val="TableContents"/>
              <w:bidi w:val="0"/>
              <w:spacing w:before="0" w:after="283"/>
              <w:ind w:left="0" w:right="0" w:hanging="180"/>
              <w:jc w:val="left"/>
              <w:rPr/>
            </w:pPr>
            <w:r>
              <w:rPr/>
              <w:t> </w:t>
            </w:r>
          </w:p>
        </w:tc>
      </w:tr>
      <w:tr>
        <w:trPr/>
        <w:tc>
          <w:tcPr>
            <w:tcW w:w="1505"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(35,115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(101,422</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0"/>
        <w:gridCol w:w="9917"/>
      </w:tblGrid>
      <w:tr>
        <w:trPr/>
        <w:tc>
          <w:tcPr>
            <w:tcW w:w="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thirty-nine weeks ended September 28, 2025, depreciation and amortization expense was $1.2 million for the Residential Solar Installation reportable segment. In the thirty-nine weeks ended September 29, 2024, depreciation and amortization expense was $1.0 million for the Residential Solar Installation reportable segment.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7"/>
        <w:gridCol w:w="9920"/>
      </w:tblGrid>
      <w:tr>
        <w:trPr/>
        <w:tc>
          <w:tcPr>
            <w:tcW w:w="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thirty-nine weeks ended September 28, 2025, depreciation and amortization expense was $2.2 million and $0.9 million for the Residential Solar Installation and New Homes Business reportable segments, respectively. In the thirty-nine weeks ended September 29, 2024, depreciation and amortization expense was $1.0 million for the Residential Solar Installation reportable segment.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following notes to the Company’s unaudited condensed consolidated financial statements for details regarding the related party transactions entered into by the Company; </w:t>
      </w:r>
      <w:r>
        <w:rPr>
          <w:rFonts w:ascii="Times New Roman;Times;Serif" w:hAnsi="Times New Roman;Times;Serif"/>
          <w:b/>
          <w:i w:val="false"/>
          <w:caps w:val="false"/>
          <w:smallCaps w:val="false"/>
          <w:sz w:val="20"/>
        </w:rPr>
        <w:t xml:space="preserve">Note 1(a) – Organization – </w:t>
      </w:r>
      <w:r>
        <w:rPr>
          <w:rFonts w:ascii="Times New Roman;Times;Serif" w:hAnsi="Times New Roman;Times;Serif"/>
          <w:b w:val="false"/>
          <w:i/>
          <w:caps w:val="false"/>
          <w:smallCaps w:val="false"/>
          <w:sz w:val="20"/>
        </w:rPr>
        <w:t xml:space="preserve">Description of Business; </w:t>
      </w:r>
      <w:r>
        <w:rPr>
          <w:rFonts w:ascii="Times New Roman;Times;Serif" w:hAnsi="Times New Roman;Times;Serif"/>
          <w:b/>
          <w:i w:val="false"/>
          <w:caps w:val="false"/>
          <w:smallCaps w:val="false"/>
          <w:sz w:val="20"/>
        </w:rPr>
        <w:t>Note 3(h) – Basis of Presentation and Summary of Significant Accounting Policies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Changes in related parties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7 – Accrued Expenses and Other Current Liabilities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8 – Other Expense, Net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9 – Capital Stock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Note 11 – SAFE Agreements</w:t>
      </w:r>
      <w:r>
        <w:rPr>
          <w:rFonts w:ascii="Times New Roman;Times;Serif" w:hAnsi="Times New Roman;Times;Serif"/>
          <w:b w:val="false"/>
          <w:i w:val="false"/>
          <w:caps w:val="false"/>
          <w:smallCaps w:val="false"/>
          <w:sz w:val="20"/>
        </w:rPr>
        <w:t>. All other related party transactions are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SameDay Solar became a related party to the Company during fiscal year 2024. Cost of revenue with SameDay Solar was $0.1 million and $0.5 million in the thirteen week periods ended September 28, 2025 and September 29, 2024, respectively. Cost of revenue with SameDay Solar was $0.4 million and $0.5 million in the thirty-nine week periods ended September 28, 2025 and September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Partial 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September 28, 2025, holders of $10.6 million of the Company’s September 2024 Notes converted their September 2024 Notes into 6.2 million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Acquisition of Ambia Energy LLC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announced that it signed a non-binding letter of intent to acquire Ambia Energy, LLC (“Ambia”) located in Lindon, Utah in exchange for approximately $37.5 million of equity in SunPower, subject to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“Membership Interest Purchase Agreement”) with Ambia and Ambia Holdings, Inc., a Delaware corporation and the sole member of Ambia (the “Member”). The Company, Ambia and the Member completed the closing under the Membership Interest Purchase Agreement (the “Ambia Closing”) on November 21, 2025. At the Ambia Closing, the Company acquired all of the outstanding membership interests of Ambia from the Member for: (a) 10,243,924 shares (the “Closing Consideration Shares”) of common stock of the Company, $0.0001 par value per share (the “Common Stock”), issued at the Ambia Closing to the Member; and (b) the agreement to issue an additional $9.375 million of shares of Common Stock on the six-month anniversary of the Ambia Closing and an additional $9.375 million of shares of Common Stock on the 12-month anniversary of the Ambia Closing (such additional shares of Common Stock, the “Post-Closing Consideration Shares”). The issuance of the Post-Closing Consideration Shares is subject to approval by the Company’s stockholders following the Ambia Closing in accordance with the rules and regulations of the Nasdaq Stock Market (including Nasdaq Listing Rule 5635(a)). The actual number of Post-Closing Consideration Shares issuable by the Company on the six- and 12-month anniversaries of the Ambia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Post-Closing Consideration Shares issuable by the Company will not be more than $2.8102 per share or less than $1.4988 per share. Additionally, the number of Post-Closing Consideration Shares issuable by the Company is subject to adjustment pursuant to customary working capital and balance sheet adjustment terms and subject to offset for certain indemnifiable damages in accordance with the Membership Interest Purchase Agreement. Pursuant to the terms and conditions of the Membership Interest Purchase Agreement, the Company agreed to register the Closing Consideration Shares and the Post-Closing Consideration Shares for resale to the public under the Securities Act of 1933, as amended. The Membership Interest Purchase Agreement includes customary representations and warranties, covenants, and indemnities, in each case under the circumstances and subject to certain limitations set forth in the Membership Interest Purchase Agreement. The indemnification obligations under the Membership Interest Purchase Agreement are subject to customary baskets and caps. The Company’s primary source of recovery for indemnifiable damages is set off of such damages against the Post-Closing Consideration Shares issuable by the Company following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accounting for this business combination is incomplete at this time due to the proximity of the Ambia Closing to the issuance date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NASDAQ Deficiency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received a letter from the Listing Qualifications staff of Nasdaq indicating that, as a result of the Company’s delay in filing its Q3 2025 Form 10Q,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Q3 2025 Form 10Q on December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12% convertible senior unsecured convertible note to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promissory note in the original principal amount of $2.0 million (“November 2025 Note”) to a trust controlled by the Company’s CEO in exchange for cash.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Note is convertible at the option of the holder at any time prior to the payment of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Note prior to July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w:t>
      </w:r>
      <w:r>
        <w:rPr>
          <w:rFonts w:ascii="Times New Roman;Times;Serif" w:hAnsi="Times New Roman;Times;Serif"/>
          <w:b/>
          <w:i w:val="false"/>
          <w:caps w:val="false"/>
          <w:smallCaps w:val="false"/>
          <w:sz w:val="20"/>
        </w:rPr>
        <w:t>Note 13 – Commitments and Contingencies</w:t>
      </w:r>
      <w:r>
        <w:rPr>
          <w:rFonts w:ascii="Times New Roman;Times;Serif" w:hAnsi="Times New Roman;Times;Serif"/>
          <w:b w:val="false"/>
          <w:i w:val="false"/>
          <w:caps w:val="false"/>
          <w:smallCaps w:val="false"/>
          <w:sz w:val="20"/>
        </w:rPr>
        <w:t xml:space="preserve">, the Company entered into a Settlement Agreement with Siemens on December 4, 2025 to resolve a case in the Court and other related cases as well as to resolve potential claims related to Siemens’ Atwater Wastewater Treatment Plant. Refer to </w:t>
      </w:r>
      <w:r>
        <w:rPr>
          <w:rFonts w:ascii="Times New Roman;Times;Serif" w:hAnsi="Times New Roman;Times;Serif"/>
          <w:b/>
          <w:i w:val="false"/>
          <w:caps w:val="false"/>
          <w:smallCaps w:val="false"/>
          <w:sz w:val="20"/>
        </w:rPr>
        <w:t>Note 13 – Commitments and Contingencies</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the unaudited condensed consolidated financial statements and related notes included elsewhere in this Quarterly Report on Form 10-Q and with our audited consolidated financial statements and related notes included in our Annual Report on Form 10-K filed with the Securities and Exchange Commission on April 30, 2025, and related management’s discussion and analysis in Item 7 of the Annual Report on Form 10-K. This discussion contains forward-looking statements that involve risks and uncertainties. Our actual results could differ materially from those discussed below. Please also see the section titled “Special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Inc. was formed in November 2022 through the merger of Complete Solar and The Solaria Corporation.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This turnkey solution makes it easy for anyone to sell solar.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discussed below and above (</w:t>
      </w:r>
      <w:r>
        <w:rPr>
          <w:rFonts w:ascii="Times New Roman;Times;Serif" w:hAnsi="Times New Roman;Times;Serif"/>
          <w:b/>
          <w:i w:val="false"/>
          <w:caps w:val="false"/>
          <w:smallCaps w:val="false"/>
          <w:sz w:val="20"/>
        </w:rPr>
        <w:t>Note 16 – Segment Information</w:t>
      </w:r>
      <w:r>
        <w:rPr>
          <w:rFonts w:ascii="Times New Roman;Times;Serif" w:hAnsi="Times New Roman;Times;Serif"/>
          <w:b w:val="false"/>
          <w:i w:val="false"/>
          <w:caps w:val="false"/>
          <w:smallCaps w:val="false"/>
          <w:sz w:val="20"/>
        </w:rPr>
        <w:t>), we have three reportable segments: Residential Solar Installation, New Homes Business and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within one year after the date that the unaudited condensed consolidated financial statements are issued. The unaudited condensed consolidated financial statements included in this Quarterly Report on Form 10-Q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contains the following elements: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i/>
                <w:sz w:val="20"/>
              </w:rPr>
              <w:t>Increase revenue by expanding installation capacity and developing new geographic markets</w:t>
            </w:r>
            <w:r>
              <w:rPr>
                <w:rFonts w:ascii="Times New Roman;Times;Serif" w:hAnsi="Times New Roman;Times;Serif"/>
                <w:sz w:val="20"/>
              </w:rPr>
              <w:t xml:space="preserve"> – We continue to expand our network of 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upon approval by the Bankruptcy Court for the District of Delaware, we completed the acquisition of certain assets relating to the Blue Raven Solar Business, New Homes Business and non-Installing Dealer network previously operated by SunPower Debtors. On September 24, 2025, we completed the acquisition of Sunder, a residential solar sales company. The acquisition of Sunder expanded our footprint from 22 to 45 states. By doubling our dealer network salesforce to 1,744 this allows for further reach into new geographic markets where we were not previously concentrated. This acquisition will position us to be lone of the largest residential solar provider in the 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Sunder’s established relationships with Electrical, Permit and Connection companies (“EPC”) will allow us to expand into markets where we do not have install capacity due to limitations of not being able to hire a skilled installation workforce due to lack of density. By leveraging a preferred network of EPCs this allows us to accelerate our growth, while keeping our overhead costs low.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leveraging Sunder existing operating platform, our dealer network will be able to focus on delivering superior customer service to homeowners, while providing options to the homeowner based on their preferences.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 xml:space="preserve"> – We aim to offer a turnkey solar solution to prospective sales 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executing on 200,000-unit battery storage opportunity</w:t>
            </w:r>
            <w:r>
              <w:rPr>
                <w:rFonts w:ascii="Times New Roman;Times;Serif" w:hAnsi="Times New Roman;Times;Serif"/>
                <w:sz w:val="20"/>
              </w:rPr>
              <w:t xml:space="preserve"> –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(the “Additional Merger”, and together with the First Merger and the Second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between Complete Solaria and FACT has been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completed the divestiture of our solar panel business to Maxeon (“</w:t>
      </w:r>
      <w:r>
        <w:rPr>
          <w:rFonts w:ascii="Times New Roman;Times;Serif" w:hAnsi="Times New Roman;Times;Serif"/>
          <w:b/>
          <w:i w:val="false"/>
          <w:caps w:val="false"/>
          <w:smallCaps w:val="false"/>
          <w:sz w:val="20"/>
        </w:rPr>
        <w:t>Divestiture</w:t>
      </w:r>
      <w:r>
        <w:rPr>
          <w:rFonts w:ascii="Times New Roman;Times;Serif" w:hAnsi="Times New Roman;Times;Serif"/>
          <w:b w:val="false"/>
          <w:i w:val="false"/>
          <w:caps w:val="false"/>
          <w:smallCaps w:val="false"/>
          <w:sz w:val="20"/>
        </w:rPr>
        <w:t>”), pursuant to the terms of a disposal agreement (“</w:t>
      </w:r>
      <w:r>
        <w:rPr>
          <w:rFonts w:ascii="Times New Roman;Times;Serif" w:hAnsi="Times New Roman;Times;Serif"/>
          <w:b/>
          <w:i w:val="false"/>
          <w:caps w:val="false"/>
          <w:smallCaps w:val="false"/>
          <w:sz w:val="20"/>
        </w:rPr>
        <w:t>Disposal Agreement</w:t>
      </w:r>
      <w:r>
        <w:rPr>
          <w:rFonts w:ascii="Times New Roman;Times;Serif" w:hAnsi="Times New Roman;Times;Serif"/>
          <w:b w:val="false"/>
          <w:i w:val="false"/>
          <w:caps w:val="false"/>
          <w:smallCaps w:val="false"/>
          <w:sz w:val="20"/>
        </w:rPr>
        <w:t>”). Under the terms of the Disposal Agreement, Maxeon agreed to acquire from the Company certain assets and employees,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$2.0 million and $173.4 million in the fiscal years ended December 29, 2024 and December 31, 2023, respectively. We also sold all the Maxeon shares in the year ended December 31, 2023, and recorded a $4.2 million loss on the sale of these shares in our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discussion of our historical results of operations, which excludes product revenues and metrics related to the disposal, as all results of operations associated with the solar panel business have been presented as discontinued operations, unless otherwise noted.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we entered into an asset purchase agreement among us and SunPower Corporation and SunPower Corporation’s direct and indirect subsidiaries (“</w:t>
      </w:r>
      <w:r>
        <w:rPr>
          <w:rFonts w:ascii="Times New Roman;Times;Serif" w:hAnsi="Times New Roman;Times;Serif"/>
          <w:b/>
          <w:i w:val="false"/>
          <w:caps w:val="false"/>
          <w:smallCaps w:val="false"/>
          <w:sz w:val="20"/>
        </w:rPr>
        <w:t>SunPower Debtors</w:t>
      </w:r>
      <w:r>
        <w:rPr>
          <w:rFonts w:ascii="Times New Roman;Times;Serif" w:hAnsi="Times New Roman;Times;Serif"/>
          <w:b w:val="false"/>
          <w:i w:val="false"/>
          <w:caps w:val="false"/>
          <w:smallCaps w:val="false"/>
          <w:sz w:val="20"/>
        </w:rPr>
        <w:t>”) which provided for the purchase of certain assets relating to the Blue Raven Solar business, New Homes Business and Non-Installing Dealer network previously operated by the SunPower Debtors (the “</w:t>
      </w:r>
      <w:r>
        <w:rPr>
          <w:rFonts w:ascii="Times New Roman;Times;Serif" w:hAnsi="Times New Roman;Times;Serif"/>
          <w:b/>
          <w:i w:val="false"/>
          <w:caps w:val="false"/>
          <w:smallCaps w:val="false"/>
          <w:sz w:val="20"/>
        </w:rPr>
        <w:t>Acquired SunPower Assets</w:t>
      </w:r>
      <w:r>
        <w:rPr>
          <w:rFonts w:ascii="Times New Roman;Times;Serif" w:hAnsi="Times New Roman;Times;Serif"/>
          <w:b w:val="false"/>
          <w:i w:val="false"/>
          <w:caps w:val="false"/>
          <w:smallCaps w:val="false"/>
          <w:sz w:val="20"/>
        </w:rPr>
        <w:t>”). The sale by the SunPower Debtors was approved on September 23, 2024, by the United States Bankruptcy Court for the District of Delaware. We completed the acquisition (“</w:t>
      </w:r>
      <w:r>
        <w:rPr>
          <w:rFonts w:ascii="Times New Roman;Times;Serif" w:hAnsi="Times New Roman;Times;Serif"/>
          <w:b/>
          <w:i w:val="false"/>
          <w:caps w:val="false"/>
          <w:smallCaps w:val="false"/>
          <w:sz w:val="20"/>
        </w:rPr>
        <w:t>SunPower Acquisition</w:t>
      </w:r>
      <w:r>
        <w:rPr>
          <w:rFonts w:ascii="Times New Roman;Times;Serif" w:hAnsi="Times New Roman;Times;Serif"/>
          <w:b w:val="false"/>
          <w:i w:val="false"/>
          <w:caps w:val="false"/>
          <w:smallCaps w:val="false"/>
          <w:sz w:val="20"/>
        </w:rPr>
        <w:t>”) of the Acquired SunPower Assets (“</w:t>
      </w:r>
      <w:r>
        <w:rPr>
          <w:rFonts w:ascii="Times New Roman;Times;Serif" w:hAnsi="Times New Roman;Times;Serif"/>
          <w:b/>
          <w:i w:val="false"/>
          <w:caps w:val="false"/>
          <w:smallCaps w:val="false"/>
          <w:sz w:val="20"/>
        </w:rPr>
        <w:t>SunPower Businesses</w:t>
      </w:r>
      <w:r>
        <w:rPr>
          <w:rFonts w:ascii="Times New Roman;Times;Serif" w:hAnsi="Times New Roman;Times;Serif"/>
          <w:b w:val="false"/>
          <w:i w:val="false"/>
          <w:caps w:val="false"/>
          <w:smallCaps w:val="false"/>
          <w:sz w:val="20"/>
        </w:rPr>
        <w:t>”) effective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financed the SunPower Acquisition by issuing 7.0% senior unsecured convertible notes (“</w:t>
      </w:r>
      <w:r>
        <w:rPr>
          <w:rFonts w:ascii="Times New Roman;Times;Serif" w:hAnsi="Times New Roman;Times;Serif"/>
          <w:b/>
          <w:i w:val="false"/>
          <w:caps w:val="false"/>
          <w:smallCaps w:val="false"/>
          <w:sz w:val="20"/>
        </w:rPr>
        <w:t>7.0% Senior Notes</w:t>
      </w:r>
      <w:r>
        <w:rPr>
          <w:rFonts w:ascii="Times New Roman;Times;Serif" w:hAnsi="Times New Roman;Times;Serif"/>
          <w:b w:val="false"/>
          <w:i w:val="false"/>
          <w:caps w:val="false"/>
          <w:smallCaps w:val="false"/>
          <w:sz w:val="20"/>
        </w:rPr>
        <w:t>”) in September 2024, which are due in 2029. The 7.0% Senior Notes mature on July 1, 2029 and are convertible into shares of our common stock at the option of the holder at a conversion rate of $2.14 per share. The 7.0% Senior Notes will become immediately due and payable at the option of the holder in the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we entered into an agreement to acquire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completed the acquisition effective September 24, 2025 (“</w:t>
      </w:r>
      <w:r>
        <w:rPr>
          <w:rFonts w:ascii="Times New Roman;Times;Serif" w:hAnsi="Times New Roman;Times;Serif"/>
          <w:b/>
          <w:i w:val="false"/>
          <w:caps w:val="false"/>
          <w:smallCaps w:val="false"/>
          <w:sz w:val="20"/>
        </w:rPr>
        <w:t>Sunder Acquisition</w:t>
      </w:r>
      <w:r>
        <w:rPr>
          <w:rFonts w:ascii="Times New Roman;Times;Serif" w:hAnsi="Times New Roman;Times;Serif"/>
          <w:b w:val="false"/>
          <w:i w:val="false"/>
          <w:caps w:val="false"/>
          <w:smallCaps w:val="false"/>
          <w:sz w:val="20"/>
        </w:rPr>
        <w:t xml:space="preserve">”). The acquisition was completed through the acquisition of all of the Membership Interests of Sunder for aggregate consideration of $57.8 million consisting of cash, a note issued to the seller, 3,333,334 shares of our common stock issued as of the acquisition date plus an additional 3,333,333 shares to be issued on each of the 12-month and 18-month anniversaries of the closing of the acquisition. The shares of our common stock were valued at $17.1 million at the date of acquisition. This transaction was accounted for as a business combination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The financial results of Sunder have been included in our unaudited condensed consolidated financial statements since the date of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financed the Sunder Acquisition through the issuance of a $20.0 million note (“Seller Note”) with an interest rate of 7.0% and due the earlier of (i) May 15, 2026 and (ii) the date on which all amounts under the Seller Note otherwise become due and payable following an event of default and the issuance of $22.0 million of 7.0% senior unsecured convertible notes due July 1,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definitions/components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for Residential Solar Installation and New Homes Business when a customer obtains control of promised products and services and we have satisfied our performance obligations which is the date by which substantially all of our design and installation is complete for a fully functioning solar power system to interconnect to the local power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We account for these services as inputs to a combined output, resulting in a single service-based performance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reflects the consideration which we expect to be entitled to receive in exchange for the products and services. To achieve this core principle, we apply the following five steps: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Identification of the contract(s) with a customer;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Identification of the performance obligations in the contracts(s);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Determination of the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Allocation of the transaction price to the performance obligations;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Recognition of the revenue when, or as, we satisfy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Residential Solar Installation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Residential Solar Installation segment sells products through a network of installing and non-installing dealers and resellers, as well as our internal sales team. Our contracts with customers include three primary contract types: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We contract directly with homeowners who purchase the solar energy system and related services from us. Customers are invoiced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Financing partner agreements</w:t>
            </w:r>
            <w:r>
              <w:rPr>
                <w:rFonts w:ascii="Times New Roman;Times;Serif" w:hAnsi="Times New Roman;Times;Serif"/>
                <w:sz w:val="20"/>
              </w:rPr>
              <w:t xml:space="preserve"> – In our financing partner agreements, we contract directly with homeowners for the purchase of the solar energy system and related services. We refer the homeowner to a financing partner to finance the system, and the homeowner makes payments directly to the financing partner. We receive consideration from the financing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Power purchase agreements and lease agreements</w:t>
            </w:r>
            <w:r>
              <w:rPr>
                <w:rFonts w:ascii="Times New Roman;Times;Serif" w:hAnsi="Times New Roman;Times;Serif"/>
                <w:sz w:val="20"/>
              </w:rPr>
              <w:t xml:space="preserve"> – We contract directly with a leasing partner to perform the solar energy system installation, and the homeowner will finance the system through a power purchase agreement (or lease), which is signed with our leasing partner. We consider the leasing partner to be our customer, as we do not contract directly with the homeowner and the leasing partner takes ownership of the system upon the completion of installation. We receive consideration from the leasing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Homes Business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Homes Business segment sells through a network of home builders as well as our internal sales team. Our contracts with customers include two primary contract types: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We contract directly with homebuilders who purchase the solar energy system from us and are the customers in the transaction. Our customers are invoiced upon the completion of installation.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Lease agreements</w:t>
            </w:r>
            <w:r>
              <w:rPr>
                <w:rFonts w:ascii="Times New Roman;Times;Serif" w:hAnsi="Times New Roman;Times;Serif"/>
                <w:b w:val="false"/>
                <w:i w:val="false"/>
                <w:caps w:val="false"/>
                <w:smallCaps w:val="false"/>
                <w:sz w:val="20"/>
              </w:rPr>
              <w:t xml:space="preserve"> – Prior to the SunPower Debtor’s declaration of bankruptcy, certain homeowners had intended to lease a system from SunPower Debtors, but were unable to consummate the transaction (as a result of SunPower Debtor’s declaration of bankruptcy). The in-process system inventory (installed on recently constructed homes) was acquired by us in connection with the SunPower Acquisition. We contracted directly with a leasing partner to facilitate the leasing of the system to the impacted homeowners. We consider the leasing partner to be our customer. Under the terms of our arrangement with the leasing partner, control is not transferred to the customer until the completed system is accepted by the customer. We receive consideration from the leasing partner following the acceptance of the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performance obligation for both reportable segments is to design and install a fully functioning solar energy system. For all contract types (with the exception of New Homes Business Lease agreements), we recognize revenue over time. Our over-time revenue recognition begins when the solar power system is fully installed (as it is at this point that control of the asset begins to be transferred to the customer and the customer retains the significant risks and rewards of ownership of the solar power system). We recognize revenue using the input method based on direct costs to install the system and defer the costs of installation until such time that control of the asset transfers to the customer (installation). For New Homes Business Lease agreements, we consider the performance obligation to be satisfied at a point in time upon acceptance of the system by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at the transaction price contained within the agreement, net of costs of financing, or other consideration paid to the customers that is not in exchange for a distinct good or service. Our arrangements may contain clauses that can either increase or decrease the transaction price. Variable consideration is estimated at each measurement date at its most likely amount to the extent that it is probably that a significant reversal of cumulative revenue recognized will not occur and true-ups are applied prospectively as such estimates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deferred revenue for amounts invoiced that are received in advance of the provisioning of services. In certain contracts with customers, we arrange for a third-party financing partner to provide financing to the customer. We collect upfront from the financing partner and the customer will provide installment payments to the financing partner. We record revenue in the amount received from the financing partner, net of any financing fees charged to the homeowner, which we consider to be a customer incentive. None of our contracts contain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earn revenue from contracts sold to customers for solar installations performed by third-party installation companies. We recognize revenue at a point in time when Permission to Operate (“PTO”) is complete. We act as an agent in these arrangements and record revenue on a net basis. We do not have significant financing components in our contracts. We do not provide warranty services and do not record a warranty 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and fulfill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we transfer control of the product to the customer, which is generally upon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direct and incremental costs of obtaining customer contracts. These costs are paid to internal sales teams and third-party vendors who source residential customer contracts for the sale of solar energy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business insurance costs and other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relates to interest expense on the issuance of debt and convertible notes and the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consists of changes in the fair value of our derivative liabilities in connection with our convertible notes and changes in the fair value of common stock warrant liabilities, forward purchase agreements, and SAFE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primarily consists of income taxes in certain jurisdictions in which we conduct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chain constraints and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“Management’s Discussion and Analysis of Financial Condition and Results of Operations – Critical Accounting Estimates” and our consolidated financial statements and related notes included in our Annual Report on Form 10-K for the fiscal year ended December 29, 2024 for accounting policies and related estimates we believe are the most critical to understanding our consolidated financial statements, financial condition and results of operations and which require complex management judgment and assumptions, or involve uncertainties. These critical accounting estimates include revenue recognition, accounting and accounting for business combinations. There have been no changes to our critical accounting estimates or their application since the date of our Annual Report on Form 10-K for the fiscal year ended December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derived the following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Thirteen-weeks ended September 28, 2025 compared to the thirteen weeks ended September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from continuing operations for the thirteen weeks ended September 28, 2025, and the thirteen weeks ended September 29,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8"/>
        <w:gridCol w:w="90"/>
        <w:gridCol w:w="267"/>
        <w:gridCol w:w="1238"/>
        <w:gridCol w:w="259"/>
        <w:gridCol w:w="95"/>
        <w:gridCol w:w="267"/>
        <w:gridCol w:w="1238"/>
        <w:gridCol w:w="310"/>
        <w:gridCol w:w="90"/>
        <w:gridCol w:w="170"/>
        <w:gridCol w:w="785"/>
        <w:gridCol w:w="125"/>
        <w:gridCol w:w="90"/>
        <w:gridCol w:w="111"/>
        <w:gridCol w:w="734"/>
        <w:gridCol w:w="358"/>
      </w:tblGrid>
      <w:tr>
        <w:trPr/>
        <w:tc>
          <w:tcPr>
            <w:tcW w:w="39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358" w:type="dxa"/>
            <w:tcBorders/>
            <w:vAlign w:val="center"/>
          </w:tcPr>
          <w:p>
            <w:pPr>
              <w:pStyle w:val="TableContents"/>
              <w:bidi w:val="0"/>
              <w:spacing w:before="0" w:after="283"/>
              <w:jc w:val="left"/>
              <w:rPr/>
            </w:pPr>
            <w:r>
              <w:rPr/>
              <w:t> </w:t>
            </w:r>
          </w:p>
        </w:tc>
      </w:tr>
      <w:tr>
        <w:trPr/>
        <w:tc>
          <w:tcPr>
            <w:tcW w:w="3978"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2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58" w:type="dxa"/>
            <w:tcBorders/>
            <w:vAlign w:val="center"/>
          </w:tcPr>
          <w:p>
            <w:pPr>
              <w:pStyle w:val="TableContents"/>
              <w:bidi w:val="0"/>
              <w:spacing w:before="0" w:after="283"/>
              <w:jc w:val="left"/>
              <w:rPr/>
            </w:pPr>
            <w:r>
              <w:rPr/>
              <w:t> </w:t>
            </w:r>
          </w:p>
        </w:tc>
      </w:tr>
      <w:tr>
        <w:trPr/>
        <w:tc>
          <w:tcPr>
            <w:tcW w:w="39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(As Restated)</w:t>
            </w:r>
          </w:p>
        </w:tc>
        <w:tc>
          <w:tcPr>
            <w:tcW w:w="2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ind w:left="0" w:right="0" w:hanging="180"/>
              <w:jc w:val="left"/>
              <w:rPr/>
            </w:pPr>
            <w:r>
              <w:rPr/>
              <w:t> </w:t>
            </w:r>
          </w:p>
        </w:tc>
      </w:tr>
      <w:tr>
        <w:trPr/>
        <w:tc>
          <w:tcPr>
            <w:tcW w:w="3978"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64,487</w:t>
            </w:r>
          </w:p>
        </w:tc>
        <w:tc>
          <w:tcPr>
            <w:tcW w:w="2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5,536</w:t>
            </w:r>
          </w:p>
        </w:tc>
        <w:tc>
          <w:tcPr>
            <w:tcW w:w="3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58,951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1,065</w:t>
            </w:r>
          </w:p>
        </w:tc>
        <w:tc>
          <w:tcPr>
            <w:tcW w:w="358" w:type="dxa"/>
            <w:tcBorders/>
            <w:shd w:fill="CCEEFF" w:val="clear"/>
            <w:vAlign w:val="center"/>
          </w:tcPr>
          <w:p>
            <w:pPr>
              <w:pStyle w:val="TableContents"/>
              <w:bidi w:val="0"/>
              <w:spacing w:before="0" w:after="283"/>
              <w:ind w:left="0" w:right="0" w:hanging="180"/>
              <w:jc w:val="left"/>
              <w:rPr/>
            </w:pPr>
            <w:r>
              <w:rPr/>
              <w:t>%</w:t>
            </w:r>
          </w:p>
        </w:tc>
      </w:tr>
      <w:tr>
        <w:trPr/>
        <w:tc>
          <w:tcPr>
            <w:tcW w:w="3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32,431</w:t>
            </w:r>
          </w:p>
        </w:tc>
        <w:tc>
          <w:tcPr>
            <w:tcW w:w="2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8,693</w:t>
            </w:r>
          </w:p>
        </w:tc>
        <w:tc>
          <w:tcPr>
            <w:tcW w:w="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23,738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273</w:t>
            </w:r>
          </w:p>
        </w:tc>
        <w:tc>
          <w:tcPr>
            <w:tcW w:w="358" w:type="dxa"/>
            <w:tcBorders/>
            <w:vAlign w:val="center"/>
          </w:tcPr>
          <w:p>
            <w:pPr>
              <w:pStyle w:val="TableContents"/>
              <w:bidi w:val="0"/>
              <w:spacing w:before="0" w:after="283"/>
              <w:ind w:left="0" w:right="0" w:hanging="180"/>
              <w:jc w:val="left"/>
              <w:rPr/>
            </w:pPr>
            <w:r>
              <w:rPr/>
              <w:t>%</w:t>
            </w:r>
          </w:p>
        </w:tc>
      </w:tr>
      <w:tr>
        <w:trPr/>
        <w:tc>
          <w:tcPr>
            <w:tcW w:w="3978" w:type="dxa"/>
            <w:tcBorders/>
            <w:shd w:fill="CCEEFF" w:val="clear"/>
            <w:vAlign w:val="center"/>
          </w:tcPr>
          <w:p>
            <w:pPr>
              <w:pStyle w:val="TableContents"/>
              <w:bidi w:val="0"/>
              <w:spacing w:before="0" w:after="283"/>
              <w:jc w:val="left"/>
              <w:rPr/>
            </w:pPr>
            <w:r>
              <w:rPr/>
              <w:t>Gross (loss) profit</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32,056</w:t>
            </w:r>
          </w:p>
        </w:tc>
        <w:tc>
          <w:tcPr>
            <w:tcW w:w="2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(3,157</w:t>
            </w:r>
          </w:p>
        </w:tc>
        <w:tc>
          <w:tcPr>
            <w:tcW w:w="31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35,213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283"/>
              <w:ind w:left="0" w:right="0" w:hanging="180"/>
              <w:jc w:val="left"/>
              <w:rPr/>
            </w:pPr>
            <w:r>
              <w:rPr/>
              <w:t> </w:t>
            </w:r>
          </w:p>
        </w:tc>
      </w:tr>
      <w:tr>
        <w:trPr/>
        <w:tc>
          <w:tcPr>
            <w:tcW w:w="3978" w:type="dxa"/>
            <w:tcBorders/>
            <w:vAlign w:val="center"/>
          </w:tcPr>
          <w:p>
            <w:pPr>
              <w:pStyle w:val="TableContents"/>
              <w:bidi w:val="0"/>
              <w:spacing w:before="0" w:after="283"/>
              <w:jc w:val="left"/>
              <w:rPr/>
            </w:pPr>
            <w:r>
              <w:rPr/>
              <w:t>Gross margin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50</w:t>
            </w:r>
          </w:p>
        </w:tc>
        <w:tc>
          <w:tcPr>
            <w:tcW w:w="259"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(57</w:t>
            </w:r>
          </w:p>
        </w:tc>
        <w:tc>
          <w:tcPr>
            <w:tcW w:w="31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 </w:t>
            </w:r>
          </w:p>
        </w:tc>
        <w:tc>
          <w:tcPr>
            <w:tcW w:w="358" w:type="dxa"/>
            <w:tcBorders/>
            <w:vAlign w:val="center"/>
          </w:tcPr>
          <w:p>
            <w:pPr>
              <w:pStyle w:val="TableContents"/>
              <w:bidi w:val="0"/>
              <w:spacing w:before="0" w:after="283"/>
              <w:ind w:left="0" w:right="0" w:hanging="180"/>
              <w:jc w:val="left"/>
              <w:rPr/>
            </w:pPr>
            <w:r>
              <w:rPr/>
              <w:t> </w:t>
            </w:r>
          </w:p>
        </w:tc>
      </w:tr>
      <w:tr>
        <w:trPr/>
        <w:tc>
          <w:tcPr>
            <w:tcW w:w="3978"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3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358" w:type="dxa"/>
            <w:tcBorders/>
            <w:shd w:fill="CCEEFF" w:val="clear"/>
            <w:vAlign w:val="center"/>
          </w:tcPr>
          <w:p>
            <w:pPr>
              <w:pStyle w:val="TableContents"/>
              <w:bidi w:val="0"/>
              <w:spacing w:before="0" w:after="283"/>
              <w:ind w:left="0" w:right="0" w:hanging="180"/>
              <w:jc w:val="left"/>
              <w:rPr/>
            </w:pPr>
            <w:r>
              <w:rPr/>
              <w:t> </w:t>
            </w:r>
          </w:p>
        </w:tc>
      </w:tr>
      <w:tr>
        <w:trPr/>
        <w:tc>
          <w:tcPr>
            <w:tcW w:w="3978" w:type="dxa"/>
            <w:tcBorders/>
            <w:vAlign w:val="center"/>
          </w:tcPr>
          <w:p>
            <w:pPr>
              <w:pStyle w:val="TableContents"/>
              <w:bidi w:val="0"/>
              <w:spacing w:before="0" w:after="283"/>
              <w:jc w:val="left"/>
              <w:rPr/>
            </w:pPr>
            <w:r>
              <w:rPr/>
              <w:t>Sales commissions</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8,170</w:t>
            </w:r>
          </w:p>
        </w:tc>
        <w:tc>
          <w:tcPr>
            <w:tcW w:w="2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7,270</w:t>
            </w:r>
          </w:p>
        </w:tc>
        <w:tc>
          <w:tcPr>
            <w:tcW w:w="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12</w:t>
            </w:r>
          </w:p>
        </w:tc>
        <w:tc>
          <w:tcPr>
            <w:tcW w:w="358" w:type="dxa"/>
            <w:tcBorders/>
            <w:vAlign w:val="center"/>
          </w:tcPr>
          <w:p>
            <w:pPr>
              <w:pStyle w:val="TableContents"/>
              <w:bidi w:val="0"/>
              <w:spacing w:before="0" w:after="283"/>
              <w:ind w:left="0" w:right="0" w:hanging="180"/>
              <w:jc w:val="left"/>
              <w:rPr/>
            </w:pPr>
            <w:r>
              <w:rPr/>
              <w:t>%</w:t>
            </w:r>
          </w:p>
        </w:tc>
      </w:tr>
      <w:tr>
        <w:trPr/>
        <w:tc>
          <w:tcPr>
            <w:tcW w:w="39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Sales and marketing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5,819</w:t>
            </w:r>
          </w:p>
        </w:tc>
        <w:tc>
          <w:tcPr>
            <w:tcW w:w="2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1,093</w:t>
            </w:r>
          </w:p>
        </w:tc>
        <w:tc>
          <w:tcPr>
            <w:tcW w:w="3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4,726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432</w:t>
            </w:r>
          </w:p>
        </w:tc>
        <w:tc>
          <w:tcPr>
            <w:tcW w:w="358" w:type="dxa"/>
            <w:tcBorders/>
            <w:shd w:fill="CCEEFF" w:val="clear"/>
            <w:vAlign w:val="center"/>
          </w:tcPr>
          <w:p>
            <w:pPr>
              <w:pStyle w:val="TableContents"/>
              <w:bidi w:val="0"/>
              <w:spacing w:before="0" w:after="283"/>
              <w:ind w:left="0" w:right="0" w:hanging="180"/>
              <w:jc w:val="left"/>
              <w:rPr/>
            </w:pPr>
            <w:r>
              <w:rPr/>
              <w:t>%</w:t>
            </w:r>
          </w:p>
        </w:tc>
      </w:tr>
      <w:tr>
        <w:trPr/>
        <w:tc>
          <w:tcPr>
            <w:tcW w:w="3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19,663</w:t>
            </w:r>
          </w:p>
        </w:tc>
        <w:tc>
          <w:tcPr>
            <w:tcW w:w="2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18,450</w:t>
            </w:r>
          </w:p>
        </w:tc>
        <w:tc>
          <w:tcPr>
            <w:tcW w:w="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7</w:t>
            </w:r>
          </w:p>
        </w:tc>
        <w:tc>
          <w:tcPr>
            <w:tcW w:w="358" w:type="dxa"/>
            <w:tcBorders/>
            <w:vAlign w:val="center"/>
          </w:tcPr>
          <w:p>
            <w:pPr>
              <w:pStyle w:val="TableContents"/>
              <w:bidi w:val="0"/>
              <w:spacing w:before="0" w:after="283"/>
              <w:ind w:left="0" w:right="0" w:hanging="180"/>
              <w:jc w:val="left"/>
              <w:rPr/>
            </w:pPr>
            <w:r>
              <w:rPr/>
              <w:t>%</w:t>
            </w:r>
          </w:p>
        </w:tc>
      </w:tr>
      <w:tr>
        <w:trPr/>
        <w:tc>
          <w:tcPr>
            <w:tcW w:w="3978"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33,652</w:t>
            </w:r>
          </w:p>
        </w:tc>
        <w:tc>
          <w:tcPr>
            <w:tcW w:w="259"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26,813</w:t>
            </w:r>
          </w:p>
        </w:tc>
        <w:tc>
          <w:tcPr>
            <w:tcW w:w="3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6,839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26</w:t>
            </w:r>
          </w:p>
        </w:tc>
        <w:tc>
          <w:tcPr>
            <w:tcW w:w="358" w:type="dxa"/>
            <w:tcBorders/>
            <w:shd w:fill="CCEEFF" w:val="clear"/>
            <w:vAlign w:val="center"/>
          </w:tcPr>
          <w:p>
            <w:pPr>
              <w:pStyle w:val="TableContents"/>
              <w:bidi w:val="0"/>
              <w:spacing w:before="0" w:after="283"/>
              <w:ind w:left="0" w:right="0" w:hanging="180"/>
              <w:jc w:val="left"/>
              <w:rPr/>
            </w:pPr>
            <w:r>
              <w:rPr/>
              <w:t>%</w:t>
            </w:r>
          </w:p>
        </w:tc>
      </w:tr>
      <w:tr>
        <w:trPr/>
        <w:tc>
          <w:tcPr>
            <w:tcW w:w="3978" w:type="dxa"/>
            <w:tcBorders/>
            <w:vAlign w:val="center"/>
          </w:tcPr>
          <w:p>
            <w:pPr>
              <w:pStyle w:val="TableContents"/>
              <w:bidi w:val="0"/>
              <w:spacing w:before="0" w:after="283"/>
              <w:jc w:val="left"/>
              <w:rPr/>
            </w:pPr>
            <w:r>
              <w:rPr/>
              <w:t>Loss from continuing operations</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(1,596</w:t>
            </w:r>
          </w:p>
        </w:tc>
        <w:tc>
          <w:tcPr>
            <w:tcW w:w="259"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(29,970</w:t>
            </w:r>
          </w:p>
        </w:tc>
        <w:tc>
          <w:tcPr>
            <w:tcW w:w="31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28,374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8" w:type="dxa"/>
            <w:tcBorders/>
            <w:vAlign w:val="center"/>
          </w:tcPr>
          <w:p>
            <w:pPr>
              <w:pStyle w:val="TableContents"/>
              <w:bidi w:val="0"/>
              <w:spacing w:before="0" w:after="283"/>
              <w:ind w:left="0" w:right="0" w:hanging="180"/>
              <w:jc w:val="left"/>
              <w:rPr/>
            </w:pPr>
            <w:r>
              <w:rPr/>
              <w:t> </w:t>
            </w:r>
          </w:p>
        </w:tc>
      </w:tr>
      <w:tr>
        <w:trPr/>
        <w:tc>
          <w:tcPr>
            <w:tcW w:w="39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(6,738</w:t>
            </w:r>
          </w:p>
        </w:tc>
        <w:tc>
          <w:tcPr>
            <w:tcW w:w="259"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(2,338</w:t>
            </w:r>
          </w:p>
        </w:tc>
        <w:tc>
          <w:tcPr>
            <w:tcW w:w="31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(4,400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188</w:t>
            </w:r>
          </w:p>
        </w:tc>
        <w:tc>
          <w:tcPr>
            <w:tcW w:w="358" w:type="dxa"/>
            <w:tcBorders/>
            <w:shd w:fill="CCEEFF" w:val="clear"/>
            <w:vAlign w:val="center"/>
          </w:tcPr>
          <w:p>
            <w:pPr>
              <w:pStyle w:val="TableContents"/>
              <w:bidi w:val="0"/>
              <w:spacing w:before="0" w:after="283"/>
              <w:ind w:left="0" w:right="0" w:hanging="180"/>
              <w:jc w:val="left"/>
              <w:rPr/>
            </w:pPr>
            <w:r>
              <w:rPr/>
              <w:t>%</w:t>
            </w:r>
          </w:p>
        </w:tc>
      </w:tr>
      <w:tr>
        <w:trPr/>
        <w:tc>
          <w:tcPr>
            <w:tcW w:w="3978"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w:t>
            </w:r>
          </w:p>
        </w:tc>
        <w:tc>
          <w:tcPr>
            <w:tcW w:w="2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86</w:t>
            </w:r>
          </w:p>
        </w:tc>
        <w:tc>
          <w:tcPr>
            <w:tcW w:w="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(100</w:t>
            </w:r>
          </w:p>
        </w:tc>
        <w:tc>
          <w:tcPr>
            <w:tcW w:w="358" w:type="dxa"/>
            <w:tcBorders/>
            <w:vAlign w:val="center"/>
          </w:tcPr>
          <w:p>
            <w:pPr>
              <w:pStyle w:val="TableContents"/>
              <w:bidi w:val="0"/>
              <w:spacing w:before="0" w:after="283"/>
              <w:ind w:left="0" w:right="0" w:hanging="180"/>
              <w:jc w:val="left"/>
              <w:rPr/>
            </w:pPr>
            <w:r>
              <w:rPr/>
              <w:t>)%</w:t>
            </w:r>
          </w:p>
        </w:tc>
      </w:tr>
      <w:tr>
        <w:trPr/>
        <w:tc>
          <w:tcPr>
            <w:tcW w:w="39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 net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(4,256</w:t>
            </w:r>
          </w:p>
        </w:tc>
        <w:tc>
          <w:tcPr>
            <w:tcW w:w="259"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(65,684</w:t>
            </w:r>
          </w:p>
        </w:tc>
        <w:tc>
          <w:tcPr>
            <w:tcW w:w="31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61,428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(94</w:t>
            </w:r>
          </w:p>
        </w:tc>
        <w:tc>
          <w:tcPr>
            <w:tcW w:w="358" w:type="dxa"/>
            <w:tcBorders/>
            <w:shd w:fill="CCEEFF" w:val="clear"/>
            <w:vAlign w:val="center"/>
          </w:tcPr>
          <w:p>
            <w:pPr>
              <w:pStyle w:val="TableContents"/>
              <w:bidi w:val="0"/>
              <w:spacing w:before="0" w:after="283"/>
              <w:jc w:val="left"/>
              <w:rPr/>
            </w:pPr>
            <w:r>
              <w:rPr/>
              <w:t>)%</w:t>
            </w:r>
          </w:p>
        </w:tc>
      </w:tr>
      <w:tr>
        <w:trPr/>
        <w:tc>
          <w:tcPr>
            <w:tcW w:w="3978" w:type="dxa"/>
            <w:tcBorders/>
            <w:vAlign w:val="center"/>
          </w:tcPr>
          <w:p>
            <w:pPr>
              <w:pStyle w:val="TableContents"/>
              <w:bidi w:val="0"/>
              <w:spacing w:before="0" w:after="283"/>
              <w:jc w:val="left"/>
              <w:rPr/>
            </w:pPr>
            <w:r>
              <w:rPr/>
              <w:t>Gain on extinguishment of debt</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w:t>
            </w:r>
          </w:p>
        </w:tc>
        <w:tc>
          <w:tcPr>
            <w:tcW w:w="2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19,948</w:t>
            </w:r>
          </w:p>
        </w:tc>
        <w:tc>
          <w:tcPr>
            <w:tcW w:w="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(19,948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(100</w:t>
            </w:r>
          </w:p>
        </w:tc>
        <w:tc>
          <w:tcPr>
            <w:tcW w:w="358" w:type="dxa"/>
            <w:tcBorders/>
            <w:vAlign w:val="center"/>
          </w:tcPr>
          <w:p>
            <w:pPr>
              <w:pStyle w:val="TableContents"/>
              <w:bidi w:val="0"/>
              <w:spacing w:before="0" w:after="283"/>
              <w:ind w:left="0" w:right="0" w:hanging="180"/>
              <w:jc w:val="left"/>
              <w:rPr/>
            </w:pPr>
            <w:r>
              <w:rPr/>
              <w:t>)%</w:t>
            </w:r>
          </w:p>
        </w:tc>
      </w:tr>
      <w:tr>
        <w:trPr/>
        <w:tc>
          <w:tcPr>
            <w:tcW w:w="3978" w:type="dxa"/>
            <w:tcBorders/>
            <w:shd w:fill="CCEEFF" w:val="clear"/>
            <w:vAlign w:val="center"/>
          </w:tcPr>
          <w:p>
            <w:pPr>
              <w:pStyle w:val="TableContents"/>
              <w:bidi w:val="0"/>
              <w:spacing w:before="0" w:after="283"/>
              <w:jc w:val="left"/>
              <w:rPr/>
            </w:pPr>
            <w:r>
              <w:rPr/>
              <w:t>Loss from continuing operations before taxes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(12,590</w:t>
            </w:r>
          </w:p>
        </w:tc>
        <w:tc>
          <w:tcPr>
            <w:tcW w:w="259"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(77,958</w:t>
            </w:r>
          </w:p>
        </w:tc>
        <w:tc>
          <w:tcPr>
            <w:tcW w:w="31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65,368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283"/>
              <w:ind w:left="0" w:right="0" w:hanging="180"/>
              <w:jc w:val="left"/>
              <w:rPr/>
            </w:pPr>
            <w:r>
              <w:rPr/>
              <w:t> </w:t>
            </w:r>
          </w:p>
        </w:tc>
      </w:tr>
      <w:tr>
        <w:trPr/>
        <w:tc>
          <w:tcPr>
            <w:tcW w:w="3978" w:type="dxa"/>
            <w:tcBorders/>
            <w:vAlign w:val="center"/>
          </w:tcPr>
          <w:p>
            <w:pPr>
              <w:pStyle w:val="TableContents"/>
              <w:bidi w:val="0"/>
              <w:spacing w:before="0" w:after="283"/>
              <w:jc w:val="left"/>
              <w:rPr/>
            </w:pPr>
            <w:r>
              <w:rPr/>
              <w:t>Income tax benefit (provision)</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w:t>
            </w:r>
          </w:p>
        </w:tc>
        <w:tc>
          <w:tcPr>
            <w:tcW w:w="2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w:t>
            </w:r>
          </w:p>
        </w:tc>
        <w:tc>
          <w:tcPr>
            <w:tcW w:w="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w:t>
            </w:r>
          </w:p>
        </w:tc>
        <w:tc>
          <w:tcPr>
            <w:tcW w:w="358" w:type="dxa"/>
            <w:tcBorders/>
            <w:vAlign w:val="center"/>
          </w:tcPr>
          <w:p>
            <w:pPr>
              <w:pStyle w:val="TableContents"/>
              <w:bidi w:val="0"/>
              <w:spacing w:before="0" w:after="283"/>
              <w:ind w:left="0" w:right="0" w:hanging="180"/>
              <w:jc w:val="left"/>
              <w:rPr/>
            </w:pPr>
            <w:r>
              <w:rPr/>
              <w:t> </w:t>
            </w:r>
          </w:p>
        </w:tc>
      </w:tr>
      <w:tr>
        <w:trPr/>
        <w:tc>
          <w:tcPr>
            <w:tcW w:w="3978"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pPr>
            <w:r>
              <w:rPr/>
              <w:t>(12,590</w:t>
            </w:r>
          </w:p>
        </w:tc>
        <w:tc>
          <w:tcPr>
            <w:tcW w:w="259"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pPr>
            <w:r>
              <w:rPr/>
              <w:t>(77,958</w:t>
            </w:r>
          </w:p>
        </w:tc>
        <w:tc>
          <w:tcPr>
            <w:tcW w:w="31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65,368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68"/>
        <w:gridCol w:w="260"/>
        <w:gridCol w:w="581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stock-based compensation expense as follows </w:t>
            </w:r>
            <w:r>
              <w:rPr>
                <w:rFonts w:ascii="Times New Roman;Times;Serif" w:hAnsi="Times New Roman;Times;Serif"/>
                <w:i/>
                <w:sz w:val="20"/>
              </w:rPr>
              <w:t>(in thousands)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347" w:type="dxa"/>
        <w:jc w:val="left"/>
        <w:tblInd w:w="0" w:type="dxa"/>
        <w:tblLayout w:type="fixed"/>
        <w:tblCellMar>
          <w:top w:w="0" w:type="dxa"/>
          <w:left w:w="0" w:type="dxa"/>
          <w:bottom w:w="0" w:type="dxa"/>
          <w:right w:w="0" w:type="dxa"/>
        </w:tblCellMar>
      </w:tblPr>
      <w:tblGrid>
        <w:gridCol w:w="3920"/>
        <w:gridCol w:w="90"/>
        <w:gridCol w:w="336"/>
        <w:gridCol w:w="1168"/>
        <w:gridCol w:w="127"/>
        <w:gridCol w:w="127"/>
        <w:gridCol w:w="323"/>
        <w:gridCol w:w="1121"/>
        <w:gridCol w:w="135"/>
      </w:tblGrid>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0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(As Restated)</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both"/>
              <w:rPr/>
            </w:pPr>
            <w:r>
              <w:rPr/>
              <w:t>Cost of revenues</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714</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1" w:type="dxa"/>
            <w:tcBorders/>
            <w:shd w:fill="CCEEFF" w:val="clear"/>
            <w:vAlign w:val="center"/>
          </w:tcPr>
          <w:p>
            <w:pPr>
              <w:pStyle w:val="TableContents"/>
              <w:bidi w:val="0"/>
              <w:spacing w:before="0" w:after="283"/>
              <w:jc w:val="right"/>
              <w:rPr/>
            </w:pPr>
            <w:r>
              <w:rPr/>
              <w:t>49</w:t>
            </w:r>
          </w:p>
        </w:tc>
        <w:tc>
          <w:tcPr>
            <w:tcW w:w="13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both"/>
              <w:rPr/>
            </w:pPr>
            <w:r>
              <w:rPr/>
              <w:t>Sales and marketing</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570</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196</w:t>
            </w:r>
          </w:p>
        </w:tc>
        <w:tc>
          <w:tcPr>
            <w:tcW w:w="13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both"/>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839</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pPr>
            <w:r>
              <w:rPr/>
              <w:t>1,271</w:t>
            </w:r>
          </w:p>
        </w:tc>
        <w:tc>
          <w:tcPr>
            <w:tcW w:w="13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both"/>
              <w:rPr/>
            </w:pPr>
            <w:r>
              <w:rPr/>
              <w:t>Total stock-based compensation expense</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2,123</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23" w:type="dxa"/>
            <w:tcBorders>
              <w:bottom w:val="double" w:sz="10" w:space="0" w:color="000000"/>
            </w:tcBorders>
            <w:tcMar>
              <w:bottom w:w="28" w:type="dxa"/>
            </w:tcMar>
            <w:vAlign w:val="center"/>
          </w:tcPr>
          <w:p>
            <w:pPr>
              <w:pStyle w:val="TableContents"/>
              <w:bidi w:val="0"/>
              <w:spacing w:before="0" w:after="283"/>
              <w:jc w:val="left"/>
              <w:rPr/>
            </w:pPr>
            <w:r>
              <w:rPr/>
              <w:t>$</w:t>
            </w:r>
          </w:p>
        </w:tc>
        <w:tc>
          <w:tcPr>
            <w:tcW w:w="1121" w:type="dxa"/>
            <w:tcBorders>
              <w:bottom w:val="double" w:sz="10" w:space="0" w:color="000000"/>
            </w:tcBorders>
            <w:tcMar>
              <w:bottom w:w="28" w:type="dxa"/>
            </w:tcMar>
            <w:vAlign w:val="center"/>
          </w:tcPr>
          <w:p>
            <w:pPr>
              <w:pStyle w:val="TableContents"/>
              <w:bidi w:val="0"/>
              <w:spacing w:before="0" w:after="283"/>
              <w:jc w:val="right"/>
              <w:rPr/>
            </w:pPr>
            <w:r>
              <w:rPr/>
              <w:t>1,516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interest expense and amortization of debt issuance costs to related party of $1.7 million and $1.5 million in the thirteen-weeks ended September 28, 2025 and September 29, 2024, respectively.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loss of $3.0 million on issuance of derivative liability with a related party in the thirteen week period ended September 29, 2024. Includes expense of $0.3 million and $22.8 million due to the change in the fair value of derivative liabilities with related parties in the thirteen weeks ended September 28, 2025 and September 29, 2024, respectively.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details.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includes related party transactions of $2.8 million of income due to the change in the fair value of a forward purchase agreement, and $0.9 million of expense related to the change in fair value of a SAFE Agreement in the thirteen week period ended September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types of services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476" w:type="dxa"/>
        <w:jc w:val="left"/>
        <w:tblInd w:w="0" w:type="dxa"/>
        <w:tblLayout w:type="fixed"/>
        <w:tblCellMar>
          <w:top w:w="0" w:type="dxa"/>
          <w:left w:w="0" w:type="dxa"/>
          <w:bottom w:w="0" w:type="dxa"/>
          <w:right w:w="0" w:type="dxa"/>
        </w:tblCellMar>
      </w:tblPr>
      <w:tblGrid>
        <w:gridCol w:w="2765"/>
        <w:gridCol w:w="90"/>
        <w:gridCol w:w="290"/>
        <w:gridCol w:w="1215"/>
        <w:gridCol w:w="118"/>
        <w:gridCol w:w="118"/>
        <w:gridCol w:w="336"/>
        <w:gridCol w:w="1169"/>
        <w:gridCol w:w="90"/>
        <w:gridCol w:w="90"/>
        <w:gridCol w:w="170"/>
        <w:gridCol w:w="710"/>
        <w:gridCol w:w="90"/>
        <w:gridCol w:w="90"/>
        <w:gridCol w:w="111"/>
        <w:gridCol w:w="734"/>
        <w:gridCol w:w="290"/>
      </w:tblGrid>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2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(As Restated)</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35,179</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5,536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29,643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535</w:t>
            </w:r>
          </w:p>
        </w:tc>
        <w:tc>
          <w:tcPr>
            <w:tcW w:w="290" w:type="dxa"/>
            <w:tcBorders/>
            <w:shd w:fill="CCEEFF" w:val="clear"/>
            <w:vAlign w:val="center"/>
          </w:tcPr>
          <w:p>
            <w:pPr>
              <w:pStyle w:val="TableContents"/>
              <w:bidi w:val="0"/>
              <w:spacing w:before="0" w:after="283"/>
              <w:jc w:val="left"/>
              <w:rPr/>
            </w:pPr>
            <w:r>
              <w:rPr/>
              <w:t>%</w:t>
            </w:r>
          </w:p>
        </w:tc>
      </w:tr>
      <w:tr>
        <w:trPr/>
        <w:tc>
          <w:tcPr>
            <w:tcW w:w="276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28,502</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28,502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806</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Total revenues</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64,487</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5,536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58,951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1,065</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increase is primarily attributed to the SunPower Acquisition in the fourth quarter of fiscal 2024. As a result, installations increased compared to the same period in the prior year by approximately 1,290 and 757 for Residential Solar Installation and New Homes Business reportable segments,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 and gross margins</w:t>
      </w:r>
    </w:p>
    <w:p>
      <w:pPr>
        <w:pStyle w:val="TextBody"/>
        <w:bidi w:val="0"/>
        <w:spacing w:before="0" w:after="0"/>
        <w:ind w:left="0" w:right="0" w:firstLine="72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765"/>
        <w:gridCol w:w="90"/>
        <w:gridCol w:w="290"/>
        <w:gridCol w:w="1214"/>
        <w:gridCol w:w="298"/>
        <w:gridCol w:w="109"/>
        <w:gridCol w:w="336"/>
        <w:gridCol w:w="1168"/>
        <w:gridCol w:w="320"/>
        <w:gridCol w:w="90"/>
        <w:gridCol w:w="170"/>
        <w:gridCol w:w="710"/>
        <w:gridCol w:w="90"/>
        <w:gridCol w:w="90"/>
        <w:gridCol w:w="152"/>
        <w:gridCol w:w="693"/>
        <w:gridCol w:w="290"/>
      </w:tblGrid>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4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September 28,</w:t>
            </w:r>
          </w:p>
        </w:tc>
        <w:tc>
          <w:tcPr>
            <w:tcW w:w="29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September 29,</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(As Restated)</w:t>
            </w:r>
          </w:p>
        </w:tc>
        <w:tc>
          <w:tcPr>
            <w:tcW w:w="29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20,995</w:t>
            </w:r>
          </w:p>
        </w:tc>
        <w:tc>
          <w:tcPr>
            <w:tcW w:w="29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8,693</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12,302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142</w:t>
            </w:r>
          </w:p>
        </w:tc>
        <w:tc>
          <w:tcPr>
            <w:tcW w:w="290" w:type="dxa"/>
            <w:tcBorders/>
            <w:shd w:fill="CCEEFF" w:val="clear"/>
            <w:vAlign w:val="center"/>
          </w:tcPr>
          <w:p>
            <w:pPr>
              <w:pStyle w:val="TableContents"/>
              <w:bidi w:val="0"/>
              <w:spacing w:before="0" w:after="283"/>
              <w:jc w:val="left"/>
              <w:rPr/>
            </w:pPr>
            <w:r>
              <w:rPr/>
              <w:t>%</w:t>
            </w:r>
          </w:p>
        </w:tc>
      </w:tr>
      <w:tr>
        <w:trPr/>
        <w:tc>
          <w:tcPr>
            <w:tcW w:w="276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11,436</w:t>
            </w:r>
          </w:p>
        </w:tc>
        <w:tc>
          <w:tcPr>
            <w:tcW w:w="29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11,436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9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Total cost of revenues</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tcMar>
              <w:bottom w:w="28" w:type="dxa"/>
            </w:tcMar>
            <w:vAlign w:val="center"/>
          </w:tcPr>
          <w:p>
            <w:pPr>
              <w:pStyle w:val="TableContents"/>
              <w:bidi w:val="0"/>
              <w:spacing w:before="0" w:after="283"/>
              <w:jc w:val="right"/>
              <w:rPr/>
            </w:pPr>
            <w:r>
              <w:rPr/>
              <w:t>32,431</w:t>
            </w:r>
          </w:p>
        </w:tc>
        <w:tc>
          <w:tcPr>
            <w:tcW w:w="29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8,693</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23,738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273</w:t>
            </w:r>
          </w:p>
        </w:tc>
        <w:tc>
          <w:tcPr>
            <w:tcW w:w="290" w:type="dxa"/>
            <w:tcBorders/>
            <w:vAlign w:val="center"/>
          </w:tcPr>
          <w:p>
            <w:pPr>
              <w:pStyle w:val="TableContents"/>
              <w:bidi w:val="0"/>
              <w:spacing w:before="0" w:after="283"/>
              <w:jc w:val="left"/>
              <w:rPr/>
            </w:pPr>
            <w:r>
              <w:rPr/>
              <w:t>%</w:t>
            </w:r>
          </w:p>
        </w:tc>
      </w:tr>
      <w:tr>
        <w:trPr/>
        <w:tc>
          <w:tcPr>
            <w:tcW w:w="276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b/>
              </w:rPr>
            </w:pPr>
            <w:r>
              <w:rPr>
                <w:b/>
              </w:rPr>
              <w:t>Gross margin</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50</w:t>
            </w:r>
          </w:p>
        </w:tc>
        <w:tc>
          <w:tcPr>
            <w:tcW w:w="29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(57</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increased attributed to the SunPower Acquisition as installations increased the over the same period in the prior year period by approximately 1,290 and 757 for Residential Solar Installation and New Homes Business reportable segments,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8459" w:type="dxa"/>
        <w:jc w:val="left"/>
        <w:tblInd w:w="0" w:type="dxa"/>
        <w:tblLayout w:type="fixed"/>
        <w:tblCellMar>
          <w:top w:w="0" w:type="dxa"/>
          <w:left w:w="0" w:type="dxa"/>
          <w:bottom w:w="0" w:type="dxa"/>
          <w:right w:w="0" w:type="dxa"/>
        </w:tblCellMar>
      </w:tblPr>
      <w:tblGrid>
        <w:gridCol w:w="2765"/>
        <w:gridCol w:w="90"/>
        <w:gridCol w:w="336"/>
        <w:gridCol w:w="1169"/>
        <w:gridCol w:w="127"/>
        <w:gridCol w:w="127"/>
        <w:gridCol w:w="336"/>
        <w:gridCol w:w="1169"/>
        <w:gridCol w:w="90"/>
        <w:gridCol w:w="90"/>
        <w:gridCol w:w="247"/>
        <w:gridCol w:w="598"/>
        <w:gridCol w:w="90"/>
        <w:gridCol w:w="90"/>
        <w:gridCol w:w="200"/>
        <w:gridCol w:w="645"/>
        <w:gridCol w:w="290"/>
      </w:tblGrid>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2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(As Restated)</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7,479</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7,270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209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3</w:t>
            </w:r>
          </w:p>
        </w:tc>
        <w:tc>
          <w:tcPr>
            <w:tcW w:w="290" w:type="dxa"/>
            <w:tcBorders/>
            <w:shd w:fill="CCEEFF" w:val="clear"/>
            <w:vAlign w:val="center"/>
          </w:tcPr>
          <w:p>
            <w:pPr>
              <w:pStyle w:val="TableContents"/>
              <w:bidi w:val="0"/>
              <w:spacing w:before="0" w:after="283"/>
              <w:jc w:val="left"/>
              <w:rPr/>
            </w:pPr>
            <w:r>
              <w:rPr/>
              <w:t>%</w:t>
            </w:r>
          </w:p>
        </w:tc>
      </w:tr>
      <w:tr>
        <w:trPr/>
        <w:tc>
          <w:tcPr>
            <w:tcW w:w="276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55</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right"/>
              <w:rPr/>
            </w:pPr>
            <w:r>
              <w:rPr/>
              <w:t>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636</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636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Total sales commissions</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8,170</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7,270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pPr>
            <w:r>
              <w:rPr/>
              <w:t>$</w:t>
            </w:r>
          </w:p>
        </w:tc>
        <w:tc>
          <w:tcPr>
            <w:tcW w:w="598" w:type="dxa"/>
            <w:tcBorders>
              <w:bottom w:val="double" w:sz="10" w:space="0" w:color="000000"/>
            </w:tcBorders>
            <w:tcMar>
              <w:bottom w:w="28" w:type="dxa"/>
            </w:tcMar>
            <w:vAlign w:val="center"/>
          </w:tcPr>
          <w:p>
            <w:pPr>
              <w:pStyle w:val="TableContents"/>
              <w:bidi w:val="0"/>
              <w:spacing w:before="0" w:after="283"/>
              <w:jc w:val="right"/>
              <w:rPr/>
            </w:pPr>
            <w:r>
              <w:rPr/>
              <w:t>900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pPr>
            <w:r>
              <w:rPr/>
              <w:t>12</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for the Residential Solar Installation and New Homes Business reportable segments increased due to the increase in revenue arising from the SunPower Acquisition in the fourth quarter of fiscal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tbl>
      <w:tblPr>
        <w:tblW w:w="8459" w:type="dxa"/>
        <w:jc w:val="left"/>
        <w:tblInd w:w="0" w:type="dxa"/>
        <w:tblLayout w:type="fixed"/>
        <w:tblCellMar>
          <w:top w:w="0" w:type="dxa"/>
          <w:left w:w="0" w:type="dxa"/>
          <w:bottom w:w="0" w:type="dxa"/>
          <w:right w:w="0" w:type="dxa"/>
        </w:tblCellMar>
      </w:tblPr>
      <w:tblGrid>
        <w:gridCol w:w="2765"/>
        <w:gridCol w:w="90"/>
        <w:gridCol w:w="336"/>
        <w:gridCol w:w="1169"/>
        <w:gridCol w:w="127"/>
        <w:gridCol w:w="127"/>
        <w:gridCol w:w="336"/>
        <w:gridCol w:w="1169"/>
        <w:gridCol w:w="90"/>
        <w:gridCol w:w="90"/>
        <w:gridCol w:w="189"/>
        <w:gridCol w:w="656"/>
        <w:gridCol w:w="90"/>
        <w:gridCol w:w="90"/>
        <w:gridCol w:w="152"/>
        <w:gridCol w:w="693"/>
        <w:gridCol w:w="290"/>
      </w:tblGrid>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2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pPr>
            <w:r>
              <w:rPr/>
              <w:t>(As Restated)</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4,171</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1,093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656" w:type="dxa"/>
            <w:tcBorders/>
            <w:shd w:fill="CCEEFF" w:val="clear"/>
            <w:vAlign w:val="center"/>
          </w:tcPr>
          <w:p>
            <w:pPr>
              <w:pStyle w:val="TableContents"/>
              <w:bidi w:val="0"/>
              <w:spacing w:before="0" w:after="283"/>
              <w:jc w:val="right"/>
              <w:rPr/>
            </w:pPr>
            <w:r>
              <w:rPr/>
              <w:t>3,078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282</w:t>
            </w:r>
          </w:p>
        </w:tc>
        <w:tc>
          <w:tcPr>
            <w:tcW w:w="290" w:type="dxa"/>
            <w:tcBorders/>
            <w:shd w:fill="CCEEFF" w:val="clear"/>
            <w:vAlign w:val="center"/>
          </w:tcPr>
          <w:p>
            <w:pPr>
              <w:pStyle w:val="TableContents"/>
              <w:bidi w:val="0"/>
              <w:spacing w:before="0" w:after="283"/>
              <w:jc w:val="left"/>
              <w:rPr/>
            </w:pPr>
            <w:r>
              <w:rPr/>
              <w:t>%</w:t>
            </w:r>
          </w:p>
        </w:tc>
      </w:tr>
      <w:tr>
        <w:trPr/>
        <w:tc>
          <w:tcPr>
            <w:tcW w:w="276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1,648</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1,648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Total sales and marketing</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5,819</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1,093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656" w:type="dxa"/>
            <w:tcBorders>
              <w:bottom w:val="double" w:sz="10" w:space="0" w:color="000000"/>
            </w:tcBorders>
            <w:tcMar>
              <w:bottom w:w="28" w:type="dxa"/>
            </w:tcMar>
            <w:vAlign w:val="center"/>
          </w:tcPr>
          <w:p>
            <w:pPr>
              <w:pStyle w:val="TableContents"/>
              <w:bidi w:val="0"/>
              <w:spacing w:before="0" w:after="283"/>
              <w:jc w:val="right"/>
              <w:rPr/>
            </w:pPr>
            <w:r>
              <w:rPr/>
              <w:t>4,726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432</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 the Residential Solar Installation reportable segment increased due to the SunPower Acquisition in the fourth quarter of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tbl>
      <w:tblPr>
        <w:tblW w:w="8867" w:type="dxa"/>
        <w:jc w:val="left"/>
        <w:tblInd w:w="0" w:type="dxa"/>
        <w:tblLayout w:type="fixed"/>
        <w:tblCellMar>
          <w:top w:w="0" w:type="dxa"/>
          <w:left w:w="0" w:type="dxa"/>
          <w:bottom w:w="0" w:type="dxa"/>
          <w:right w:w="0" w:type="dxa"/>
        </w:tblCellMar>
      </w:tblPr>
      <w:tblGrid>
        <w:gridCol w:w="3095"/>
        <w:gridCol w:w="90"/>
        <w:gridCol w:w="290"/>
        <w:gridCol w:w="1215"/>
        <w:gridCol w:w="111"/>
        <w:gridCol w:w="111"/>
        <w:gridCol w:w="290"/>
        <w:gridCol w:w="1215"/>
        <w:gridCol w:w="90"/>
        <w:gridCol w:w="90"/>
        <w:gridCol w:w="172"/>
        <w:gridCol w:w="673"/>
        <w:gridCol w:w="125"/>
        <w:gridCol w:w="90"/>
        <w:gridCol w:w="167"/>
        <w:gridCol w:w="678"/>
        <w:gridCol w:w="365"/>
      </w:tblGrid>
      <w:tr>
        <w:trPr/>
        <w:tc>
          <w:tcPr>
            <w:tcW w:w="30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2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6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pPr>
            <w:r>
              <w:rPr/>
              <w:t>(As Restated)</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11,449</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18,450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73" w:type="dxa"/>
            <w:tcBorders/>
            <w:shd w:fill="CCEEFF" w:val="clear"/>
            <w:vAlign w:val="center"/>
          </w:tcPr>
          <w:p>
            <w:pPr>
              <w:pStyle w:val="TableContents"/>
              <w:bidi w:val="0"/>
              <w:spacing w:before="0" w:after="283"/>
              <w:jc w:val="right"/>
              <w:rPr/>
            </w:pPr>
            <w:r>
              <w:rPr/>
              <w:t>(7,001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(38</w:t>
            </w:r>
          </w:p>
        </w:tc>
        <w:tc>
          <w:tcPr>
            <w:tcW w:w="365" w:type="dxa"/>
            <w:tcBorders/>
            <w:shd w:fill="CCEEFF" w:val="clear"/>
            <w:vAlign w:val="center"/>
          </w:tcPr>
          <w:p>
            <w:pPr>
              <w:pStyle w:val="TableContents"/>
              <w:bidi w:val="0"/>
              <w:spacing w:before="0" w:after="283"/>
              <w:jc w:val="left"/>
              <w:rPr/>
            </w:pPr>
            <w:r>
              <w:rPr/>
              <w:t>)%</w:t>
            </w:r>
          </w:p>
        </w:tc>
      </w:tr>
      <w:tr>
        <w:trPr/>
        <w:tc>
          <w:tcPr>
            <w:tcW w:w="309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8,214</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8,214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Total general and administrative</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19,663</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18,450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w:t>
            </w:r>
          </w:p>
        </w:tc>
        <w:tc>
          <w:tcPr>
            <w:tcW w:w="673" w:type="dxa"/>
            <w:tcBorders>
              <w:bottom w:val="double" w:sz="10" w:space="0" w:color="000000"/>
            </w:tcBorders>
            <w:tcMar>
              <w:bottom w:w="28" w:type="dxa"/>
            </w:tcMar>
            <w:vAlign w:val="center"/>
          </w:tcPr>
          <w:p>
            <w:pPr>
              <w:pStyle w:val="TableContents"/>
              <w:bidi w:val="0"/>
              <w:spacing w:before="0" w:after="283"/>
              <w:jc w:val="right"/>
              <w:rPr/>
            </w:pPr>
            <w:r>
              <w:rPr/>
              <w:t>1,213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7</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Residential Solar Installation and New Homes Business reportable segments increased due to the SunPower Acquisition in the fourth quarter of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in the thirteen-weeks ended September 28, 2025 consisted principally of $1.3 million attributable to the July 2024 Notes, $5.1 million attributable to the September 2024 Notes and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 weeks ended September 29, 2024 consisted principally of $1.3 million of interest expense relating to our July 2024 Notes, $0.5 million relating to the September 2024 Notes and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for the thirteen weeks ended September 28, 2025, was $4.3 million. The main drivers consist of $2.0 million expense due to the remeasurement of the fair value of derivative liabilities associated with our 12% and 7% senior unsecured convertible notes and $2.4 million expense associated with the change in the fair value of our forward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in the thirteen-weeks ended September 29, 2024 was expense of $65.7 million and was comprised of $62.6 million related to the recognition of a derivative liability and subsequent change in fair value, $6.0 million of expense arising from changes in the fair value of warrants issued for our common stock, $3.8 million of other financing costs, $0.9 million expense arising from the change in the fair value of a SAFE Agreement and $0.1 million of other expenses, partially offset by $7.7 million of income related to changes in the fair value of our forward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from continuing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loss from continuing operations for the thirteen-weeks ended September 28, 2025 was $12.6 million, a $65.4 million decrease in our net loss as compared to a net loss from continuing operations of $78.0 million for the thirteen weeks ended September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Thirty-nine weeks ended September 28, 2025 compared to the thirty-nine weeks ended September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from continuing operations for the thirty-nine weeks ended September 28, 2025, and the thirty-nine weeks ended September 29,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1"/>
        <w:gridCol w:w="90"/>
        <w:gridCol w:w="255"/>
        <w:gridCol w:w="1250"/>
        <w:gridCol w:w="267"/>
        <w:gridCol w:w="98"/>
        <w:gridCol w:w="238"/>
        <w:gridCol w:w="1267"/>
        <w:gridCol w:w="296"/>
        <w:gridCol w:w="90"/>
        <w:gridCol w:w="170"/>
        <w:gridCol w:w="830"/>
        <w:gridCol w:w="125"/>
        <w:gridCol w:w="90"/>
        <w:gridCol w:w="132"/>
        <w:gridCol w:w="713"/>
        <w:gridCol w:w="343"/>
      </w:tblGrid>
      <w:tr>
        <w:trPr/>
        <w:tc>
          <w:tcPr>
            <w:tcW w:w="395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3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343" w:type="dxa"/>
            <w:tcBorders/>
            <w:vAlign w:val="center"/>
          </w:tcPr>
          <w:p>
            <w:pPr>
              <w:pStyle w:val="TableContents"/>
              <w:bidi w:val="0"/>
              <w:spacing w:before="0" w:after="283"/>
              <w:jc w:val="left"/>
              <w:rPr/>
            </w:pPr>
            <w:r>
              <w:rPr/>
              <w:t> </w:t>
            </w:r>
          </w:p>
        </w:tc>
      </w:tr>
      <w:tr>
        <w:trPr/>
        <w:tc>
          <w:tcPr>
            <w:tcW w:w="3951" w:type="dxa"/>
            <w:tcBorders>
              <w:bottom w:val="single" w:sz="12" w:space="0" w:color="000000"/>
            </w:tcBorders>
            <w:tcMar>
              <w:bottom w:w="28" w:type="dxa"/>
            </w:tcMar>
            <w:vAlign w:val="center"/>
          </w:tcPr>
          <w:p>
            <w:pPr>
              <w:pStyle w:val="TableContents"/>
              <w:bidi w:val="0"/>
              <w:spacing w:before="0" w:after="283"/>
              <w:jc w:val="both"/>
              <w:rPr>
                <w:b/>
                <w:i/>
              </w:rPr>
            </w:pPr>
            <w:r>
              <w:rPr>
                <w:b/>
                <w:i/>
              </w:rPr>
              <w:t>(in thousands)</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26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43" w:type="dxa"/>
            <w:tcBorders/>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pPr>
            <w:r>
              <w:rPr/>
              <w:t>(As Restated)</w:t>
            </w:r>
          </w:p>
        </w:tc>
        <w:tc>
          <w:tcPr>
            <w:tcW w:w="26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343" w:type="dxa"/>
            <w:tcBorders/>
            <w:vAlign w:val="center"/>
          </w:tcPr>
          <w:p>
            <w:pPr>
              <w:pStyle w:val="TableContents"/>
              <w:bidi w:val="0"/>
              <w:spacing w:before="0" w:after="283"/>
              <w:jc w:val="left"/>
              <w:rPr/>
            </w:pPr>
            <w:r>
              <w:rPr/>
              <w:t> </w:t>
            </w:r>
          </w:p>
        </w:tc>
      </w:tr>
      <w:tr>
        <w:trPr/>
        <w:tc>
          <w:tcPr>
            <w:tcW w:w="3951"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209,015</w:t>
            </w:r>
          </w:p>
        </w:tc>
        <w:tc>
          <w:tcPr>
            <w:tcW w:w="26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r>
              <w:rPr/>
              <w:t>20,068</w:t>
            </w:r>
          </w:p>
        </w:tc>
        <w:tc>
          <w:tcPr>
            <w:tcW w:w="2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188,947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942</w:t>
            </w:r>
          </w:p>
        </w:tc>
        <w:tc>
          <w:tcPr>
            <w:tcW w:w="343" w:type="dxa"/>
            <w:tcBorders/>
            <w:shd w:fill="CCEEFF" w:val="clear"/>
            <w:vAlign w:val="center"/>
          </w:tcPr>
          <w:p>
            <w:pPr>
              <w:pStyle w:val="TableContents"/>
              <w:bidi w:val="0"/>
              <w:spacing w:before="0" w:after="283"/>
              <w:jc w:val="left"/>
              <w:rPr/>
            </w:pPr>
            <w:r>
              <w:rPr/>
              <w:t>%</w:t>
            </w:r>
          </w:p>
        </w:tc>
      </w:tr>
      <w:tr>
        <w:trPr/>
        <w:tc>
          <w:tcPr>
            <w:tcW w:w="3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125,799</w:t>
            </w:r>
          </w:p>
        </w:tc>
        <w:tc>
          <w:tcPr>
            <w:tcW w:w="26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tcMar>
              <w:bottom w:w="28" w:type="dxa"/>
            </w:tcMar>
            <w:vAlign w:val="center"/>
          </w:tcPr>
          <w:p>
            <w:pPr>
              <w:pStyle w:val="TableContents"/>
              <w:bidi w:val="0"/>
              <w:spacing w:before="0" w:after="283"/>
              <w:jc w:val="right"/>
              <w:rPr/>
            </w:pPr>
            <w:r>
              <w:rPr/>
              <w:t>21,834</w:t>
            </w:r>
          </w:p>
        </w:tc>
        <w:tc>
          <w:tcPr>
            <w:tcW w:w="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103,965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476</w:t>
            </w:r>
          </w:p>
        </w:tc>
        <w:tc>
          <w:tcPr>
            <w:tcW w:w="343" w:type="dxa"/>
            <w:tcBorders/>
            <w:vAlign w:val="center"/>
          </w:tcPr>
          <w:p>
            <w:pPr>
              <w:pStyle w:val="TableContents"/>
              <w:bidi w:val="0"/>
              <w:spacing w:before="0" w:after="283"/>
              <w:jc w:val="left"/>
              <w:rPr/>
            </w:pPr>
            <w:r>
              <w:rPr/>
              <w:t>%</w:t>
            </w:r>
          </w:p>
        </w:tc>
      </w:tr>
      <w:tr>
        <w:trPr/>
        <w:tc>
          <w:tcPr>
            <w:tcW w:w="3951" w:type="dxa"/>
            <w:tcBorders/>
            <w:shd w:fill="CCEEFF" w:val="clear"/>
            <w:vAlign w:val="center"/>
          </w:tcPr>
          <w:p>
            <w:pPr>
              <w:pStyle w:val="TableContents"/>
              <w:bidi w:val="0"/>
              <w:spacing w:before="0" w:after="283"/>
              <w:jc w:val="both"/>
              <w:rPr/>
            </w:pPr>
            <w:r>
              <w:rPr/>
              <w:t>Gross profit (loss)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83,216</w:t>
            </w:r>
          </w:p>
        </w:tc>
        <w:tc>
          <w:tcPr>
            <w:tcW w:w="26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shd w:fill="CCEEFF" w:val="clear"/>
            <w:tcMar>
              <w:bottom w:w="28" w:type="dxa"/>
            </w:tcMar>
            <w:vAlign w:val="center"/>
          </w:tcPr>
          <w:p>
            <w:pPr>
              <w:pStyle w:val="TableContents"/>
              <w:bidi w:val="0"/>
              <w:spacing w:before="0" w:after="283"/>
              <w:jc w:val="right"/>
              <w:rPr/>
            </w:pPr>
            <w:r>
              <w:rPr/>
              <w:t>(1,766</w:t>
            </w:r>
          </w:p>
        </w:tc>
        <w:tc>
          <w:tcPr>
            <w:tcW w:w="296"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84,982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3" w:type="dxa"/>
            <w:tcBorders/>
            <w:shd w:fill="CCEEFF" w:val="clear"/>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both"/>
              <w:rPr/>
            </w:pPr>
            <w:r>
              <w:rPr/>
              <w:t>Gross margin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40</w:t>
            </w:r>
          </w:p>
        </w:tc>
        <w:tc>
          <w:tcPr>
            <w:tcW w:w="267"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right"/>
              <w:rPr/>
            </w:pPr>
            <w:r>
              <w:rPr/>
              <w:t>(9</w:t>
            </w:r>
          </w:p>
        </w:tc>
        <w:tc>
          <w:tcPr>
            <w:tcW w:w="296"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 </w:t>
            </w:r>
          </w:p>
        </w:tc>
        <w:tc>
          <w:tcPr>
            <w:tcW w:w="343" w:type="dxa"/>
            <w:tcBorders/>
            <w:vAlign w:val="center"/>
          </w:tcPr>
          <w:p>
            <w:pPr>
              <w:pStyle w:val="TableContents"/>
              <w:bidi w:val="0"/>
              <w:spacing w:before="0" w:after="283"/>
              <w:jc w:val="left"/>
              <w:rPr/>
            </w:pPr>
            <w:r>
              <w:rPr/>
              <w:t> </w:t>
            </w:r>
          </w:p>
        </w:tc>
      </w:tr>
      <w:tr>
        <w:trPr/>
        <w:tc>
          <w:tcPr>
            <w:tcW w:w="3951" w:type="dxa"/>
            <w:tcBorders/>
            <w:shd w:fill="CCEEFF" w:val="clear"/>
            <w:vAlign w:val="center"/>
          </w:tcPr>
          <w:p>
            <w:pPr>
              <w:pStyle w:val="TableContents"/>
              <w:bidi w:val="0"/>
              <w:spacing w:before="0" w:after="283"/>
              <w:jc w:val="both"/>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343" w:type="dxa"/>
            <w:tcBorders/>
            <w:shd w:fill="CCEEFF" w:val="clear"/>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both"/>
              <w:rPr/>
            </w:pPr>
            <w:r>
              <w:rPr/>
              <w:t>Sales commissions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24,909</w:t>
            </w:r>
          </w:p>
        </w:tc>
        <w:tc>
          <w:tcPr>
            <w:tcW w:w="26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right"/>
              <w:rPr/>
            </w:pPr>
            <w:r>
              <w:rPr/>
              <w:t>11,691</w:t>
            </w:r>
          </w:p>
        </w:tc>
        <w:tc>
          <w:tcPr>
            <w:tcW w:w="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13,218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113</w:t>
            </w:r>
          </w:p>
        </w:tc>
        <w:tc>
          <w:tcPr>
            <w:tcW w:w="343" w:type="dxa"/>
            <w:tcBorders/>
            <w:vAlign w:val="center"/>
          </w:tcPr>
          <w:p>
            <w:pPr>
              <w:pStyle w:val="TableContents"/>
              <w:bidi w:val="0"/>
              <w:spacing w:before="0" w:after="283"/>
              <w:jc w:val="left"/>
              <w:rPr/>
            </w:pPr>
            <w:r>
              <w:rPr/>
              <w:t>%</w:t>
            </w:r>
          </w:p>
        </w:tc>
      </w:tr>
      <w:tr>
        <w:trPr/>
        <w:tc>
          <w:tcPr>
            <w:tcW w:w="395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Sales and marketing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21,505</w:t>
            </w:r>
          </w:p>
        </w:tc>
        <w:tc>
          <w:tcPr>
            <w:tcW w:w="26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3,762</w:t>
            </w:r>
          </w:p>
        </w:tc>
        <w:tc>
          <w:tcPr>
            <w:tcW w:w="2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472</w:t>
            </w:r>
          </w:p>
        </w:tc>
        <w:tc>
          <w:tcPr>
            <w:tcW w:w="343" w:type="dxa"/>
            <w:tcBorders/>
            <w:shd w:fill="CCEEFF" w:val="clear"/>
            <w:vAlign w:val="center"/>
          </w:tcPr>
          <w:p>
            <w:pPr>
              <w:pStyle w:val="TableContents"/>
              <w:bidi w:val="0"/>
              <w:spacing w:before="0" w:after="283"/>
              <w:jc w:val="left"/>
              <w:rPr/>
            </w:pPr>
            <w:r>
              <w:rPr/>
              <w:t>%</w:t>
            </w:r>
          </w:p>
        </w:tc>
      </w:tr>
      <w:tr>
        <w:trPr/>
        <w:tc>
          <w:tcPr>
            <w:tcW w:w="3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51,045</w:t>
            </w:r>
          </w:p>
        </w:tc>
        <w:tc>
          <w:tcPr>
            <w:tcW w:w="26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tcMar>
              <w:bottom w:w="28" w:type="dxa"/>
            </w:tcMar>
            <w:vAlign w:val="center"/>
          </w:tcPr>
          <w:p>
            <w:pPr>
              <w:pStyle w:val="TableContents"/>
              <w:bidi w:val="0"/>
              <w:spacing w:before="0" w:after="283"/>
              <w:jc w:val="right"/>
              <w:rPr/>
            </w:pPr>
            <w:r>
              <w:rPr/>
              <w:t>29,789</w:t>
            </w:r>
          </w:p>
        </w:tc>
        <w:tc>
          <w:tcPr>
            <w:tcW w:w="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71</w:t>
            </w:r>
          </w:p>
        </w:tc>
        <w:tc>
          <w:tcPr>
            <w:tcW w:w="343" w:type="dxa"/>
            <w:tcBorders/>
            <w:vAlign w:val="center"/>
          </w:tcPr>
          <w:p>
            <w:pPr>
              <w:pStyle w:val="TableContents"/>
              <w:bidi w:val="0"/>
              <w:spacing w:before="0" w:after="283"/>
              <w:jc w:val="left"/>
              <w:rPr/>
            </w:pPr>
            <w:r>
              <w:rPr/>
              <w:t>%</w:t>
            </w:r>
          </w:p>
        </w:tc>
      </w:tr>
      <w:tr>
        <w:trPr/>
        <w:tc>
          <w:tcPr>
            <w:tcW w:w="3951" w:type="dxa"/>
            <w:tcBorders/>
            <w:shd w:fill="CCEEFF" w:val="clear"/>
            <w:vAlign w:val="center"/>
          </w:tcPr>
          <w:p>
            <w:pPr>
              <w:pStyle w:val="TableContents"/>
              <w:bidi w:val="0"/>
              <w:spacing w:before="0" w:after="283"/>
              <w:jc w:val="both"/>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97,459</w:t>
            </w:r>
          </w:p>
        </w:tc>
        <w:tc>
          <w:tcPr>
            <w:tcW w:w="26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shd w:fill="CCEEFF" w:val="clear"/>
            <w:tcMar>
              <w:bottom w:w="28" w:type="dxa"/>
            </w:tcMar>
            <w:vAlign w:val="center"/>
          </w:tcPr>
          <w:p>
            <w:pPr>
              <w:pStyle w:val="TableContents"/>
              <w:bidi w:val="0"/>
              <w:spacing w:before="0" w:after="283"/>
              <w:jc w:val="right"/>
              <w:rPr/>
            </w:pPr>
            <w:r>
              <w:rPr/>
              <w:t>45,242</w:t>
            </w:r>
          </w:p>
        </w:tc>
        <w:tc>
          <w:tcPr>
            <w:tcW w:w="2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52,217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115</w:t>
            </w:r>
          </w:p>
        </w:tc>
        <w:tc>
          <w:tcPr>
            <w:tcW w:w="343" w:type="dxa"/>
            <w:tcBorders/>
            <w:shd w:fill="CCEEFF" w:val="clear"/>
            <w:vAlign w:val="center"/>
          </w:tcPr>
          <w:p>
            <w:pPr>
              <w:pStyle w:val="TableContents"/>
              <w:bidi w:val="0"/>
              <w:spacing w:before="0" w:after="283"/>
              <w:jc w:val="left"/>
              <w:rPr/>
            </w:pPr>
            <w:r>
              <w:rPr/>
              <w:t>%</w:t>
            </w:r>
          </w:p>
        </w:tc>
      </w:tr>
      <w:tr>
        <w:trPr/>
        <w:tc>
          <w:tcPr>
            <w:tcW w:w="3951" w:type="dxa"/>
            <w:tcBorders/>
            <w:vAlign w:val="center"/>
          </w:tcPr>
          <w:p>
            <w:pPr>
              <w:pStyle w:val="TableContents"/>
              <w:bidi w:val="0"/>
              <w:spacing w:before="0" w:after="283"/>
              <w:jc w:val="both"/>
              <w:rPr/>
            </w:pPr>
            <w:r>
              <w:rPr/>
              <w:t>Loss from continuing operations</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(14,243</w:t>
            </w:r>
          </w:p>
        </w:tc>
        <w:tc>
          <w:tcPr>
            <w:tcW w:w="267"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tcMar>
              <w:bottom w:w="28" w:type="dxa"/>
            </w:tcMar>
            <w:vAlign w:val="center"/>
          </w:tcPr>
          <w:p>
            <w:pPr>
              <w:pStyle w:val="TableContents"/>
              <w:bidi w:val="0"/>
              <w:spacing w:before="0" w:after="283"/>
              <w:jc w:val="right"/>
              <w:rPr/>
            </w:pPr>
            <w:r>
              <w:rPr/>
              <w:t>(47,008</w:t>
            </w:r>
          </w:p>
        </w:tc>
        <w:tc>
          <w:tcPr>
            <w:tcW w:w="296"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32,765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3" w:type="dxa"/>
            <w:tcBorders/>
            <w:vAlign w:val="center"/>
          </w:tcPr>
          <w:p>
            <w:pPr>
              <w:pStyle w:val="TableContents"/>
              <w:bidi w:val="0"/>
              <w:spacing w:before="0" w:after="283"/>
              <w:jc w:val="left"/>
              <w:rPr/>
            </w:pPr>
            <w:r>
              <w:rPr/>
              <w:t> </w:t>
            </w:r>
          </w:p>
        </w:tc>
      </w:tr>
      <w:tr>
        <w:trPr/>
        <w:tc>
          <w:tcPr>
            <w:tcW w:w="395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(19,151</w:t>
            </w:r>
          </w:p>
        </w:tc>
        <w:tc>
          <w:tcPr>
            <w:tcW w:w="26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(8,230</w:t>
            </w:r>
          </w:p>
        </w:tc>
        <w:tc>
          <w:tcPr>
            <w:tcW w:w="296"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(10,921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133</w:t>
            </w:r>
          </w:p>
        </w:tc>
        <w:tc>
          <w:tcPr>
            <w:tcW w:w="343" w:type="dxa"/>
            <w:tcBorders/>
            <w:shd w:fill="CCEEFF" w:val="clear"/>
            <w:vAlign w:val="center"/>
          </w:tcPr>
          <w:p>
            <w:pPr>
              <w:pStyle w:val="TableContents"/>
              <w:bidi w:val="0"/>
              <w:spacing w:before="0" w:after="283"/>
              <w:jc w:val="left"/>
              <w:rPr/>
            </w:pPr>
            <w:r>
              <w:rPr/>
              <w:t>%</w:t>
            </w:r>
          </w:p>
        </w:tc>
      </w:tr>
      <w:tr>
        <w:trPr/>
        <w:tc>
          <w:tcPr>
            <w:tcW w:w="3951" w:type="dxa"/>
            <w:tcBorders/>
            <w:vAlign w:val="center"/>
          </w:tcPr>
          <w:p>
            <w:pPr>
              <w:pStyle w:val="TableContents"/>
              <w:bidi w:val="0"/>
              <w:spacing w:before="0" w:after="283"/>
              <w:jc w:val="both"/>
              <w:rPr/>
            </w:pPr>
            <w:r>
              <w:rPr/>
              <w:t>Interest income</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w:t>
            </w:r>
          </w:p>
        </w:tc>
        <w:tc>
          <w:tcPr>
            <w:tcW w:w="26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267" w:type="dxa"/>
            <w:tcBorders/>
            <w:vAlign w:val="center"/>
          </w:tcPr>
          <w:p>
            <w:pPr>
              <w:pStyle w:val="TableContents"/>
              <w:bidi w:val="0"/>
              <w:spacing w:before="0" w:after="283"/>
              <w:jc w:val="right"/>
              <w:rPr/>
            </w:pPr>
            <w:r>
              <w:rPr/>
              <w:t>102</w:t>
            </w:r>
          </w:p>
        </w:tc>
        <w:tc>
          <w:tcPr>
            <w:tcW w:w="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(97</w:t>
            </w:r>
          </w:p>
        </w:tc>
        <w:tc>
          <w:tcPr>
            <w:tcW w:w="343" w:type="dxa"/>
            <w:tcBorders/>
            <w:vAlign w:val="center"/>
          </w:tcPr>
          <w:p>
            <w:pPr>
              <w:pStyle w:val="TableContents"/>
              <w:bidi w:val="0"/>
              <w:spacing w:before="0" w:after="283"/>
              <w:jc w:val="left"/>
              <w:rPr/>
            </w:pPr>
            <w:r>
              <w:rPr/>
              <w:t>)%</w:t>
            </w:r>
          </w:p>
        </w:tc>
      </w:tr>
      <w:tr>
        <w:trPr/>
        <w:tc>
          <w:tcPr>
            <w:tcW w:w="395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expense, net</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(1,724</w:t>
            </w:r>
          </w:p>
        </w:tc>
        <w:tc>
          <w:tcPr>
            <w:tcW w:w="26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(66,234</w:t>
            </w:r>
          </w:p>
        </w:tc>
        <w:tc>
          <w:tcPr>
            <w:tcW w:w="296"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64,510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(97</w:t>
            </w:r>
          </w:p>
        </w:tc>
        <w:tc>
          <w:tcPr>
            <w:tcW w:w="343" w:type="dxa"/>
            <w:tcBorders/>
            <w:shd w:fill="CCEEFF" w:val="clear"/>
            <w:vAlign w:val="center"/>
          </w:tcPr>
          <w:p>
            <w:pPr>
              <w:pStyle w:val="TableContents"/>
              <w:bidi w:val="0"/>
              <w:spacing w:before="0" w:after="283"/>
              <w:jc w:val="left"/>
              <w:rPr/>
            </w:pPr>
            <w:r>
              <w:rPr/>
              <w:t>)%</w:t>
            </w:r>
          </w:p>
        </w:tc>
      </w:tr>
      <w:tr>
        <w:trPr/>
        <w:tc>
          <w:tcPr>
            <w:tcW w:w="3951" w:type="dxa"/>
            <w:tcBorders/>
            <w:vAlign w:val="center"/>
          </w:tcPr>
          <w:p>
            <w:pPr>
              <w:pStyle w:val="TableContents"/>
              <w:bidi w:val="0"/>
              <w:spacing w:before="0" w:after="283"/>
              <w:jc w:val="both"/>
              <w:rPr/>
            </w:pPr>
            <w:r>
              <w:rPr/>
              <w:t>Gain on extinguishment of debt</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w:t>
            </w:r>
          </w:p>
        </w:tc>
        <w:tc>
          <w:tcPr>
            <w:tcW w:w="26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tcMar>
              <w:bottom w:w="28" w:type="dxa"/>
            </w:tcMar>
            <w:vAlign w:val="center"/>
          </w:tcPr>
          <w:p>
            <w:pPr>
              <w:pStyle w:val="TableContents"/>
              <w:bidi w:val="0"/>
              <w:spacing w:before="0" w:after="283"/>
              <w:jc w:val="right"/>
              <w:rPr/>
            </w:pPr>
            <w:r>
              <w:rPr/>
              <w:t>19,948</w:t>
            </w:r>
          </w:p>
        </w:tc>
        <w:tc>
          <w:tcPr>
            <w:tcW w:w="2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(19,948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(100</w:t>
            </w:r>
          </w:p>
        </w:tc>
        <w:tc>
          <w:tcPr>
            <w:tcW w:w="343" w:type="dxa"/>
            <w:tcBorders/>
            <w:vAlign w:val="center"/>
          </w:tcPr>
          <w:p>
            <w:pPr>
              <w:pStyle w:val="TableContents"/>
              <w:bidi w:val="0"/>
              <w:spacing w:before="0" w:after="283"/>
              <w:ind w:left="0" w:right="0" w:hanging="178"/>
              <w:jc w:val="left"/>
              <w:rPr/>
            </w:pPr>
            <w:r>
              <w:rPr/>
              <w:t>)%</w:t>
            </w:r>
          </w:p>
        </w:tc>
      </w:tr>
      <w:tr>
        <w:trPr/>
        <w:tc>
          <w:tcPr>
            <w:tcW w:w="3951"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(35,115</w:t>
            </w:r>
          </w:p>
        </w:tc>
        <w:tc>
          <w:tcPr>
            <w:tcW w:w="26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shd w:fill="CCEEFF" w:val="clear"/>
            <w:tcMar>
              <w:bottom w:w="28" w:type="dxa"/>
            </w:tcMar>
            <w:vAlign w:val="center"/>
          </w:tcPr>
          <w:p>
            <w:pPr>
              <w:pStyle w:val="TableContents"/>
              <w:bidi w:val="0"/>
              <w:spacing w:before="0" w:after="283"/>
              <w:jc w:val="right"/>
              <w:rPr/>
            </w:pPr>
            <w:r>
              <w:rPr/>
              <w:t>(101,422</w:t>
            </w:r>
          </w:p>
        </w:tc>
        <w:tc>
          <w:tcPr>
            <w:tcW w:w="296"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66,307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3" w:type="dxa"/>
            <w:tcBorders/>
            <w:shd w:fill="CCEEFF" w:val="clear"/>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both"/>
              <w:rPr/>
            </w:pPr>
            <w:r>
              <w:rPr/>
              <w:t>Income tax provision</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w:t>
            </w:r>
          </w:p>
        </w:tc>
        <w:tc>
          <w:tcPr>
            <w:tcW w:w="26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tcMar>
              <w:bottom w:w="28" w:type="dxa"/>
            </w:tcMar>
            <w:vAlign w:val="center"/>
          </w:tcPr>
          <w:p>
            <w:pPr>
              <w:pStyle w:val="TableContents"/>
              <w:bidi w:val="0"/>
              <w:spacing w:before="0" w:after="283"/>
              <w:jc w:val="right"/>
              <w:rPr/>
            </w:pPr>
            <w:r>
              <w:rPr/>
              <w:t>(11</w:t>
            </w:r>
          </w:p>
        </w:tc>
        <w:tc>
          <w:tcPr>
            <w:tcW w:w="296"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(100</w:t>
            </w:r>
          </w:p>
        </w:tc>
        <w:tc>
          <w:tcPr>
            <w:tcW w:w="343" w:type="dxa"/>
            <w:tcBorders/>
            <w:vAlign w:val="center"/>
          </w:tcPr>
          <w:p>
            <w:pPr>
              <w:pStyle w:val="TableContents"/>
              <w:bidi w:val="0"/>
              <w:spacing w:before="0" w:after="283"/>
              <w:jc w:val="left"/>
              <w:rPr/>
            </w:pPr>
            <w:r>
              <w:rPr/>
              <w:t>)%</w:t>
            </w:r>
          </w:p>
        </w:tc>
      </w:tr>
      <w:tr>
        <w:trPr/>
        <w:tc>
          <w:tcPr>
            <w:tcW w:w="3951" w:type="dxa"/>
            <w:tcBorders/>
            <w:shd w:fill="CCEEFF" w:val="clear"/>
            <w:vAlign w:val="center"/>
          </w:tcPr>
          <w:p>
            <w:pPr>
              <w:pStyle w:val="TableContents"/>
              <w:bidi w:val="0"/>
              <w:spacing w:before="0" w:after="283"/>
              <w:jc w:val="both"/>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(35,115</w:t>
            </w:r>
          </w:p>
        </w:tc>
        <w:tc>
          <w:tcPr>
            <w:tcW w:w="26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7" w:type="dxa"/>
            <w:tcBorders>
              <w:bottom w:val="double" w:sz="10" w:space="0" w:color="000000"/>
            </w:tcBorders>
            <w:shd w:fill="CCEEFF" w:val="clear"/>
            <w:tcMar>
              <w:bottom w:w="28" w:type="dxa"/>
            </w:tcMar>
            <w:vAlign w:val="center"/>
          </w:tcPr>
          <w:p>
            <w:pPr>
              <w:pStyle w:val="TableContents"/>
              <w:bidi w:val="0"/>
              <w:spacing w:before="0" w:after="283"/>
              <w:jc w:val="right"/>
              <w:rPr/>
            </w:pPr>
            <w:r>
              <w:rPr/>
              <w:t>(101,433</w:t>
            </w:r>
          </w:p>
        </w:tc>
        <w:tc>
          <w:tcPr>
            <w:tcW w:w="296"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66,318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4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hanging="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68"/>
        <w:gridCol w:w="260"/>
        <w:gridCol w:w="581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stock-based compensation expense as follows </w:t>
            </w:r>
            <w:r>
              <w:rPr>
                <w:rFonts w:ascii="Times New Roman;Times;Serif" w:hAnsi="Times New Roman;Times;Serif"/>
                <w:i/>
                <w:sz w:val="20"/>
              </w:rPr>
              <w:t>(in thousands)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920"/>
        <w:gridCol w:w="90"/>
        <w:gridCol w:w="336"/>
        <w:gridCol w:w="1169"/>
        <w:gridCol w:w="144"/>
        <w:gridCol w:w="144"/>
        <w:gridCol w:w="323"/>
        <w:gridCol w:w="1122"/>
        <w:gridCol w:w="135"/>
      </w:tblGrid>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pPr>
            <w:r>
              <w:rPr/>
              <w:t>(As Restated)</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both"/>
              <w:rPr/>
            </w:pPr>
            <w:r>
              <w:rPr/>
              <w:t>Cost of revenues</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2,232</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105</w:t>
            </w:r>
          </w:p>
        </w:tc>
        <w:tc>
          <w:tcPr>
            <w:tcW w:w="13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both"/>
              <w:rPr/>
            </w:pPr>
            <w:r>
              <w:rPr/>
              <w:t>Sales and marketing</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2,057</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490</w:t>
            </w:r>
          </w:p>
        </w:tc>
        <w:tc>
          <w:tcPr>
            <w:tcW w:w="13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both"/>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3,587</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3,491</w:t>
            </w:r>
          </w:p>
        </w:tc>
        <w:tc>
          <w:tcPr>
            <w:tcW w:w="13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both"/>
              <w:rPr/>
            </w:pPr>
            <w:r>
              <w:rPr/>
              <w:t>Total stock-based compensation expense</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7,876</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323" w:type="dxa"/>
            <w:tcBorders>
              <w:bottom w:val="double" w:sz="10" w:space="0" w:color="000000"/>
            </w:tcBorders>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4,086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interest expense and amortization of debt issuance costs to related parties of $4.5 million and $5.6 million in the thirty-nine week periods ended September 28, 2025 and September 29, 2024,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loss of $3.0 million on issuance of derivative liability with a related party in the thirty-nine week period ended September 29, 2024. Includes a gain of $1.8 million and a loss of $22.8 million due to the change in the fair value of derivative liabilities with related parties in the thirty-nine week periods ended September 28, 2025 and September 29, 2024, respectively.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details.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includes $0.1 million of other income, net due to a change in the fair value of a forward purchase agreement with a related party in the thirty-nine week period ended September 28,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includes related party transactions of $1.0 million of income due to the change in the fair value of a forward purchase agreement, $1.3 million loss on the conversion of SAFE Agreements, $0.9 million of expense related to the change in fair value of a SAFE Agreement and a $2.9 million gain due to the change in the fair value of the Carlyle warrants in the thirty-nine week period ended September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types of services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2765"/>
        <w:gridCol w:w="90"/>
        <w:gridCol w:w="255"/>
        <w:gridCol w:w="1250"/>
        <w:gridCol w:w="119"/>
        <w:gridCol w:w="119"/>
        <w:gridCol w:w="290"/>
        <w:gridCol w:w="1215"/>
        <w:gridCol w:w="90"/>
        <w:gridCol w:w="90"/>
        <w:gridCol w:w="170"/>
        <w:gridCol w:w="830"/>
        <w:gridCol w:w="90"/>
        <w:gridCol w:w="90"/>
        <w:gridCol w:w="152"/>
        <w:gridCol w:w="693"/>
        <w:gridCol w:w="290"/>
      </w:tblGrid>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2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pPr>
            <w:r>
              <w:rPr/>
              <w:t>(As Restated)</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110,199</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20,068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90,131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449</w:t>
            </w:r>
          </w:p>
        </w:tc>
        <w:tc>
          <w:tcPr>
            <w:tcW w:w="290" w:type="dxa"/>
            <w:tcBorders/>
            <w:shd w:fill="CCEEFF" w:val="clear"/>
            <w:vAlign w:val="center"/>
          </w:tcPr>
          <w:p>
            <w:pPr>
              <w:pStyle w:val="TableContents"/>
              <w:bidi w:val="0"/>
              <w:spacing w:before="0" w:after="283"/>
              <w:jc w:val="left"/>
              <w:rPr/>
            </w:pPr>
            <w:r>
              <w:rPr/>
              <w:t>%</w:t>
            </w:r>
          </w:p>
        </w:tc>
      </w:tr>
      <w:tr>
        <w:trPr/>
        <w:tc>
          <w:tcPr>
            <w:tcW w:w="276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98,010</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98,010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806</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Total revenues</w:t>
            </w:r>
          </w:p>
        </w:tc>
        <w:tc>
          <w:tcPr>
            <w:tcW w:w="90"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209,015</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20,068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188,947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942</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revenues is primarily attributed to the SunPower Acquisition. As a result, installations increased compared to the same period in the prior year by 3,067 and 4,859 for Residential Solar Installation and New Homes Business reportable segments,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 and gross margins</w:t>
      </w:r>
    </w:p>
    <w:p>
      <w:pPr>
        <w:pStyle w:val="TextBody"/>
        <w:bidi w:val="0"/>
        <w:spacing w:before="0" w:after="0"/>
        <w:ind w:left="0" w:right="0" w:firstLine="720"/>
        <w:jc w:val="both"/>
        <w:rPr>
          <w:caps w:val="false"/>
          <w:smallCaps w:val="false"/>
        </w:rPr>
      </w:pPr>
      <w:r>
        <w:rPr>
          <w:caps w:val="false"/>
          <w:smallCaps w:val="false"/>
        </w:rPr>
        <w:t> </w:t>
      </w:r>
    </w:p>
    <w:tbl>
      <w:tblPr>
        <w:tblW w:w="9001" w:type="dxa"/>
        <w:jc w:val="left"/>
        <w:tblInd w:w="0" w:type="dxa"/>
        <w:tblLayout w:type="fixed"/>
        <w:tblCellMar>
          <w:top w:w="0" w:type="dxa"/>
          <w:left w:w="0" w:type="dxa"/>
          <w:bottom w:w="0" w:type="dxa"/>
          <w:right w:w="0" w:type="dxa"/>
        </w:tblCellMar>
      </w:tblPr>
      <w:tblGrid>
        <w:gridCol w:w="2765"/>
        <w:gridCol w:w="90"/>
        <w:gridCol w:w="255"/>
        <w:gridCol w:w="1249"/>
        <w:gridCol w:w="302"/>
        <w:gridCol w:w="111"/>
        <w:gridCol w:w="290"/>
        <w:gridCol w:w="1214"/>
        <w:gridCol w:w="320"/>
        <w:gridCol w:w="90"/>
        <w:gridCol w:w="170"/>
        <w:gridCol w:w="830"/>
        <w:gridCol w:w="90"/>
        <w:gridCol w:w="90"/>
        <w:gridCol w:w="152"/>
        <w:gridCol w:w="693"/>
        <w:gridCol w:w="290"/>
      </w:tblGrid>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42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September 28,</w:t>
            </w:r>
          </w:p>
        </w:tc>
        <w:tc>
          <w:tcPr>
            <w:tcW w:w="302"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September 29,</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02"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(As Restated)</w:t>
            </w:r>
          </w:p>
        </w:tc>
        <w:tc>
          <w:tcPr>
            <w:tcW w:w="302"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68,622</w:t>
            </w:r>
          </w:p>
        </w:tc>
        <w:tc>
          <w:tcPr>
            <w:tcW w:w="30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21,834</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46,788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214</w:t>
            </w:r>
          </w:p>
        </w:tc>
        <w:tc>
          <w:tcPr>
            <w:tcW w:w="290" w:type="dxa"/>
            <w:tcBorders/>
            <w:shd w:fill="CCEEFF" w:val="clear"/>
            <w:vAlign w:val="center"/>
          </w:tcPr>
          <w:p>
            <w:pPr>
              <w:pStyle w:val="TableContents"/>
              <w:bidi w:val="0"/>
              <w:spacing w:before="0" w:after="283"/>
              <w:jc w:val="left"/>
              <w:rPr/>
            </w:pPr>
            <w:r>
              <w:rPr/>
              <w:t>%</w:t>
            </w:r>
          </w:p>
        </w:tc>
      </w:tr>
      <w:tr>
        <w:trPr/>
        <w:tc>
          <w:tcPr>
            <w:tcW w:w="276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57,177</w:t>
            </w:r>
          </w:p>
        </w:tc>
        <w:tc>
          <w:tcPr>
            <w:tcW w:w="302"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57,177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0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Total cost of revenues</w:t>
            </w:r>
          </w:p>
        </w:tc>
        <w:tc>
          <w:tcPr>
            <w:tcW w:w="90"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tcMar>
              <w:bottom w:w="28" w:type="dxa"/>
            </w:tcMar>
            <w:vAlign w:val="center"/>
          </w:tcPr>
          <w:p>
            <w:pPr>
              <w:pStyle w:val="TableContents"/>
              <w:bidi w:val="0"/>
              <w:spacing w:before="0" w:after="283"/>
              <w:jc w:val="right"/>
              <w:rPr/>
            </w:pPr>
            <w:r>
              <w:rPr/>
              <w:t>125,799</w:t>
            </w:r>
          </w:p>
        </w:tc>
        <w:tc>
          <w:tcPr>
            <w:tcW w:w="302"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tcMar>
              <w:bottom w:w="28" w:type="dxa"/>
            </w:tcMar>
            <w:vAlign w:val="center"/>
          </w:tcPr>
          <w:p>
            <w:pPr>
              <w:pStyle w:val="TableContents"/>
              <w:bidi w:val="0"/>
              <w:spacing w:before="0" w:after="283"/>
              <w:jc w:val="right"/>
              <w:rPr/>
            </w:pPr>
            <w:r>
              <w:rPr/>
              <w:t>21,834</w:t>
            </w:r>
          </w:p>
        </w:tc>
        <w:tc>
          <w:tcPr>
            <w:tcW w:w="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103,965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476</w:t>
            </w:r>
          </w:p>
        </w:tc>
        <w:tc>
          <w:tcPr>
            <w:tcW w:w="290" w:type="dxa"/>
            <w:tcBorders/>
            <w:vAlign w:val="center"/>
          </w:tcPr>
          <w:p>
            <w:pPr>
              <w:pStyle w:val="TableContents"/>
              <w:bidi w:val="0"/>
              <w:spacing w:before="0" w:after="283"/>
              <w:jc w:val="left"/>
              <w:rPr/>
            </w:pPr>
            <w:r>
              <w:rPr/>
              <w:t>%</w:t>
            </w:r>
          </w:p>
        </w:tc>
      </w:tr>
      <w:tr>
        <w:trPr/>
        <w:tc>
          <w:tcPr>
            <w:tcW w:w="276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30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b/>
              </w:rPr>
            </w:pPr>
            <w:r>
              <w:rPr>
                <w:b/>
              </w:rPr>
              <w:t>Gross margin</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40</w:t>
            </w:r>
          </w:p>
        </w:tc>
        <w:tc>
          <w:tcPr>
            <w:tcW w:w="302"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(9</w:t>
            </w:r>
          </w:p>
        </w:tc>
        <w:tc>
          <w:tcPr>
            <w:tcW w:w="32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increased primarily attributed to the SunPower Acquisition. As a result, installations increased compared to the same period in the prior year by approximately 3,067 and 4,859 for Residential Solar Installation and New Homes Business reportable segments,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8492" w:type="dxa"/>
        <w:jc w:val="left"/>
        <w:tblInd w:w="0" w:type="dxa"/>
        <w:tblLayout w:type="fixed"/>
        <w:tblCellMar>
          <w:top w:w="0" w:type="dxa"/>
          <w:left w:w="0" w:type="dxa"/>
          <w:bottom w:w="0" w:type="dxa"/>
          <w:right w:w="0" w:type="dxa"/>
        </w:tblCellMar>
      </w:tblPr>
      <w:tblGrid>
        <w:gridCol w:w="2765"/>
        <w:gridCol w:w="90"/>
        <w:gridCol w:w="290"/>
        <w:gridCol w:w="1215"/>
        <w:gridCol w:w="126"/>
        <w:gridCol w:w="126"/>
        <w:gridCol w:w="290"/>
        <w:gridCol w:w="1215"/>
        <w:gridCol w:w="90"/>
        <w:gridCol w:w="90"/>
        <w:gridCol w:w="170"/>
        <w:gridCol w:w="710"/>
        <w:gridCol w:w="90"/>
        <w:gridCol w:w="90"/>
        <w:gridCol w:w="152"/>
        <w:gridCol w:w="693"/>
        <w:gridCol w:w="290"/>
      </w:tblGrid>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2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pPr>
            <w:r>
              <w:rPr/>
              <w:t>(As Restated)</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22,882</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11,691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11,191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96</w:t>
            </w:r>
          </w:p>
        </w:tc>
        <w:tc>
          <w:tcPr>
            <w:tcW w:w="290" w:type="dxa"/>
            <w:tcBorders/>
            <w:shd w:fill="CCEEFF" w:val="clear"/>
            <w:vAlign w:val="center"/>
          </w:tcPr>
          <w:p>
            <w:pPr>
              <w:pStyle w:val="TableContents"/>
              <w:bidi w:val="0"/>
              <w:spacing w:before="0" w:after="283"/>
              <w:jc w:val="left"/>
              <w:rPr/>
            </w:pPr>
            <w:r>
              <w:rPr/>
              <w:t>%</w:t>
            </w:r>
          </w:p>
        </w:tc>
      </w:tr>
      <w:tr>
        <w:trPr/>
        <w:tc>
          <w:tcPr>
            <w:tcW w:w="276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1,391</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636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Total sales commissions</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24,909</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11,691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13,218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113</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for the Residential Solar Installation and New Homes Business reportable segments increased due to the increase in revenue arising from the SunPower Acquisition in the fourth quarter of fiscal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tbl>
      <w:tblPr>
        <w:tblW w:w="8510" w:type="dxa"/>
        <w:jc w:val="left"/>
        <w:tblInd w:w="0" w:type="dxa"/>
        <w:tblLayout w:type="fixed"/>
        <w:tblCellMar>
          <w:top w:w="0" w:type="dxa"/>
          <w:left w:w="0" w:type="dxa"/>
          <w:bottom w:w="0" w:type="dxa"/>
          <w:right w:w="0" w:type="dxa"/>
        </w:tblCellMar>
      </w:tblPr>
      <w:tblGrid>
        <w:gridCol w:w="2765"/>
        <w:gridCol w:w="90"/>
        <w:gridCol w:w="290"/>
        <w:gridCol w:w="1215"/>
        <w:gridCol w:w="135"/>
        <w:gridCol w:w="135"/>
        <w:gridCol w:w="336"/>
        <w:gridCol w:w="1169"/>
        <w:gridCol w:w="90"/>
        <w:gridCol w:w="90"/>
        <w:gridCol w:w="170"/>
        <w:gridCol w:w="710"/>
        <w:gridCol w:w="90"/>
        <w:gridCol w:w="90"/>
        <w:gridCol w:w="152"/>
        <w:gridCol w:w="693"/>
        <w:gridCol w:w="290"/>
      </w:tblGrid>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(As Restated)</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19,358</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3,762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15,596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415</w:t>
            </w:r>
          </w:p>
        </w:tc>
        <w:tc>
          <w:tcPr>
            <w:tcW w:w="290" w:type="dxa"/>
            <w:tcBorders/>
            <w:shd w:fill="CCEEFF" w:val="clear"/>
            <w:vAlign w:val="center"/>
          </w:tcPr>
          <w:p>
            <w:pPr>
              <w:pStyle w:val="TableContents"/>
              <w:bidi w:val="0"/>
              <w:spacing w:before="0" w:after="283"/>
              <w:jc w:val="left"/>
              <w:rPr/>
            </w:pPr>
            <w:r>
              <w:rPr/>
              <w:t>%</w:t>
            </w:r>
          </w:p>
        </w:tc>
      </w:tr>
      <w:tr>
        <w:trPr/>
        <w:tc>
          <w:tcPr>
            <w:tcW w:w="276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2,147</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Total sales and marketing</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21,505</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3,762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17,743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93" w:type="dxa"/>
            <w:tcBorders/>
            <w:vAlign w:val="center"/>
          </w:tcPr>
          <w:p>
            <w:pPr>
              <w:pStyle w:val="TableContents"/>
              <w:bidi w:val="0"/>
              <w:spacing w:before="0" w:after="283"/>
              <w:jc w:val="right"/>
              <w:rPr/>
            </w:pPr>
            <w:r>
              <w:rPr/>
              <w:t>472</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 the Residential Solar Installation reportable segment increased due to the SunPower Acquisition in the fourth quarter of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tbl>
      <w:tblPr>
        <w:tblW w:w="8822" w:type="dxa"/>
        <w:jc w:val="left"/>
        <w:tblInd w:w="0" w:type="dxa"/>
        <w:tblLayout w:type="fixed"/>
        <w:tblCellMar>
          <w:top w:w="0" w:type="dxa"/>
          <w:left w:w="0" w:type="dxa"/>
          <w:bottom w:w="0" w:type="dxa"/>
          <w:right w:w="0" w:type="dxa"/>
        </w:tblCellMar>
      </w:tblPr>
      <w:tblGrid>
        <w:gridCol w:w="3095"/>
        <w:gridCol w:w="90"/>
        <w:gridCol w:w="290"/>
        <w:gridCol w:w="1215"/>
        <w:gridCol w:w="126"/>
        <w:gridCol w:w="126"/>
        <w:gridCol w:w="290"/>
        <w:gridCol w:w="1215"/>
        <w:gridCol w:w="90"/>
        <w:gridCol w:w="90"/>
        <w:gridCol w:w="170"/>
        <w:gridCol w:w="710"/>
        <w:gridCol w:w="90"/>
        <w:gridCol w:w="90"/>
        <w:gridCol w:w="200"/>
        <w:gridCol w:w="645"/>
        <w:gridCol w:w="290"/>
      </w:tblGrid>
      <w:tr>
        <w:trPr/>
        <w:tc>
          <w:tcPr>
            <w:tcW w:w="30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2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(As Restated)</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Residential Solar Installation</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32,446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29,789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2,657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9</w:t>
            </w:r>
          </w:p>
        </w:tc>
        <w:tc>
          <w:tcPr>
            <w:tcW w:w="290" w:type="dxa"/>
            <w:tcBorders/>
            <w:shd w:fill="CCEEFF" w:val="clear"/>
            <w:vAlign w:val="center"/>
          </w:tcPr>
          <w:p>
            <w:pPr>
              <w:pStyle w:val="TableContents"/>
              <w:bidi w:val="0"/>
              <w:spacing w:before="0" w:after="283"/>
              <w:jc w:val="left"/>
              <w:rPr/>
            </w:pPr>
            <w:r>
              <w:rPr/>
              <w:t>%</w:t>
            </w:r>
          </w:p>
        </w:tc>
      </w:tr>
      <w:tr>
        <w:trPr/>
        <w:tc>
          <w:tcPr>
            <w:tcW w:w="3095" w:type="dxa"/>
            <w:tcBorders/>
            <w:vAlign w:val="center"/>
          </w:tcPr>
          <w:p>
            <w:pPr>
              <w:pStyle w:val="TableContents"/>
              <w:bidi w:val="0"/>
              <w:spacing w:before="0" w:after="283"/>
              <w:jc w:val="both"/>
              <w:rPr/>
            </w:pPr>
            <w:r>
              <w:rPr/>
              <w:t>New Homes Business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18,599</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18,599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Dealer</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Total general and administrative</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51,045</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29,789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21,256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pPr>
            <w:r>
              <w:rPr/>
              <w:t>71</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Residential Solar Installation and New Homes Business reportable segments increased due to the SunPower Acquisition in the fourth quarter of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thirty-nine weeks ended September 28, 2025 consisted principally of $3.6 million attributable to the July 2024 Notes, $15.1 million attributable to the September 2024 Notes and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thirty-nine weeks ended September 29, 2024 consisted principally of $1.8 million of related to our July 2024 Notes, $0.5 million related to our September 2024 Notes, $3.9 million related to our obligation to Carlyle, $1.0 million related to our secured credit line, $0.7 million related to our 2018 Bridge Loan and $0.3 million attributable to the $5.0 million revolver balance.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expense,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for the thirty-nine weeks ended September 28, 2025, was $1.7 million. The main drivers consisted of $3.1 million of expense associated with the change in the fair value of our public, private placement and working capital warrants which are accounted for as liabilities and $0.8 million arising from the change in the fair value of our forward purchase agreements. These expenses were partially offset by $1.6 of gains from changes in the fair value of derivative liabilities associated with our 12% and 7% senior unsecured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other expense, net of $66.2 million, in the thirty-nine weeks ended September 29, 2024, which was comprised of $62.6 million related to the recognition of a derivative liability and subsequent change in fair value, $3.8 million of other financing costs, $2.1 million of expense incurred on the conversion and changes in the fair value our SAFE Agreements, $2.1 million of expense arising from changes in the fair value of warrants issued for our common stock and $0.5 million of other expenses partially offset by income of $4.9 million related to changes in the fair value of our forward purchase agreements.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from continuing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loss from continuing operations for the thirty-nine weeks ended September 28, 2025 was $35.1 million, as compared to a net loss from continuing operations of $101.4 million in the thirty-nine week period ended September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losses and negative cash flows from operations. We had a net loss from continuing operations of $35.1 million in the thirty-nine week period ended September 28, 2025. As of September 28, 2025, we had an accumulated deficit of $447.6 million, total debt, including derivative liabilities of $198.5 million, and cash and cash equivalents (excluding restricted cash) of $5.1 million which was held for working capital expenditures. We believe our operating losses and negative operating cash flows will continue into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cash required to fund our operations, to meet our working capital requirements and to fund our 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financed our operations primarily through sales of equity securities, debt, issuance of convertible notes, cash generated from operations and the proceeds from the Mergers. As a result of not timely filing our Annual Report on Form 10-K for the fiscal year ended December 29, 2024,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may significantly impair our ability to raise the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equivalents are on deposit with major financial institutions. Our cash position raises substantial doubt regarding our ability to continue as a going concern for 12 months following the issuance of the unaudited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the proceeds from any cash exercise of warrants for shares of our common stock. The aggregate amount of proceeds could be up to $257.2 million if all the warrants are exercised for cash. However, to the extent the warrants are exercised on a “cashless basis,” the amount of cash we would receive from the exercise of those warrants will decrease. The Private Warrants and Working Capital Warrants, as so identified in our unaudited condensed consolidated financial statements, may be exercised for cash or on a “cashless basis.” The Public Warrants and the Merger Warrants may only be exercised for cash provided there is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of 1933, as amended (“Securities Act”). We expect to use any such proceeds for general corporate and working capital purposes, which would increase our liquidity. As of December 18, 2025, the price of our common stock was $1.74 per share. The weighted average exercise price of the warrants was $10.02 as of September 28, 2025.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12.0% unsecured convertible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we issued $46.0 million of senior unsecured convertible notes (“July 2024 Notes”) to various lenders in connection with the exchange agreement transactions summarized below. Of the July 2024 Notes, $18.0 million were issued in exchange for the cancellation of existing indebtedness, which amount included $10.0 million issued to CRSEF Solis Holdings, LLC and its affiliates (“Carlyle”), identified by us as a related party at the transaction date. During the thirteen week period ended June 29, 2025, Carlyle ceased to be a significant shareholder and therefore is no longer deemed a related party with the Company. The July 2024 Notes also include $18.0 million initially issued to a related party affiliated with the Company’s CEO, Rodgers Massey Revocable Living Trust (“Rodgers Revocable Trust”). The July 2024 Notes bear interest at 12.0% per annum and mature on July 1, 2029. The interest rate increases by 3% in the event of default. Interest is payable semiannually in arrears on January 1 and July 1. The July 2024 Notes are convertible into shares of our common stock at the option of the holder at a conversion rate initially equal to 595.2381 shares of common stock per $1,000 principal amount of the July notes. The July 2024 Notes may be declared due and payable at the option of the holder upon an event of default and upon a qualifying change of control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in exchange for $5.0 million of proceeds received by the Company. The July 2025 Note bears the same features as the July 2024 Notes except for the conversion rate which is initially equal to 558.6592 shares of common stock per $1,000 principal amount due under the July 2025 Note. The conversion rate is subject to adjustment from time to time pursuant to the terms of the July 2025 Note. The July 2025 Note matures on July 1,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7.0% unsecured convertible senior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issued $66.8 million of senior unsecured convertible notes to various lenders (the “September 2024 Notes”), $8.8 million of which are deemed to be with a related party. In December 2024, we issued additional September 2024 Notes for cash proceeds of $13.0 million, and we issued an additional $0.2 million of the September 2024 Notes in the thirteen week period ended March 30, 2025. The September 2024 Notes bear interest at 7.0% per annum and mature on July 1, 2029. Interest is payable semiannually in arrears on January 1 and July 1.The September 2024 Notes are initially convertible into 467.8363 shares of common stock per $1,000 principal amount of September 2024 Notes. The September 2024 Notes may be declared due and payable at the option of the holder upon an event of default and upon a qualifying change of control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issued an additional $22.0 million of the 7.0% unsecured senior convertible notes to various creditors (“September 2025 Notes”) for net proceeds of $19.6 million which was used to fund our acquisition of Sunder.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September 2025 Notes to finance the acquisition of Sunder, we also issued a note to the seller of Sunder (“Seller Note”) on September 24, 2025. 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our failure to pay the Seller Note when due, (b) our voluntary or involuntary bankruptcy, (c) our liquidation or dissolution, (d) a change of control of the Company, (e) our material breach of the covenants applicable to us under the Seller Note, subject to applicable cure periods, and (f) if any of our representations or warranties made in the Seller Note were untrue in any material respect when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fixed principal balance of $1.5 million outstanding as of September 28, 2025, due to the Rodgers Revocable Trust,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Inc. entered into FPAs with each of (i) Meteora Special Opportunity Fund I, LP (“MSOF”), Meteora Capital Partners, LP (“MCP”) and Meteora Select Trading Opportunities Master, LP (“MSTO”) (with MSOF, MCP, and MSTO collectively as “Meteora”); (ii) Sandia Investment Management LP (“Sandia”) , and (iii) Polar Multi-Strategy Master Fund (“Polar”) (each individually, a “Seller”, and together, the “FPA Sellers”).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FPAs, the FPA Sellers may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terms of the forward contracts are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FPAs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four separate FPAs, three of which, associated with the obligation to issue 6,300,000 Shares, were entered into prior to the closing of the Mergers. Upon signing the FPAs, we incurred an obligation to issue a fixed number of shares to the FPA Sellers contingent upon the closing of the Mergers in addition to the terms and conditions associated with the settlement of the FPAs.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and the FPA Sellers entered into separate amendments to the FPA (the “Amendments”). The Amendments lowered the reset floor price of each FPA from $5.00 to $3.00 and allow us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and 8, 2024, respectively, we entered into and executed separate amendments to the FPAs (collectively the “Second Amendments”) with Sandia (the “Sandia Second Amendment”) and Polar (the “Polar Second Amendment”).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 The Sandia Second Amendment is not effective until we execute similar amendments with both Polar and Meteora.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2024, we entered into and executed an amendment to the FPA with Sandia (the “Sandia Third Amendment”).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we entered into an amendment to the FPA with Polar pursuant to which we and Polar agreed that Section 2 (Most Favored Nation) of the FPA is applicable to all 2,450,000 shares subject to the FPA.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we and Meteora entered into an amendment to the FPA between Meteora and us, on July 16, 2025, we and Sandia entered into an amendment to the FPA between Sandia and us, and on August 1, 2025, we and Polar entered in an amendment to the FPA between Polar and us (collectively, the “FPA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our option, in cash or shares of the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we may owe to the applicable seller via the Settlement Amount Adjustment, and notwithstanding anything to the contrary, the applicable seller shall not be required to remit the Settlement Amount to us or return any portion of the Prepayment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Simple agreement for future equity (“SAFE”)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First SAFE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a SAFE (“First SAFE”) with the Rodgers Massey Freedom and Free Markets Charitable Trust (the “Purchaser”) in connection with the Purchaser investing $1.5 million in the Company. The First SAFE is convertible into shares of our common stock, par value $0.0001 per share, upon the initial closing of a bona fide transaction or series of transactions with the principal purpose of raising capital, pursuant to which we issue and sell common stock at a fixed valuation (an “Equity Financing”), at a per share conversion price which is equal to the lower of (i) (a) $53.54 million divided by (b) our capitalization immediately prior to such Equity Financing (such conversion price, the “SAFE Price”), and (ii) 80% of the price per share of our common stock sold in an Equity Financing transaction. If we consummate a change of control prior to the termination of the First SAFE, the Purchaser will be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“Liquidity Price”),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we entered into an amendment (“First SAFE Amendment”) that converted the First SAFE investment of $1.5 million into 4,166,667 shares of our common stock based on a conversion price of $0.36 per share, defined in the First SAFE Amendment as the product of (i) $0.45, the closing price of our common stock on April 19, 2024, multiplied by (ii) 80%. Upon conversion, we recorded a debit to SAFE Agreement of $1.5 million, a credit to Additional paid-in-capital of $1.9 million and recognized expense of $0.4 million within Other expense, net in our results of operations for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Second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we entered into a second SAFE (the “Second SAFE”) with the Purchaser, in connection with the Purchaser investing $3.5 million in the Company. The Second SAFE did not accrue interest. The Second SAFE was initially convertible into shares of our common stock upon the initial closing of an Equity Financing transaction at a per share conversion price which was equal to the lower of (i) the Second SAFE Price, and (ii) 80% of the price per share of our common stock sold in such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per share price of our common stock on February 15, 2024, (ii) 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we entered into an amendment (“Second SAFE Amendment”) that converted the Second SAFE investment of $3.5 million into 9,722,222 shares of our common stock based on a conversion price of $0.36 per share, defined in the Second SAFE Amendment as the product of (i) $0.45, the closing price of our common stock on April 19, 2024, multiplied by (ii) 80%. Upon conversion, we recorded a debit to SAFE Agreement of $3.5 million, a credit to Additional paid-in-capital of $4.4 million and recognized expense of $0.9 million within Other expense, net in our results of operations for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SAFE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a third SAFE (the “Third SAFE”) with the Purchaser, in connection with the Purchaser investing $1.0 million in the Company. The Third SAFE is convertible into shares of our common stock upon the initial closing of a bona fide transaction or series of transactions with the principal purpose of raising capital, pursuant to which the Company issues and sells shares of its common stock in an Equity Financing transaction, at a per share conversion price which is equal to 50% of the price per share of our common stock sold in such Equity Financing transaction. If we consummate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our common stock, assuming a per share conversion price of $0.275, which is the product of (i) $0.55, the closing price of our common stock on May 13, 2024, multiplied by (ii) 50%. Given that the SAFE could be settled in cash or a variable number of shares, we have accounted for the instrument as a liability at its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September 28, 2025, we estimated the fair value of the Third SAFE at $0.5 million based upon the assumptions disclosed in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to our unaudited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thirty-nine weeks ended September 28, 2025 and September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thirty-nine week periods ended September 28, 2025 and September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010" w:type="dxa"/>
        <w:jc w:val="left"/>
        <w:tblInd w:w="0" w:type="dxa"/>
        <w:tblLayout w:type="fixed"/>
        <w:tblCellMar>
          <w:top w:w="0" w:type="dxa"/>
          <w:left w:w="0" w:type="dxa"/>
          <w:bottom w:w="0" w:type="dxa"/>
          <w:right w:w="0" w:type="dxa"/>
        </w:tblCellMar>
      </w:tblPr>
      <w:tblGrid>
        <w:gridCol w:w="6530"/>
        <w:gridCol w:w="90"/>
        <w:gridCol w:w="267"/>
        <w:gridCol w:w="1238"/>
        <w:gridCol w:w="157"/>
        <w:gridCol w:w="113"/>
        <w:gridCol w:w="245"/>
        <w:gridCol w:w="1200"/>
        <w:gridCol w:w="170"/>
      </w:tblGrid>
      <w:tr>
        <w:trPr/>
        <w:tc>
          <w:tcPr>
            <w:tcW w:w="6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Thirty-Nine Weeks Ended</w:t>
            </w:r>
          </w:p>
        </w:tc>
        <w:tc>
          <w:tcPr>
            <w:tcW w:w="17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28,</w:t>
              <w:br/>
              <w:t>2025</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29</w:t>
              <w:br/>
              <w:t>2024</w:t>
            </w:r>
          </w:p>
        </w:tc>
        <w:tc>
          <w:tcPr>
            <w:tcW w:w="17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both"/>
              <w:rPr/>
            </w:pPr>
            <w:r>
              <w:rPr/>
              <w:t>Net cash used in operating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(13,249</w:t>
            </w:r>
          </w:p>
        </w:tc>
        <w:tc>
          <w:tcPr>
            <w:tcW w:w="157"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(29,111</w:t>
            </w:r>
          </w:p>
        </w:tc>
        <w:tc>
          <w:tcPr>
            <w:tcW w:w="170" w:type="dxa"/>
            <w:tcBorders/>
            <w:shd w:fill="CCEEFF" w:val="clear"/>
            <w:vAlign w:val="center"/>
          </w:tcPr>
          <w:p>
            <w:pPr>
              <w:pStyle w:val="TableContents"/>
              <w:bidi w:val="0"/>
              <w:spacing w:before="0" w:after="283"/>
              <w:jc w:val="left"/>
              <w:rPr/>
            </w:pPr>
            <w:r>
              <w:rPr/>
              <w:t>)</w:t>
            </w:r>
          </w:p>
        </w:tc>
      </w:tr>
      <w:tr>
        <w:trPr/>
        <w:tc>
          <w:tcPr>
            <w:tcW w:w="6530" w:type="dxa"/>
            <w:tcBorders/>
            <w:vAlign w:val="center"/>
          </w:tcPr>
          <w:p>
            <w:pPr>
              <w:pStyle w:val="TableContents"/>
              <w:bidi w:val="0"/>
              <w:spacing w:before="0" w:after="283"/>
              <w:jc w:val="both"/>
              <w:rPr/>
            </w:pPr>
            <w:r>
              <w:rPr/>
              <w:t>Net cash used in investing activities from continuing operations</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(20,689</w:t>
            </w:r>
          </w:p>
        </w:tc>
        <w:tc>
          <w:tcPr>
            <w:tcW w:w="157"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(1,044</w:t>
            </w:r>
          </w:p>
        </w:tc>
        <w:tc>
          <w:tcPr>
            <w:tcW w:w="170" w:type="dxa"/>
            <w:tcBorders/>
            <w:vAlign w:val="center"/>
          </w:tcPr>
          <w:p>
            <w:pPr>
              <w:pStyle w:val="TableContents"/>
              <w:bidi w:val="0"/>
              <w:spacing w:before="0" w:after="283"/>
              <w:jc w:val="left"/>
              <w:rPr/>
            </w:pPr>
            <w:r>
              <w:rPr/>
              <w:t>)</w:t>
            </w:r>
          </w:p>
        </w:tc>
      </w:tr>
      <w:tr>
        <w:trPr/>
        <w:tc>
          <w:tcPr>
            <w:tcW w:w="6530" w:type="dxa"/>
            <w:tcBorders/>
            <w:shd w:fill="CCEEFF" w:val="clear"/>
            <w:vAlign w:val="center"/>
          </w:tcPr>
          <w:p>
            <w:pPr>
              <w:pStyle w:val="TableContents"/>
              <w:bidi w:val="0"/>
              <w:spacing w:before="0" w:after="283"/>
              <w:jc w:val="both"/>
              <w:rPr/>
            </w:pPr>
            <w:r>
              <w:rPr/>
              <w:t>Net cash provided by financing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25,632</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pPr>
            <w:r>
              <w:rPr/>
              <w:t>107,060</w:t>
            </w:r>
          </w:p>
        </w:tc>
        <w:tc>
          <w:tcPr>
            <w:tcW w:w="170" w:type="dxa"/>
            <w:tcBorders/>
            <w:shd w:fill="CCEEFF" w:val="clear"/>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both"/>
              <w:rPr/>
            </w:pPr>
            <w:r>
              <w:rPr/>
              <w:t>Net (decrease) increase in cash, cash equivalents and restricted cash</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(8,306</w:t>
            </w:r>
          </w:p>
        </w:tc>
        <w:tc>
          <w:tcPr>
            <w:tcW w:w="157"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76,927</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$13.2 million in the thirty-nine weeks ended September 28, 2025 was due to net loss from continuing operations of $35.1 million offset by $31.1 million of favorable noncash adjustments and $9.2 million of cash outflows from changes in operating assets and liabilities. Significant movement in non-cash adjustments consisted of favorable non-cash adjustments of $11.8 million of amortization of debt issuance costs, $7.9 million of stock-based compensation, $4.3 million of depreciation and amortization, $3.1 million for the change in the fair value of warrant liabilities, $4.2 million for the provision of credit losses, $0.8 million of non-cash lease expense and $0.8 million change in the fair value of forward purchase agreements, partially offset by $1.6 million net gain on the change in the fair value of derivative liabilities and $0.2 million of other items. Significant movement attributable to net cash outflows from changes in operating assets of $9.2 million consisted of a $25.0 million increase in accounts receivable, a $11.3 million increase in prepaid expenses and other current assets and noncurrent assets, an $11.5 million decrease in accrued expenses and other liabilities, a $6.4 million decrease in contract liabilities, and a $0.9 million decrease in operating lease obligations, partially offset by a $34.2 million decrease in inventories and a $11.7 million increase in accounts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$29.1 million for the thirty-nine weeks ended September 29, 2024 was primarily due to the net loss from continuing operations, net of tax of $101.4 million, partially offset by non-cash adjustments of $70.8 million and net cash inflows of $1.5 million from changes in our operating assets and liabilities. Non-cash adjustments in our operating results consisted of $62.6 million arising from the issuance and subsequent change in fair value of derivative liabilities in connection with our convertible notes issued and outstanding, $5.4 million of expense in connection with warrants issued for vendor services, $3.1 million of expense related to changes in provision for credit losses, $4.1 million of stock-based compensation expense, $3.7 million of loss on impairment of assets, $3.9 million of expense in accretion of interest attributable to the CS Solis debt, $3.8 million of other noncash financing costs, $1.9 million of non-cash interest expense, $1.3 million of loss arising from the conversion of two SAFE Agreements to shares of our common stock, $1.0 million of depreciation and amortization, $0.9 million of expense related to changes in the fair value of the SAFE Agreements, $2.1 million of loss from the changes in the fair value of our warrant liabilities, $1.4 million amortization of debt issuance costs, $0.5 million of lease expense and $0.1 million provision for excess and obsolete inventory. These adjustments were partially offset by a $19.9 million gain on extinguishment of debt, $4.9 million of income related to changes in fair value of our forward purchase agreements. The main drivers of net cash inflows derived from the changes in operating assets and liabilities were related to a decrease in accounts receivable, net of $14.7 million and a decrease in inventories of $2.4 million, partially offset by a decrease in accounts payable of $8.5 million, an increase in prepaid and other current assets of $3.2 million, a decrease in contract liabilities of $1.4 million, a decrease in accrued expenses and other liabilities of $1.6 million, and a decrease in operating lease liabilities of $0.9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 of $20.7 million in the thirty-nine week period is attributable to the cash paid for the acquisition of Sunder. Net cash used of $1.0 million for the thirty-nine September 29, 2024 is attributable to additions to internal-use-software.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was $25.6 million for the thirty-nine weeks ended September 28, 2025 and consisted principally of $19.8 million received in exchange for 7% senior unsecured convertible notes, $5.0 million received from the Rodgers Revocable Trust, a related party in exchange for the July 2025 Note, $2.0 million of proceeds from a financing deposit, $1.7 million in proceeds from the issuance of shares of our common stock, and $0.8 million in proceeds from the exercise of stock options and warrants in exchange for the issuance of shares of our common stock, partially offset by a $2.2 million payment on the July 2024 Notes and $1.5 million of finance leases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of $107.1 million for the thirty-nine weeks ended September 29, 2024 was primarily due to $94.7 million in net proceeds from the issuance of convertible notes, inclusive of $26.0 million from a related party, $6.1 million in net proceeds from the issuance of shares of our common stock from White Lion and $6.0 million in net proceeds from the issuance of SAFE Agreements, and $0.6 million of proceeds from the exercise of common stock options, partially offset by $0.3 million repayment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on Form 10-Q, we conducted an evaluation, under the supervision and with the participation of our Chief Executive Officer and Principal Financial Officer, of the effectiveness of the design and operation of our disclosure controls and procedures as defined in Rule 13a-15(e) and 15d-15(e) under the Securities Exchange Act of 1934 (the “Exchange Act”). Based on this evaluation, our Chief Executive Officer and Principal Financial Officer concluded that, as of September 28, 2025, such disclosure controls and procedures were not effective as a result of previously reported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we completed the Sunder acquisition. We are currently integrating Sunder into our overall internal control over the financial reporting process and, consistent with interpretive guidance issued by the staff of the Securities and Exchange Commission, we are excluding the business from our evaluation of disclosure controls and procedures as of September 28, 2025. In accordance with such guidance, an assessment recent business combinations may be omitted from management’s assessment of internal control over financial reporting for one year following the acquisition. This acquisition constituted approximately 3% of our consolidated total assets and approximately 2% of our consolidated revenues were generated from the operations acquired from Sunder as of and for the thirty-nine week period ended September 28,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us in our Current Report on Form 8-K filed with the SEC on April 14, 2026, we identified material errors related to the recognition of revenue (and related cost of revenues, sales commissions, sales and marketing, and general and administrative expenses), and interest expense (collectively “Misstatements”) in each of the quarterly periods in fiscal 2025. We determined that these material errors were the result of our previously reported material weaknesses in our internal control over financial reporting related to our control activities, information and communication, and monitoring activities. These errors were not caused by any override of controls, misconduct, or fraud. The correction of the Misstatements impacted the previously reported amounts of revenues, cost of revenues, interest expense and amortization of debt discount and issuance costs, inventory, net income per common share, and all related financial statement subtotals and totals. As a result, this Amended Report amends our previously issued quarterly report for the thirteen and thirty-nine week periods ended September 28,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Amended Report, our principal executive officer and principal financial officer believe that the interim unaudited condensed consolidated financial statements included in this Amended Report fairly present, in all material respects, our financial condition, results of operations and cash flows as of and for the periods presented in accordance with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controls to execute the criteria established in the COSO Framework for (i) the control environment, (ii) risk assessment, (iii) control activities, (iv) information and communication, and (v) monitoring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control deficiencies identified below constitute material weaknesses, either individually or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Environment. </w:t>
      </w:r>
      <w:r>
        <w:rPr>
          <w:rFonts w:ascii="Times New Roman;Times;Serif" w:hAnsi="Times New Roman;Times;Serif"/>
          <w:b w:val="false"/>
          <w:i w:val="false"/>
          <w:caps w:val="false"/>
          <w:smallCaps w:val="false"/>
          <w:sz w:val="20"/>
        </w:rPr>
        <w:t>The Company did not maintain an effective control environment and identified the following material weakness: the 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and commenced a remediation plan to address the material weakness and strengthen the Company’s control environment. The plan includes implementing comprehensive internal control policies and formal IT governance procedures, including change management protocols for financially relevant IT systems and deploying tools to automate control activities and track IT changes impacting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committed to completing these remediation efforts as promptly as possible. Until these measures are fully implemented and operating effectively, the material weakness will remain. The Company will continue to evaluate the effectiveness of its internal controls and provide updates in future filings as required under SEC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control environment material weakness also contributed to the other material weaknesses identified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 Assessment. </w:t>
      </w:r>
      <w:r>
        <w:rPr>
          <w:rFonts w:ascii="Times New Roman;Times;Serif" w:hAnsi="Times New Roman;Times;Serif"/>
          <w:b w:val="false"/>
          <w:i w:val="false"/>
          <w:caps w:val="false"/>
          <w:smallCaps w:val="false"/>
          <w:sz w:val="20"/>
        </w:rPr>
        <w:t>The Company did not design and implement an effective risk assessment and identified a material weakness relating to: (i) identifying, assessing, and communicating appropriate objectives, (ii) identifying and analyzing risks to achieve these objectives, and (iii) identifying and assessing changes in the business that could impact the system of internal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Activities. </w:t>
      </w:r>
      <w:r>
        <w:rPr>
          <w:rFonts w:ascii="Times New Roman;Times;Serif" w:hAnsi="Times New Roman;Times;Serif"/>
          <w:b w:val="false"/>
          <w:i w:val="false"/>
          <w:caps w:val="false"/>
          <w:smallCaps w:val="false"/>
          <w:sz w:val="20"/>
        </w:rPr>
        <w:t>The Company did not design and implement effective control activities and identified the following material weakness: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Ineffective design and operation of certain control activities due to significant personnel changes throughout 2024. Control deficiencies, which aggregate to a material weakness, occurred within substantially all areas of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Information and Communication. </w:t>
      </w:r>
      <w:r>
        <w:rPr>
          <w:rFonts w:ascii="Times New Roman;Times;Serif" w:hAnsi="Times New Roman;Times;Serif"/>
          <w:b w:val="false"/>
          <w:i w:val="false"/>
          <w:caps w:val="false"/>
          <w:smallCaps w:val="false"/>
          <w:sz w:val="20"/>
        </w:rPr>
        <w:t>The Company did not design and implement effective information and communication activities and identified the following material weaknesses: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did not have adequate processes and controls for communicating information among the accounting, finance, operations, and legal departments, necessary to support the proper functioning of internal controls.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design and maintain effective general information technology controls over logical access and program change management for key information systems supporting the financial reporting process. Specifically, management did not maintain effective controls to ensure proper segregation of duties related to user administration and other privileged access functions, and in implementing program changes in information systems. The Company also lacked adequate processes and controls for communication among the accounting, finance, operations, and legal departments necessary to support the proper functioning of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these issues, management has established a dedicated cross-functional remediation team comprising members from IT, Finance, and Internal Audit. This team has been tasked with strengthening information technology general controls, improving segregation of duties, and implementing structured communication protocols between departments. The team is also developing enhanced management procedures and monitoring mechanisms to ensure sustainable compliance and effective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Monitoring Activities. </w:t>
      </w:r>
      <w:r>
        <w:rPr>
          <w:rFonts w:ascii="Times New Roman;Times;Serif" w:hAnsi="Times New Roman;Times;Serif"/>
          <w:b w:val="false"/>
          <w:i w:val="false"/>
          <w:caps w:val="false"/>
          <w:smallCaps w:val="false"/>
          <w:sz w:val="20"/>
        </w:rPr>
        <w:t>The Company did not design and implement effective monitoring activities and identified the following material 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described in the paragraphs above contributed to material accounting errors identified and corrected during the audit of the Company’s financial statements [for the fiscal year ended December 28, 2025]. If we fail to adequately remediate these material weaknesses, there could be material misstatements that may not be prevented or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Remediation Plan and Status.</w:t>
      </w:r>
      <w:r>
        <w:rPr>
          <w:rFonts w:ascii="Times New Roman;Times;Serif" w:hAnsi="Times New Roman;Times;Serif"/>
          <w:b w:val="false"/>
          <w:i w:val="false"/>
          <w:caps w:val="false"/>
          <w:smallCaps w:val="false"/>
          <w:sz w:val="20"/>
        </w:rPr>
        <w:t> As previously described in Part II, Item 9A of our Annual Report on Form 10-K for the fiscal year ended December 29, 2024, management is in the process of implementing its remediation plan. The Company is committed to remediating the material weaknesses identified above, fostering continuous improvement in internal controls and enhancing its overall internal control environment. Since identifying the above material weaknesses, the Company has begun the process of implementing the remediation activities described below. The Company believes that these activities, when fully implemented, should remediate the identified material weaknesses and strengthen its internal control over financial reporting. These remediation efforts remain ongoing, and additional remediation initiatives may be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as management continues to monitor the effectiveness of our internal control over financial reporting, the Company will continue to perform additional procedures prescribed by management, including the use of certain manual mitigating control procedures and the employment of additional tools and resources deemed necessary, to ensure that our future consolidated financial statements are fairly stated in all material respects. The following planned remediation activities highlight the Company’s commitment to remediating the identified material weaknesses: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Hire finance and accounting professionals with the appropriate level of experience and training necessary to develop, maintain and improve our accounting policies, procedures and internal controls, utilize third-party consultants and internal audit professionals to enhance the control environment, and continue to hire other qualified finance and accounting professionals.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and continue to provide, training for employees regarding their responsibilities related to the performance or oversight of internal controls.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Reinforce the importance of communication between the operations, accounting, and legal departments regarding key terms of, and changes or modifications to, customer, debt, equity, legal and other contracts by establishing controls requiring finance department approval of certain non-standard terms and agreements.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Begin the implementation of a process to reevaluate, revise and improve our Sarbanes-Oxley compliance program, including governance, risk assessment, testing methodologies and corrective action. The Company plans to enhance our risk assessment procedures and conduct a comprehensive risk assessment.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 and continue to develop, internal control documentation over financial processes and related disclosures. The Company plans to continue to design and implement control activities to mitigate risks identified and test the operating effectiveness of such controls.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credit facilities and other agreements, or other material adverse effects on our business, reputation, results of operations, financial condition or 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will not be considered remediated, however, until the applicable controls operate for a sufficient period of time, and management has concluded, through testing, that these controls are operating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thirty-nine week period ended September 28, 2025, we integrated the internal control systems of SunPower Acquisition which we acquired in the fourth quarter of our prior fiscal year. This integration included the alignment of revenue recognition and expenses, consolidation, financial reporting and IT system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remediation efforts described above, there were no changes in our internal control over financial reporting (as defined in Exchange Act Rule 13a-15(f)) that have occurred during the thirty-nine week period ended September 28, 2025, that have materially impacted, or are reasonably likely to materially impact,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effectiveness of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will prevent all errors and all instances of fraud. Disclosure Controls, no matter how well conceived and operated, can provide only reasonable, not absolute, assurance that the objectives of the Disclosure Controls are met. Further, the design of Disclosure Controls must reflect the fact that there are resource constraints, and the benefits must be considered relative to their costs. Because of the inherent limitations in all Disclosure Controls, no evaluation of Disclosure Controls can provide absolute assurance that we have detected all our control deficiencies and instances of fraud, if any. The design of Disclosure Controls also is based partly on certain assumptions about the likelihood of future events, and there can be no assurance that any design will succeed in achieving its stated goals under all potential future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with respect to legal proceedings is set forth under </w:t>
      </w:r>
      <w:r>
        <w:rPr>
          <w:rFonts w:ascii="Times New Roman;Times;Serif" w:hAnsi="Times New Roman;Times;Serif"/>
          <w:b/>
          <w:i w:val="false"/>
          <w:caps w:val="false"/>
          <w:smallCaps w:val="false"/>
          <w:sz w:val="20"/>
        </w:rPr>
        <w:t>Note 13 – Commitments and Contingencies,</w:t>
      </w:r>
      <w:r>
        <w:rPr>
          <w:rFonts w:ascii="Times New Roman;Times;Serif" w:hAnsi="Times New Roman;Times;Serif"/>
          <w:b w:val="false"/>
          <w:i w:val="false"/>
          <w:caps w:val="false"/>
          <w:smallCaps w:val="false"/>
          <w:sz w:val="20"/>
        </w:rPr>
        <w:t xml:space="preserve"> in the accompanying unaudited condensed consolidated financial statements in Part I, Item 1 of this Quarterly Report on Form 10-Q,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a number of risks that if realized could adversely affect our business, strategies, prospects, financial condition, results of operations and cash flows. The full set of risk factors are set forth in Item 1A. “Risk Factors” in our Annual Report on Form 10-K filed on April 30, 2025 and in our Quarterly Report on Form 10-Q for the period ended March 30, 2025 filed on May 19, 2025. Please carefully consider all of the information in this Quarterly Report, our Annual Report on Form 10-K filed on April 30, 2025 and our Quarterly Report on Form 10-Q filed on May 19, 2025 (including, without limitation, the full set of risks set forth in Item 1A. “Risk Factors” of our Annual Report on Form 10-K filed on April 30, 2025, and the disclosures in this Quarterly Report included in </w:t>
      </w:r>
      <w:r>
        <w:rPr>
          <w:rFonts w:ascii="Times New Roman;Times;Serif" w:hAnsi="Times New Roman;Times;Serif"/>
          <w:b/>
          <w:i w:val="false"/>
          <w:caps w:val="false"/>
          <w:smallCaps w:val="false"/>
          <w:sz w:val="20"/>
        </w:rPr>
        <w:t>Note 1(b) Organization</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Liquidity and going concern</w:t>
      </w:r>
      <w:r>
        <w:rPr>
          <w:rFonts w:ascii="Times New Roman;Times;Serif" w:hAnsi="Times New Roman;Times;Serif"/>
          <w:b w:val="false"/>
          <w:i w:val="false"/>
          <w:caps w:val="false"/>
          <w:smallCaps w:val="false"/>
          <w:sz w:val="20"/>
        </w:rPr>
        <w:t xml:space="preserve"> – of the notes to the financial statements contained in this Quarterly Report and “Management’s Discussion and Analysis of Financial Condition and Results of Operations – Liquidity and capital resources” section of this Quarterly Report) and in our other filings with the Securities and Exchange Commission before making an investment decision regarding 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agreed to pay Siemens $9.5 million spread across four payments to be made at the end of each calendar quarter during fiscal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20"/>
      <w:bookmarkEnd w:id="2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5"/>
        <w:gridCol w:w="90"/>
        <w:gridCol w:w="5958"/>
        <w:gridCol w:w="90"/>
        <w:gridCol w:w="530"/>
        <w:gridCol w:w="90"/>
        <w:gridCol w:w="830"/>
        <w:gridCol w:w="90"/>
        <w:gridCol w:w="680"/>
        <w:gridCol w:w="90"/>
        <w:gridCol w:w="1002"/>
      </w:tblGrid>
      <w:tr>
        <w:trPr/>
        <w:tc>
          <w:tcPr>
            <w:tcW w:w="75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Exhibit </w:t>
              <w:br/>
              <w:t>Number</w:t>
            </w:r>
          </w:p>
        </w:tc>
        <w:tc>
          <w:tcPr>
            <w:tcW w:w="90" w:type="dxa"/>
            <w:tcBorders/>
            <w:tcMar>
              <w:bottom w:w="0" w:type="dxa"/>
            </w:tcMar>
            <w:vAlign w:val="center"/>
          </w:tcPr>
          <w:p>
            <w:pPr>
              <w:pStyle w:val="TableContents"/>
              <w:bidi w:val="0"/>
              <w:spacing w:before="0" w:after="283"/>
              <w:jc w:val="both"/>
              <w:rPr/>
            </w:pPr>
            <w:r>
              <w:rPr/>
              <w:t> </w:t>
            </w:r>
          </w:p>
        </w:tc>
        <w:tc>
          <w:tcPr>
            <w:tcW w:w="595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90" w:type="dxa"/>
            <w:tcBorders/>
            <w:tcMar>
              <w:bottom w:w="0" w:type="dxa"/>
            </w:tcMar>
            <w:vAlign w:val="center"/>
          </w:tcPr>
          <w:p>
            <w:pPr>
              <w:pStyle w:val="TableContents"/>
              <w:bidi w:val="0"/>
              <w:spacing w:before="0" w:after="283"/>
              <w:jc w:val="both"/>
              <w:rPr/>
            </w:pPr>
            <w:r>
              <w:rPr/>
              <w:t> </w:t>
            </w:r>
          </w:p>
        </w:tc>
        <w:tc>
          <w:tcPr>
            <w:tcW w:w="5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90" w:type="dxa"/>
            <w:tcBorders/>
            <w:tcMar>
              <w:bottom w:w="0" w:type="dxa"/>
            </w:tcMar>
            <w:vAlign w:val="center"/>
          </w:tcPr>
          <w:p>
            <w:pPr>
              <w:pStyle w:val="TableContents"/>
              <w:bidi w:val="0"/>
              <w:spacing w:before="0" w:after="283"/>
              <w:jc w:val="both"/>
              <w:rPr/>
            </w:pPr>
            <w:r>
              <w:rPr/>
              <w:t> </w:t>
            </w:r>
          </w:p>
        </w:tc>
        <w:tc>
          <w:tcPr>
            <w:tcW w:w="8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90" w:type="dxa"/>
            <w:tcBorders/>
            <w:tcMar>
              <w:bottom w:w="0" w:type="dxa"/>
            </w:tcMar>
            <w:vAlign w:val="center"/>
          </w:tcPr>
          <w:p>
            <w:pPr>
              <w:pStyle w:val="TableContents"/>
              <w:bidi w:val="0"/>
              <w:spacing w:before="0" w:after="283"/>
              <w:jc w:val="both"/>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90" w:type="dxa"/>
            <w:tcBorders/>
            <w:tcMar>
              <w:bottom w:w="0" w:type="dxa"/>
            </w:tcMar>
            <w:vAlign w:val="center"/>
          </w:tcPr>
          <w:p>
            <w:pPr>
              <w:pStyle w:val="TableContents"/>
              <w:bidi w:val="0"/>
              <w:spacing w:before="0" w:after="283"/>
              <w:jc w:val="both"/>
              <w:rPr/>
            </w:pPr>
            <w:r>
              <w:rPr/>
              <w:t> </w:t>
            </w:r>
          </w:p>
        </w:tc>
        <w:tc>
          <w:tcPr>
            <w:tcW w:w="100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"http://www.sec.gov/Archives/edgar/data/1838987/000119312523155921/d425844ds4a.htm" \l "anxacov"</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Amended and Restated Business Combination Agreement, dated as of May 26, 2023, by and among Freedom Acquisition I Corp., Jupiter Merger Sub I Corp., Jupiter Merger Sub II LLC, Complete Solar Holding Corporation, and The Solaria Corporation</w:t>
            </w:r>
            <w:r>
              <w:rPr>
                <w:rStyle w:val="InternetLink"/>
                <w:sz w:val="20"/>
                <w:rFonts w:ascii="Times New Roman;Times;Serif" w:hAnsi="Times New Roman;Times;Serif"/>
              </w:rPr>
              <w:fldChar w:fldCharType="end"/>
            </w:r>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31, 2023</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Agreement and Plan of Merger, dated as of October 3, 2022, by and between Complete Solar Holding Corporation, Complete Solar Midco, LLC, Complete Solar Merger Sub, Inc., The Solaria Corporation, and Fortis Advisors LLC</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10, 2023</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Asset Purchase Agreement dated September 19, 2023, by and among Complete Solaria, Inc., SolarCA, LLC, and Maxeon Solar Technologies, Ltd.</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2023-09-21</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Certificate of Incorporation of Complete Solaria</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2023-07-21</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Bylaws of Complete Solaria</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2023-07-21</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Form of Replacement Warrant</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2023-10-12</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Form of First Amendment to Replacement Warrant</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2023-10-12</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Amended and Restated Registration Rights Agreement, dated July 18, 2023, by and among the Company and certain other stockholders party thereto</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Warrant Agreement, dated February 25, 2021, by and between the Company and Continental Stock Transfer &amp; Trust Company, as warrant agent</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2021-03-2</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Indenture, dated September 16, 2024, between the Company and U.S. Bank Trust Company, National Association</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Form of 7.0% Convertible Senior Note due 2029</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Exchange Agreement, dated July 1, 2024, among the Company and the purchasers party thereto</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2024-07-08</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Form of SAFE (2024)</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2024-02-16</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Convertible Promissory Note dated July 10, 2025</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2025-07-16</w:t>
            </w:r>
          </w:p>
        </w:tc>
      </w:tr>
      <w:tr>
        <w:trPr/>
        <w:tc>
          <w:tcPr>
            <w:tcW w:w="75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Form of Amendment to OTC Equity Prepaid Forward Transaction</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2025-07-21</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Fourth Amendment to OTC Equity Prepaid Forward Transaction</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2025-07-21</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Fifth Amendment to OTC Equity Prepaid Forward Transaction</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2025-08-04</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Membership Interest Purchase Agreement, dated September 21, 2025, by and among the Company, Complete Solar, Inc., Sunder Energy LLC and Chicken Parm Pizza LLC</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Form of Seller Note</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10.5</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Form of September 2025 Note Purchase Agreement</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001-40017</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pPr>
            <w:hyperlink w:anchor="ea028773903ex31-1.htm">
              <w:r>
                <w:rPr>
                  <w:rStyle w:val="InternetLink"/>
                  <w:rFonts w:ascii="Times New Roman;Times;Serif" w:hAnsi="Times New Roman;Times;Serif"/>
                  <w:sz w:val="20"/>
                </w:rPr>
                <w:t>Certification pursuant to Rule 13a-14(a) and Rule 15d-14(a) under the Securities Exchange Act of 1934, as adopted pursuant to Section 302 of the Sarbanes-Oxley Act of 2002.</w:t>
              </w:r>
            </w:hyperlink>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pPr>
            <w:hyperlink w:anchor="ea028773903ex32-1.htm">
              <w:r>
                <w:rPr>
                  <w:rStyle w:val="InternetLink"/>
                  <w:rFonts w:ascii="Times New Roman;Times;Serif" w:hAnsi="Times New Roman;Times;Serif"/>
                  <w:sz w:val="20"/>
                </w:rPr>
                <w:t>Certification pursuant to 18 U.S.C. 1350, as adopted pursuant to Section 906 of the Sarbanes-Oxley Act of 2002.</w:t>
              </w:r>
            </w:hyperlink>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pPr>
            <w:r>
              <w:rPr/>
              <w:t> </w:t>
            </w:r>
          </w:p>
        </w:tc>
      </w:tr>
      <w:tr>
        <w:trPr/>
        <w:tc>
          <w:tcPr>
            <w:tcW w:w="75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both"/>
              <w:rPr/>
            </w:pPr>
            <w:r>
              <w:rPr/>
              <w:t> </w:t>
            </w:r>
          </w:p>
        </w:tc>
        <w:tc>
          <w:tcPr>
            <w:tcW w:w="595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Document Set for the unaudited condensed consolidated financial statements and accompanying notes in the Condensed Consolidated Financial Statements and Supplemental Details</w:t>
            </w:r>
          </w:p>
        </w:tc>
        <w:tc>
          <w:tcPr>
            <w:tcW w:w="90" w:type="dxa"/>
            <w:tcBorders/>
            <w:shd w:fill="CCEEFF" w:val="clear"/>
            <w:tcMar>
              <w:bottom w:w="0" w:type="dxa"/>
            </w:tcMar>
            <w:vAlign w:val="center"/>
          </w:tcPr>
          <w:p>
            <w:pPr>
              <w:pStyle w:val="TableContents"/>
              <w:bidi w:val="0"/>
              <w:spacing w:before="0" w:after="283"/>
              <w:jc w:val="both"/>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83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68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1002" w:type="dxa"/>
            <w:tcBorders/>
            <w:shd w:fill="CCEEFF" w:val="clear"/>
            <w:tcMar>
              <w:bottom w:w="0" w:type="dxa"/>
            </w:tcMar>
            <w:vAlign w:val="center"/>
          </w:tcPr>
          <w:p>
            <w:pPr>
              <w:pStyle w:val="TableContents"/>
              <w:bidi w:val="0"/>
              <w:spacing w:before="0" w:after="283"/>
              <w:jc w:val="center"/>
              <w:rPr/>
            </w:pPr>
            <w:r>
              <w:rPr/>
              <w:t> </w:t>
            </w:r>
          </w:p>
        </w:tc>
      </w:tr>
      <w:tr>
        <w:trPr/>
        <w:tc>
          <w:tcPr>
            <w:tcW w:w="7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tcMar>
              <w:bottom w:w="0" w:type="dxa"/>
            </w:tcMar>
            <w:vAlign w:val="center"/>
          </w:tcPr>
          <w:p>
            <w:pPr>
              <w:pStyle w:val="TableContents"/>
              <w:bidi w:val="0"/>
              <w:spacing w:before="0" w:after="283"/>
              <w:jc w:val="both"/>
              <w:rPr/>
            </w:pPr>
            <w:r>
              <w:rPr/>
              <w:t> </w:t>
            </w:r>
          </w:p>
        </w:tc>
        <w:tc>
          <w:tcPr>
            <w:tcW w:w="5958"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formatted in Inline XBRL and included as Exhibit 101</w:t>
            </w:r>
          </w:p>
        </w:tc>
        <w:tc>
          <w:tcPr>
            <w:tcW w:w="90" w:type="dxa"/>
            <w:tcBorders/>
            <w:tcMar>
              <w:bottom w:w="0" w:type="dxa"/>
            </w:tcMar>
            <w:vAlign w:val="center"/>
          </w:tcPr>
          <w:p>
            <w:pPr>
              <w:pStyle w:val="TableContents"/>
              <w:bidi w:val="0"/>
              <w:spacing w:before="0" w:after="283"/>
              <w:jc w:val="both"/>
              <w:rPr/>
            </w:pPr>
            <w:r>
              <w:rPr/>
              <w:t> </w:t>
            </w:r>
          </w:p>
        </w:tc>
        <w:tc>
          <w:tcPr>
            <w:tcW w:w="5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83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68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both"/>
              <w:rPr/>
            </w:pPr>
            <w:r>
              <w:rPr/>
              <w:t> </w:t>
            </w:r>
          </w:p>
        </w:tc>
        <w:tc>
          <w:tcPr>
            <w:tcW w:w="1002"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75"/>
        <w:gridCol w:w="1655"/>
      </w:tblGrid>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730" w:type="dxa"/>
        <w:jc w:val="left"/>
        <w:tblInd w:w="0" w:type="dxa"/>
        <w:tblLayout w:type="fixed"/>
        <w:tblCellMar>
          <w:top w:w="0" w:type="dxa"/>
          <w:left w:w="0" w:type="dxa"/>
          <w:bottom w:w="0" w:type="dxa"/>
          <w:right w:w="0" w:type="dxa"/>
        </w:tblCellMar>
      </w:tblPr>
      <w:tblGrid>
        <w:gridCol w:w="1685"/>
        <w:gridCol w:w="350"/>
        <w:gridCol w:w="6695"/>
      </w:tblGrid>
      <w:tr>
        <w:trPr/>
        <w:tc>
          <w:tcPr>
            <w:tcW w:w="1685" w:type="dxa"/>
            <w:tcBorders/>
            <w:vAlign w:val="center"/>
          </w:tcPr>
          <w:p>
            <w:pPr>
              <w:pStyle w:val="TableContents"/>
              <w:bidi w:val="0"/>
              <w:spacing w:before="0" w:after="283"/>
              <w:jc w:val="both"/>
              <w:rPr/>
            </w:pPr>
            <w:r>
              <w:rPr/>
              <w:t> </w:t>
            </w:r>
          </w:p>
        </w:tc>
        <w:tc>
          <w:tcPr>
            <w:tcW w:w="70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SunPower Inc.</w:t>
            </w:r>
          </w:p>
        </w:tc>
      </w:tr>
      <w:tr>
        <w:trPr/>
        <w:tc>
          <w:tcPr>
            <w:tcW w:w="1685"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both"/>
              <w:rPr/>
            </w:pPr>
            <w:r>
              <w:rPr/>
              <w:t> </w:t>
            </w:r>
          </w:p>
        </w:tc>
        <w:tc>
          <w:tcPr>
            <w:tcW w:w="6695" w:type="dxa"/>
            <w:tcBorders/>
            <w:vAlign w:val="center"/>
          </w:tcPr>
          <w:p>
            <w:pPr>
              <w:pStyle w:val="TableContents"/>
              <w:bidi w:val="0"/>
              <w:spacing w:before="0" w:after="283"/>
              <w:jc w:val="both"/>
              <w:rPr/>
            </w:pPr>
            <w:r>
              <w:rPr/>
              <w:t> </w:t>
            </w:r>
          </w:p>
        </w:tc>
      </w:tr>
      <w:tr>
        <w:trPr/>
        <w:tc>
          <w:tcPr>
            <w:tcW w:w="1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May 19, 2026</w:t>
            </w:r>
          </w:p>
        </w:tc>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669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THURMAN J. RODGERS</w:t>
            </w:r>
          </w:p>
        </w:tc>
      </w:tr>
      <w:tr>
        <w:trPr/>
        <w:tc>
          <w:tcPr>
            <w:tcW w:w="1685"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both"/>
              <w:rPr/>
            </w:pPr>
            <w:r>
              <w:rPr/>
              <w:t> </w:t>
            </w:r>
          </w:p>
        </w:tc>
        <w:tc>
          <w:tcPr>
            <w:tcW w:w="6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Thurman J. Rodgers</w:t>
            </w:r>
          </w:p>
        </w:tc>
      </w:tr>
      <w:tr>
        <w:trPr/>
        <w:tc>
          <w:tcPr>
            <w:tcW w:w="1685" w:type="dxa"/>
            <w:tcBorders/>
            <w:vAlign w:val="center"/>
          </w:tcPr>
          <w:p>
            <w:pPr>
              <w:pStyle w:val="TableContents"/>
              <w:bidi w:val="0"/>
              <w:spacing w:before="0" w:after="283"/>
              <w:jc w:val="both"/>
              <w:rPr/>
            </w:pPr>
            <w:r>
              <w:rPr/>
              <w:t> </w:t>
            </w:r>
          </w:p>
        </w:tc>
        <w:tc>
          <w:tcPr>
            <w:tcW w:w="350" w:type="dxa"/>
            <w:tcBorders/>
            <w:vAlign w:val="center"/>
          </w:tcPr>
          <w:p>
            <w:pPr>
              <w:pStyle w:val="TableContents"/>
              <w:bidi w:val="0"/>
              <w:spacing w:before="0" w:after="283"/>
              <w:jc w:val="both"/>
              <w:rPr/>
            </w:pPr>
            <w:r>
              <w:rPr/>
              <w:t> </w:t>
            </w:r>
          </w:p>
        </w:tc>
        <w:tc>
          <w:tcPr>
            <w:tcW w:w="6695" w:type="dxa"/>
            <w:tcBorders/>
            <w:vAlign w:val="center"/>
          </w:tcPr>
          <w:p>
            <w:pPr>
              <w:pStyle w:val="TableContents"/>
              <w:bidi w:val="0"/>
              <w:spacing w:before="0" w:after="283"/>
              <w:jc w:val="left"/>
              <w:rPr/>
            </w:pPr>
            <w:r>
              <w:rPr>
                <w:rFonts w:ascii="Times New Roman;Times;Serif" w:hAnsi="Times New Roman;Times;Serif"/>
                <w:sz w:val="20"/>
              </w:rPr>
              <w:t>Chief Executive Officer and Executive Chairman</w:t>
            </w:r>
            <w:r>
              <w:rPr/>
              <w:t>; Principal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8773903ex31-1.htm"/>
      <w:bookmarkStart w:id="23" w:name="ksea028773903ex311"/>
      <w:bookmarkEnd w:id="22"/>
      <w:bookmarkEnd w:id="23"/>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Thurman J. Rodgers, certify that:</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215"/>
        <w:gridCol w:w="6665"/>
      </w:tblGrid>
      <w:tr>
        <w:trPr/>
        <w:tc>
          <w:tcPr>
            <w:tcW w:w="215" w:type="dxa"/>
            <w:tcBorders/>
            <w:vAlign w:val="center"/>
          </w:tcPr>
          <w:p>
            <w:pPr>
              <w:pStyle w:val="TableContents"/>
              <w:bidi w:val="0"/>
              <w:spacing w:before="0" w:after="283"/>
              <w:jc w:val="left"/>
              <w:rPr/>
            </w:pPr>
            <w:r>
              <w:rPr/>
              <w:t>1.</w:t>
            </w:r>
          </w:p>
        </w:tc>
        <w:tc>
          <w:tcPr>
            <w:tcW w:w="6665" w:type="dxa"/>
            <w:tcBorders/>
            <w:vAlign w:val="center"/>
          </w:tcPr>
          <w:p>
            <w:pPr>
              <w:pStyle w:val="TableContents"/>
              <w:bidi w:val="0"/>
              <w:spacing w:before="0" w:after="283"/>
              <w:jc w:val="both"/>
              <w:rPr/>
            </w:pPr>
            <w:r>
              <w:rPr/>
              <w:t>I have reviewed this quarterly report on Form 10-Q of SunPower Inc.;</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mallCaps/>
              </w:rPr>
            </w:pPr>
            <w:r>
              <w:rPr>
                <w:smallCaps/>
              </w:rPr>
              <w:t>b)</w:t>
            </w:r>
          </w:p>
        </w:tc>
        <w:tc>
          <w:tcPr>
            <w:tcW w:w="999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firstLine="28"/>
        <w:jc w:val="left"/>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1940"/>
        <w:gridCol w:w="365"/>
        <w:gridCol w:w="5825"/>
      </w:tblGrid>
      <w:tr>
        <w:trPr/>
        <w:tc>
          <w:tcPr>
            <w:tcW w:w="1940" w:type="dxa"/>
            <w:tcBorders/>
            <w:vAlign w:val="center"/>
          </w:tcPr>
          <w:p>
            <w:pPr>
              <w:pStyle w:val="TableContents"/>
              <w:bidi w:val="0"/>
              <w:spacing w:before="0" w:after="283"/>
              <w:jc w:val="left"/>
              <w:rPr/>
            </w:pPr>
            <w:r>
              <w:rPr/>
              <w:t>Date: May 19, 2026</w:t>
            </w:r>
          </w:p>
        </w:tc>
        <w:tc>
          <w:tcPr>
            <w:tcW w:w="365" w:type="dxa"/>
            <w:tcBorders/>
            <w:vAlign w:val="center"/>
          </w:tcPr>
          <w:p>
            <w:pPr>
              <w:pStyle w:val="TableContents"/>
              <w:bidi w:val="0"/>
              <w:spacing w:before="0" w:after="283"/>
              <w:jc w:val="left"/>
              <w:rPr/>
            </w:pPr>
            <w:r>
              <w:rPr/>
              <w:t>By:</w:t>
            </w:r>
          </w:p>
        </w:tc>
        <w:tc>
          <w:tcPr>
            <w:tcW w:w="5825"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Thurman J. Rodgers</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Chief Executive Officer and Executive Chairman</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i/>
              </w:rPr>
            </w:pPr>
            <w:r>
              <w:rPr>
                <w:i/>
              </w:rPr>
              <w:t>(Principal Executive Officer and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28773903ex32-1.htm"/>
      <w:bookmarkStart w:id="25" w:name="ksea028773903ex321"/>
      <w:bookmarkEnd w:id="24"/>
      <w:bookmarkEnd w:id="25"/>
      <w:r>
        <w:rPr>
          <w:b/>
        </w:rPr>
        <w:t>Exhibit 32.1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SunPower Inc. (the “Company”) for the period ended September 28, 2025,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1.</w:t>
            </w:r>
          </w:p>
        </w:tc>
        <w:tc>
          <w:tcPr>
            <w:tcW w:w="999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1940"/>
        <w:gridCol w:w="365"/>
        <w:gridCol w:w="5825"/>
      </w:tblGrid>
      <w:tr>
        <w:trPr/>
        <w:tc>
          <w:tcPr>
            <w:tcW w:w="1940" w:type="dxa"/>
            <w:tcBorders/>
            <w:vAlign w:val="center"/>
          </w:tcPr>
          <w:p>
            <w:pPr>
              <w:pStyle w:val="TableContents"/>
              <w:bidi w:val="0"/>
              <w:spacing w:before="0" w:after="283"/>
              <w:jc w:val="left"/>
              <w:rPr/>
            </w:pPr>
            <w:r>
              <w:rPr/>
              <w:t>Date: May 19, 2026</w:t>
            </w:r>
          </w:p>
        </w:tc>
        <w:tc>
          <w:tcPr>
            <w:tcW w:w="365" w:type="dxa"/>
            <w:tcBorders/>
            <w:vAlign w:val="center"/>
          </w:tcPr>
          <w:p>
            <w:pPr>
              <w:pStyle w:val="TableContents"/>
              <w:bidi w:val="0"/>
              <w:spacing w:before="0" w:after="283"/>
              <w:jc w:val="left"/>
              <w:rPr/>
            </w:pPr>
            <w:r>
              <w:rPr/>
              <w:t>By:</w:t>
            </w:r>
          </w:p>
        </w:tc>
        <w:tc>
          <w:tcPr>
            <w:tcW w:w="5825"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Thurman J. Rodgers</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Chief Executive Officer and Executive Chairman</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i/>
              </w:rPr>
            </w:pPr>
            <w:r>
              <w:rPr>
                <w:i/>
              </w:rP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8987/000119312523030704/d425844dex24.htm" TargetMode="External"/><Relationship Id="rId3" Type="http://schemas.openxmlformats.org/officeDocument/2006/relationships/hyperlink" Target="http://www.sec.gov/Archives/edgar/data/1838987/000119312523239699/d558159dex21.htm" TargetMode="External"/><Relationship Id="rId4" Type="http://schemas.openxmlformats.org/officeDocument/2006/relationships/hyperlink" Target="http://www.sec.gov/Archives/edgar/data/1838987/000119312523191334/d862117dex31.htm" TargetMode="External"/><Relationship Id="rId5" Type="http://schemas.openxmlformats.org/officeDocument/2006/relationships/hyperlink" Target="http://www.sec.gov/Archives/edgar/data/1838987/000119312523191334/d862117dex32.htm" TargetMode="External"/><Relationship Id="rId6" Type="http://schemas.openxmlformats.org/officeDocument/2006/relationships/hyperlink" Target="http://www.sec.gov/Archives/edgar/data/1838987/000119312523255093/d569645dex41.htm" TargetMode="External"/><Relationship Id="rId7" Type="http://schemas.openxmlformats.org/officeDocument/2006/relationships/hyperlink" Target="http://www.sec.gov/Archives/edgar/data/1838987/000119312523255093/d569645dex42.htm" TargetMode="External"/><Relationship Id="rId8" Type="http://schemas.openxmlformats.org/officeDocument/2006/relationships/hyperlink" Target="http://www.sec.gov/Archives/edgar/data/1838987/000119312523192359/d530739dex41.htm" TargetMode="External"/><Relationship Id="rId9" Type="http://schemas.openxmlformats.org/officeDocument/2006/relationships/hyperlink" Target="http://www.sec.gov/Archives/edgar/data/1838987/000095010321003441/dp147251_ex0401.htm" TargetMode="External"/><Relationship Id="rId10" Type="http://schemas.openxmlformats.org/officeDocument/2006/relationships/hyperlink" Target="http://www.sec.gov/Archives/edgar/data/1838987/000121390024082266/ea021574201ex4-1_complete.htm" TargetMode="External"/><Relationship Id="rId11" Type="http://schemas.openxmlformats.org/officeDocument/2006/relationships/hyperlink" Target="http://www.sec.gov/Archives/edgar/data/1838987/000121390024082266/ea021574201ex4-2_complete.htm" TargetMode="External"/><Relationship Id="rId12" Type="http://schemas.openxmlformats.org/officeDocument/2006/relationships/hyperlink" Target="http://www.sec.gov/Archives/edgar/data/1838987/000121390024059870/ea020910501ex10-1_complete.htm" TargetMode="External"/><Relationship Id="rId13" Type="http://schemas.openxmlformats.org/officeDocument/2006/relationships/hyperlink" Target="http://www.sec.gov/Archives/edgar/data/1838987/000121390024014892/ea193922ex10-1_complete.htm" TargetMode="External"/><Relationship Id="rId14" Type="http://schemas.openxmlformats.org/officeDocument/2006/relationships/hyperlink" Target="http://www.sec.gov/Archives/edgar/data/1838987/000121390025064680/ea024916501ex4-1_complete.htm" TargetMode="External"/><Relationship Id="rId15" Type="http://schemas.openxmlformats.org/officeDocument/2006/relationships/hyperlink" Target="http://www.sec.gov/Archives/edgar/data/1838987/000121390025066104/ea024964401ex10-1_comple.htm" TargetMode="External"/><Relationship Id="rId16" Type="http://schemas.openxmlformats.org/officeDocument/2006/relationships/hyperlink" Target="http://www.sec.gov/Archives/edgar/data/1838987/000121390025066104/ea024964401ex10-2_comple.htm" TargetMode="External"/><Relationship Id="rId17" Type="http://schemas.openxmlformats.org/officeDocument/2006/relationships/hyperlink" Target="http://www.sec.gov/Archives/edgar/data/1838987/000121390025071336/ea025156001ex10-1_complete.htm" TargetMode="External"/><Relationship Id="rId18" Type="http://schemas.openxmlformats.org/officeDocument/2006/relationships/hyperlink" Target="http://www.sec.gov/Archives/edgar/data/1838987/000121390025089842/ea025817301ex10-1_complete.htm" TargetMode="External"/><Relationship Id="rId19" Type="http://schemas.openxmlformats.org/officeDocument/2006/relationships/hyperlink" Target="http://www.sec.gov/Archives/edgar/data/1838987/000121390025089842/ea025817301ex10-2_complete.htm" TargetMode="External"/><Relationship Id="rId20" Type="http://schemas.openxmlformats.org/officeDocument/2006/relationships/hyperlink" Target="http://www.sec.gov/Archives/edgar/data/1838987/000121390025089842/ea025817301ex10-3_complete.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42036</Words>
  <Characters>230536</Characters>
  <CharactersWithSpaces>278149</CharactersWithSpaces>
  <Paragraphs>16130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