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142104-424b3_sunpower.htm"/>
      <w:bookmarkStart w:id="1" w:name="ksea030142104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333-292713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4</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48,521,163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333-292713). This prospectus supplement is being filed to update and supplement the information in the prospectus with the information contained in our Current Report on Form 8-K filed with the Securities and Exchange Commission on August 10,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potential offer and sale of up to 48,521,163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by White Lion Capital, LLC (“</w:t>
      </w:r>
      <w:r>
        <w:rPr>
          <w:rFonts w:ascii="Times New Roman;Times;Serif" w:hAnsi="Times New Roman;Times;Serif"/>
          <w:b/>
          <w:i w:val="false"/>
          <w:caps w:val="false"/>
          <w:smallCaps w:val="false"/>
          <w:sz w:val="20"/>
        </w:rPr>
        <w:t>White Lion</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Securityholder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to which the prospectus and this prospectus supplement relate may be issued to White Lion pursuant to the Common Stock Purchase Agreement dated July 16, 2024 between us and White Lion, as amended by Amendment No. 1 to the Common Stock Purchase Agreement dated July 24, 2024, Amendment No. 2 to the Common Stock Purchase Agreement dated August 14, 2024, and Amendment No. 3 to the Common Stock Purchase Agreement dated January 11, 2026 (as amended, the “</w:t>
      </w:r>
      <w:r>
        <w:rPr>
          <w:rFonts w:ascii="Times New Roman;Times;Serif" w:hAnsi="Times New Roman;Times;Serif"/>
          <w:b/>
          <w:i w:val="false"/>
          <w:caps w:val="false"/>
          <w:smallCaps w:val="false"/>
          <w:sz w:val="20"/>
        </w:rPr>
        <w:t>White Lion Purchase Agreement</w:t>
      </w:r>
      <w:r>
        <w:rPr>
          <w:rFonts w:ascii="Times New Roman;Times;Serif" w:hAnsi="Times New Roman;Times;Serif"/>
          <w:b w:val="false"/>
          <w:i w:val="false"/>
          <w:caps w:val="false"/>
          <w:smallCaps w:val="false"/>
          <w:sz w:val="20"/>
        </w:rPr>
        <w:t>”), establishing an equity line of credit. Such shares of our common stock include up to 48,521,163 shares of common stock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that we may elect, in our sole discretion, to issue and sell to White Lion from time to time during the White Lion Commitment Period (as defined in the Prospectus) subject to and pursuant to the terms and conditions of the White Lion Purchase Agreement (assuming the shares to be issued are sold at a price of $1.00 per share). See “</w:t>
      </w:r>
      <w:r>
        <w:rPr>
          <w:rFonts w:ascii="Times New Roman;Times;Serif" w:hAnsi="Times New Roman;Times;Serif"/>
          <w:b w:val="false"/>
          <w:i/>
          <w:caps w:val="false"/>
          <w:smallCaps w:val="false"/>
          <w:sz w:val="20"/>
        </w:rPr>
        <w:t>The White Lion Transaction</w:t>
      </w:r>
      <w:r>
        <w:rPr>
          <w:rFonts w:ascii="Times New Roman;Times;Serif" w:hAnsi="Times New Roman;Times;Serif"/>
          <w:b w:val="false"/>
          <w:i w:val="false"/>
          <w:caps w:val="false"/>
          <w:smallCaps w:val="false"/>
          <w:sz w:val="20"/>
        </w:rPr>
        <w:t>” for a description of the White Lion Purchase Agreement and “</w:t>
      </w:r>
      <w:r>
        <w:rPr>
          <w:rFonts w:ascii="Times New Roman;Times;Serif" w:hAnsi="Times New Roman;Times;Serif"/>
          <w:b w:val="false"/>
          <w:i/>
          <w:caps w:val="false"/>
          <w:smallCaps w:val="false"/>
          <w:sz w:val="20"/>
        </w:rPr>
        <w:t>Selling Securityholder</w:t>
      </w:r>
      <w:r>
        <w:rPr>
          <w:rFonts w:ascii="Times New Roman;Times;Serif" w:hAnsi="Times New Roman;Times;Serif"/>
          <w:b w:val="false"/>
          <w:i w:val="false"/>
          <w:caps w:val="false"/>
          <w:smallCaps w:val="false"/>
          <w:sz w:val="20"/>
        </w:rPr>
        <w:t>” for additional information regarding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Offered Securities issuable to White Lion will vary depending on the then-current market price of shares of our common stock sold to the Selling Securityholder under the White Lion Purchase Agreement and are subject to the further limitations set forth in the White Lion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or this prospectus supplement and will not receive any of the proceeds from the sale of shares of common stock by the Selling Securityholder. However, we may receive proceeds of up to $48.5 million from the sale of the Offered Securities to the Selling Securityholder pursuant to the White Lion Purchase Agreement after the date of this prospectus (assuming the shares are sold at a price of $1.00 per share). The actual proceeds from White Lion under the White Lion Purchase Agreement may be less than this amount depending on the number of shares of our common stock sold and the price at which the shares of our common stock are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may sell or otherwise dispose of the shares of common stock described in the prospectus and this prospectus supplement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 may sell or otherwise dispose of the shares of common stock being registered pursuant to the prospectus and this prospectus supplement. The Selling Securityholder is an “underwriter”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August 7, 2026, the closing price of our common stock was $0.2675.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10 of the prospectus, and under similar headings in any amendments or supplements to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1403 N. Research Way, Orem UT</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 Northport Loop East, Fremont CA 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45"/>
        <w:gridCol w:w="8585"/>
      </w:tblGrid>
      <w:tr>
        <w:trPr/>
        <w:tc>
          <w:tcPr>
            <w:tcW w:w="245"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 </w:t>
            </w: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 </w:t>
            </w: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SunPower Inc. (the “Company”) entered into a simple agreement for future equity (the “SAFE”) with an institutional investor in connection with its investment of $3,500,000 (the “Purchase Amount”) in the Company. The SAFE is convertible into equity securities of the Company in an amount equal to the Purchase Amount divided by the applicable price per share, unit or other increment of the securities issued by the Company in its next equity financing transaction, and without any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in Item 1.01 of this Current Report on Form 8-K relating to the issuance of the SAFE is incorporated by reference herein in its entirety. The offer and sale of the SAFE was made in reliance upon the exemption from registration contained in Section 4(a)(2)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315"/>
        <w:gridCol w:w="365"/>
        <w:gridCol w:w="2300"/>
      </w:tblGrid>
      <w:tr>
        <w:trPr/>
        <w:tc>
          <w:tcPr>
            <w:tcW w:w="2315" w:type="dxa"/>
            <w:tcBorders/>
            <w:vAlign w:val="center"/>
          </w:tcPr>
          <w:p>
            <w:pPr>
              <w:pStyle w:val="TableContents"/>
              <w:bidi w:val="0"/>
              <w:spacing w:before="0" w:after="283"/>
              <w:ind w:left="0" w:right="0" w:hanging="200"/>
              <w:jc w:val="left"/>
              <w:rPr/>
            </w:pPr>
            <w:r>
              <w:rPr/>
              <w:t> </w:t>
            </w:r>
          </w:p>
        </w:tc>
        <w:tc>
          <w:tcPr>
            <w:tcW w:w="2665" w:type="dxa"/>
            <w:gridSpan w:val="2"/>
            <w:tcBorders/>
            <w:vAlign w:val="center"/>
          </w:tcPr>
          <w:p>
            <w:pPr>
              <w:pStyle w:val="TableContents"/>
              <w:bidi w:val="0"/>
              <w:spacing w:before="0" w:after="283"/>
              <w:ind w:left="0" w:right="0" w:hanging="200"/>
              <w:jc w:val="left"/>
              <w:rPr>
                <w:b/>
                <w:smallCaps/>
              </w:rPr>
            </w:pPr>
            <w:r>
              <w:rPr>
                <w:b/>
                <w:smallCaps/>
              </w:rPr>
              <w:t>SunPower Inc.</w:t>
            </w:r>
          </w:p>
        </w:tc>
      </w:tr>
      <w:tr>
        <w:trPr/>
        <w:tc>
          <w:tcPr>
            <w:tcW w:w="2315" w:type="dxa"/>
            <w:tcBorders/>
            <w:vAlign w:val="center"/>
          </w:tcPr>
          <w:p>
            <w:pPr>
              <w:pStyle w:val="TableContents"/>
              <w:bidi w:val="0"/>
              <w:spacing w:before="0" w:after="283"/>
              <w:jc w:val="left"/>
              <w:rPr/>
            </w:pPr>
            <w:r>
              <w:rPr/>
              <w:t>Dated: August 10, 2026</w:t>
            </w:r>
          </w:p>
        </w:tc>
        <w:tc>
          <w:tcPr>
            <w:tcW w:w="266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ind w:left="0" w:right="0" w:hanging="200"/>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1450</Words>
  <Characters>7773</Characters>
  <CharactersWithSpaces>9231</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